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268"/>
        <w:jc w:val="center"/>
      </w:pPr>
      <w:r>
        <w:rPr>
          <w:b/>
        </w:rPr>
        <w:t>Strategic Development Plan for Higher Education Institutions</w:t>
      </w:r>
    </w:p>
    <w:p>
      <w:pPr>
        <w:pStyle w:val="Subtitle"/>
        <w:jc w:val="center"/>
      </w:pPr>
      <w:r>
        <w:t>Aligning with NEP 2020, SDGs, NAAC, NBA, NIRF, and QS I-GAUGE</w:t>
      </w:r>
    </w:p>
    <w:p>
      <w:pPr>
        <w:spacing w:before="1701"/>
        <w:jc w:val="center"/>
      </w:pPr>
      <w:r>
        <w:rPr>
          <w:b/>
        </w:rPr>
        <w:t>Dr Venkata Rama Krishna Tottempudi</w:t>
        <w:br/>
        <w:t>Sai Saran Tottempudi</w:t>
      </w:r>
    </w:p>
    <w:p>
      <w:r>
        <w:br w:type="page"/>
      </w:r>
    </w:p>
    <w:p>
      <w:pPr>
        <w:pStyle w:val="Heading1"/>
      </w:pPr>
      <w:r>
        <w:t>ACKNOWLEDGEMENT</w:t>
      </w:r>
    </w:p>
    <w:p>
      <w:pPr/>
      <w:r>
        <w:rPr>
          <w:b w:val="0"/>
          <w:i w:val="0"/>
        </w:rPr>
        <w:t>The preparation of this Strategic Development Plan for Higher Education Institutions has been a collective effort supported by the vision, guidance, and collaboration of multiple stakeholders. We extend our heartfelt gratitude to the academic leaders, faculty members, administrators, students, and community partners who contributed their insights and experiences, which form the backbone of this strategic framework.</w:t>
      </w:r>
    </w:p>
    <w:p>
      <w:pPr/>
      <w:r>
        <w:rPr>
          <w:b w:val="0"/>
          <w:i w:val="0"/>
        </w:rPr>
        <w:t>We acknowledge the invaluable role of national education policies such as NEP 2020, accreditation bodies including NAAC, NBA, and NIRF, and global benchmarking frameworks like QS and THE, whose standards and directions have guided the alignment of this plan with both national reforms and international expectations.</w:t>
      </w:r>
    </w:p>
    <w:p>
      <w:pPr/>
      <w:r>
        <w:rPr>
          <w:b w:val="0"/>
          <w:i w:val="0"/>
        </w:rPr>
        <w:t>Our sincere thanks also go to the research councils, funding agencies, and industry partners whose support and engagement enable higher education institutions to expand their capacities in teaching, research, innovation, and community outreach.</w:t>
      </w:r>
    </w:p>
    <w:p>
      <w:pPr/>
      <w:r>
        <w:rPr>
          <w:b w:val="0"/>
          <w:i w:val="0"/>
        </w:rPr>
        <w:t>We recognize the contributions of the Internal Quality Assurance Cells (IQACs), Strategic Planning Committees, and Governing Bodies of institutions, who ensure accountability, transparency, and quality benchmarks in the design and implementation of long-term strategies.</w:t>
      </w:r>
    </w:p>
    <w:p>
      <w:pPr/>
      <w:r>
        <w:rPr>
          <w:b w:val="0"/>
          <w:i w:val="0"/>
        </w:rPr>
        <w:t>Finally, we dedicate this work to the students and future generations of learners, whose aspirations, diversity, and evolving needs inspire the pursuit of academic excellence, sustainability, inclusivity, and global impact. Their success remains the ultimate goal and measure of this strategic development plan.</w:t>
      </w:r>
    </w:p>
    <w:p>
      <w:pPr/>
      <w:r>
        <w:t xml:space="preserve">Most importantly, I must thank my wife and best friend, </w:t>
      </w:r>
      <w:r>
        <w:rPr>
          <w:b/>
        </w:rPr>
        <w:t>Sailaja Tottempudi</w:t>
      </w:r>
      <w:r>
        <w:t>, for her unwavering support and strength through every phase of this journey.</w:t>
      </w:r>
    </w:p>
    <w:p>
      <w:pPr/>
      <w:r>
        <w:rPr>
          <w:b w:val="0"/>
          <w:i w:val="0"/>
        </w:rPr>
        <w:t>Finally, I express my deep gratitude to my family and well-wishers for their continuous encouragement and moral support throughout this endeavor.</w:t>
      </w:r>
    </w:p>
    <w:p>
      <w:pPr/>
      <w:r>
        <w:rPr>
          <w:b w:val="0"/>
          <w:i w:val="0"/>
        </w:rPr>
        <w:t>This book is a humble contribution toward building a more quality-conscious, outcome-oriented, and institutionally accountable higher education ecosystem in India.</w:t>
      </w:r>
    </w:p>
    <w:p>
      <w:pPr/>
      <w:r>
        <w:rPr>
          <w:b/>
          <w:i w:val="0"/>
        </w:rPr>
        <w:t>Dr. V. Rama Krishna Tottempudi</w:t>
      </w:r>
    </w:p>
    <w:p>
      <w:pPr/>
      <w:r>
        <w:rPr>
          <w:b/>
          <w:i w:val="0"/>
        </w:rPr>
        <w:t>Sai Saran Tottempudi</w:t>
      </w:r>
    </w:p>
    <w:p>
      <w:r>
        <w:br w:type="page"/>
      </w:r>
    </w:p>
    <w:p>
      <w:pPr>
        <w:pStyle w:val="Heading1"/>
      </w:pPr>
      <w:r>
        <w:t>About Dr. T. V. Rama Krishna</w:t>
      </w:r>
    </w:p>
    <w:p>
      <w:pPr/>
      <w:r>
        <w:t xml:space="preserve">Dr. T. V. Rama Krishna is a distinguished academician, researcher, and administrator with </w:t>
      </w:r>
      <w:r>
        <w:rPr>
          <w:b/>
        </w:rPr>
        <w:t>25 years of teaching experience</w:t>
      </w:r>
      <w:r>
        <w:t xml:space="preserve"> and a proven record in higher education governance, academic leadership, accreditation, and quality assurance. His contributions extend across teaching, research supervision, institutional development, and academic administration in several reputed universities of Andhra Pradesh and Telangana.</w:t>
      </w:r>
    </w:p>
    <w:p>
      <w:pPr/>
      <w:r>
        <w:t xml:space="preserve">He has successfully </w:t>
      </w:r>
      <w:r>
        <w:rPr>
          <w:b/>
        </w:rPr>
        <w:t>guided 5 Ph.D. scholars</w:t>
      </w:r>
      <w:r>
        <w:t xml:space="preserve"> and continues to serve as a </w:t>
      </w:r>
      <w:r>
        <w:rPr>
          <w:b/>
        </w:rPr>
        <w:t>recognized research supervisor</w:t>
      </w:r>
      <w:r>
        <w:t xml:space="preserve"> at </w:t>
      </w:r>
      <w:r>
        <w:rPr>
          <w:b/>
        </w:rPr>
        <w:t>Andhra University</w:t>
      </w:r>
      <w:r>
        <w:t xml:space="preserve">, </w:t>
      </w:r>
      <w:r>
        <w:rPr>
          <w:b/>
        </w:rPr>
        <w:t>JNTU Ananthapuram</w:t>
      </w:r>
      <w:r>
        <w:t xml:space="preserve">, </w:t>
      </w:r>
      <w:r>
        <w:rPr>
          <w:b/>
        </w:rPr>
        <w:t>Koneru Lakshmaiah Education Foundation (KLEF) University</w:t>
      </w:r>
      <w:r>
        <w:t xml:space="preserve">, and </w:t>
      </w:r>
      <w:r>
        <w:rPr>
          <w:b/>
        </w:rPr>
        <w:t>Sri Chandrasekharendra Saraswathi Viswa Mahavidyalaya University</w:t>
      </w:r>
      <w:r>
        <w:t>. His supervision has fostered high-quality research outcomes in engineering, technology, and applied sciences.</w:t>
      </w:r>
    </w:p>
    <w:p>
      <w:pPr/>
      <w:r>
        <w:t xml:space="preserve">Dr. Rama Krishna is a prolific researcher with an extensive publication record of </w:t>
      </w:r>
      <w:r>
        <w:rPr>
          <w:b/>
        </w:rPr>
        <w:t>97 research papers</w:t>
      </w:r>
      <w:r>
        <w:t xml:space="preserve">, including </w:t>
      </w:r>
      <w:r>
        <w:rPr>
          <w:b/>
        </w:rPr>
        <w:t>50 indexed in Scopus</w:t>
      </w:r>
      <w:r>
        <w:t xml:space="preserve"> and </w:t>
      </w:r>
      <w:r>
        <w:rPr>
          <w:b/>
        </w:rPr>
        <w:t>3 in SCI journals</w:t>
      </w:r>
      <w:r>
        <w:t>. His research expertise is widely recognized, and his profile can be accessed here: Scopus Author ID — 56397099300.</w:t>
      </w:r>
    </w:p>
    <w:p>
      <w:pPr/>
      <w:r>
        <w:t xml:space="preserve">Dr. T. V. Rama Krishna has held several distinguished academic and administrative positions across reputed institutions in Andhra Pradesh and Telangana. At </w:t>
      </w:r>
      <w:r>
        <w:rPr>
          <w:b/>
        </w:rPr>
        <w:t>Sanketika Vidya Parishad Engineering College (SVPEC)</w:t>
      </w:r>
      <w:r>
        <w:t xml:space="preserve">, he served as the </w:t>
      </w:r>
      <w:r>
        <w:rPr>
          <w:b/>
        </w:rPr>
        <w:t>Ratified Principal from Andhra University</w:t>
      </w:r>
      <w:r>
        <w:t xml:space="preserve">, where he also took on responsibilities as </w:t>
      </w:r>
      <w:r>
        <w:rPr>
          <w:b/>
        </w:rPr>
        <w:t>Dean of Academics</w:t>
      </w:r>
      <w:r>
        <w:t xml:space="preserve">, </w:t>
      </w:r>
      <w:r>
        <w:rPr>
          <w:b/>
        </w:rPr>
        <w:t>Ratified Professor</w:t>
      </w:r>
      <w:r>
        <w:t xml:space="preserve">, and </w:t>
      </w:r>
      <w:r>
        <w:rPr>
          <w:b/>
        </w:rPr>
        <w:t>Member Secretary of the Governing Body</w:t>
      </w:r>
      <w:r>
        <w:t xml:space="preserve">, a statutory body under UGC. He later contributed as the </w:t>
      </w:r>
      <w:r>
        <w:rPr>
          <w:b/>
        </w:rPr>
        <w:t>Ratified Principal from JNTU, Hyderabad</w:t>
      </w:r>
      <w:r>
        <w:t xml:space="preserve"> at </w:t>
      </w:r>
      <w:r>
        <w:rPr>
          <w:b/>
        </w:rPr>
        <w:t>Bharat Institute of Engineering and Technology (BIET)</w:t>
      </w:r>
      <w:r>
        <w:t xml:space="preserve">, where his primary duties included serving as </w:t>
      </w:r>
      <w:r>
        <w:rPr>
          <w:b/>
        </w:rPr>
        <w:t>Dean of Academics</w:t>
      </w:r>
      <w:r>
        <w:t xml:space="preserve"> and </w:t>
      </w:r>
      <w:r>
        <w:rPr>
          <w:b/>
        </w:rPr>
        <w:t>Member Secretary of the Governing Body</w:t>
      </w:r>
      <w:r>
        <w:t>.</w:t>
      </w:r>
    </w:p>
    <w:p>
      <w:pPr/>
      <w:r>
        <w:t xml:space="preserve">At </w:t>
      </w:r>
      <w:r>
        <w:rPr>
          <w:b/>
        </w:rPr>
        <w:t>Sasi Institute of Technology and Engineering (SITE)</w:t>
      </w:r>
      <w:r>
        <w:t xml:space="preserve">, he functioned as a </w:t>
      </w:r>
      <w:r>
        <w:rPr>
          <w:b/>
        </w:rPr>
        <w:t>Ratified Professor from JNTUK, Kakinada</w:t>
      </w:r>
      <w:r>
        <w:t xml:space="preserve">, while also serving as </w:t>
      </w:r>
      <w:r>
        <w:rPr>
          <w:b/>
        </w:rPr>
        <w:t>Principal</w:t>
      </w:r>
      <w:r>
        <w:t xml:space="preserve"> and </w:t>
      </w:r>
      <w:r>
        <w:rPr>
          <w:b/>
        </w:rPr>
        <w:t>Dean of Academics</w:t>
      </w:r>
      <w:r>
        <w:t xml:space="preserve">. His statutory and governance roles at SITE included </w:t>
      </w:r>
      <w:r>
        <w:rPr>
          <w:b/>
        </w:rPr>
        <w:t>Governing Body Member</w:t>
      </w:r>
      <w:r>
        <w:t xml:space="preserve">, </w:t>
      </w:r>
      <w:r>
        <w:rPr>
          <w:b/>
        </w:rPr>
        <w:t>Academic Council Member Secretary</w:t>
      </w:r>
      <w:r>
        <w:t xml:space="preserve">, </w:t>
      </w:r>
      <w:r>
        <w:rPr>
          <w:b/>
        </w:rPr>
        <w:t>BOS Member</w:t>
      </w:r>
      <w:r>
        <w:t xml:space="preserve">, </w:t>
      </w:r>
      <w:r>
        <w:rPr>
          <w:b/>
        </w:rPr>
        <w:t>Finance Committee Coordinator</w:t>
      </w:r>
      <w:r>
        <w:t xml:space="preserve">, </w:t>
      </w:r>
      <w:r>
        <w:rPr>
          <w:b/>
        </w:rPr>
        <w:t>Planning &amp; Development Committee Coordinator</w:t>
      </w:r>
      <w:r>
        <w:t xml:space="preserve">, </w:t>
      </w:r>
      <w:r>
        <w:rPr>
          <w:b/>
        </w:rPr>
        <w:t>NAAC Coordinator</w:t>
      </w:r>
      <w:r>
        <w:t xml:space="preserve">, </w:t>
      </w:r>
      <w:r>
        <w:rPr>
          <w:b/>
        </w:rPr>
        <w:t>IQAC Coordinator</w:t>
      </w:r>
      <w:r>
        <w:t xml:space="preserve">, and </w:t>
      </w:r>
      <w:r>
        <w:rPr>
          <w:b/>
        </w:rPr>
        <w:t>NBA Coordinator</w:t>
      </w:r>
      <w:r>
        <w:t>, reflecting his extensive expertise in quality assurance and institutional governance.</w:t>
      </w:r>
    </w:p>
    <w:p>
      <w:pPr/>
      <w:r>
        <w:t xml:space="preserve">At </w:t>
      </w:r>
      <w:r>
        <w:rPr>
          <w:b/>
        </w:rPr>
        <w:t>Koneru Lakshmaiah College of Engineering (KLCE) / KLEF University</w:t>
      </w:r>
      <w:r>
        <w:t xml:space="preserve">, Dr. Rama Krishna contributed as a </w:t>
      </w:r>
      <w:r>
        <w:rPr>
          <w:b/>
        </w:rPr>
        <w:t>Ratified Professor</w:t>
      </w:r>
      <w:r>
        <w:t xml:space="preserve">, </w:t>
      </w:r>
      <w:r>
        <w:rPr>
          <w:b/>
        </w:rPr>
        <w:t>Director of e-Resources</w:t>
      </w:r>
      <w:r>
        <w:t xml:space="preserve">, </w:t>
      </w:r>
      <w:r>
        <w:rPr>
          <w:b/>
        </w:rPr>
        <w:t>Associate Dean of Academics</w:t>
      </w:r>
      <w:r>
        <w:t xml:space="preserve">, and </w:t>
      </w:r>
      <w:r>
        <w:rPr>
          <w:b/>
        </w:rPr>
        <w:t>Associate Dean of Library Resources &amp; Technical Services and Certificate Courses</w:t>
      </w:r>
      <w:r>
        <w:t xml:space="preserve">. Additionally, he served as </w:t>
      </w:r>
      <w:r>
        <w:rPr>
          <w:b/>
        </w:rPr>
        <w:t>Professor In-Charge of Certificate Courses and the Central Library</w:t>
      </w:r>
      <w:r>
        <w:t xml:space="preserve">, while also holding statutory roles as </w:t>
      </w:r>
      <w:r>
        <w:rPr>
          <w:b/>
        </w:rPr>
        <w:t>Academic Council Member</w:t>
      </w:r>
      <w:r>
        <w:t xml:space="preserve"> and </w:t>
      </w:r>
      <w:r>
        <w:rPr>
          <w:b/>
        </w:rPr>
        <w:t>BOS Member</w:t>
      </w:r>
      <w:r>
        <w:t xml:space="preserve"> under UGC guidelines.</w:t>
      </w:r>
    </w:p>
    <w:p>
      <w:pPr/>
      <w:r>
        <w:t xml:space="preserve">Earlier in his career, at </w:t>
      </w:r>
      <w:r>
        <w:rPr>
          <w:b/>
        </w:rPr>
        <w:t>R.V.R. &amp; J.C. College of Engineering</w:t>
      </w:r>
      <w:r>
        <w:t xml:space="preserve">, he was ratified as an </w:t>
      </w:r>
      <w:r>
        <w:rPr>
          <w:b/>
        </w:rPr>
        <w:t>Assistant Professor</w:t>
      </w:r>
      <w:r>
        <w:t xml:space="preserve"> and subsequently promoted to </w:t>
      </w:r>
      <w:r>
        <w:rPr>
          <w:b/>
        </w:rPr>
        <w:t>Associate Professor</w:t>
      </w:r>
      <w:r>
        <w:t xml:space="preserve"> under Acharya Nagarjuna University. During this period, he also served as </w:t>
      </w:r>
      <w:r>
        <w:rPr>
          <w:b/>
        </w:rPr>
        <w:t>NBA Criterion 7 In-Charge</w:t>
      </w:r>
      <w:r>
        <w:t>, focusing on infrastructure, facilities, and sustainability in accreditation processes.</w:t>
      </w:r>
    </w:p>
    <w:p>
      <w:pPr/>
      <w:r>
        <w:t xml:space="preserve">With his </w:t>
      </w:r>
      <w:r>
        <w:rPr>
          <w:b/>
        </w:rPr>
        <w:t>25 years of teaching</w:t>
      </w:r>
      <w:r>
        <w:t xml:space="preserve">, </w:t>
      </w:r>
      <w:r>
        <w:rPr>
          <w:b/>
        </w:rPr>
        <w:t>5 awarded Ph.D.s</w:t>
      </w:r>
      <w:r>
        <w:t xml:space="preserve">, </w:t>
      </w:r>
      <w:r>
        <w:rPr>
          <w:b/>
        </w:rPr>
        <w:t>97 publications</w:t>
      </w:r>
      <w:r>
        <w:t>, and extensive administrative contributions, Dr. T. V. Rama Krishna stands as a respected leader in Indian higher education. His blend of research, academic leadership, and quality assurance roles has significantly advanced institutional growth, accreditation readiness, and global academic visibility.</w:t>
      </w:r>
    </w:p>
    <w:p>
      <w:pPr/>
      <w:r>
        <w:t>LinkedIn Profile: Dr. Tottempudi Venkata Rama Krishna</w:t>
      </w:r>
    </w:p>
    <w:p>
      <w:r>
        <w:br w:type="page"/>
      </w:r>
    </w:p>
    <w:p>
      <w:pPr>
        <w:pStyle w:val="Heading1"/>
      </w:pPr>
      <w:r>
        <w:t>Abstract</w:t>
      </w:r>
    </w:p>
    <w:p>
      <w:pPr/>
      <w:r>
        <w:rPr>
          <w:b w:val="0"/>
          <w:i w:val="0"/>
        </w:rPr>
        <w:t>The Strategic Development Plan for Higher Education Institutions (HEIs) provides a comprehensive and future-oriented framework to guide academic transformation, institutional resilience, and sustainable growth over the next two decades. It is designed in alignment with National Education Policy (NEP) 2020, global benchmarks, and the United Nations Sustainable Development Goals (SDGs), ensuring that higher education institutions serve as engines of knowledge creation, social inclusion, and global competitiveness. The plan begins with an assessment and diagnostic phase, including baseline audits, SWOT and PESTLE analyses, and accreditation readiness reviews, establishing a data-driven foundation for strategic planning. It proceeds with strategy formulation, where the vision, mission, and core values are articulated, and six strategic pillars are defined—academic excellence, infrastructure and technology, governance and leadership, financial sustainability, community engagement, and internationalization. These pillars act as operational anchors for achieving holistic institutional development. The implementation planning phase translates strategic objectives into concrete action plans, resource allocations, RACI matrices, and policy–action–outcome–KPI frameworks, thereby bridging the gap between intent and execution. During the execution phase, academic reforms, faculty development programs, research clusters, ISR (Institutional Social Responsibility) projects, and global collaborations are rolled out, supported by balanced scorecards and digital dashboards for monitoring progress. The monitoring and control phase ensures accountability through continuous KPI tracking, internal and external quality audits, and stakeholder feedback systems, reinforcing compliance with accreditation and regulatory frameworks such as NAAC, NBA, NIRF, QS, and THE. The final feedback and continuous improvement phase institutionalizes a culture of learning, adaptability, and renewal, using corrective and preventive actions, best practice documentation, and strategic realignment in response to emerging challenges such as technological disruptions, global competition, and climate change. Throughout its design, the plan integrates policy, governance, financial, and technological dimensions with inclusivity, equity, and sustainability at the core. By embedding SDG priorities, fostering lifelong learning, strengthening research and innovation, and building strong community and industry linkages, the strategic development plan positions HEIs not only as centers of academic excellence but also as drivers of national progress and global transformation. Ultimately, this roadmap aspires to create institutions that are future-ready, globally competitive, socially responsible, and committed to empowering diverse generations of learners with the skills, values, and vision to thrive in a rapidly evolving world.</w:t>
      </w:r>
    </w:p>
    <w:p>
      <w:r>
        <w:br w:type="page"/>
      </w:r>
    </w:p>
    <w:p>
      <w:pPr>
        <w:pStyle w:val="Heading1"/>
      </w:pPr>
      <w:r>
        <w:t>Contents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850"/>
        <w:gridCol w:w="7540"/>
        <w:gridCol w:w="1020"/>
      </w:tblGrid>
      <w:tr>
        <w:trPr>
          <w:tblHeader/>
          <w:cantSplit/>
        </w:trPr>
        <w:tc>
          <w:tcPr>
            <w:tcW w:type="dxa" w:w="850"/>
            <w:vAlign w:val="center"/>
            <w:shd w:fill="1F3A5F"/>
          </w:tcPr>
          <w:p>
            <w:pPr>
              <w:keepNext/>
              <w:spacing w:after="40" w:line="276" w:lineRule="auto"/>
              <w:jc w:val="center"/>
            </w:pPr>
            <w:r>
              <w:rPr>
                <w:b/>
                <w:i w:val="0"/>
                <w:color w:val="FFFFFF"/>
              </w:rPr>
              <w:t>S. No</w:t>
            </w:r>
          </w:p>
        </w:tc>
        <w:tc>
          <w:tcPr>
            <w:tcW w:type="dxa" w:w="7540"/>
            <w:vAlign w:val="center"/>
            <w:shd w:fill="1F3A5F"/>
          </w:tcPr>
          <w:p>
            <w:pPr>
              <w:keepNext/>
              <w:spacing w:after="40" w:line="276" w:lineRule="auto"/>
              <w:jc w:val="left"/>
            </w:pPr>
            <w:r>
              <w:rPr>
                <w:b/>
                <w:i w:val="0"/>
                <w:color w:val="FFFFFF"/>
              </w:rPr>
              <w:t>Content</w:t>
            </w:r>
          </w:p>
        </w:tc>
        <w:tc>
          <w:tcPr>
            <w:tcW w:type="dxa" w:w="1020"/>
            <w:vAlign w:val="center"/>
            <w:shd w:fill="1F3A5F"/>
          </w:tcPr>
          <w:p>
            <w:pPr>
              <w:keepNext/>
              <w:spacing w:after="40" w:line="276" w:lineRule="auto"/>
              <w:jc w:val="center"/>
            </w:pPr>
            <w:r>
              <w:rPr>
                <w:b/>
                <w:i w:val="0"/>
                <w:color w:val="FFFFFF"/>
              </w:rPr>
              <w:t>Pg. No</w:t>
            </w:r>
          </w:p>
        </w:tc>
      </w:tr>
      <w:tr>
        <w:trPr>
          <w:cantSplit/>
        </w:trPr>
        <w:tc>
          <w:tcPr>
            <w:tcW w:type="dxa" w:w="850"/>
            <w:vAlign w:val="center"/>
            <w:shd w:fill="FFFFFF"/>
          </w:tcPr>
          <w:p>
            <w:pPr>
              <w:spacing w:after="40" w:line="276" w:lineRule="auto"/>
              <w:jc w:val="center"/>
            </w:pPr>
            <w:r>
              <w:rPr>
                <w:b w:val="0"/>
                <w:i w:val="0"/>
              </w:rPr>
              <w:t>1</w:t>
            </w:r>
          </w:p>
        </w:tc>
        <w:tc>
          <w:tcPr>
            <w:tcW w:type="dxa" w:w="7540"/>
            <w:vAlign w:val="center"/>
            <w:shd w:fill="FFFFFF"/>
          </w:tcPr>
          <w:p>
            <w:pPr>
              <w:spacing w:after="40" w:line="276" w:lineRule="auto"/>
              <w:jc w:val="left"/>
            </w:pPr>
            <w:r>
              <w:rPr>
                <w:b w:val="0"/>
                <w:i w:val="0"/>
              </w:rPr>
              <w:t>Introduction</w:t>
            </w:r>
          </w:p>
        </w:tc>
        <w:tc>
          <w:tcPr>
            <w:tcW w:type="dxa" w:w="1020"/>
            <w:vAlign w:val="center"/>
            <w:shd w:fill="FFFFFF"/>
          </w:tcPr>
          <w:p>
            <w:pPr>
              <w:spacing w:after="40" w:line="276" w:lineRule="auto"/>
              <w:jc w:val="center"/>
            </w:pPr>
            <w:r>
              <w:rPr>
                <w:b w:val="0"/>
                <w:i w:val="0"/>
              </w:rPr>
              <w:t>001</w:t>
            </w:r>
          </w:p>
        </w:tc>
      </w:tr>
      <w:tr>
        <w:trPr>
          <w:cantSplit/>
        </w:trPr>
        <w:tc>
          <w:tcPr>
            <w:tcW w:type="dxa" w:w="850"/>
            <w:vAlign w:val="center"/>
            <w:shd w:fill="EDF2F7"/>
          </w:tcPr>
          <w:p>
            <w:pPr>
              <w:spacing w:after="40" w:line="276" w:lineRule="auto"/>
              <w:jc w:val="center"/>
            </w:pPr>
            <w:r>
              <w:rPr>
                <w:b w:val="0"/>
                <w:i w:val="0"/>
              </w:rPr>
              <w:t>2</w:t>
            </w:r>
          </w:p>
        </w:tc>
        <w:tc>
          <w:tcPr>
            <w:tcW w:type="dxa" w:w="7540"/>
            <w:vAlign w:val="center"/>
            <w:shd w:fill="EDF2F7"/>
          </w:tcPr>
          <w:p>
            <w:pPr>
              <w:spacing w:after="40" w:line="276" w:lineRule="auto"/>
              <w:jc w:val="left"/>
            </w:pPr>
            <w:r>
              <w:rPr>
                <w:b w:val="0"/>
                <w:i w:val="0"/>
              </w:rPr>
              <w:t>Strategic Development Plan</w:t>
            </w:r>
          </w:p>
        </w:tc>
        <w:tc>
          <w:tcPr>
            <w:tcW w:type="dxa" w:w="1020"/>
            <w:vAlign w:val="center"/>
            <w:shd w:fill="EDF2F7"/>
          </w:tcPr>
          <w:p>
            <w:pPr>
              <w:spacing w:after="40" w:line="276" w:lineRule="auto"/>
              <w:jc w:val="center"/>
            </w:pPr>
            <w:r>
              <w:rPr>
                <w:b w:val="0"/>
                <w:i w:val="0"/>
              </w:rPr>
              <w:t>004</w:t>
            </w:r>
          </w:p>
        </w:tc>
      </w:tr>
      <w:tr>
        <w:trPr>
          <w:cantSplit/>
        </w:trPr>
        <w:tc>
          <w:tcPr>
            <w:tcW w:type="dxa" w:w="850"/>
            <w:vAlign w:val="center"/>
            <w:shd w:fill="FFFFFF"/>
          </w:tcPr>
          <w:p>
            <w:pPr>
              <w:spacing w:after="40" w:line="276" w:lineRule="auto"/>
              <w:jc w:val="center"/>
            </w:pPr>
            <w:r>
              <w:rPr>
                <w:b w:val="0"/>
                <w:i w:val="0"/>
              </w:rPr>
              <w:t>3</w:t>
            </w:r>
          </w:p>
        </w:tc>
        <w:tc>
          <w:tcPr>
            <w:tcW w:type="dxa" w:w="7540"/>
            <w:vAlign w:val="center"/>
            <w:shd w:fill="FFFFFF"/>
          </w:tcPr>
          <w:p>
            <w:pPr>
              <w:spacing w:after="40" w:line="276" w:lineRule="auto"/>
              <w:jc w:val="left"/>
            </w:pPr>
            <w:r>
              <w:rPr>
                <w:b w:val="0"/>
                <w:i w:val="0"/>
              </w:rPr>
              <w:t>Multi-Level Roadmap for Strategic Development Plan</w:t>
            </w:r>
          </w:p>
        </w:tc>
        <w:tc>
          <w:tcPr>
            <w:tcW w:type="dxa" w:w="1020"/>
            <w:vAlign w:val="center"/>
            <w:shd w:fill="FFFFFF"/>
          </w:tcPr>
          <w:p>
            <w:pPr>
              <w:spacing w:after="40" w:line="276" w:lineRule="auto"/>
              <w:jc w:val="center"/>
            </w:pPr>
            <w:r>
              <w:rPr>
                <w:b w:val="0"/>
                <w:i w:val="0"/>
              </w:rPr>
              <w:t>008</w:t>
            </w:r>
          </w:p>
        </w:tc>
      </w:tr>
      <w:tr>
        <w:trPr>
          <w:cantSplit/>
        </w:trPr>
        <w:tc>
          <w:tcPr>
            <w:tcW w:type="dxa" w:w="850"/>
            <w:vAlign w:val="center"/>
            <w:shd w:fill="EDF2F7"/>
          </w:tcPr>
          <w:p>
            <w:pPr>
              <w:spacing w:after="40" w:line="276" w:lineRule="auto"/>
              <w:jc w:val="center"/>
            </w:pPr>
            <w:r>
              <w:rPr>
                <w:b w:val="0"/>
                <w:i w:val="0"/>
              </w:rPr>
              <w:t>4</w:t>
            </w:r>
          </w:p>
        </w:tc>
        <w:tc>
          <w:tcPr>
            <w:tcW w:type="dxa" w:w="7540"/>
            <w:vAlign w:val="center"/>
            <w:shd w:fill="EDF2F7"/>
          </w:tcPr>
          <w:p>
            <w:pPr>
              <w:spacing w:after="40" w:line="276" w:lineRule="auto"/>
              <w:jc w:val="left"/>
            </w:pPr>
            <w:r>
              <w:rPr>
                <w:b w:val="0"/>
                <w:i w:val="0"/>
              </w:rPr>
              <w:t>Step-by-Step Practical Guide for implementing the Strategic Development Plan (SDP)</w:t>
            </w:r>
          </w:p>
        </w:tc>
        <w:tc>
          <w:tcPr>
            <w:tcW w:type="dxa" w:w="1020"/>
            <w:vAlign w:val="center"/>
            <w:shd w:fill="EDF2F7"/>
          </w:tcPr>
          <w:p>
            <w:pPr>
              <w:spacing w:after="40" w:line="276" w:lineRule="auto"/>
              <w:jc w:val="center"/>
            </w:pPr>
            <w:r>
              <w:rPr>
                <w:b w:val="0"/>
                <w:i w:val="0"/>
              </w:rPr>
              <w:t>011</w:t>
            </w:r>
          </w:p>
        </w:tc>
      </w:tr>
      <w:tr>
        <w:trPr>
          <w:cantSplit/>
        </w:trPr>
        <w:tc>
          <w:tcPr>
            <w:tcW w:type="dxa" w:w="850"/>
            <w:vAlign w:val="center"/>
            <w:shd w:fill="FFFFFF"/>
          </w:tcPr>
          <w:p>
            <w:pPr>
              <w:spacing w:after="40" w:line="276" w:lineRule="auto"/>
              <w:jc w:val="center"/>
            </w:pPr>
            <w:r>
              <w:rPr>
                <w:b w:val="0"/>
                <w:i w:val="0"/>
              </w:rPr>
              <w:t>5</w:t>
            </w:r>
          </w:p>
        </w:tc>
        <w:tc>
          <w:tcPr>
            <w:tcW w:type="dxa" w:w="7540"/>
            <w:vAlign w:val="center"/>
            <w:shd w:fill="FFFFFF"/>
          </w:tcPr>
          <w:p>
            <w:pPr>
              <w:spacing w:after="40" w:line="276" w:lineRule="auto"/>
              <w:jc w:val="left"/>
            </w:pPr>
            <w:r>
              <w:rPr>
                <w:b w:val="0"/>
                <w:i w:val="0"/>
              </w:rPr>
              <w:t>Vision Statement</w:t>
            </w:r>
          </w:p>
        </w:tc>
        <w:tc>
          <w:tcPr>
            <w:tcW w:type="dxa" w:w="1020"/>
            <w:vAlign w:val="center"/>
            <w:shd w:fill="FFFFFF"/>
          </w:tcPr>
          <w:p>
            <w:pPr>
              <w:spacing w:after="40" w:line="276" w:lineRule="auto"/>
              <w:jc w:val="center"/>
            </w:pPr>
            <w:r>
              <w:rPr>
                <w:b w:val="0"/>
                <w:i w:val="0"/>
              </w:rPr>
              <w:t>013</w:t>
            </w:r>
          </w:p>
        </w:tc>
      </w:tr>
      <w:tr>
        <w:trPr>
          <w:cantSplit/>
        </w:trPr>
        <w:tc>
          <w:tcPr>
            <w:tcW w:type="dxa" w:w="850"/>
            <w:vAlign w:val="center"/>
            <w:shd w:fill="EDF2F7"/>
          </w:tcPr>
          <w:p>
            <w:pPr>
              <w:spacing w:after="40" w:line="276" w:lineRule="auto"/>
              <w:jc w:val="center"/>
            </w:pPr>
            <w:r>
              <w:rPr>
                <w:b w:val="0"/>
                <w:i w:val="0"/>
              </w:rPr>
              <w:t>6</w:t>
            </w:r>
          </w:p>
        </w:tc>
        <w:tc>
          <w:tcPr>
            <w:tcW w:type="dxa" w:w="7540"/>
            <w:vAlign w:val="center"/>
            <w:shd w:fill="EDF2F7"/>
          </w:tcPr>
          <w:p>
            <w:pPr>
              <w:spacing w:after="40" w:line="276" w:lineRule="auto"/>
              <w:jc w:val="left"/>
            </w:pPr>
            <w:r>
              <w:rPr>
                <w:b w:val="0"/>
                <w:i w:val="0"/>
              </w:rPr>
              <w:t>Mission Statement</w:t>
            </w:r>
          </w:p>
        </w:tc>
        <w:tc>
          <w:tcPr>
            <w:tcW w:type="dxa" w:w="1020"/>
            <w:vAlign w:val="center"/>
            <w:shd w:fill="EDF2F7"/>
          </w:tcPr>
          <w:p>
            <w:pPr>
              <w:spacing w:after="40" w:line="276" w:lineRule="auto"/>
              <w:jc w:val="center"/>
            </w:pPr>
            <w:r>
              <w:rPr>
                <w:b w:val="0"/>
                <w:i w:val="0"/>
              </w:rPr>
              <w:t>022</w:t>
            </w:r>
          </w:p>
        </w:tc>
      </w:tr>
      <w:tr>
        <w:trPr>
          <w:cantSplit/>
        </w:trPr>
        <w:tc>
          <w:tcPr>
            <w:tcW w:type="dxa" w:w="850"/>
            <w:vAlign w:val="center"/>
            <w:shd w:fill="FFFFFF"/>
          </w:tcPr>
          <w:p>
            <w:pPr>
              <w:spacing w:after="40" w:line="276" w:lineRule="auto"/>
              <w:jc w:val="center"/>
            </w:pPr>
            <w:r>
              <w:rPr>
                <w:b w:val="0"/>
                <w:i w:val="0"/>
              </w:rPr>
              <w:t>7</w:t>
            </w:r>
          </w:p>
        </w:tc>
        <w:tc>
          <w:tcPr>
            <w:tcW w:type="dxa" w:w="7540"/>
            <w:vAlign w:val="center"/>
            <w:shd w:fill="FFFFFF"/>
          </w:tcPr>
          <w:p>
            <w:pPr>
              <w:spacing w:after="40" w:line="276" w:lineRule="auto"/>
              <w:jc w:val="left"/>
            </w:pPr>
            <w:r>
              <w:rPr>
                <w:b w:val="0"/>
                <w:i w:val="0"/>
              </w:rPr>
              <w:t>SWOT (Strengths, Weaknesses, Opportunities, Threats)</w:t>
            </w:r>
          </w:p>
        </w:tc>
        <w:tc>
          <w:tcPr>
            <w:tcW w:type="dxa" w:w="1020"/>
            <w:vAlign w:val="center"/>
            <w:shd w:fill="FFFFFF"/>
          </w:tcPr>
          <w:p>
            <w:pPr>
              <w:spacing w:after="40" w:line="276" w:lineRule="auto"/>
              <w:jc w:val="center"/>
            </w:pPr>
            <w:r>
              <w:rPr>
                <w:b w:val="0"/>
                <w:i w:val="0"/>
              </w:rPr>
              <w:t>033</w:t>
            </w:r>
          </w:p>
        </w:tc>
      </w:tr>
      <w:tr>
        <w:trPr>
          <w:cantSplit/>
        </w:trPr>
        <w:tc>
          <w:tcPr>
            <w:tcW w:type="dxa" w:w="850"/>
            <w:vAlign w:val="center"/>
            <w:shd w:fill="EDF2F7"/>
          </w:tcPr>
          <w:p>
            <w:pPr>
              <w:spacing w:after="40" w:line="276" w:lineRule="auto"/>
              <w:jc w:val="center"/>
            </w:pPr>
            <w:r>
              <w:rPr>
                <w:b w:val="0"/>
                <w:i w:val="0"/>
              </w:rPr>
              <w:t>8</w:t>
            </w:r>
          </w:p>
        </w:tc>
        <w:tc>
          <w:tcPr>
            <w:tcW w:type="dxa" w:w="7540"/>
            <w:vAlign w:val="center"/>
            <w:shd w:fill="EDF2F7"/>
          </w:tcPr>
          <w:p>
            <w:pPr>
              <w:spacing w:after="40" w:line="276" w:lineRule="auto"/>
              <w:jc w:val="left"/>
            </w:pPr>
            <w:r>
              <w:rPr>
                <w:b w:val="0"/>
                <w:i w:val="0"/>
              </w:rPr>
              <w:t>PESTLE (Political, Economic, Social, Technological, Legal, Environmental factors)</w:t>
            </w:r>
          </w:p>
        </w:tc>
        <w:tc>
          <w:tcPr>
            <w:tcW w:type="dxa" w:w="1020"/>
            <w:vAlign w:val="center"/>
            <w:shd w:fill="EDF2F7"/>
          </w:tcPr>
          <w:p>
            <w:pPr>
              <w:spacing w:after="40" w:line="276" w:lineRule="auto"/>
              <w:jc w:val="center"/>
            </w:pPr>
            <w:r>
              <w:rPr>
                <w:b w:val="0"/>
                <w:i w:val="0"/>
              </w:rPr>
              <w:t>049</w:t>
            </w:r>
          </w:p>
        </w:tc>
      </w:tr>
      <w:tr>
        <w:trPr>
          <w:cantSplit/>
        </w:trPr>
        <w:tc>
          <w:tcPr>
            <w:tcW w:type="dxa" w:w="850"/>
            <w:vAlign w:val="center"/>
            <w:shd w:fill="FFFFFF"/>
          </w:tcPr>
          <w:p>
            <w:pPr>
              <w:spacing w:after="40" w:line="276" w:lineRule="auto"/>
              <w:jc w:val="center"/>
            </w:pPr>
            <w:r>
              <w:rPr>
                <w:b w:val="0"/>
                <w:i w:val="0"/>
              </w:rPr>
              <w:t>9</w:t>
            </w:r>
          </w:p>
        </w:tc>
        <w:tc>
          <w:tcPr>
            <w:tcW w:type="dxa" w:w="7540"/>
            <w:vAlign w:val="center"/>
            <w:shd w:fill="FFFFFF"/>
          </w:tcPr>
          <w:p>
            <w:pPr>
              <w:spacing w:after="40" w:line="276" w:lineRule="auto"/>
              <w:jc w:val="left"/>
            </w:pPr>
            <w:r>
              <w:rPr>
                <w:b w:val="0"/>
                <w:i w:val="0"/>
              </w:rPr>
              <w:t>Strategic Roadmap with Timelines</w:t>
            </w:r>
          </w:p>
        </w:tc>
        <w:tc>
          <w:tcPr>
            <w:tcW w:type="dxa" w:w="1020"/>
            <w:vAlign w:val="center"/>
            <w:shd w:fill="FFFFFF"/>
          </w:tcPr>
          <w:p>
            <w:pPr>
              <w:spacing w:after="40" w:line="276" w:lineRule="auto"/>
              <w:jc w:val="center"/>
            </w:pPr>
            <w:r>
              <w:rPr>
                <w:b w:val="0"/>
                <w:i w:val="0"/>
              </w:rPr>
              <w:t>065</w:t>
            </w:r>
          </w:p>
        </w:tc>
      </w:tr>
      <w:tr>
        <w:trPr>
          <w:cantSplit/>
        </w:trPr>
        <w:tc>
          <w:tcPr>
            <w:tcW w:type="dxa" w:w="850"/>
            <w:vAlign w:val="center"/>
            <w:shd w:fill="EDF2F7"/>
          </w:tcPr>
          <w:p>
            <w:pPr>
              <w:spacing w:after="40" w:line="276" w:lineRule="auto"/>
              <w:jc w:val="center"/>
            </w:pPr>
            <w:r>
              <w:rPr>
                <w:b w:val="0"/>
                <w:i w:val="0"/>
              </w:rPr>
              <w:t>10</w:t>
            </w:r>
          </w:p>
        </w:tc>
        <w:tc>
          <w:tcPr>
            <w:tcW w:type="dxa" w:w="7540"/>
            <w:vAlign w:val="center"/>
            <w:shd w:fill="EDF2F7"/>
          </w:tcPr>
          <w:p>
            <w:pPr>
              <w:spacing w:after="40" w:line="276" w:lineRule="auto"/>
              <w:jc w:val="left"/>
            </w:pPr>
            <w:r>
              <w:rPr>
                <w:b w:val="0"/>
                <w:i w:val="0"/>
              </w:rPr>
              <w:t>Strategic Objectives for a Strategic Development Plan</w:t>
            </w:r>
          </w:p>
        </w:tc>
        <w:tc>
          <w:tcPr>
            <w:tcW w:type="dxa" w:w="1020"/>
            <w:vAlign w:val="center"/>
            <w:shd w:fill="EDF2F7"/>
          </w:tcPr>
          <w:p>
            <w:pPr>
              <w:spacing w:after="40" w:line="276" w:lineRule="auto"/>
              <w:jc w:val="center"/>
            </w:pPr>
            <w:r>
              <w:rPr>
                <w:b w:val="0"/>
                <w:i w:val="0"/>
              </w:rPr>
              <w:t>067</w:t>
            </w:r>
          </w:p>
        </w:tc>
      </w:tr>
      <w:tr>
        <w:trPr>
          <w:cantSplit/>
        </w:trPr>
        <w:tc>
          <w:tcPr>
            <w:tcW w:type="dxa" w:w="850"/>
            <w:vAlign w:val="center"/>
            <w:shd w:fill="FFFFFF"/>
          </w:tcPr>
          <w:p>
            <w:pPr>
              <w:spacing w:after="40" w:line="276" w:lineRule="auto"/>
              <w:jc w:val="center"/>
            </w:pPr>
            <w:r>
              <w:rPr>
                <w:b w:val="0"/>
                <w:i w:val="0"/>
              </w:rPr>
              <w:t>11</w:t>
            </w:r>
          </w:p>
        </w:tc>
        <w:tc>
          <w:tcPr>
            <w:tcW w:type="dxa" w:w="7540"/>
            <w:vAlign w:val="center"/>
            <w:shd w:fill="FFFFFF"/>
          </w:tcPr>
          <w:p>
            <w:pPr>
              <w:spacing w:after="40" w:line="276" w:lineRule="auto"/>
              <w:jc w:val="left"/>
            </w:pPr>
            <w:r>
              <w:rPr>
                <w:b w:val="0"/>
                <w:i w:val="0"/>
              </w:rPr>
              <w:t>Operational Goals for Strategic Development Plan</w:t>
            </w:r>
          </w:p>
        </w:tc>
        <w:tc>
          <w:tcPr>
            <w:tcW w:type="dxa" w:w="1020"/>
            <w:vAlign w:val="center"/>
            <w:shd w:fill="FFFFFF"/>
          </w:tcPr>
          <w:p>
            <w:pPr>
              <w:spacing w:after="40" w:line="276" w:lineRule="auto"/>
              <w:jc w:val="center"/>
            </w:pPr>
            <w:r>
              <w:rPr>
                <w:b w:val="0"/>
                <w:i w:val="0"/>
              </w:rPr>
              <w:t>071</w:t>
            </w:r>
          </w:p>
        </w:tc>
      </w:tr>
      <w:tr>
        <w:trPr>
          <w:cantSplit/>
        </w:trPr>
        <w:tc>
          <w:tcPr>
            <w:tcW w:type="dxa" w:w="850"/>
            <w:vAlign w:val="center"/>
            <w:shd w:fill="EDF2F7"/>
          </w:tcPr>
          <w:p>
            <w:pPr>
              <w:spacing w:after="40" w:line="276" w:lineRule="auto"/>
              <w:jc w:val="center"/>
            </w:pPr>
            <w:r>
              <w:rPr>
                <w:b w:val="0"/>
                <w:i w:val="0"/>
              </w:rPr>
              <w:t>12</w:t>
            </w:r>
          </w:p>
        </w:tc>
        <w:tc>
          <w:tcPr>
            <w:tcW w:type="dxa" w:w="7540"/>
            <w:vAlign w:val="center"/>
            <w:shd w:fill="EDF2F7"/>
          </w:tcPr>
          <w:p>
            <w:pPr>
              <w:spacing w:after="40" w:line="276" w:lineRule="auto"/>
              <w:jc w:val="left"/>
            </w:pPr>
            <w:r>
              <w:rPr>
                <w:b w:val="0"/>
                <w:i w:val="0"/>
              </w:rPr>
              <w:t>Action Plans &amp; Roadmaps (Phased Activities with Timelines)</w:t>
            </w:r>
          </w:p>
        </w:tc>
        <w:tc>
          <w:tcPr>
            <w:tcW w:type="dxa" w:w="1020"/>
            <w:vAlign w:val="center"/>
            <w:shd w:fill="EDF2F7"/>
          </w:tcPr>
          <w:p>
            <w:pPr>
              <w:spacing w:after="40" w:line="276" w:lineRule="auto"/>
              <w:jc w:val="center"/>
            </w:pPr>
            <w:r>
              <w:rPr>
                <w:b w:val="0"/>
                <w:i w:val="0"/>
              </w:rPr>
              <w:t>075</w:t>
            </w:r>
          </w:p>
        </w:tc>
      </w:tr>
      <w:tr>
        <w:trPr>
          <w:cantSplit/>
        </w:trPr>
        <w:tc>
          <w:tcPr>
            <w:tcW w:type="dxa" w:w="850"/>
            <w:vAlign w:val="center"/>
            <w:shd w:fill="FFFFFF"/>
          </w:tcPr>
          <w:p>
            <w:pPr>
              <w:spacing w:after="40" w:line="276" w:lineRule="auto"/>
              <w:jc w:val="center"/>
            </w:pPr>
            <w:r>
              <w:rPr>
                <w:b w:val="0"/>
                <w:i w:val="0"/>
              </w:rPr>
              <w:t>13</w:t>
            </w:r>
          </w:p>
        </w:tc>
        <w:tc>
          <w:tcPr>
            <w:tcW w:type="dxa" w:w="7540"/>
            <w:vAlign w:val="center"/>
            <w:shd w:fill="FFFFFF"/>
          </w:tcPr>
          <w:p>
            <w:pPr>
              <w:spacing w:after="40" w:line="276" w:lineRule="auto"/>
              <w:jc w:val="left"/>
            </w:pPr>
            <w:r>
              <w:rPr>
                <w:b w:val="0"/>
                <w:i w:val="0"/>
              </w:rPr>
              <w:t>Resource Allocation Framework</w:t>
            </w:r>
          </w:p>
        </w:tc>
        <w:tc>
          <w:tcPr>
            <w:tcW w:type="dxa" w:w="1020"/>
            <w:vAlign w:val="center"/>
            <w:shd w:fill="FFFFFF"/>
          </w:tcPr>
          <w:p>
            <w:pPr>
              <w:spacing w:after="40" w:line="276" w:lineRule="auto"/>
              <w:jc w:val="center"/>
            </w:pPr>
            <w:r>
              <w:rPr>
                <w:b w:val="0"/>
                <w:i w:val="0"/>
              </w:rPr>
              <w:t>077</w:t>
            </w:r>
          </w:p>
        </w:tc>
      </w:tr>
      <w:tr>
        <w:trPr>
          <w:cantSplit/>
        </w:trPr>
        <w:tc>
          <w:tcPr>
            <w:tcW w:type="dxa" w:w="850"/>
            <w:vAlign w:val="center"/>
            <w:shd w:fill="EDF2F7"/>
          </w:tcPr>
          <w:p>
            <w:pPr>
              <w:spacing w:after="40" w:line="276" w:lineRule="auto"/>
              <w:jc w:val="center"/>
            </w:pPr>
            <w:r>
              <w:rPr>
                <w:b w:val="0"/>
                <w:i w:val="0"/>
              </w:rPr>
              <w:t>14</w:t>
            </w:r>
          </w:p>
        </w:tc>
        <w:tc>
          <w:tcPr>
            <w:tcW w:type="dxa" w:w="7540"/>
            <w:vAlign w:val="center"/>
            <w:shd w:fill="EDF2F7"/>
          </w:tcPr>
          <w:p>
            <w:pPr>
              <w:spacing w:after="40" w:line="276" w:lineRule="auto"/>
              <w:jc w:val="left"/>
            </w:pPr>
            <w:r>
              <w:rPr>
                <w:b w:val="0"/>
                <w:i w:val="0"/>
              </w:rPr>
              <w:t>Monitoring &amp; Evaluation Framework</w:t>
            </w:r>
          </w:p>
        </w:tc>
        <w:tc>
          <w:tcPr>
            <w:tcW w:type="dxa" w:w="1020"/>
            <w:vAlign w:val="center"/>
            <w:shd w:fill="EDF2F7"/>
          </w:tcPr>
          <w:p>
            <w:pPr>
              <w:spacing w:after="40" w:line="276" w:lineRule="auto"/>
              <w:jc w:val="center"/>
            </w:pPr>
            <w:r>
              <w:rPr>
                <w:b w:val="0"/>
                <w:i w:val="0"/>
              </w:rPr>
              <w:t>080</w:t>
            </w:r>
          </w:p>
        </w:tc>
      </w:tr>
      <w:tr>
        <w:trPr>
          <w:cantSplit/>
        </w:trPr>
        <w:tc>
          <w:tcPr>
            <w:tcW w:type="dxa" w:w="850"/>
            <w:vAlign w:val="center"/>
            <w:shd w:fill="FFFFFF"/>
          </w:tcPr>
          <w:p>
            <w:pPr>
              <w:spacing w:after="40" w:line="276" w:lineRule="auto"/>
              <w:jc w:val="center"/>
            </w:pPr>
            <w:r>
              <w:rPr>
                <w:b w:val="0"/>
                <w:i w:val="0"/>
              </w:rPr>
              <w:t>15</w:t>
            </w:r>
          </w:p>
        </w:tc>
        <w:tc>
          <w:tcPr>
            <w:tcW w:type="dxa" w:w="7540"/>
            <w:vAlign w:val="center"/>
            <w:shd w:fill="FFFFFF"/>
          </w:tcPr>
          <w:p>
            <w:pPr>
              <w:spacing w:after="40" w:line="276" w:lineRule="auto"/>
              <w:jc w:val="left"/>
            </w:pPr>
            <w:r>
              <w:rPr>
                <w:b w:val="0"/>
                <w:i w:val="0"/>
              </w:rPr>
              <w:t>Balanced Scorecard Model for SDP</w:t>
            </w:r>
          </w:p>
        </w:tc>
        <w:tc>
          <w:tcPr>
            <w:tcW w:type="dxa" w:w="1020"/>
            <w:vAlign w:val="center"/>
            <w:shd w:fill="FFFFFF"/>
          </w:tcPr>
          <w:p>
            <w:pPr>
              <w:spacing w:after="40" w:line="276" w:lineRule="auto"/>
              <w:jc w:val="center"/>
            </w:pPr>
            <w:r>
              <w:rPr>
                <w:b w:val="0"/>
                <w:i w:val="0"/>
              </w:rPr>
              <w:t>082</w:t>
            </w:r>
          </w:p>
        </w:tc>
      </w:tr>
      <w:tr>
        <w:trPr>
          <w:cantSplit/>
        </w:trPr>
        <w:tc>
          <w:tcPr>
            <w:tcW w:type="dxa" w:w="850"/>
            <w:vAlign w:val="center"/>
            <w:shd w:fill="EDF2F7"/>
          </w:tcPr>
          <w:p>
            <w:pPr>
              <w:spacing w:after="40" w:line="276" w:lineRule="auto"/>
              <w:jc w:val="center"/>
            </w:pPr>
            <w:r>
              <w:rPr>
                <w:b w:val="0"/>
                <w:i w:val="0"/>
              </w:rPr>
              <w:t>16</w:t>
            </w:r>
          </w:p>
        </w:tc>
        <w:tc>
          <w:tcPr>
            <w:tcW w:type="dxa" w:w="7540"/>
            <w:vAlign w:val="center"/>
            <w:shd w:fill="EDF2F7"/>
          </w:tcPr>
          <w:p>
            <w:pPr>
              <w:spacing w:after="40" w:line="276" w:lineRule="auto"/>
              <w:jc w:val="left"/>
            </w:pPr>
            <w:r>
              <w:rPr>
                <w:b/>
                <w:i w:val="0"/>
              </w:rPr>
              <w:t>Phase 1:</w:t>
            </w:r>
            <w:r>
              <w:rPr>
                <w:b w:val="0"/>
                <w:i w:val="0"/>
              </w:rPr>
              <w:t xml:space="preserve"> Assessment &amp; Diagnosis</w:t>
            </w:r>
          </w:p>
        </w:tc>
        <w:tc>
          <w:tcPr>
            <w:tcW w:type="dxa" w:w="1020"/>
            <w:vAlign w:val="center"/>
            <w:shd w:fill="EDF2F7"/>
          </w:tcPr>
          <w:p>
            <w:pPr>
              <w:spacing w:after="40" w:line="276" w:lineRule="auto"/>
              <w:jc w:val="center"/>
            </w:pPr>
            <w:r>
              <w:rPr>
                <w:b w:val="0"/>
                <w:i w:val="0"/>
              </w:rPr>
              <w:t>084</w:t>
            </w:r>
          </w:p>
        </w:tc>
      </w:tr>
      <w:tr>
        <w:trPr>
          <w:cantSplit/>
        </w:trPr>
        <w:tc>
          <w:tcPr>
            <w:tcW w:type="dxa" w:w="850"/>
            <w:vAlign w:val="center"/>
            <w:shd w:fill="FFFFFF"/>
          </w:tcPr>
          <w:p>
            <w:pPr>
              <w:spacing w:after="40" w:line="276" w:lineRule="auto"/>
              <w:jc w:val="center"/>
            </w:pPr>
            <w:r>
              <w:rPr>
                <w:b w:val="0"/>
                <w:i w:val="0"/>
              </w:rPr>
              <w:t>17</w:t>
            </w:r>
          </w:p>
        </w:tc>
        <w:tc>
          <w:tcPr>
            <w:tcW w:type="dxa" w:w="7540"/>
            <w:vAlign w:val="center"/>
            <w:shd w:fill="FFFFFF"/>
          </w:tcPr>
          <w:p>
            <w:pPr>
              <w:spacing w:after="40" w:line="276" w:lineRule="auto"/>
              <w:jc w:val="left"/>
            </w:pPr>
            <w:r>
              <w:rPr>
                <w:b/>
                <w:i w:val="0"/>
              </w:rPr>
              <w:t>Phase 2:</w:t>
            </w:r>
            <w:r>
              <w:rPr>
                <w:b w:val="0"/>
                <w:i w:val="0"/>
              </w:rPr>
              <w:t xml:space="preserve"> Strategy Formulation</w:t>
            </w:r>
          </w:p>
        </w:tc>
        <w:tc>
          <w:tcPr>
            <w:tcW w:type="dxa" w:w="1020"/>
            <w:vAlign w:val="center"/>
            <w:shd w:fill="FFFFFF"/>
          </w:tcPr>
          <w:p>
            <w:pPr>
              <w:spacing w:after="40" w:line="276" w:lineRule="auto"/>
              <w:jc w:val="center"/>
            </w:pPr>
            <w:r>
              <w:rPr>
                <w:b w:val="0"/>
                <w:i w:val="0"/>
              </w:rPr>
              <w:t>089</w:t>
            </w:r>
          </w:p>
        </w:tc>
      </w:tr>
      <w:tr>
        <w:trPr>
          <w:cantSplit/>
        </w:trPr>
        <w:tc>
          <w:tcPr>
            <w:tcW w:type="dxa" w:w="850"/>
            <w:vAlign w:val="center"/>
            <w:shd w:fill="EDF2F7"/>
          </w:tcPr>
          <w:p>
            <w:pPr>
              <w:spacing w:after="40" w:line="276" w:lineRule="auto"/>
              <w:jc w:val="center"/>
            </w:pPr>
            <w:r>
              <w:rPr>
                <w:b w:val="0"/>
                <w:i w:val="0"/>
              </w:rPr>
              <w:t>18</w:t>
            </w:r>
          </w:p>
        </w:tc>
        <w:tc>
          <w:tcPr>
            <w:tcW w:type="dxa" w:w="7540"/>
            <w:vAlign w:val="center"/>
            <w:shd w:fill="EDF2F7"/>
          </w:tcPr>
          <w:p>
            <w:pPr>
              <w:spacing w:after="40" w:line="276" w:lineRule="auto"/>
              <w:jc w:val="left"/>
            </w:pPr>
            <w:r>
              <w:rPr>
                <w:b/>
                <w:i w:val="0"/>
              </w:rPr>
              <w:t>Phase 3:</w:t>
            </w:r>
            <w:r>
              <w:rPr>
                <w:b w:val="0"/>
                <w:i w:val="0"/>
              </w:rPr>
              <w:t xml:space="preserve"> Implementation Planning</w:t>
            </w:r>
          </w:p>
        </w:tc>
        <w:tc>
          <w:tcPr>
            <w:tcW w:type="dxa" w:w="1020"/>
            <w:vAlign w:val="center"/>
            <w:shd w:fill="EDF2F7"/>
          </w:tcPr>
          <w:p>
            <w:pPr>
              <w:spacing w:after="40" w:line="276" w:lineRule="auto"/>
              <w:jc w:val="center"/>
            </w:pPr>
            <w:r>
              <w:rPr>
                <w:b w:val="0"/>
                <w:i w:val="0"/>
              </w:rPr>
              <w:t>094</w:t>
            </w:r>
          </w:p>
        </w:tc>
      </w:tr>
      <w:tr>
        <w:trPr>
          <w:cantSplit/>
        </w:trPr>
        <w:tc>
          <w:tcPr>
            <w:tcW w:type="dxa" w:w="850"/>
            <w:vAlign w:val="center"/>
            <w:shd w:fill="FFFFFF"/>
          </w:tcPr>
          <w:p>
            <w:pPr>
              <w:spacing w:after="40" w:line="276" w:lineRule="auto"/>
              <w:jc w:val="center"/>
            </w:pPr>
            <w:r>
              <w:rPr>
                <w:b w:val="0"/>
                <w:i w:val="0"/>
              </w:rPr>
              <w:t>19</w:t>
            </w:r>
          </w:p>
        </w:tc>
        <w:tc>
          <w:tcPr>
            <w:tcW w:type="dxa" w:w="7540"/>
            <w:vAlign w:val="center"/>
            <w:shd w:fill="FFFFFF"/>
          </w:tcPr>
          <w:p>
            <w:pPr>
              <w:spacing w:after="40" w:line="276" w:lineRule="auto"/>
              <w:jc w:val="left"/>
            </w:pPr>
            <w:r>
              <w:rPr>
                <w:b/>
                <w:i w:val="0"/>
              </w:rPr>
              <w:t>Phase 4:</w:t>
            </w:r>
            <w:r>
              <w:rPr>
                <w:b w:val="0"/>
                <w:i w:val="0"/>
              </w:rPr>
              <w:t xml:space="preserve"> Execution</w:t>
            </w:r>
          </w:p>
        </w:tc>
        <w:tc>
          <w:tcPr>
            <w:tcW w:type="dxa" w:w="1020"/>
            <w:vAlign w:val="center"/>
            <w:shd w:fill="FFFFFF"/>
          </w:tcPr>
          <w:p>
            <w:pPr>
              <w:spacing w:after="40" w:line="276" w:lineRule="auto"/>
              <w:jc w:val="center"/>
            </w:pPr>
            <w:r>
              <w:rPr>
                <w:b w:val="0"/>
                <w:i w:val="0"/>
              </w:rPr>
              <w:t>099</w:t>
            </w:r>
          </w:p>
        </w:tc>
      </w:tr>
      <w:tr>
        <w:trPr>
          <w:cantSplit/>
        </w:trPr>
        <w:tc>
          <w:tcPr>
            <w:tcW w:type="dxa" w:w="850"/>
            <w:vAlign w:val="center"/>
            <w:shd w:fill="EDF2F7"/>
          </w:tcPr>
          <w:p>
            <w:pPr>
              <w:spacing w:after="40" w:line="276" w:lineRule="auto"/>
              <w:jc w:val="center"/>
            </w:pPr>
            <w:r>
              <w:rPr>
                <w:b w:val="0"/>
                <w:i w:val="0"/>
              </w:rPr>
              <w:t>20</w:t>
            </w:r>
          </w:p>
        </w:tc>
        <w:tc>
          <w:tcPr>
            <w:tcW w:type="dxa" w:w="7540"/>
            <w:vAlign w:val="center"/>
            <w:shd w:fill="EDF2F7"/>
          </w:tcPr>
          <w:p>
            <w:pPr>
              <w:spacing w:after="40" w:line="276" w:lineRule="auto"/>
              <w:jc w:val="left"/>
            </w:pPr>
            <w:r>
              <w:rPr>
                <w:b/>
                <w:i w:val="0"/>
              </w:rPr>
              <w:t>Phase 5:</w:t>
            </w:r>
            <w:r>
              <w:rPr>
                <w:b w:val="0"/>
                <w:i w:val="0"/>
              </w:rPr>
              <w:t xml:space="preserve"> Monitoring &amp; Control</w:t>
            </w:r>
          </w:p>
        </w:tc>
        <w:tc>
          <w:tcPr>
            <w:tcW w:type="dxa" w:w="1020"/>
            <w:vAlign w:val="center"/>
            <w:shd w:fill="EDF2F7"/>
          </w:tcPr>
          <w:p>
            <w:pPr>
              <w:spacing w:after="40" w:line="276" w:lineRule="auto"/>
              <w:jc w:val="center"/>
            </w:pPr>
            <w:r>
              <w:rPr>
                <w:b w:val="0"/>
                <w:i w:val="0"/>
              </w:rPr>
              <w:t>104</w:t>
            </w:r>
          </w:p>
        </w:tc>
      </w:tr>
      <w:tr>
        <w:trPr>
          <w:cantSplit/>
        </w:trPr>
        <w:tc>
          <w:tcPr>
            <w:tcW w:type="dxa" w:w="850"/>
            <w:vAlign w:val="center"/>
            <w:shd w:fill="FFFFFF"/>
          </w:tcPr>
          <w:p>
            <w:pPr>
              <w:spacing w:after="40" w:line="276" w:lineRule="auto"/>
              <w:jc w:val="center"/>
            </w:pPr>
            <w:r>
              <w:rPr>
                <w:b w:val="0"/>
                <w:i w:val="0"/>
              </w:rPr>
              <w:t>21</w:t>
            </w:r>
          </w:p>
        </w:tc>
        <w:tc>
          <w:tcPr>
            <w:tcW w:type="dxa" w:w="7540"/>
            <w:vAlign w:val="center"/>
            <w:shd w:fill="FFFFFF"/>
          </w:tcPr>
          <w:p>
            <w:pPr>
              <w:spacing w:after="40" w:line="276" w:lineRule="auto"/>
              <w:jc w:val="left"/>
            </w:pPr>
            <w:r>
              <w:rPr>
                <w:b/>
                <w:i w:val="0"/>
              </w:rPr>
              <w:t>Phase 6:</w:t>
            </w:r>
            <w:r>
              <w:rPr>
                <w:b w:val="0"/>
                <w:i w:val="0"/>
              </w:rPr>
              <w:t xml:space="preserve"> Feedback &amp; Continuous Improvement</w:t>
            </w:r>
          </w:p>
        </w:tc>
        <w:tc>
          <w:tcPr>
            <w:tcW w:type="dxa" w:w="1020"/>
            <w:vAlign w:val="center"/>
            <w:shd w:fill="FFFFFF"/>
          </w:tcPr>
          <w:p>
            <w:pPr>
              <w:spacing w:after="40" w:line="276" w:lineRule="auto"/>
              <w:jc w:val="center"/>
            </w:pPr>
            <w:r>
              <w:rPr>
                <w:b w:val="0"/>
                <w:i w:val="0"/>
              </w:rPr>
              <w:t>109</w:t>
            </w:r>
          </w:p>
        </w:tc>
      </w:tr>
      <w:tr>
        <w:trPr>
          <w:cantSplit/>
        </w:trPr>
        <w:tc>
          <w:tcPr>
            <w:tcW w:type="dxa" w:w="850"/>
            <w:vAlign w:val="center"/>
            <w:shd w:fill="EDF2F7"/>
          </w:tcPr>
          <w:p>
            <w:pPr>
              <w:spacing w:after="40" w:line="276" w:lineRule="auto"/>
              <w:jc w:val="center"/>
            </w:pPr>
            <w:r>
              <w:rPr>
                <w:b w:val="0"/>
                <w:i w:val="0"/>
              </w:rPr>
              <w:t>22</w:t>
            </w:r>
          </w:p>
        </w:tc>
        <w:tc>
          <w:tcPr>
            <w:tcW w:type="dxa" w:w="7540"/>
            <w:vAlign w:val="center"/>
            <w:shd w:fill="EDF2F7"/>
          </w:tcPr>
          <w:p>
            <w:pPr>
              <w:spacing w:after="40" w:line="276" w:lineRule="auto"/>
              <w:jc w:val="left"/>
            </w:pPr>
            <w:r>
              <w:rPr>
                <w:b w:val="0"/>
                <w:i w:val="0"/>
              </w:rPr>
              <w:t>Strategic Development Plan – Full Phase Roadmap</w:t>
            </w:r>
          </w:p>
        </w:tc>
        <w:tc>
          <w:tcPr>
            <w:tcW w:type="dxa" w:w="1020"/>
            <w:vAlign w:val="center"/>
            <w:shd w:fill="EDF2F7"/>
          </w:tcPr>
          <w:p>
            <w:pPr>
              <w:spacing w:after="40" w:line="276" w:lineRule="auto"/>
              <w:jc w:val="center"/>
            </w:pPr>
            <w:r>
              <w:rPr>
                <w:b w:val="0"/>
                <w:i w:val="0"/>
              </w:rPr>
              <w:t>114</w:t>
            </w:r>
          </w:p>
        </w:tc>
      </w:tr>
      <w:tr>
        <w:trPr>
          <w:cantSplit/>
        </w:trPr>
        <w:tc>
          <w:tcPr>
            <w:tcW w:type="dxa" w:w="850"/>
            <w:vAlign w:val="center"/>
            <w:shd w:fill="FFFFFF"/>
          </w:tcPr>
          <w:p>
            <w:pPr>
              <w:spacing w:after="40" w:line="276" w:lineRule="auto"/>
              <w:jc w:val="center"/>
            </w:pPr>
            <w:r>
              <w:rPr>
                <w:b w:val="0"/>
                <w:i w:val="0"/>
              </w:rPr>
              <w:t>23</w:t>
            </w:r>
          </w:p>
        </w:tc>
        <w:tc>
          <w:tcPr>
            <w:tcW w:type="dxa" w:w="7540"/>
            <w:vAlign w:val="center"/>
            <w:shd w:fill="FFFFFF"/>
          </w:tcPr>
          <w:p>
            <w:pPr>
              <w:spacing w:after="40" w:line="276" w:lineRule="auto"/>
              <w:jc w:val="left"/>
            </w:pPr>
            <w:r>
              <w:rPr>
                <w:b w:val="0"/>
                <w:i w:val="0"/>
              </w:rPr>
              <w:t>Strategic Pillars (Common Domains)</w:t>
            </w:r>
          </w:p>
        </w:tc>
        <w:tc>
          <w:tcPr>
            <w:tcW w:type="dxa" w:w="1020"/>
            <w:vAlign w:val="center"/>
            <w:shd w:fill="FFFFFF"/>
          </w:tcPr>
          <w:p>
            <w:pPr>
              <w:spacing w:after="40" w:line="276" w:lineRule="auto"/>
              <w:jc w:val="center"/>
            </w:pPr>
            <w:r>
              <w:rPr>
                <w:b w:val="0"/>
                <w:i w:val="0"/>
              </w:rPr>
              <w:t>119</w:t>
            </w:r>
          </w:p>
        </w:tc>
      </w:tr>
      <w:tr>
        <w:trPr>
          <w:cantSplit/>
        </w:trPr>
        <w:tc>
          <w:tcPr>
            <w:tcW w:type="dxa" w:w="850"/>
            <w:vAlign w:val="center"/>
            <w:shd w:fill="EDF2F7"/>
          </w:tcPr>
          <w:p>
            <w:pPr>
              <w:spacing w:after="40" w:line="276" w:lineRule="auto"/>
              <w:jc w:val="center"/>
            </w:pPr>
            <w:r>
              <w:rPr>
                <w:b w:val="0"/>
                <w:i w:val="0"/>
              </w:rPr>
              <w:t>24</w:t>
            </w:r>
          </w:p>
        </w:tc>
        <w:tc>
          <w:tcPr>
            <w:tcW w:type="dxa" w:w="7540"/>
            <w:vAlign w:val="center"/>
            <w:shd w:fill="EDF2F7"/>
          </w:tcPr>
          <w:p>
            <w:pPr>
              <w:spacing w:after="40" w:line="276" w:lineRule="auto"/>
              <w:jc w:val="left"/>
            </w:pPr>
            <w:r>
              <w:rPr>
                <w:b w:val="0"/>
                <w:i w:val="0"/>
              </w:rPr>
              <w:t>References</w:t>
            </w:r>
          </w:p>
        </w:tc>
        <w:tc>
          <w:tcPr>
            <w:tcW w:type="dxa" w:w="1020"/>
            <w:vAlign w:val="center"/>
            <w:shd w:fill="EDF2F7"/>
          </w:tcPr>
          <w:p>
            <w:pPr>
              <w:spacing w:after="40" w:line="276" w:lineRule="auto"/>
              <w:jc w:val="center"/>
            </w:pPr>
            <w:r>
              <w:rPr>
                <w:b w:val="0"/>
                <w:i w:val="0"/>
              </w:rPr>
              <w:t>122</w:t>
            </w:r>
          </w:p>
        </w:tc>
      </w:tr>
    </w:tbl>
    <w:p>
      <w:pPr>
        <w:spacing w:after="40"/>
      </w:pPr>
    </w:p>
    <w:p>
      <w:r>
        <w:br w:type="page"/>
      </w:r>
    </w:p>
    <w:p>
      <w:pPr>
        <w:pStyle w:val="Heading1"/>
      </w:pPr>
      <w:r>
        <w:t>1. Introduction</w:t>
      </w:r>
    </w:p>
    <w:p>
      <w:pPr/>
      <w:r>
        <w:rPr>
          <w:b w:val="0"/>
          <w:i w:val="0"/>
        </w:rPr>
        <w:t>Higher Education Institutions (HEIs) across the world are at the crossroads of profound transformation, facing opportunities and challenges shaped by globalization, disruptive technologies, shifting student demographics, economic pressures, climate change, and evolving societal expectations. In this dynamic environment, higher education is no longer confined to imparting knowledge but has expanded into the realms of innovation, sustainability, community development, and global engagement. The ability of HEIs to remain relevant and impactful depends on their capacity to strategically anticipate change, align with national priorities, comply with accreditation standards, and engage with global benchmarks. Against this backdrop, the Strategic Development Plan (SDP) emerges as an essential framework, enabling institutions to set long-term aspirations while systematically translating them into actionable goals, measurable outcomes, and continuous improvement mechanisms. The SDP is not merely a planning document but a holistic roadmap for transforming HEIs into centers of excellence, innovation, and social responsibility while ensuring resilience and global competitiveness over the next two decades.</w:t>
      </w:r>
    </w:p>
    <w:p>
      <w:pPr/>
      <w:r>
        <w:rPr>
          <w:b w:val="0"/>
          <w:i w:val="0"/>
        </w:rPr>
        <w:t>The urgency for such planning is underpinned by landmark reforms such as the National Education Policy (NEP) 2020 in India, which advocates for a paradigm shift in curriculum design, pedagogy, governance, research, and inclusivity. NEP 2020 envisions multidisciplinary education, skill development, research promotion, digital transformation, and internationalization as core drivers of higher education transformation. Similarly, global frameworks such as the United Nations Sustainable Development Goals (SDGs) call upon higher education to contribute to inclusive growth, sustainable cities, gender equality, clean energy, innovation, and strong institutions. In this context, HEIs must align their strategic priorities not only with national reforms but also with global responsibilities. The SDP ensures such alignment by embedding NEP 2020 imperatives and SDG commitments into its strategic pillars, making institutions responsive to both local and global demands.</w:t>
      </w:r>
    </w:p>
    <w:p>
      <w:pPr/>
      <w:r>
        <w:rPr>
          <w:b w:val="0"/>
          <w:i w:val="0"/>
        </w:rPr>
        <w:t>The Strategic Development Plan begins with assessment and diagnosis, recognizing that effective strategies are built upon a clear understanding of the institutional baseline. Comprehensive audits covering academic quality, research capacity, financial sustainability, governance systems, community engagement, and global positioning are essential. Tools such as SWOT (Strengths, Weaknesses, Opportunities, Threats) and PESTLE (Political, Economic, Social, Technological, Legal, Environmental) analyses provide structured insights into internal capacities and external drivers. Accreditation readiness checks against NAAC, NBA, NIRF, and global rankings such as QS and THE are also included, ensuring that the institution’s current standing is measured against benchmarks of quality and competitiveness. This diagnostic phase not only highlights gaps but also identifies unique strengths that can be leveraged to build institutional distinctiveness.</w:t>
      </w:r>
    </w:p>
    <w:p>
      <w:pPr/>
      <w:r>
        <w:rPr>
          <w:b w:val="0"/>
          <w:i w:val="0"/>
        </w:rPr>
        <w:t>Following assessment, the strategy formulation phase defines the institution’s vision, mission, and core values, translating them into broad strategic objectives and operational goals. The long-term vision typically spans 15–20 years, projecting the institution as a globally recognized hub of excellence, innovation, and social impact. The mission articulates how this vision will be achieved through teaching, research, community service, and governance, while the core values establish guiding principles such as integrity, inclusivity, sustainability, and accountability. From these foundations, six strategic pillars emerge: Academic Excellence, Infrastructure &amp; Technology, Governance &amp; Leadership, Financial Sustainability, Community Engagement, and Internationalization. Each pillar encapsulates critical domains of development. Academic Excellence emphasizes curriculum reforms, faculty development, research, and innovation. Infrastructure &amp; Technology highlights smart classrooms, ICT integration, and green infrastructure. Governance &amp; Leadership ensures transparency, accreditation readiness, and quality assurance. Financial Sustainability promotes resource mobilization, alumni engagement, and diversified funding streams. Community Engagement focuses on institutional social responsibility (ISR) and SDG-linked outreach. Internationalization positions the institution within global knowledge networks through partnerships, exchanges, and research collaborations. These pillars serve as operational anchors around which the entire SDP revolves.</w:t>
      </w:r>
    </w:p>
    <w:p>
      <w:pPr/>
      <w:r>
        <w:rPr>
          <w:b w:val="0"/>
          <w:i w:val="0"/>
        </w:rPr>
        <w:t>The implementation planning phase bridges strategic intent and practical execution. Strategic objectives are broken down into action plans with clear timelines, responsibilities, and measurable indicators. Resource allocation tables map budgetary requirements, manpower, and infrastructural investments. Governance frameworks, including RACI (Responsible, Accountable, Consulted, Informed) matrices, establish accountability, while Balanced Scorecards align policies, actions, outcomes, and key performance indicators (KPIs). This phase ensures that every pillar is backed by a realistic plan, reducing risks of over-ambition or under-delivery. Importantly, implementation planning embeds accreditation and compliance requirements into the process, ensuring that institutional growth is continuously benchmarked against national and global standards.</w:t>
      </w:r>
    </w:p>
    <w:p>
      <w:pPr/>
      <w:r>
        <w:rPr>
          <w:b w:val="0"/>
          <w:i w:val="0"/>
        </w:rPr>
        <w:t>The execution phase translates plans into tangible outcomes. Reforms are rolled out across academic, research, community, and global domains. Curriculum reforms aligned with NEP 2020 are introduced, blended learning models are implemented, and faculty development programs are scaled up. Research clusters and Centers of Excellence (CoEs) are established in frontier areas such as artificial intelligence, renewable energy, biotechnology, and sustainable development. ISR projects are expanded, embedding service-learning into curricula and linking students with community development. Global partnerships materialize through memoranda of understanding (MoUs), exchange programs, and dual-degree initiatives. These efforts are monitored in real time through ERP-enabled dashboards, KPI trackers, and Balanced Scorecards, ensuring transparent and accountable execution.</w:t>
      </w:r>
    </w:p>
    <w:p>
      <w:pPr/>
      <w:r>
        <w:rPr>
          <w:b w:val="0"/>
          <w:i w:val="0"/>
        </w:rPr>
        <w:t>The monitoring and control phase safeguards institutional accountability by measuring progress against predefined KPIs. This involves quarterly and annual reviews, performance audits, and risk assessments. IQAC and accreditation cells play central roles in reviewing academic quality, research productivity, governance efficiency, and community outreach. Feedback from stakeholders—students, faculty, alumni, industry partners, and community organizations—is systematically collected to evaluate performance. Accreditation compliance with NAAC, NBA, NIRF, QS, and THE frameworks is maintained through evidence documentation and self-study reports. Risk registers track financial, technological, and governance vulnerabilities, with corrective measures applied proactively. This phase ensures that deviations are identified early and addressed with corrective and preventive actions.</w:t>
      </w:r>
    </w:p>
    <w:p>
      <w:pPr/>
      <w:r>
        <w:rPr>
          <w:b w:val="0"/>
          <w:i w:val="0"/>
        </w:rPr>
        <w:t>The feedback and continuous improvement phase institutionalizes adaptability and learning. Corrective measures are implemented where KPIs fall short, and preventive strategies are applied to mitigate risks. Lessons learned are documented and disseminated across the institution as best practices. Continuous improvement is not limited to internal systems but extends to curriculum updates, research priorities, and community engagement initiatives. Capacity-building programs for faculty and staff ensure that the institution remains agile and resilient. Importantly, feedback loops feed into the next cycle of strategic planning, ensuring that the institution remains responsive to evolving national policies, global disruptions, and societal expectations.</w:t>
      </w:r>
    </w:p>
    <w:p>
      <w:pPr/>
      <w:r>
        <w:rPr>
          <w:b w:val="0"/>
          <w:i w:val="0"/>
        </w:rPr>
        <w:t>At the core of this entire process lies the integration of NEP 2020 reforms and SDG priorities. NEP 202Cs emphasis on multidisciplinary learning, skill development, equity, digitalization, and internationalization is woven into every pillar of the plan. Similarly, the SDGs—particularly SDG-4 (Quality Education), SDG-5 (Gender Equality), SDG-7 (Clean Energy), SDG-9 (Industry, Innovation, Infrastructure), SDG-11 (Sustainable Cities), and SDG-13 (Climate Action)—are embedded into academic curricula, research projects, and outreach programs. This alignment not only enhances institutional credibility but also ensures that HEIs contribute meaningfully to national and global challenges.</w:t>
      </w:r>
    </w:p>
    <w:p>
      <w:pPr/>
      <w:r>
        <w:rPr>
          <w:b w:val="0"/>
          <w:i w:val="0"/>
        </w:rPr>
        <w:t>In conclusion, the Strategic Development Plan for Higher Education Institutions provides a holistic, phased, and measurable roadmap for institutional transformation. It integrates diagnostic assessments, strategic formulation, implementation planning, execution, monitoring, and continuous improvement into a single coherent framework. By embedding academic excellence, sustainability, inclusivity, and global competitiveness into every dimension of institutional planning, the SDP positions HEIs as transformative engines of knowledge economies and social innovation. Over the next two decades, such plans will be critical for HEIs to remain resilient in the face of technological disruptions, competitive pressures, and global uncertainties while empowering future generations with the skills, values, and vision to thrive in a rapidly evolving world.</w:t>
      </w:r>
    </w:p>
    <w:p>
      <w:pPr>
        <w:pStyle w:val="Heading1"/>
      </w:pPr>
      <w:r>
        <w:t>2. Strategic Development Plan</w:t>
      </w:r>
    </w:p>
    <w:p>
      <w:pPr>
        <w:pStyle w:val="Heading2"/>
      </w:pPr>
      <w:r>
        <w:t>1. Definition and Purpose</w:t>
      </w:r>
    </w:p>
    <w:p>
      <w:pPr>
        <w:pStyle w:val="ListBullet"/>
        <w:numPr>
          <w:ilvl w:val="0"/>
          <w:numId w:val="90"/>
        </w:numPr>
        <w:ind w:left="340" w:hanging="142"/>
      </w:pPr>
      <w:r>
        <w:rPr>
          <w:b w:val="0"/>
          <w:i w:val="0"/>
        </w:rPr>
        <w:t>A Strategic Development Plan (SDP) is a long-term framework document that outlines vision, mission, goals, objectives, and action plans of an institution, sector, or nation.</w:t>
      </w:r>
    </w:p>
    <w:p>
      <w:pPr>
        <w:pStyle w:val="ListBullet"/>
        <w:numPr>
          <w:ilvl w:val="0"/>
          <w:numId w:val="90"/>
        </w:numPr>
        <w:ind w:left="340" w:hanging="142"/>
      </w:pPr>
      <w:r>
        <w:rPr>
          <w:b w:val="0"/>
          <w:i w:val="0"/>
        </w:rPr>
        <w:t>It acts as a roadmap for growth, modernization, and transformation, ensuring resources are aligned with future priorities.</w:t>
      </w:r>
    </w:p>
    <w:p>
      <w:pPr>
        <w:pStyle w:val="ListBullet"/>
        <w:numPr>
          <w:ilvl w:val="0"/>
          <w:numId w:val="90"/>
        </w:numPr>
        <w:ind w:left="340" w:hanging="142"/>
      </w:pPr>
      <w:r>
        <w:rPr>
          <w:b w:val="0"/>
          <w:i w:val="0"/>
        </w:rPr>
        <w:t>The plan provides a structured approach to decision-making, risk management, and sustainability.</w:t>
      </w:r>
    </w:p>
    <w:p>
      <w:pPr>
        <w:pStyle w:val="Heading2"/>
      </w:pPr>
      <w:r>
        <w:t>2. Core Components</w:t>
      </w:r>
    </w:p>
    <w:p>
      <w:pPr>
        <w:pStyle w:val="ListBullet"/>
        <w:numPr>
          <w:ilvl w:val="0"/>
          <w:numId w:val="90"/>
        </w:numPr>
        <w:ind w:left="340" w:hanging="142"/>
      </w:pPr>
      <w:r>
        <w:rPr>
          <w:b/>
          <w:i w:val="0"/>
        </w:rPr>
        <w:t>Vision Statement:</w:t>
      </w:r>
      <w:r>
        <w:rPr>
          <w:b w:val="0"/>
          <w:i w:val="0"/>
        </w:rPr>
        <w:t xml:space="preserve"> Clear articulation of long-term aspirations.</w:t>
      </w:r>
    </w:p>
    <w:p>
      <w:pPr>
        <w:pStyle w:val="ListBullet"/>
        <w:numPr>
          <w:ilvl w:val="0"/>
          <w:numId w:val="90"/>
        </w:numPr>
        <w:ind w:left="340" w:hanging="142"/>
      </w:pPr>
      <w:r>
        <w:rPr>
          <w:b/>
          <w:i w:val="0"/>
        </w:rPr>
        <w:t>Mission Statement:</w:t>
      </w:r>
      <w:r>
        <w:rPr>
          <w:b w:val="0"/>
          <w:i w:val="0"/>
        </w:rPr>
        <w:t xml:space="preserve"> Defines the fundamental purpose and core values.</w:t>
      </w:r>
    </w:p>
    <w:p>
      <w:pPr>
        <w:pStyle w:val="ListBullet"/>
        <w:numPr>
          <w:ilvl w:val="0"/>
          <w:numId w:val="90"/>
        </w:numPr>
        <w:ind w:left="340" w:hanging="142"/>
      </w:pPr>
      <w:r>
        <w:rPr>
          <w:b/>
          <w:i w:val="0"/>
        </w:rPr>
        <w:t>Situational Analysis:</w:t>
      </w:r>
    </w:p>
    <w:p>
      <w:pPr>
        <w:pStyle w:val="ListBullet2"/>
        <w:numPr>
          <w:ilvl w:val="1"/>
          <w:numId w:val="90"/>
        </w:numPr>
        <w:ind w:left="652" w:hanging="142"/>
      </w:pPr>
      <w:r>
        <w:rPr>
          <w:b w:val="0"/>
          <w:i w:val="0"/>
        </w:rPr>
        <w:t>SWOT (Strengths, Weaknesses, Opportunities, Threats).</w:t>
      </w:r>
    </w:p>
    <w:p>
      <w:pPr>
        <w:pStyle w:val="ListBullet2"/>
        <w:numPr>
          <w:ilvl w:val="1"/>
          <w:numId w:val="90"/>
        </w:numPr>
        <w:ind w:left="652" w:hanging="142"/>
      </w:pPr>
      <w:r>
        <w:rPr>
          <w:b w:val="0"/>
          <w:i w:val="0"/>
        </w:rPr>
        <w:t>PESTLE (Political, Economic, Social, Technological, Legal, Environmental factors).</w:t>
      </w:r>
    </w:p>
    <w:p>
      <w:pPr>
        <w:pStyle w:val="ListBullet"/>
        <w:numPr>
          <w:ilvl w:val="0"/>
          <w:numId w:val="90"/>
        </w:numPr>
        <w:ind w:left="340" w:hanging="142"/>
      </w:pPr>
      <w:r>
        <w:rPr>
          <w:b/>
          <w:i w:val="0"/>
        </w:rPr>
        <w:t>Strategic Objectives:</w:t>
      </w:r>
      <w:r>
        <w:rPr>
          <w:b w:val="0"/>
          <w:i w:val="0"/>
        </w:rPr>
        <w:t xml:space="preserve"> Broad outcomes aligned with national/global priorities (e.g., SDGs, NEP 2020).</w:t>
      </w:r>
    </w:p>
    <w:p>
      <w:pPr>
        <w:pStyle w:val="ListBullet"/>
        <w:numPr>
          <w:ilvl w:val="0"/>
          <w:numId w:val="90"/>
        </w:numPr>
        <w:ind w:left="340" w:hanging="142"/>
      </w:pPr>
      <w:r>
        <w:rPr>
          <w:b/>
          <w:i w:val="0"/>
        </w:rPr>
        <w:t>Operational Goals:</w:t>
      </w:r>
      <w:r>
        <w:rPr>
          <w:b w:val="0"/>
          <w:i w:val="0"/>
        </w:rPr>
        <w:t xml:space="preserve"> Specific, measurable targets that translate strategy into practice.</w:t>
      </w:r>
    </w:p>
    <w:p>
      <w:pPr>
        <w:pStyle w:val="ListBullet"/>
        <w:numPr>
          <w:ilvl w:val="0"/>
          <w:numId w:val="90"/>
        </w:numPr>
        <w:ind w:left="340" w:hanging="142"/>
      </w:pPr>
      <w:r>
        <w:rPr>
          <w:b/>
          <w:i w:val="0"/>
        </w:rPr>
        <w:t>Action Plans &amp; Roadmaps:</w:t>
      </w:r>
      <w:r>
        <w:rPr>
          <w:b w:val="0"/>
          <w:i w:val="0"/>
        </w:rPr>
        <w:t xml:space="preserve"> Phased activities with timelines.</w:t>
      </w:r>
    </w:p>
    <w:p>
      <w:pPr>
        <w:pStyle w:val="ListBullet"/>
        <w:numPr>
          <w:ilvl w:val="0"/>
          <w:numId w:val="90"/>
        </w:numPr>
        <w:ind w:left="340" w:hanging="142"/>
      </w:pPr>
      <w:r>
        <w:rPr>
          <w:b/>
          <w:i w:val="0"/>
        </w:rPr>
        <w:t>Resource Allocation:</w:t>
      </w:r>
      <w:r>
        <w:rPr>
          <w:b w:val="0"/>
          <w:i w:val="0"/>
        </w:rPr>
        <w:t xml:space="preserve"> Budget planning, manpower requirements, and infrastructural needs.</w:t>
      </w:r>
    </w:p>
    <w:p>
      <w:pPr>
        <w:pStyle w:val="ListBullet"/>
        <w:numPr>
          <w:ilvl w:val="0"/>
          <w:numId w:val="90"/>
        </w:numPr>
        <w:ind w:left="340" w:hanging="142"/>
      </w:pPr>
      <w:r>
        <w:rPr>
          <w:b/>
          <w:i w:val="0"/>
        </w:rPr>
        <w:t>Monitoring &amp; Evaluation Framework:</w:t>
      </w:r>
      <w:r>
        <w:rPr>
          <w:b w:val="0"/>
          <w:i w:val="0"/>
        </w:rPr>
        <w:t xml:space="preserve"> KPIs, performance indicators, feedback loops.</w:t>
      </w:r>
    </w:p>
    <w:p>
      <w:pPr>
        <w:pStyle w:val="Heading2"/>
      </w:pPr>
      <w:r>
        <w:t>3. Phases of Development</w:t>
      </w:r>
    </w:p>
    <w:p>
      <w:pPr>
        <w:pStyle w:val="ListBullet"/>
        <w:numPr>
          <w:ilvl w:val="0"/>
          <w:numId w:val="90"/>
        </w:numPr>
        <w:ind w:left="340" w:hanging="142"/>
      </w:pPr>
      <w:r>
        <w:rPr>
          <w:b/>
          <w:i w:val="0"/>
        </w:rPr>
        <w:t>Phase 1:</w:t>
      </w:r>
      <w:r>
        <w:rPr>
          <w:b w:val="0"/>
          <w:i w:val="0"/>
        </w:rPr>
        <w:t xml:space="preserve"> Assessment &amp; Diagnosis</w:t>
      </w:r>
    </w:p>
    <w:p>
      <w:pPr>
        <w:pStyle w:val="ListBullet2"/>
        <w:numPr>
          <w:ilvl w:val="1"/>
          <w:numId w:val="90"/>
        </w:numPr>
        <w:ind w:left="652" w:hanging="142"/>
      </w:pPr>
      <w:r>
        <w:rPr>
          <w:b w:val="0"/>
          <w:i w:val="0"/>
        </w:rPr>
        <w:t>Stakeholder consultations, data collection, needs analysis.</w:t>
      </w:r>
    </w:p>
    <w:p>
      <w:pPr>
        <w:pStyle w:val="ListBullet"/>
        <w:numPr>
          <w:ilvl w:val="0"/>
          <w:numId w:val="90"/>
        </w:numPr>
        <w:ind w:left="340" w:hanging="142"/>
      </w:pPr>
      <w:r>
        <w:rPr>
          <w:b/>
          <w:i w:val="0"/>
        </w:rPr>
        <w:t>Phase 2:</w:t>
      </w:r>
      <w:r>
        <w:rPr>
          <w:b w:val="0"/>
          <w:i w:val="0"/>
        </w:rPr>
        <w:t xml:space="preserve"> Strategy Formulation</w:t>
      </w:r>
    </w:p>
    <w:p>
      <w:pPr>
        <w:pStyle w:val="ListBullet2"/>
        <w:numPr>
          <w:ilvl w:val="1"/>
          <w:numId w:val="90"/>
        </w:numPr>
        <w:ind w:left="652" w:hanging="142"/>
      </w:pPr>
      <w:r>
        <w:rPr>
          <w:b w:val="0"/>
          <w:i w:val="0"/>
        </w:rPr>
        <w:t>Vision–Mission alignment, identification of strategic pillars.</w:t>
      </w:r>
    </w:p>
    <w:p>
      <w:pPr>
        <w:pStyle w:val="ListBullet"/>
        <w:numPr>
          <w:ilvl w:val="0"/>
          <w:numId w:val="90"/>
        </w:numPr>
        <w:ind w:left="340" w:hanging="142"/>
      </w:pPr>
      <w:r>
        <w:rPr>
          <w:b/>
          <w:i w:val="0"/>
        </w:rPr>
        <w:t>Phase 3:</w:t>
      </w:r>
      <w:r>
        <w:rPr>
          <w:b w:val="0"/>
          <w:i w:val="0"/>
        </w:rPr>
        <w:t xml:space="preserve"> Implementation Planning</w:t>
      </w:r>
    </w:p>
    <w:p>
      <w:pPr>
        <w:pStyle w:val="ListBullet2"/>
        <w:numPr>
          <w:ilvl w:val="1"/>
          <w:numId w:val="90"/>
        </w:numPr>
        <w:ind w:left="652" w:hanging="142"/>
      </w:pPr>
      <w:r>
        <w:rPr>
          <w:b w:val="0"/>
          <w:i w:val="0"/>
        </w:rPr>
        <w:t>Development of policies, prioritization of projects, institutional reforms.</w:t>
      </w:r>
    </w:p>
    <w:p>
      <w:pPr>
        <w:pStyle w:val="ListBullet"/>
        <w:numPr>
          <w:ilvl w:val="0"/>
          <w:numId w:val="90"/>
        </w:numPr>
        <w:ind w:left="340" w:hanging="142"/>
      </w:pPr>
      <w:r>
        <w:rPr>
          <w:b/>
          <w:i w:val="0"/>
        </w:rPr>
        <w:t>Phase 4:</w:t>
      </w:r>
      <w:r>
        <w:rPr>
          <w:b w:val="0"/>
          <w:i w:val="0"/>
        </w:rPr>
        <w:t xml:space="preserve"> Execution</w:t>
      </w:r>
    </w:p>
    <w:p>
      <w:pPr>
        <w:pStyle w:val="ListBullet2"/>
        <w:numPr>
          <w:ilvl w:val="1"/>
          <w:numId w:val="90"/>
        </w:numPr>
        <w:ind w:left="652" w:hanging="142"/>
      </w:pPr>
      <w:r>
        <w:rPr>
          <w:b w:val="0"/>
          <w:i w:val="0"/>
        </w:rPr>
        <w:t>Deployment of resources, operational execution, periodic reviews.</w:t>
      </w:r>
    </w:p>
    <w:p>
      <w:pPr>
        <w:pStyle w:val="ListBullet"/>
        <w:numPr>
          <w:ilvl w:val="0"/>
          <w:numId w:val="90"/>
        </w:numPr>
        <w:ind w:left="340" w:hanging="142"/>
      </w:pPr>
      <w:r>
        <w:rPr>
          <w:b/>
          <w:i w:val="0"/>
        </w:rPr>
        <w:t>Phase 5:</w:t>
      </w:r>
      <w:r>
        <w:rPr>
          <w:b w:val="0"/>
          <w:i w:val="0"/>
        </w:rPr>
        <w:t xml:space="preserve"> Monitoring &amp; Control</w:t>
      </w:r>
    </w:p>
    <w:p>
      <w:pPr>
        <w:pStyle w:val="ListBullet2"/>
        <w:numPr>
          <w:ilvl w:val="1"/>
          <w:numId w:val="90"/>
        </w:numPr>
        <w:ind w:left="652" w:hanging="142"/>
      </w:pPr>
      <w:r>
        <w:rPr>
          <w:b w:val="0"/>
          <w:i w:val="0"/>
        </w:rPr>
        <w:t>Regular audits, mid-term evaluations, corrective action mechanisms.</w:t>
      </w:r>
    </w:p>
    <w:p>
      <w:pPr>
        <w:pStyle w:val="ListBullet"/>
        <w:numPr>
          <w:ilvl w:val="0"/>
          <w:numId w:val="90"/>
        </w:numPr>
        <w:ind w:left="340" w:hanging="142"/>
      </w:pPr>
      <w:r>
        <w:rPr>
          <w:b/>
          <w:i w:val="0"/>
        </w:rPr>
        <w:t>Phase 6:</w:t>
      </w:r>
      <w:r>
        <w:rPr>
          <w:b w:val="0"/>
          <w:i w:val="0"/>
        </w:rPr>
        <w:t xml:space="preserve"> Feedback &amp; Continuous Improvement</w:t>
      </w:r>
    </w:p>
    <w:p>
      <w:pPr>
        <w:pStyle w:val="ListBullet2"/>
        <w:numPr>
          <w:ilvl w:val="1"/>
          <w:numId w:val="90"/>
        </w:numPr>
        <w:ind w:left="652" w:hanging="142"/>
      </w:pPr>
      <w:r>
        <w:rPr>
          <w:b w:val="0"/>
          <w:i w:val="0"/>
        </w:rPr>
        <w:t>Integration of lessons learned into future plans.</w:t>
      </w:r>
    </w:p>
    <w:p>
      <w:pPr>
        <w:pStyle w:val="Heading2"/>
      </w:pPr>
      <w:r>
        <w:t>4. Strategic Pillars (Common Domains)</w:t>
      </w:r>
    </w:p>
    <w:p>
      <w:pPr>
        <w:pStyle w:val="ListBullet"/>
        <w:numPr>
          <w:ilvl w:val="0"/>
          <w:numId w:val="90"/>
        </w:numPr>
        <w:ind w:left="340" w:hanging="142"/>
      </w:pPr>
      <w:r>
        <w:rPr>
          <w:b/>
          <w:i w:val="0"/>
        </w:rPr>
        <w:t>Academic Excellence (for HEIs):</w:t>
      </w:r>
      <w:r>
        <w:rPr>
          <w:b w:val="0"/>
          <w:i w:val="0"/>
        </w:rPr>
        <w:t xml:space="preserve"> curriculum reforms, faculty development, research and innovation.</w:t>
      </w:r>
    </w:p>
    <w:p>
      <w:pPr>
        <w:pStyle w:val="ListBullet"/>
        <w:numPr>
          <w:ilvl w:val="0"/>
          <w:numId w:val="90"/>
        </w:numPr>
        <w:ind w:left="340" w:hanging="142"/>
      </w:pPr>
      <w:r>
        <w:rPr>
          <w:b/>
          <w:i w:val="0"/>
        </w:rPr>
        <w:t>Infrastructure &amp; Technology:</w:t>
      </w:r>
      <w:r>
        <w:rPr>
          <w:b w:val="0"/>
          <w:i w:val="0"/>
        </w:rPr>
        <w:t xml:space="preserve"> smart classrooms, ICT integration, green infrastructure.</w:t>
      </w:r>
    </w:p>
    <w:p>
      <w:pPr>
        <w:pStyle w:val="ListBullet"/>
        <w:numPr>
          <w:ilvl w:val="0"/>
          <w:numId w:val="90"/>
        </w:numPr>
        <w:ind w:left="340" w:hanging="142"/>
      </w:pPr>
      <w:r>
        <w:rPr>
          <w:b/>
          <w:i w:val="0"/>
        </w:rPr>
        <w:t>Governance &amp; Leadership:</w:t>
      </w:r>
      <w:r>
        <w:rPr>
          <w:b w:val="0"/>
          <w:i w:val="0"/>
        </w:rPr>
        <w:t xml:space="preserve"> transparent decision-making, quality assurance, accreditation readiness.</w:t>
      </w:r>
    </w:p>
    <w:p>
      <w:pPr>
        <w:pStyle w:val="ListBullet"/>
        <w:numPr>
          <w:ilvl w:val="0"/>
          <w:numId w:val="90"/>
        </w:numPr>
        <w:ind w:left="340" w:hanging="142"/>
      </w:pPr>
      <w:r>
        <w:rPr>
          <w:b/>
          <w:i w:val="0"/>
        </w:rPr>
        <w:t>Financial Sustainability:</w:t>
      </w:r>
      <w:r>
        <w:rPr>
          <w:b w:val="0"/>
          <w:i w:val="0"/>
        </w:rPr>
        <w:t xml:space="preserve"> resource mobilization, diversification of funding streams.</w:t>
      </w:r>
    </w:p>
    <w:p>
      <w:pPr>
        <w:pStyle w:val="ListBullet"/>
        <w:numPr>
          <w:ilvl w:val="0"/>
          <w:numId w:val="90"/>
        </w:numPr>
        <w:ind w:left="340" w:hanging="142"/>
      </w:pPr>
      <w:r>
        <w:rPr>
          <w:b/>
          <w:i w:val="0"/>
        </w:rPr>
        <w:t>Community Engagement:</w:t>
      </w:r>
      <w:r>
        <w:rPr>
          <w:b w:val="0"/>
          <w:i w:val="0"/>
        </w:rPr>
        <w:t xml:space="preserve"> outreach services, societal impact, SDG alignment.</w:t>
      </w:r>
    </w:p>
    <w:p>
      <w:pPr>
        <w:pStyle w:val="ListBullet"/>
        <w:numPr>
          <w:ilvl w:val="0"/>
          <w:numId w:val="90"/>
        </w:numPr>
        <w:ind w:left="340" w:hanging="142"/>
      </w:pPr>
      <w:r>
        <w:rPr>
          <w:b/>
          <w:i w:val="0"/>
        </w:rPr>
        <w:t>Internationalization:</w:t>
      </w:r>
      <w:r>
        <w:rPr>
          <w:b w:val="0"/>
          <w:i w:val="0"/>
        </w:rPr>
        <w:t xml:space="preserve"> global partnerships, student/faculty exchange, research collaborations.</w:t>
      </w:r>
    </w:p>
    <w:p>
      <w:pPr>
        <w:pStyle w:val="Heading2"/>
      </w:pPr>
      <w:r>
        <w:t>5. Integration with SDGs</w:t>
      </w:r>
    </w:p>
    <w:p>
      <w:pPr>
        <w:pStyle w:val="ListBullet"/>
        <w:numPr>
          <w:ilvl w:val="0"/>
          <w:numId w:val="90"/>
        </w:numPr>
        <w:ind w:left="340" w:hanging="142"/>
      </w:pPr>
      <w:r>
        <w:rPr>
          <w:b w:val="0"/>
          <w:i w:val="0"/>
        </w:rPr>
        <w:t>Aligns institutional/national priorities with Sustainable Development Goals (SDGs).</w:t>
      </w:r>
    </w:p>
    <w:p>
      <w:pPr>
        <w:pStyle w:val="ListBullet"/>
        <w:numPr>
          <w:ilvl w:val="0"/>
          <w:numId w:val="90"/>
        </w:numPr>
        <w:ind w:left="340" w:hanging="142"/>
      </w:pPr>
      <w:r>
        <w:rPr>
          <w:b/>
          <w:i w:val="0"/>
        </w:rPr>
        <w:t>Ensures measurable contributions to global challenges like:</w:t>
      </w:r>
    </w:p>
    <w:p>
      <w:pPr>
        <w:pStyle w:val="ListBullet2"/>
        <w:numPr>
          <w:ilvl w:val="1"/>
          <w:numId w:val="90"/>
        </w:numPr>
        <w:ind w:left="652" w:hanging="142"/>
      </w:pPr>
      <w:r>
        <w:rPr>
          <w:b w:val="0"/>
          <w:i w:val="0"/>
        </w:rPr>
        <w:t>SDG-4 (Quality Education),</w:t>
      </w:r>
    </w:p>
    <w:p>
      <w:pPr>
        <w:pStyle w:val="ListBullet2"/>
        <w:numPr>
          <w:ilvl w:val="1"/>
          <w:numId w:val="90"/>
        </w:numPr>
        <w:ind w:left="652" w:hanging="142"/>
      </w:pPr>
      <w:r>
        <w:rPr>
          <w:b w:val="0"/>
          <w:i w:val="0"/>
        </w:rPr>
        <w:t>SDG-7 (Affordable and Clean Energy),</w:t>
      </w:r>
    </w:p>
    <w:p>
      <w:pPr>
        <w:pStyle w:val="ListBullet2"/>
        <w:numPr>
          <w:ilvl w:val="1"/>
          <w:numId w:val="90"/>
        </w:numPr>
        <w:ind w:left="652" w:hanging="142"/>
      </w:pPr>
      <w:r>
        <w:rPr>
          <w:b w:val="0"/>
          <w:i w:val="0"/>
        </w:rPr>
        <w:t>SDG-11 (Sustainable Cities &amp; Communities).</w:t>
      </w:r>
    </w:p>
    <w:p>
      <w:pPr>
        <w:pStyle w:val="ListBullet"/>
        <w:numPr>
          <w:ilvl w:val="0"/>
          <w:numId w:val="90"/>
        </w:numPr>
        <w:ind w:left="340" w:hanging="142"/>
      </w:pPr>
      <w:r>
        <w:rPr>
          <w:b w:val="0"/>
          <w:i w:val="0"/>
        </w:rPr>
        <w:t>Provides evidence-based frameworks for accreditation, rankings, and impact assessments.</w:t>
      </w:r>
    </w:p>
    <w:p>
      <w:pPr>
        <w:pStyle w:val="Heading2"/>
      </w:pPr>
      <w:r>
        <w:t>6. Benefits</w:t>
      </w:r>
    </w:p>
    <w:p>
      <w:pPr>
        <w:pStyle w:val="ListBullet"/>
        <w:numPr>
          <w:ilvl w:val="0"/>
          <w:numId w:val="90"/>
        </w:numPr>
        <w:ind w:left="340" w:hanging="142"/>
      </w:pPr>
      <w:r>
        <w:rPr>
          <w:b w:val="0"/>
          <w:i w:val="0"/>
        </w:rPr>
        <w:t>Provides clarity of direction and eliminates ad-hoc decision-making.</w:t>
      </w:r>
    </w:p>
    <w:p>
      <w:pPr>
        <w:pStyle w:val="ListBullet"/>
        <w:numPr>
          <w:ilvl w:val="0"/>
          <w:numId w:val="90"/>
        </w:numPr>
        <w:ind w:left="340" w:hanging="142"/>
      </w:pPr>
      <w:r>
        <w:rPr>
          <w:b w:val="0"/>
          <w:i w:val="0"/>
        </w:rPr>
        <w:t>Enhances institutional competitiveness in national and international rankings.</w:t>
      </w:r>
    </w:p>
    <w:p>
      <w:pPr>
        <w:pStyle w:val="ListBullet"/>
        <w:numPr>
          <w:ilvl w:val="0"/>
          <w:numId w:val="90"/>
        </w:numPr>
        <w:ind w:left="340" w:hanging="142"/>
      </w:pPr>
      <w:r>
        <w:rPr>
          <w:b w:val="0"/>
          <w:i w:val="0"/>
        </w:rPr>
        <w:t>Encourages long-term sustainability through effective resource management.</w:t>
      </w:r>
    </w:p>
    <w:p>
      <w:pPr>
        <w:pStyle w:val="ListBullet"/>
        <w:numPr>
          <w:ilvl w:val="0"/>
          <w:numId w:val="90"/>
        </w:numPr>
        <w:ind w:left="340" w:hanging="142"/>
      </w:pPr>
      <w:r>
        <w:rPr>
          <w:b w:val="0"/>
          <w:i w:val="0"/>
        </w:rPr>
        <w:t>Strengthens stakeholder confidence (students, faculty, government, industry, community).</w:t>
      </w:r>
    </w:p>
    <w:p>
      <w:pPr>
        <w:pStyle w:val="ListBullet"/>
        <w:numPr>
          <w:ilvl w:val="0"/>
          <w:numId w:val="90"/>
        </w:numPr>
        <w:ind w:left="340" w:hanging="142"/>
      </w:pPr>
      <w:r>
        <w:rPr>
          <w:b w:val="0"/>
          <w:i w:val="0"/>
        </w:rPr>
        <w:t>Facilitates innovation and adaptability in dynamic socio-economic environments.</w:t>
      </w:r>
    </w:p>
    <w:p>
      <w:pPr>
        <w:pStyle w:val="Heading2"/>
      </w:pPr>
      <w:r>
        <w:t>7. Challenges</w:t>
      </w:r>
    </w:p>
    <w:p>
      <w:pPr>
        <w:pStyle w:val="ListBullet"/>
        <w:numPr>
          <w:ilvl w:val="0"/>
          <w:numId w:val="90"/>
        </w:numPr>
        <w:ind w:left="340" w:hanging="142"/>
      </w:pPr>
      <w:r>
        <w:rPr>
          <w:b/>
          <w:i w:val="0"/>
        </w:rPr>
        <w:t>Resource Limitations:</w:t>
      </w:r>
      <w:r>
        <w:rPr>
          <w:b w:val="0"/>
          <w:i w:val="0"/>
        </w:rPr>
        <w:t xml:space="preserve"> inadequate funding, human capital shortages.</w:t>
      </w:r>
    </w:p>
    <w:p>
      <w:pPr>
        <w:pStyle w:val="ListBullet"/>
        <w:numPr>
          <w:ilvl w:val="0"/>
          <w:numId w:val="90"/>
        </w:numPr>
        <w:ind w:left="340" w:hanging="142"/>
      </w:pPr>
      <w:r>
        <w:rPr>
          <w:b/>
          <w:i w:val="0"/>
        </w:rPr>
        <w:t>Resistance to Change:</w:t>
      </w:r>
      <w:r>
        <w:rPr>
          <w:b w:val="0"/>
          <w:i w:val="0"/>
        </w:rPr>
        <w:t xml:space="preserve"> institutional inertia, cultural barriers.</w:t>
      </w:r>
    </w:p>
    <w:p>
      <w:pPr>
        <w:pStyle w:val="ListBullet"/>
        <w:numPr>
          <w:ilvl w:val="0"/>
          <w:numId w:val="90"/>
        </w:numPr>
        <w:ind w:left="340" w:hanging="142"/>
      </w:pPr>
      <w:r>
        <w:rPr>
          <w:b/>
          <w:i w:val="0"/>
        </w:rPr>
        <w:t>Dynamic Policy Environment:</w:t>
      </w:r>
      <w:r>
        <w:rPr>
          <w:b w:val="0"/>
          <w:i w:val="0"/>
        </w:rPr>
        <w:t xml:space="preserve"> frequent changes in government regulations.</w:t>
      </w:r>
    </w:p>
    <w:p>
      <w:pPr>
        <w:pStyle w:val="ListBullet"/>
        <w:numPr>
          <w:ilvl w:val="0"/>
          <w:numId w:val="90"/>
        </w:numPr>
        <w:ind w:left="340" w:hanging="142"/>
      </w:pPr>
      <w:r>
        <w:rPr>
          <w:b/>
          <w:i w:val="0"/>
        </w:rPr>
        <w:t>Data Limitations:</w:t>
      </w:r>
      <w:r>
        <w:rPr>
          <w:b w:val="0"/>
          <w:i w:val="0"/>
        </w:rPr>
        <w:t xml:space="preserve"> lack of reliable, real-time information for decision-making.</w:t>
      </w:r>
    </w:p>
    <w:p>
      <w:pPr>
        <w:pStyle w:val="ListBullet"/>
        <w:numPr>
          <w:ilvl w:val="0"/>
          <w:numId w:val="90"/>
        </w:numPr>
        <w:ind w:left="340" w:hanging="142"/>
      </w:pPr>
      <w:r>
        <w:rPr>
          <w:b/>
          <w:i w:val="0"/>
        </w:rPr>
        <w:t>Monitoring Difficulties:</w:t>
      </w:r>
      <w:r>
        <w:rPr>
          <w:b w:val="0"/>
          <w:i w:val="0"/>
        </w:rPr>
        <w:t xml:space="preserve"> inability to track multi-level outcomes effectively.</w:t>
      </w:r>
    </w:p>
    <w:p>
      <w:pPr>
        <w:pStyle w:val="Heading2"/>
      </w:pPr>
      <w:r>
        <w:t>8. Example Applications</w:t>
      </w:r>
    </w:p>
    <w:p>
      <w:pPr>
        <w:pStyle w:val="ListBullet"/>
        <w:numPr>
          <w:ilvl w:val="0"/>
          <w:numId w:val="90"/>
        </w:numPr>
        <w:ind w:left="340" w:hanging="142"/>
      </w:pPr>
      <w:r>
        <w:rPr>
          <w:b/>
          <w:i w:val="0"/>
        </w:rPr>
        <w:t>National Governments:</w:t>
      </w:r>
      <w:r>
        <w:rPr>
          <w:b w:val="0"/>
          <w:i w:val="0"/>
        </w:rPr>
        <w:t xml:space="preserve"> framing 5-year economic development plans.</w:t>
      </w:r>
    </w:p>
    <w:p>
      <w:pPr>
        <w:pStyle w:val="ListBullet"/>
        <w:numPr>
          <w:ilvl w:val="0"/>
          <w:numId w:val="90"/>
        </w:numPr>
        <w:ind w:left="340" w:hanging="142"/>
      </w:pPr>
      <w:r>
        <w:rPr>
          <w:b/>
          <w:i w:val="0"/>
        </w:rPr>
        <w:t>Higher Education Institutions (HEIs):</w:t>
      </w:r>
      <w:r>
        <w:rPr>
          <w:b w:val="0"/>
          <w:i w:val="0"/>
        </w:rPr>
        <w:t xml:space="preserve"> implementing Vision–Mission aligned strategies for NAAC, NBA, QS rankings.</w:t>
      </w:r>
    </w:p>
    <w:p>
      <w:pPr>
        <w:pStyle w:val="ListBullet"/>
        <w:numPr>
          <w:ilvl w:val="0"/>
          <w:numId w:val="90"/>
        </w:numPr>
        <w:ind w:left="340" w:hanging="142"/>
      </w:pPr>
      <w:r>
        <w:rPr>
          <w:b/>
          <w:i w:val="0"/>
        </w:rPr>
        <w:t>Corporate Sector:</w:t>
      </w:r>
      <w:r>
        <w:rPr>
          <w:b w:val="0"/>
          <w:i w:val="0"/>
        </w:rPr>
        <w:t xml:space="preserve"> guiding sustainable growth and competitive advantage.</w:t>
      </w:r>
    </w:p>
    <w:p>
      <w:pPr>
        <w:pStyle w:val="ListBullet"/>
        <w:numPr>
          <w:ilvl w:val="0"/>
          <w:numId w:val="90"/>
        </w:numPr>
        <w:ind w:left="340" w:hanging="142"/>
      </w:pPr>
      <w:r>
        <w:rPr>
          <w:b/>
          <w:i w:val="0"/>
        </w:rPr>
        <w:t>Urban Planning:</w:t>
      </w:r>
      <w:r>
        <w:rPr>
          <w:b w:val="0"/>
          <w:i w:val="0"/>
        </w:rPr>
        <w:t xml:space="preserve"> city master plans, sustainable infrastructure projects.</w:t>
      </w:r>
    </w:p>
    <w:p>
      <w:pPr>
        <w:pStyle w:val="Heading2"/>
      </w:pPr>
      <w:r>
        <w:t>Strategic Development Plan: Policy–Action–Outcome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2324"/>
        <w:gridCol w:w="4082"/>
        <w:gridCol w:w="3005"/>
      </w:tblGrid>
      <w:tr>
        <w:trPr>
          <w:tblHeader/>
          <w:cantSplit/>
        </w:trPr>
        <w:tc>
          <w:tcPr>
            <w:tcW w:type="dxa" w:w="2324"/>
            <w:vAlign w:val="center"/>
            <w:shd w:fill="1F3A5F"/>
          </w:tcPr>
          <w:p>
            <w:pPr>
              <w:keepNext/>
              <w:spacing w:after="40" w:line="276" w:lineRule="auto"/>
              <w:jc w:val="left"/>
            </w:pPr>
            <w:r>
              <w:rPr>
                <w:b/>
                <w:i w:val="0"/>
                <w:color w:val="FFFFFF"/>
              </w:rPr>
              <w:t>Policy Area</w:t>
            </w:r>
          </w:p>
        </w:tc>
        <w:tc>
          <w:tcPr>
            <w:tcW w:type="dxa" w:w="4082"/>
            <w:vAlign w:val="center"/>
            <w:shd w:fill="1F3A5F"/>
          </w:tcPr>
          <w:p>
            <w:pPr>
              <w:keepNext/>
              <w:spacing w:after="40" w:line="276" w:lineRule="auto"/>
              <w:jc w:val="left"/>
            </w:pPr>
            <w:r>
              <w:rPr>
                <w:b/>
                <w:i w:val="0"/>
                <w:color w:val="FFFFFF"/>
              </w:rPr>
              <w:t>Action Steps</w:t>
            </w:r>
          </w:p>
        </w:tc>
        <w:tc>
          <w:tcPr>
            <w:tcW w:type="dxa" w:w="3005"/>
            <w:vAlign w:val="center"/>
            <w:shd w:fill="1F3A5F"/>
          </w:tcPr>
          <w:p>
            <w:pPr>
              <w:keepNext/>
              <w:spacing w:after="40" w:line="276" w:lineRule="auto"/>
              <w:jc w:val="left"/>
            </w:pPr>
            <w:r>
              <w:rPr>
                <w:b/>
                <w:i w:val="0"/>
                <w:color w:val="FFFFFF"/>
              </w:rPr>
              <w:t>Expected Outcomes</w:t>
            </w:r>
          </w:p>
        </w:tc>
      </w:tr>
      <w:tr>
        <w:trPr>
          <w:cantSplit/>
        </w:trPr>
        <w:tc>
          <w:tcPr>
            <w:tcW w:type="dxa" w:w="2324"/>
            <w:vAlign w:val="center"/>
            <w:shd w:fill="FFFFFF"/>
          </w:tcPr>
          <w:p>
            <w:pPr>
              <w:spacing w:after="40" w:line="276" w:lineRule="auto"/>
              <w:jc w:val="left"/>
            </w:pPr>
            <w:r>
              <w:rPr>
                <w:b w:val="0"/>
                <w:i w:val="0"/>
              </w:rPr>
              <w:t>Vision &amp; Mission Alignment</w:t>
            </w:r>
          </w:p>
        </w:tc>
        <w:tc>
          <w:tcPr>
            <w:tcW w:type="dxa" w:w="4082"/>
            <w:vAlign w:val="center"/>
            <w:shd w:fill="FFFFFF"/>
          </w:tcPr>
          <w:p>
            <w:pPr>
              <w:spacing w:after="40" w:line="276" w:lineRule="auto"/>
              <w:ind w:left="125" w:hanging="125"/>
              <w:jc w:val="left"/>
            </w:pPr>
            <w:r>
              <w:t xml:space="preserve">• </w:t>
            </w:r>
            <w:r>
              <w:rPr>
                <w:b w:val="0"/>
                <w:i w:val="0"/>
              </w:rPr>
              <w:t>Define clear long-term vision aligned with national/​global priorities (e.g., SDGs, NEP 2020).</w:t>
            </w:r>
          </w:p>
          <w:p>
            <w:pPr>
              <w:spacing w:after="40" w:line="276" w:lineRule="auto"/>
              <w:ind w:left="125" w:hanging="125"/>
              <w:jc w:val="left"/>
            </w:pPr>
            <w:r>
              <w:t xml:space="preserve">• </w:t>
            </w:r>
            <w:r>
              <w:rPr>
                <w:b w:val="0"/>
                <w:i w:val="0"/>
              </w:rPr>
              <w:t>Establish mission reflecting institutional values and stakeholder needs.</w:t>
            </w:r>
          </w:p>
        </w:tc>
        <w:tc>
          <w:tcPr>
            <w:tcW w:type="dxa" w:w="3005"/>
            <w:vAlign w:val="center"/>
            <w:shd w:fill="FFFFFF"/>
          </w:tcPr>
          <w:p>
            <w:pPr>
              <w:spacing w:after="40" w:line="276" w:lineRule="auto"/>
              <w:ind w:left="125" w:hanging="125"/>
              <w:jc w:val="left"/>
            </w:pPr>
            <w:r>
              <w:t xml:space="preserve">• </w:t>
            </w:r>
            <w:r>
              <w:rPr>
                <w:b w:val="0"/>
                <w:i w:val="0"/>
              </w:rPr>
              <w:t>Shared institutional identity.</w:t>
            </w:r>
          </w:p>
          <w:p>
            <w:pPr>
              <w:spacing w:after="40" w:line="276" w:lineRule="auto"/>
              <w:ind w:left="125" w:hanging="125"/>
              <w:jc w:val="left"/>
            </w:pPr>
            <w:r>
              <w:t xml:space="preserve">• </w:t>
            </w:r>
            <w:r>
              <w:rPr>
                <w:b w:val="0"/>
                <w:i w:val="0"/>
              </w:rPr>
              <w:t>Strong alignment with SDGs and global benchmarks.</w:t>
            </w:r>
          </w:p>
          <w:p>
            <w:pPr>
              <w:spacing w:after="40" w:line="276" w:lineRule="auto"/>
              <w:ind w:left="125" w:hanging="125"/>
              <w:jc w:val="left"/>
            </w:pPr>
            <w:r>
              <w:t xml:space="preserve">• </w:t>
            </w:r>
            <w:r>
              <w:rPr>
                <w:b w:val="0"/>
                <w:i w:val="0"/>
              </w:rPr>
              <w:t>Improved stakeholder trust.</w:t>
            </w:r>
          </w:p>
        </w:tc>
      </w:tr>
      <w:tr>
        <w:trPr>
          <w:cantSplit/>
        </w:trPr>
        <w:tc>
          <w:tcPr>
            <w:tcW w:type="dxa" w:w="2324"/>
            <w:vAlign w:val="center"/>
            <w:shd w:fill="EDF2F7"/>
          </w:tcPr>
          <w:p>
            <w:pPr>
              <w:spacing w:after="40" w:line="276" w:lineRule="auto"/>
              <w:jc w:val="left"/>
            </w:pPr>
            <w:r>
              <w:rPr>
                <w:b w:val="0"/>
                <w:i w:val="0"/>
              </w:rPr>
              <w:t>Situational Analysis &amp; Research</w:t>
            </w:r>
          </w:p>
        </w:tc>
        <w:tc>
          <w:tcPr>
            <w:tcW w:type="dxa" w:w="4082"/>
            <w:vAlign w:val="center"/>
            <w:shd w:fill="EDF2F7"/>
          </w:tcPr>
          <w:p>
            <w:pPr>
              <w:spacing w:after="40" w:line="276" w:lineRule="auto"/>
              <w:ind w:left="125" w:hanging="125"/>
              <w:jc w:val="left"/>
            </w:pPr>
            <w:r>
              <w:t xml:space="preserve">• </w:t>
            </w:r>
            <w:r>
              <w:rPr>
                <w:b w:val="0"/>
                <w:i w:val="0"/>
              </w:rPr>
              <w:t>Conduct SWOT and PESTLE analyses.</w:t>
            </w:r>
          </w:p>
          <w:p>
            <w:pPr>
              <w:spacing w:after="40" w:line="276" w:lineRule="auto"/>
              <w:ind w:left="125" w:hanging="125"/>
              <w:jc w:val="left"/>
            </w:pPr>
            <w:r>
              <w:t xml:space="preserve">• </w:t>
            </w:r>
            <w:r>
              <w:rPr>
                <w:b w:val="0"/>
                <w:i w:val="0"/>
              </w:rPr>
              <w:t>Collect baseline data on resources, infrastructure, academic performance, and community needs.</w:t>
            </w:r>
          </w:p>
          <w:p>
            <w:pPr>
              <w:spacing w:after="40" w:line="276" w:lineRule="auto"/>
              <w:ind w:left="125" w:hanging="125"/>
              <w:jc w:val="left"/>
            </w:pPr>
            <w:r>
              <w:t xml:space="preserve">• </w:t>
            </w:r>
            <w:r>
              <w:rPr>
                <w:b w:val="0"/>
                <w:i w:val="0"/>
              </w:rPr>
              <w:t>Engage stakeholders in consultative workshops.</w:t>
            </w:r>
          </w:p>
        </w:tc>
        <w:tc>
          <w:tcPr>
            <w:tcW w:type="dxa" w:w="3005"/>
            <w:vAlign w:val="center"/>
            <w:shd w:fill="EDF2F7"/>
          </w:tcPr>
          <w:p>
            <w:pPr>
              <w:spacing w:after="40" w:line="276" w:lineRule="auto"/>
              <w:ind w:left="125" w:hanging="125"/>
              <w:jc w:val="left"/>
            </w:pPr>
            <w:r>
              <w:t xml:space="preserve">• </w:t>
            </w:r>
            <w:r>
              <w:rPr>
                <w:b w:val="0"/>
                <w:i w:val="0"/>
              </w:rPr>
              <w:t>Evidence-based decision-making.</w:t>
            </w:r>
          </w:p>
          <w:p>
            <w:pPr>
              <w:spacing w:after="40" w:line="276" w:lineRule="auto"/>
              <w:ind w:left="125" w:hanging="125"/>
              <w:jc w:val="left"/>
            </w:pPr>
            <w:r>
              <w:t xml:space="preserve">• </w:t>
            </w:r>
            <w:r>
              <w:rPr>
                <w:b w:val="0"/>
                <w:i w:val="0"/>
              </w:rPr>
              <w:t>Identification of growth areas and risks.</w:t>
            </w:r>
          </w:p>
          <w:p>
            <w:pPr>
              <w:spacing w:after="40" w:line="276" w:lineRule="auto"/>
              <w:ind w:left="125" w:hanging="125"/>
              <w:jc w:val="left"/>
            </w:pPr>
            <w:r>
              <w:t xml:space="preserve">• </w:t>
            </w:r>
            <w:r>
              <w:rPr>
                <w:b w:val="0"/>
                <w:i w:val="0"/>
              </w:rPr>
              <w:t>Greater inclusivity in planning.</w:t>
            </w:r>
          </w:p>
        </w:tc>
      </w:tr>
      <w:tr>
        <w:trPr>
          <w:cantSplit/>
        </w:trPr>
        <w:tc>
          <w:tcPr>
            <w:tcW w:type="dxa" w:w="2324"/>
            <w:vAlign w:val="center"/>
            <w:shd w:fill="FFFFFF"/>
          </w:tcPr>
          <w:p>
            <w:pPr>
              <w:spacing w:after="40" w:line="276" w:lineRule="auto"/>
              <w:jc w:val="left"/>
            </w:pPr>
            <w:r>
              <w:rPr>
                <w:b w:val="0"/>
                <w:i w:val="0"/>
              </w:rPr>
              <w:t>Academic &amp; Research Excellence</w:t>
            </w:r>
          </w:p>
        </w:tc>
        <w:tc>
          <w:tcPr>
            <w:tcW w:type="dxa" w:w="4082"/>
            <w:vAlign w:val="center"/>
            <w:shd w:fill="FFFFFF"/>
          </w:tcPr>
          <w:p>
            <w:pPr>
              <w:spacing w:after="40" w:line="276" w:lineRule="auto"/>
              <w:ind w:left="125" w:hanging="125"/>
              <w:jc w:val="left"/>
            </w:pPr>
            <w:r>
              <w:t xml:space="preserve">• </w:t>
            </w:r>
            <w:r>
              <w:rPr>
                <w:b w:val="0"/>
                <w:i w:val="0"/>
              </w:rPr>
              <w:t>Curriculum reforms for emerging disciplines.</w:t>
            </w:r>
          </w:p>
          <w:p>
            <w:pPr>
              <w:spacing w:after="40" w:line="276" w:lineRule="auto"/>
              <w:ind w:left="125" w:hanging="125"/>
              <w:jc w:val="left"/>
            </w:pPr>
            <w:r>
              <w:t xml:space="preserve">• </w:t>
            </w:r>
            <w:r>
              <w:rPr>
                <w:b w:val="0"/>
                <w:i w:val="0"/>
              </w:rPr>
              <w:t>Faculty development programs.</w:t>
            </w:r>
          </w:p>
          <w:p>
            <w:pPr>
              <w:spacing w:after="40" w:line="276" w:lineRule="auto"/>
              <w:ind w:left="125" w:hanging="125"/>
              <w:jc w:val="left"/>
            </w:pPr>
            <w:r>
              <w:t xml:space="preserve">• </w:t>
            </w:r>
            <w:r>
              <w:rPr>
                <w:b w:val="0"/>
                <w:i w:val="0"/>
              </w:rPr>
              <w:t>Research funding mobilization.</w:t>
            </w:r>
          </w:p>
          <w:p>
            <w:pPr>
              <w:spacing w:after="40" w:line="276" w:lineRule="auto"/>
              <w:ind w:left="125" w:hanging="125"/>
              <w:jc w:val="left"/>
            </w:pPr>
            <w:r>
              <w:t xml:space="preserve">• </w:t>
            </w:r>
            <w:r>
              <w:rPr>
                <w:b w:val="0"/>
                <w:i w:val="0"/>
              </w:rPr>
              <w:t>Establish Centers of Excellence.</w:t>
            </w:r>
          </w:p>
          <w:p>
            <w:pPr>
              <w:spacing w:after="40" w:line="276" w:lineRule="auto"/>
              <w:ind w:left="125" w:hanging="125"/>
              <w:jc w:val="left"/>
            </w:pPr>
            <w:r>
              <w:t xml:space="preserve">• </w:t>
            </w:r>
            <w:r>
              <w:rPr>
                <w:b w:val="0"/>
                <w:i w:val="0"/>
              </w:rPr>
              <w:t>Encourage innovation and entrepreneurship.</w:t>
            </w:r>
          </w:p>
        </w:tc>
        <w:tc>
          <w:tcPr>
            <w:tcW w:type="dxa" w:w="3005"/>
            <w:vAlign w:val="center"/>
            <w:shd w:fill="FFFFFF"/>
          </w:tcPr>
          <w:p>
            <w:pPr>
              <w:spacing w:after="40" w:line="276" w:lineRule="auto"/>
              <w:ind w:left="125" w:hanging="125"/>
              <w:jc w:val="left"/>
            </w:pPr>
            <w:r>
              <w:t xml:space="preserve">• </w:t>
            </w:r>
            <w:r>
              <w:rPr>
                <w:b w:val="0"/>
                <w:i w:val="0"/>
              </w:rPr>
              <w:t>Improved teaching-learning outcomes.</w:t>
            </w:r>
          </w:p>
          <w:p>
            <w:pPr>
              <w:spacing w:after="40" w:line="276" w:lineRule="auto"/>
              <w:ind w:left="125" w:hanging="125"/>
              <w:jc w:val="left"/>
            </w:pPr>
            <w:r>
              <w:t xml:space="preserve">• </w:t>
            </w:r>
            <w:r>
              <w:rPr>
                <w:b w:val="0"/>
                <w:i w:val="0"/>
              </w:rPr>
              <w:t>Higher research output and patents.</w:t>
            </w:r>
          </w:p>
          <w:p>
            <w:pPr>
              <w:spacing w:after="40" w:line="276" w:lineRule="auto"/>
              <w:ind w:left="125" w:hanging="125"/>
              <w:jc w:val="left"/>
            </w:pPr>
            <w:r>
              <w:t xml:space="preserve">• </w:t>
            </w:r>
            <w:r>
              <w:rPr>
                <w:b w:val="0"/>
                <w:i w:val="0"/>
              </w:rPr>
              <w:t>Enhanced employability of graduates.</w:t>
            </w:r>
          </w:p>
          <w:p>
            <w:pPr>
              <w:spacing w:after="40" w:line="276" w:lineRule="auto"/>
              <w:ind w:left="125" w:hanging="125"/>
              <w:jc w:val="left"/>
            </w:pPr>
            <w:r>
              <w:t xml:space="preserve">• </w:t>
            </w:r>
            <w:r>
              <w:rPr>
                <w:b w:val="0"/>
                <w:i w:val="0"/>
              </w:rPr>
              <w:t>Recognition in global rankings.</w:t>
            </w:r>
          </w:p>
        </w:tc>
      </w:tr>
      <w:tr>
        <w:trPr>
          <w:cantSplit/>
        </w:trPr>
        <w:tc>
          <w:tcPr>
            <w:tcW w:type="dxa" w:w="2324"/>
            <w:vAlign w:val="center"/>
            <w:shd w:fill="EDF2F7"/>
          </w:tcPr>
          <w:p>
            <w:pPr>
              <w:spacing w:after="40" w:line="276" w:lineRule="auto"/>
              <w:jc w:val="left"/>
            </w:pPr>
            <w:r>
              <w:rPr>
                <w:b w:val="0"/>
                <w:i w:val="0"/>
              </w:rPr>
              <w:t>Infrastructure &amp; Technology Development</w:t>
            </w:r>
          </w:p>
        </w:tc>
        <w:tc>
          <w:tcPr>
            <w:tcW w:type="dxa" w:w="4082"/>
            <w:vAlign w:val="center"/>
            <w:shd w:fill="EDF2F7"/>
          </w:tcPr>
          <w:p>
            <w:pPr>
              <w:spacing w:after="40" w:line="276" w:lineRule="auto"/>
              <w:ind w:left="125" w:hanging="125"/>
              <w:jc w:val="left"/>
            </w:pPr>
            <w:r>
              <w:t xml:space="preserve">• </w:t>
            </w:r>
            <w:r>
              <w:rPr>
                <w:b w:val="0"/>
                <w:i w:val="0"/>
              </w:rPr>
              <w:t>Smart classrooms and digital labs.</w:t>
            </w:r>
          </w:p>
          <w:p>
            <w:pPr>
              <w:spacing w:after="40" w:line="276" w:lineRule="auto"/>
              <w:ind w:left="125" w:hanging="125"/>
              <w:jc w:val="left"/>
            </w:pPr>
            <w:r>
              <w:t xml:space="preserve">• </w:t>
            </w:r>
            <w:r>
              <w:rPr>
                <w:b w:val="0"/>
                <w:i w:val="0"/>
              </w:rPr>
              <w:t>Green campus initiatives (solar energy, waste management).</w:t>
            </w:r>
          </w:p>
          <w:p>
            <w:pPr>
              <w:spacing w:after="40" w:line="276" w:lineRule="auto"/>
              <w:ind w:left="125" w:hanging="125"/>
              <w:jc w:val="left"/>
            </w:pPr>
            <w:r>
              <w:t xml:space="preserve">• </w:t>
            </w:r>
            <w:r>
              <w:rPr>
                <w:b w:val="0"/>
                <w:i w:val="0"/>
              </w:rPr>
              <w:t>ICT-enabled services and digital libraries.</w:t>
            </w:r>
          </w:p>
          <w:p>
            <w:pPr>
              <w:spacing w:after="40" w:line="276" w:lineRule="auto"/>
              <w:ind w:left="125" w:hanging="125"/>
              <w:jc w:val="left"/>
            </w:pPr>
            <w:r>
              <w:t xml:space="preserve">• </w:t>
            </w:r>
            <w:r>
              <w:rPr>
                <w:b w:val="0"/>
                <w:i w:val="0"/>
              </w:rPr>
              <w:t>Expansion of research facilities.</w:t>
            </w:r>
          </w:p>
        </w:tc>
        <w:tc>
          <w:tcPr>
            <w:tcW w:type="dxa" w:w="3005"/>
            <w:vAlign w:val="center"/>
            <w:shd w:fill="EDF2F7"/>
          </w:tcPr>
          <w:p>
            <w:pPr>
              <w:spacing w:after="40" w:line="276" w:lineRule="auto"/>
              <w:ind w:left="125" w:hanging="125"/>
              <w:jc w:val="left"/>
            </w:pPr>
            <w:r>
              <w:t xml:space="preserve">• </w:t>
            </w:r>
            <w:r>
              <w:rPr>
                <w:b w:val="0"/>
                <w:i w:val="0"/>
              </w:rPr>
              <w:t>Modernized learning environment.</w:t>
            </w:r>
          </w:p>
          <w:p>
            <w:pPr>
              <w:spacing w:after="40" w:line="276" w:lineRule="auto"/>
              <w:ind w:left="125" w:hanging="125"/>
              <w:jc w:val="left"/>
            </w:pPr>
            <w:r>
              <w:t xml:space="preserve">• </w:t>
            </w:r>
            <w:r>
              <w:rPr>
                <w:b w:val="0"/>
                <w:i w:val="0"/>
              </w:rPr>
              <w:t>Reduced carbon footprint.</w:t>
            </w:r>
          </w:p>
          <w:p>
            <w:pPr>
              <w:spacing w:after="40" w:line="276" w:lineRule="auto"/>
              <w:ind w:left="125" w:hanging="125"/>
              <w:jc w:val="left"/>
            </w:pPr>
            <w:r>
              <w:t xml:space="preserve">• </w:t>
            </w:r>
            <w:r>
              <w:rPr>
                <w:b w:val="0"/>
                <w:i w:val="0"/>
              </w:rPr>
              <w:t>Improved accessibility to resources.</w:t>
            </w:r>
          </w:p>
          <w:p>
            <w:pPr>
              <w:spacing w:after="40" w:line="276" w:lineRule="auto"/>
              <w:ind w:left="125" w:hanging="125"/>
              <w:jc w:val="left"/>
            </w:pPr>
            <w:r>
              <w:t xml:space="preserve">• </w:t>
            </w:r>
            <w:r>
              <w:rPr>
                <w:b w:val="0"/>
                <w:i w:val="0"/>
              </w:rPr>
              <w:t>Stronger industry collaboration.</w:t>
            </w:r>
          </w:p>
        </w:tc>
      </w:tr>
      <w:tr>
        <w:trPr>
          <w:cantSplit/>
        </w:trPr>
        <w:tc>
          <w:tcPr>
            <w:tcW w:type="dxa" w:w="2324"/>
            <w:vAlign w:val="center"/>
            <w:shd w:fill="FFFFFF"/>
          </w:tcPr>
          <w:p>
            <w:pPr>
              <w:spacing w:after="40" w:line="276" w:lineRule="auto"/>
              <w:jc w:val="left"/>
            </w:pPr>
            <w:r>
              <w:rPr>
                <w:b w:val="0"/>
                <w:i w:val="0"/>
              </w:rPr>
              <w:t>Governance &amp; Quality Assurance</w:t>
            </w:r>
          </w:p>
        </w:tc>
        <w:tc>
          <w:tcPr>
            <w:tcW w:type="dxa" w:w="4082"/>
            <w:vAlign w:val="center"/>
            <w:shd w:fill="FFFFFF"/>
          </w:tcPr>
          <w:p>
            <w:pPr>
              <w:spacing w:after="40" w:line="276" w:lineRule="auto"/>
              <w:ind w:left="125" w:hanging="125"/>
              <w:jc w:val="left"/>
            </w:pPr>
            <w:r>
              <w:t xml:space="preserve">• </w:t>
            </w:r>
            <w:r>
              <w:rPr>
                <w:b w:val="0"/>
                <w:i w:val="0"/>
              </w:rPr>
              <w:t>Implement transparent governance mechanisms.</w:t>
            </w:r>
          </w:p>
          <w:p>
            <w:pPr>
              <w:spacing w:after="40" w:line="276" w:lineRule="auto"/>
              <w:ind w:left="125" w:hanging="125"/>
              <w:jc w:val="left"/>
            </w:pPr>
            <w:r>
              <w:t xml:space="preserve">• </w:t>
            </w:r>
            <w:r>
              <w:rPr>
                <w:b w:val="0"/>
                <w:i w:val="0"/>
              </w:rPr>
              <w:t>Establish IQAC (Internal Quality Assurance cell).</w:t>
            </w:r>
          </w:p>
          <w:p>
            <w:pPr>
              <w:spacing w:after="40" w:line="276" w:lineRule="auto"/>
              <w:ind w:left="125" w:hanging="125"/>
              <w:jc w:val="left"/>
            </w:pPr>
            <w:r>
              <w:t xml:space="preserve">• </w:t>
            </w:r>
            <w:r>
              <w:rPr>
                <w:b w:val="0"/>
                <w:i w:val="0"/>
              </w:rPr>
              <w:t>Benchmark policies with NAAC/​NBA/​QS-I Gauge standards.</w:t>
            </w:r>
          </w:p>
          <w:p>
            <w:pPr>
              <w:spacing w:after="40" w:line="276" w:lineRule="auto"/>
              <w:ind w:left="125" w:hanging="125"/>
              <w:jc w:val="left"/>
            </w:pPr>
            <w:r>
              <w:t xml:space="preserve">• </w:t>
            </w:r>
            <w:r>
              <w:rPr>
                <w:b w:val="0"/>
                <w:i w:val="0"/>
              </w:rPr>
              <w:t>Strengthen institutional autonomy.</w:t>
            </w:r>
          </w:p>
        </w:tc>
        <w:tc>
          <w:tcPr>
            <w:tcW w:type="dxa" w:w="3005"/>
            <w:vAlign w:val="center"/>
            <w:shd w:fill="FFFFFF"/>
          </w:tcPr>
          <w:p>
            <w:pPr>
              <w:spacing w:after="40" w:line="276" w:lineRule="auto"/>
              <w:ind w:left="125" w:hanging="125"/>
              <w:jc w:val="left"/>
            </w:pPr>
            <w:r>
              <w:t xml:space="preserve">• </w:t>
            </w:r>
            <w:r>
              <w:rPr>
                <w:b w:val="0"/>
                <w:i w:val="0"/>
              </w:rPr>
              <w:t>Robust accreditation readiness.</w:t>
            </w:r>
          </w:p>
          <w:p>
            <w:pPr>
              <w:spacing w:after="40" w:line="276" w:lineRule="auto"/>
              <w:ind w:left="125" w:hanging="125"/>
              <w:jc w:val="left"/>
            </w:pPr>
            <w:r>
              <w:t xml:space="preserve">• </w:t>
            </w:r>
            <w:r>
              <w:rPr>
                <w:b w:val="0"/>
                <w:i w:val="0"/>
              </w:rPr>
              <w:t>Improved accountability.</w:t>
            </w:r>
          </w:p>
          <w:p>
            <w:pPr>
              <w:spacing w:after="40" w:line="276" w:lineRule="auto"/>
              <w:ind w:left="125" w:hanging="125"/>
              <w:jc w:val="left"/>
            </w:pPr>
            <w:r>
              <w:t xml:space="preserve">• </w:t>
            </w:r>
            <w:r>
              <w:rPr>
                <w:b w:val="0"/>
                <w:i w:val="0"/>
              </w:rPr>
              <w:t>Streamlined decision-making processes.</w:t>
            </w:r>
          </w:p>
          <w:p>
            <w:pPr>
              <w:spacing w:after="40" w:line="276" w:lineRule="auto"/>
              <w:ind w:left="125" w:hanging="125"/>
              <w:jc w:val="left"/>
            </w:pPr>
            <w:r>
              <w:t xml:space="preserve">• </w:t>
            </w:r>
            <w:r>
              <w:rPr>
                <w:b w:val="0"/>
                <w:i w:val="0"/>
              </w:rPr>
              <w:t>Higher institutional credibility.</w:t>
            </w:r>
          </w:p>
        </w:tc>
      </w:tr>
      <w:tr>
        <w:trPr>
          <w:cantSplit/>
        </w:trPr>
        <w:tc>
          <w:tcPr>
            <w:tcW w:type="dxa" w:w="2324"/>
            <w:vAlign w:val="center"/>
            <w:shd w:fill="EDF2F7"/>
          </w:tcPr>
          <w:p>
            <w:pPr>
              <w:spacing w:after="40" w:line="276" w:lineRule="auto"/>
              <w:jc w:val="left"/>
            </w:pPr>
            <w:r>
              <w:rPr>
                <w:b w:val="0"/>
                <w:i w:val="0"/>
              </w:rPr>
              <w:t>Financial Sustainability</w:t>
            </w:r>
          </w:p>
        </w:tc>
        <w:tc>
          <w:tcPr>
            <w:tcW w:type="dxa" w:w="4082"/>
            <w:vAlign w:val="center"/>
            <w:shd w:fill="EDF2F7"/>
          </w:tcPr>
          <w:p>
            <w:pPr>
              <w:spacing w:after="40" w:line="276" w:lineRule="auto"/>
              <w:ind w:left="125" w:hanging="125"/>
              <w:jc w:val="left"/>
            </w:pPr>
            <w:r>
              <w:t xml:space="preserve">• </w:t>
            </w:r>
            <w:r>
              <w:rPr>
                <w:b w:val="0"/>
                <w:i w:val="0"/>
              </w:rPr>
              <w:t>Diversify funding through grants, consultancy, and alumni contributions.</w:t>
            </w:r>
          </w:p>
          <w:p>
            <w:pPr>
              <w:spacing w:after="40" w:line="276" w:lineRule="auto"/>
              <w:ind w:left="125" w:hanging="125"/>
              <w:jc w:val="left"/>
            </w:pPr>
            <w:r>
              <w:t xml:space="preserve">• </w:t>
            </w:r>
            <w:r>
              <w:rPr>
                <w:b w:val="0"/>
                <w:i w:val="0"/>
              </w:rPr>
              <w:t>Public-private partnerships for infrastructure.</w:t>
            </w:r>
          </w:p>
          <w:p>
            <w:pPr>
              <w:spacing w:after="40" w:line="276" w:lineRule="auto"/>
              <w:ind w:left="125" w:hanging="125"/>
              <w:jc w:val="left"/>
            </w:pPr>
            <w:r>
              <w:t xml:space="preserve">• </w:t>
            </w:r>
            <w:r>
              <w:rPr>
                <w:b w:val="0"/>
                <w:i w:val="0"/>
              </w:rPr>
              <w:t>Efficient financial management systems.</w:t>
            </w:r>
          </w:p>
        </w:tc>
        <w:tc>
          <w:tcPr>
            <w:tcW w:type="dxa" w:w="3005"/>
            <w:vAlign w:val="center"/>
            <w:shd w:fill="EDF2F7"/>
          </w:tcPr>
          <w:p>
            <w:pPr>
              <w:spacing w:after="40" w:line="276" w:lineRule="auto"/>
              <w:ind w:left="125" w:hanging="125"/>
              <w:jc w:val="left"/>
            </w:pPr>
            <w:r>
              <w:t xml:space="preserve">• </w:t>
            </w:r>
            <w:r>
              <w:rPr>
                <w:b w:val="0"/>
                <w:i w:val="0"/>
              </w:rPr>
              <w:t>Stable and diversified revenue streams.</w:t>
            </w:r>
          </w:p>
          <w:p>
            <w:pPr>
              <w:spacing w:after="40" w:line="276" w:lineRule="auto"/>
              <w:ind w:left="125" w:hanging="125"/>
              <w:jc w:val="left"/>
            </w:pPr>
            <w:r>
              <w:t xml:space="preserve">• </w:t>
            </w:r>
            <w:r>
              <w:rPr>
                <w:b w:val="0"/>
                <w:i w:val="0"/>
              </w:rPr>
              <w:t>Reduced dependency on government funding.</w:t>
            </w:r>
          </w:p>
          <w:p>
            <w:pPr>
              <w:spacing w:after="40" w:line="276" w:lineRule="auto"/>
              <w:ind w:left="125" w:hanging="125"/>
              <w:jc w:val="left"/>
            </w:pPr>
            <w:r>
              <w:t xml:space="preserve">• </w:t>
            </w:r>
            <w:r>
              <w:rPr>
                <w:b w:val="0"/>
                <w:i w:val="0"/>
              </w:rPr>
              <w:t>Sustainable long-term growth.</w:t>
            </w:r>
          </w:p>
        </w:tc>
      </w:tr>
      <w:tr>
        <w:trPr>
          <w:cantSplit/>
        </w:trPr>
        <w:tc>
          <w:tcPr>
            <w:tcW w:type="dxa" w:w="2324"/>
            <w:vAlign w:val="center"/>
            <w:shd w:fill="FFFFFF"/>
          </w:tcPr>
          <w:p>
            <w:pPr>
              <w:spacing w:after="40" w:line="276" w:lineRule="auto"/>
              <w:jc w:val="left"/>
            </w:pPr>
            <w:r>
              <w:rPr>
                <w:b w:val="0"/>
                <w:i w:val="0"/>
              </w:rPr>
              <w:t>Community Engagement &amp; Social Responsibility</w:t>
            </w:r>
          </w:p>
        </w:tc>
        <w:tc>
          <w:tcPr>
            <w:tcW w:type="dxa" w:w="4082"/>
            <w:vAlign w:val="center"/>
            <w:shd w:fill="FFFFFF"/>
          </w:tcPr>
          <w:p>
            <w:pPr>
              <w:spacing w:after="40" w:line="276" w:lineRule="auto"/>
              <w:ind w:left="125" w:hanging="125"/>
              <w:jc w:val="left"/>
            </w:pPr>
            <w:r>
              <w:t xml:space="preserve">• </w:t>
            </w:r>
            <w:r>
              <w:rPr>
                <w:b w:val="0"/>
                <w:i w:val="0"/>
              </w:rPr>
              <w:t>Outreach and extension programs.</w:t>
            </w:r>
          </w:p>
          <w:p>
            <w:pPr>
              <w:spacing w:after="40" w:line="276" w:lineRule="auto"/>
              <w:ind w:left="125" w:hanging="125"/>
              <w:jc w:val="left"/>
            </w:pPr>
            <w:r>
              <w:t xml:space="preserve">• </w:t>
            </w:r>
            <w:r>
              <w:rPr>
                <w:b w:val="0"/>
                <w:i w:val="0"/>
              </w:rPr>
              <w:t>Collaborative projects with local communities.</w:t>
            </w:r>
          </w:p>
          <w:p>
            <w:pPr>
              <w:spacing w:after="40" w:line="276" w:lineRule="auto"/>
              <w:ind w:left="125" w:hanging="125"/>
              <w:jc w:val="left"/>
            </w:pPr>
            <w:r>
              <w:t xml:space="preserve">• </w:t>
            </w:r>
            <w:r>
              <w:rPr>
                <w:b w:val="0"/>
                <w:i w:val="0"/>
              </w:rPr>
              <w:t>Initiatives on literacy, healthcare, and sustainability.</w:t>
            </w:r>
          </w:p>
          <w:p>
            <w:pPr>
              <w:spacing w:after="40" w:line="276" w:lineRule="auto"/>
              <w:ind w:left="125" w:hanging="125"/>
              <w:jc w:val="left"/>
            </w:pPr>
            <w:r>
              <w:t xml:space="preserve">• </w:t>
            </w:r>
            <w:r>
              <w:rPr>
                <w:b w:val="0"/>
                <w:i w:val="0"/>
              </w:rPr>
              <w:t>Encourage student participation in societal development.</w:t>
            </w:r>
          </w:p>
        </w:tc>
        <w:tc>
          <w:tcPr>
            <w:tcW w:type="dxa" w:w="3005"/>
            <w:vAlign w:val="center"/>
            <w:shd w:fill="FFFFFF"/>
          </w:tcPr>
          <w:p>
            <w:pPr>
              <w:spacing w:after="40" w:line="276" w:lineRule="auto"/>
              <w:ind w:left="125" w:hanging="125"/>
              <w:jc w:val="left"/>
            </w:pPr>
            <w:r>
              <w:t xml:space="preserve">• </w:t>
            </w:r>
            <w:r>
              <w:rPr>
                <w:b w:val="0"/>
                <w:i w:val="0"/>
              </w:rPr>
              <w:t>Positive social impact.</w:t>
            </w:r>
          </w:p>
          <w:p>
            <w:pPr>
              <w:spacing w:after="40" w:line="276" w:lineRule="auto"/>
              <w:ind w:left="125" w:hanging="125"/>
              <w:jc w:val="left"/>
            </w:pPr>
            <w:r>
              <w:t xml:space="preserve">• </w:t>
            </w:r>
            <w:r>
              <w:rPr>
                <w:b w:val="0"/>
                <w:i w:val="0"/>
              </w:rPr>
              <w:t>Stronger town-gown relationship.</w:t>
            </w:r>
          </w:p>
          <w:p>
            <w:pPr>
              <w:spacing w:after="40" w:line="276" w:lineRule="auto"/>
              <w:ind w:left="125" w:hanging="125"/>
              <w:jc w:val="left"/>
            </w:pPr>
            <w:r>
              <w:t xml:space="preserve">• </w:t>
            </w:r>
            <w:r>
              <w:rPr>
                <w:b w:val="0"/>
                <w:i w:val="0"/>
              </w:rPr>
              <w:t>Institutional contribution to SDG goals.</w:t>
            </w:r>
          </w:p>
          <w:p>
            <w:pPr>
              <w:spacing w:after="40" w:line="276" w:lineRule="auto"/>
              <w:ind w:left="125" w:hanging="125"/>
              <w:jc w:val="left"/>
            </w:pPr>
            <w:r>
              <w:t xml:space="preserve">• </w:t>
            </w:r>
            <w:r>
              <w:rPr>
                <w:b w:val="0"/>
                <w:i w:val="0"/>
              </w:rPr>
              <w:t>Enhanced reputation and goodwill.</w:t>
            </w:r>
          </w:p>
        </w:tc>
      </w:tr>
      <w:tr>
        <w:trPr>
          <w:cantSplit/>
        </w:trPr>
        <w:tc>
          <w:tcPr>
            <w:tcW w:type="dxa" w:w="2324"/>
            <w:vAlign w:val="center"/>
            <w:shd w:fill="EDF2F7"/>
          </w:tcPr>
          <w:p>
            <w:pPr>
              <w:spacing w:after="40" w:line="276" w:lineRule="auto"/>
              <w:jc w:val="left"/>
            </w:pPr>
            <w:r>
              <w:rPr>
                <w:b w:val="0"/>
                <w:i w:val="0"/>
              </w:rPr>
              <w:t>Internationalization &amp; Collaboration</w:t>
            </w:r>
          </w:p>
        </w:tc>
        <w:tc>
          <w:tcPr>
            <w:tcW w:type="dxa" w:w="4082"/>
            <w:vAlign w:val="center"/>
            <w:shd w:fill="EDF2F7"/>
          </w:tcPr>
          <w:p>
            <w:pPr>
              <w:spacing w:after="40" w:line="276" w:lineRule="auto"/>
              <w:ind w:left="125" w:hanging="125"/>
              <w:jc w:val="left"/>
            </w:pPr>
            <w:r>
              <w:t xml:space="preserve">• </w:t>
            </w:r>
            <w:r>
              <w:rPr>
                <w:b w:val="0"/>
                <w:i w:val="0"/>
              </w:rPr>
              <w:t>Establish MoUs with global universities.</w:t>
            </w:r>
          </w:p>
          <w:p>
            <w:pPr>
              <w:spacing w:after="40" w:line="276" w:lineRule="auto"/>
              <w:ind w:left="125" w:hanging="125"/>
              <w:jc w:val="left"/>
            </w:pPr>
            <w:r>
              <w:t xml:space="preserve">• </w:t>
            </w:r>
            <w:r>
              <w:rPr>
                <w:b w:val="0"/>
                <w:i w:val="0"/>
              </w:rPr>
              <w:t>Student and faculty exchange programs.</w:t>
            </w:r>
          </w:p>
          <w:p>
            <w:pPr>
              <w:spacing w:after="40" w:line="276" w:lineRule="auto"/>
              <w:ind w:left="125" w:hanging="125"/>
              <w:jc w:val="left"/>
            </w:pPr>
            <w:r>
              <w:t xml:space="preserve">• </w:t>
            </w:r>
            <w:r>
              <w:rPr>
                <w:b w:val="0"/>
                <w:i w:val="0"/>
              </w:rPr>
              <w:t>Joint research and dual degree programs.</w:t>
            </w:r>
          </w:p>
          <w:p>
            <w:pPr>
              <w:spacing w:after="40" w:line="276" w:lineRule="auto"/>
              <w:ind w:left="125" w:hanging="125"/>
              <w:jc w:val="left"/>
            </w:pPr>
            <w:r>
              <w:t xml:space="preserve">• </w:t>
            </w:r>
            <w:r>
              <w:rPr>
                <w:b w:val="0"/>
                <w:i w:val="0"/>
              </w:rPr>
              <w:t>Participation in global academic networks.</w:t>
            </w:r>
          </w:p>
        </w:tc>
        <w:tc>
          <w:tcPr>
            <w:tcW w:type="dxa" w:w="3005"/>
            <w:vAlign w:val="center"/>
            <w:shd w:fill="EDF2F7"/>
          </w:tcPr>
          <w:p>
            <w:pPr>
              <w:spacing w:after="40" w:line="276" w:lineRule="auto"/>
              <w:ind w:left="125" w:hanging="125"/>
              <w:jc w:val="left"/>
            </w:pPr>
            <w:r>
              <w:t xml:space="preserve">• </w:t>
            </w:r>
            <w:r>
              <w:rPr>
                <w:b w:val="0"/>
                <w:i w:val="0"/>
              </w:rPr>
              <w:t>Increased global visibility.</w:t>
            </w:r>
          </w:p>
          <w:p>
            <w:pPr>
              <w:spacing w:after="40" w:line="276" w:lineRule="auto"/>
              <w:ind w:left="125" w:hanging="125"/>
              <w:jc w:val="left"/>
            </w:pPr>
            <w:r>
              <w:t xml:space="preserve">• </w:t>
            </w:r>
            <w:r>
              <w:rPr>
                <w:b w:val="0"/>
                <w:i w:val="0"/>
              </w:rPr>
              <w:t>Cross-cultural learning opportunities.</w:t>
            </w:r>
          </w:p>
          <w:p>
            <w:pPr>
              <w:spacing w:after="40" w:line="276" w:lineRule="auto"/>
              <w:ind w:left="125" w:hanging="125"/>
              <w:jc w:val="left"/>
            </w:pPr>
            <w:r>
              <w:t xml:space="preserve">• </w:t>
            </w:r>
            <w:r>
              <w:rPr>
                <w:b w:val="0"/>
                <w:i w:val="0"/>
              </w:rPr>
              <w:t>International research collaborations.</w:t>
            </w:r>
          </w:p>
          <w:p>
            <w:pPr>
              <w:spacing w:after="40" w:line="276" w:lineRule="auto"/>
              <w:ind w:left="125" w:hanging="125"/>
              <w:jc w:val="left"/>
            </w:pPr>
            <w:r>
              <w:t xml:space="preserve">• </w:t>
            </w:r>
            <w:r>
              <w:rPr>
                <w:b w:val="0"/>
                <w:i w:val="0"/>
              </w:rPr>
              <w:t>Improved global ranking position.</w:t>
            </w:r>
          </w:p>
        </w:tc>
      </w:tr>
      <w:tr>
        <w:trPr>
          <w:cantSplit/>
        </w:trPr>
        <w:tc>
          <w:tcPr>
            <w:tcW w:type="dxa" w:w="2324"/>
            <w:vAlign w:val="center"/>
            <w:shd w:fill="FFFFFF"/>
          </w:tcPr>
          <w:p>
            <w:pPr>
              <w:spacing w:after="40" w:line="276" w:lineRule="auto"/>
              <w:jc w:val="left"/>
            </w:pPr>
            <w:r>
              <w:rPr>
                <w:b w:val="0"/>
                <w:i w:val="0"/>
              </w:rPr>
              <w:t>Monitoring, Evaluation &amp; Continuous Improvement</w:t>
            </w:r>
          </w:p>
        </w:tc>
        <w:tc>
          <w:tcPr>
            <w:tcW w:type="dxa" w:w="4082"/>
            <w:vAlign w:val="center"/>
            <w:shd w:fill="FFFFFF"/>
          </w:tcPr>
          <w:p>
            <w:pPr>
              <w:spacing w:after="40" w:line="276" w:lineRule="auto"/>
              <w:ind w:left="125" w:hanging="125"/>
              <w:jc w:val="left"/>
            </w:pPr>
            <w:r>
              <w:t xml:space="preserve">• </w:t>
            </w:r>
            <w:r>
              <w:rPr>
                <w:b w:val="0"/>
                <w:i w:val="0"/>
              </w:rPr>
              <w:t>Develop KPIs for each strategic objective.</w:t>
            </w:r>
          </w:p>
          <w:p>
            <w:pPr>
              <w:spacing w:after="40" w:line="276" w:lineRule="auto"/>
              <w:ind w:left="125" w:hanging="125"/>
              <w:jc w:val="left"/>
            </w:pPr>
            <w:r>
              <w:t xml:space="preserve">• </w:t>
            </w:r>
            <w:r>
              <w:rPr>
                <w:b w:val="0"/>
                <w:i w:val="0"/>
              </w:rPr>
              <w:t>Regular audits and feedback systems.</w:t>
            </w:r>
          </w:p>
          <w:p>
            <w:pPr>
              <w:spacing w:after="40" w:line="276" w:lineRule="auto"/>
              <w:ind w:left="125" w:hanging="125"/>
              <w:jc w:val="left"/>
            </w:pPr>
            <w:r>
              <w:t xml:space="preserve">• </w:t>
            </w:r>
            <w:r>
              <w:rPr>
                <w:b w:val="0"/>
                <w:i w:val="0"/>
              </w:rPr>
              <w:t>Annual review meetings for mid-course corrections.</w:t>
            </w:r>
          </w:p>
          <w:p>
            <w:pPr>
              <w:spacing w:after="40" w:line="276" w:lineRule="auto"/>
              <w:ind w:left="125" w:hanging="125"/>
              <w:jc w:val="left"/>
            </w:pPr>
            <w:r>
              <w:t xml:space="preserve">• </w:t>
            </w:r>
            <w:r>
              <w:rPr>
                <w:b w:val="0"/>
                <w:i w:val="0"/>
              </w:rPr>
              <w:t>Use of digital dashboards for real-time tracking.</w:t>
            </w:r>
          </w:p>
        </w:tc>
        <w:tc>
          <w:tcPr>
            <w:tcW w:type="dxa" w:w="3005"/>
            <w:vAlign w:val="center"/>
            <w:shd w:fill="FFFFFF"/>
          </w:tcPr>
          <w:p>
            <w:pPr>
              <w:spacing w:after="40" w:line="276" w:lineRule="auto"/>
              <w:ind w:left="125" w:hanging="125"/>
              <w:jc w:val="left"/>
            </w:pPr>
            <w:r>
              <w:t xml:space="preserve">• </w:t>
            </w:r>
            <w:r>
              <w:rPr>
                <w:b w:val="0"/>
                <w:i w:val="0"/>
              </w:rPr>
              <w:t>Evidence-based progress tracking.</w:t>
            </w:r>
          </w:p>
          <w:p>
            <w:pPr>
              <w:spacing w:after="40" w:line="276" w:lineRule="auto"/>
              <w:ind w:left="125" w:hanging="125"/>
              <w:jc w:val="left"/>
            </w:pPr>
            <w:r>
              <w:t xml:space="preserve">• </w:t>
            </w:r>
            <w:r>
              <w:rPr>
                <w:b w:val="0"/>
                <w:i w:val="0"/>
              </w:rPr>
              <w:t>Adaptive and responsive strategies.</w:t>
            </w:r>
          </w:p>
          <w:p>
            <w:pPr>
              <w:spacing w:after="40" w:line="276" w:lineRule="auto"/>
              <w:ind w:left="125" w:hanging="125"/>
              <w:jc w:val="left"/>
            </w:pPr>
            <w:r>
              <w:t xml:space="preserve">• </w:t>
            </w:r>
            <w:r>
              <w:rPr>
                <w:b w:val="0"/>
                <w:i w:val="0"/>
              </w:rPr>
              <w:t>Transparent accountability systems.</w:t>
            </w:r>
          </w:p>
          <w:p>
            <w:pPr>
              <w:spacing w:after="40" w:line="276" w:lineRule="auto"/>
              <w:ind w:left="125" w:hanging="125"/>
              <w:jc w:val="left"/>
            </w:pPr>
            <w:r>
              <w:t xml:space="preserve">• </w:t>
            </w:r>
            <w:r>
              <w:rPr>
                <w:b w:val="0"/>
                <w:i w:val="0"/>
              </w:rPr>
              <w:t>Continuous institutional improvement.</w:t>
            </w:r>
          </w:p>
        </w:tc>
      </w:tr>
    </w:tbl>
    <w:p>
      <w:pPr>
        <w:spacing w:after="40"/>
      </w:pPr>
    </w:p>
    <w:p>
      <w:pPr>
        <w:pStyle w:val="Heading1"/>
      </w:pPr>
      <w:r>
        <w:t>3. Multi-Level Roadmap for Strategic Development Plan</w:t>
      </w:r>
    </w:p>
    <w:p>
      <w:pPr>
        <w:pStyle w:val="Heading2"/>
      </w:pPr>
      <w:r>
        <w:rPr>
          <w:i/>
        </w:rPr>
        <w:t>1. Vision &amp; Mission Alignment</w:t>
      </w:r>
    </w:p>
    <w:p>
      <w:pPr>
        <w:pStyle w:val="ListBullet"/>
        <w:numPr>
          <w:ilvl w:val="0"/>
          <w:numId w:val="90"/>
        </w:numPr>
        <w:ind w:left="340" w:hanging="142"/>
      </w:pPr>
      <w:r>
        <w:rPr>
          <w:b w:val="0"/>
          <w:i w:val="0"/>
        </w:rPr>
        <w:t>Short-Term (0–1 year)</w:t>
      </w:r>
    </w:p>
    <w:p>
      <w:pPr>
        <w:pStyle w:val="ListBullet2"/>
        <w:numPr>
          <w:ilvl w:val="1"/>
          <w:numId w:val="90"/>
        </w:numPr>
        <w:ind w:left="652" w:hanging="142"/>
      </w:pPr>
      <w:r>
        <w:rPr>
          <w:b w:val="0"/>
          <w:i w:val="0"/>
        </w:rPr>
        <w:t>Conduct stakeholder consultations.</w:t>
      </w:r>
    </w:p>
    <w:p>
      <w:pPr>
        <w:pStyle w:val="ListBullet2"/>
        <w:numPr>
          <w:ilvl w:val="1"/>
          <w:numId w:val="90"/>
        </w:numPr>
        <w:ind w:left="652" w:hanging="142"/>
      </w:pPr>
      <w:r>
        <w:rPr>
          <w:b w:val="0"/>
          <w:i w:val="0"/>
        </w:rPr>
        <w:t>Redefine vision and mission statements to align with SDGs/NEP 2020.</w:t>
      </w:r>
    </w:p>
    <w:p>
      <w:pPr>
        <w:pStyle w:val="ListBullet2"/>
        <w:numPr>
          <w:ilvl w:val="1"/>
          <w:numId w:val="90"/>
        </w:numPr>
        <w:ind w:left="652" w:hanging="142"/>
      </w:pPr>
      <w:r>
        <w:rPr>
          <w:b w:val="0"/>
          <w:i w:val="0"/>
        </w:rPr>
        <w:t>Disseminate vision through workshops, brochures, and digital platforms.</w:t>
      </w:r>
    </w:p>
    <w:p>
      <w:pPr>
        <w:pStyle w:val="ListBullet"/>
        <w:numPr>
          <w:ilvl w:val="0"/>
          <w:numId w:val="90"/>
        </w:numPr>
        <w:ind w:left="340" w:hanging="142"/>
      </w:pPr>
      <w:r>
        <w:rPr>
          <w:b w:val="0"/>
          <w:i w:val="0"/>
        </w:rPr>
        <w:t>Medium-Term (2–3 years)</w:t>
      </w:r>
    </w:p>
    <w:p>
      <w:pPr>
        <w:pStyle w:val="ListBullet2"/>
        <w:numPr>
          <w:ilvl w:val="1"/>
          <w:numId w:val="90"/>
        </w:numPr>
        <w:ind w:left="652" w:hanging="142"/>
      </w:pPr>
      <w:r>
        <w:rPr>
          <w:b w:val="0"/>
          <w:i w:val="0"/>
        </w:rPr>
        <w:t>Integrate vision into curriculum design and policy frameworks.</w:t>
      </w:r>
    </w:p>
    <w:p>
      <w:pPr>
        <w:pStyle w:val="ListBullet2"/>
        <w:numPr>
          <w:ilvl w:val="1"/>
          <w:numId w:val="90"/>
        </w:numPr>
        <w:ind w:left="652" w:hanging="142"/>
      </w:pPr>
      <w:r>
        <w:rPr>
          <w:b w:val="0"/>
          <w:i w:val="0"/>
        </w:rPr>
        <w:t>Embed mission-driven goals in departmental objectives.</w:t>
      </w:r>
    </w:p>
    <w:p>
      <w:pPr>
        <w:pStyle w:val="ListBullet"/>
        <w:numPr>
          <w:ilvl w:val="0"/>
          <w:numId w:val="90"/>
        </w:numPr>
        <w:ind w:left="340" w:hanging="142"/>
      </w:pPr>
      <w:r>
        <w:rPr>
          <w:b w:val="0"/>
          <w:i w:val="0"/>
        </w:rPr>
        <w:t>Long-Term (4–7 years)</w:t>
      </w:r>
    </w:p>
    <w:p>
      <w:pPr>
        <w:pStyle w:val="ListBullet2"/>
        <w:numPr>
          <w:ilvl w:val="1"/>
          <w:numId w:val="90"/>
        </w:numPr>
        <w:ind w:left="652" w:hanging="142"/>
      </w:pPr>
      <w:r>
        <w:rPr>
          <w:b w:val="0"/>
          <w:i w:val="0"/>
        </w:rPr>
        <w:t>Position institution as a leader in mission-aligned initiatives.</w:t>
      </w:r>
    </w:p>
    <w:p>
      <w:pPr>
        <w:pStyle w:val="ListBullet2"/>
        <w:numPr>
          <w:ilvl w:val="1"/>
          <w:numId w:val="90"/>
        </w:numPr>
        <w:ind w:left="652" w:hanging="142"/>
      </w:pPr>
      <w:r>
        <w:rPr>
          <w:b w:val="0"/>
          <w:i w:val="0"/>
        </w:rPr>
        <w:t>Achieve global recognition for unique vision-driven contributions.</w:t>
      </w:r>
    </w:p>
    <w:p>
      <w:pPr>
        <w:pStyle w:val="Heading2"/>
      </w:pPr>
      <w:r>
        <w:rPr>
          <w:i/>
        </w:rPr>
        <w:t>2. Situational Analysis &amp; Research</w:t>
      </w:r>
    </w:p>
    <w:p>
      <w:pPr>
        <w:pStyle w:val="ListBullet"/>
        <w:numPr>
          <w:ilvl w:val="0"/>
          <w:numId w:val="90"/>
        </w:numPr>
        <w:ind w:left="340" w:hanging="142"/>
      </w:pPr>
      <w:r>
        <w:rPr>
          <w:b w:val="0"/>
          <w:i w:val="0"/>
        </w:rPr>
        <w:t>Short-Term</w:t>
      </w:r>
    </w:p>
    <w:p>
      <w:pPr>
        <w:pStyle w:val="ListBullet2"/>
        <w:numPr>
          <w:ilvl w:val="1"/>
          <w:numId w:val="90"/>
        </w:numPr>
        <w:ind w:left="652" w:hanging="142"/>
      </w:pPr>
      <w:r>
        <w:rPr>
          <w:b w:val="0"/>
          <w:i w:val="0"/>
        </w:rPr>
        <w:t>Conduct SWOT and PESTLE studies.</w:t>
      </w:r>
    </w:p>
    <w:p>
      <w:pPr>
        <w:pStyle w:val="ListBullet2"/>
        <w:numPr>
          <w:ilvl w:val="1"/>
          <w:numId w:val="90"/>
        </w:numPr>
        <w:ind w:left="652" w:hanging="142"/>
      </w:pPr>
      <w:r>
        <w:rPr>
          <w:b w:val="0"/>
          <w:i w:val="0"/>
        </w:rPr>
        <w:t>Map institutional resources, gaps, and challenges.</w:t>
      </w:r>
    </w:p>
    <w:p>
      <w:pPr>
        <w:pStyle w:val="ListBullet2"/>
        <w:numPr>
          <w:ilvl w:val="1"/>
          <w:numId w:val="90"/>
        </w:numPr>
        <w:ind w:left="652" w:hanging="142"/>
      </w:pPr>
      <w:r>
        <w:rPr>
          <w:b w:val="0"/>
          <w:i w:val="0"/>
        </w:rPr>
        <w:t>Build a baseline performance database.</w:t>
      </w:r>
    </w:p>
    <w:p>
      <w:pPr>
        <w:pStyle w:val="ListBullet"/>
        <w:numPr>
          <w:ilvl w:val="0"/>
          <w:numId w:val="90"/>
        </w:numPr>
        <w:ind w:left="340" w:hanging="142"/>
      </w:pPr>
      <w:r>
        <w:rPr>
          <w:b w:val="0"/>
          <w:i w:val="0"/>
        </w:rPr>
        <w:t>Medium-Term</w:t>
      </w:r>
    </w:p>
    <w:p>
      <w:pPr>
        <w:pStyle w:val="ListBullet2"/>
        <w:numPr>
          <w:ilvl w:val="1"/>
          <w:numId w:val="90"/>
        </w:numPr>
        <w:ind w:left="652" w:hanging="142"/>
      </w:pPr>
      <w:r>
        <w:rPr>
          <w:b w:val="0"/>
          <w:i w:val="0"/>
        </w:rPr>
        <w:t>Establish institutional research observatory for periodic reviews.</w:t>
      </w:r>
    </w:p>
    <w:p>
      <w:pPr>
        <w:pStyle w:val="ListBullet2"/>
        <w:numPr>
          <w:ilvl w:val="1"/>
          <w:numId w:val="90"/>
        </w:numPr>
        <w:ind w:left="652" w:hanging="142"/>
      </w:pPr>
      <w:r>
        <w:rPr>
          <w:b w:val="0"/>
          <w:i w:val="0"/>
        </w:rPr>
        <w:t>Benchmark against national and global best practices.</w:t>
      </w:r>
    </w:p>
    <w:p>
      <w:pPr>
        <w:pStyle w:val="ListBullet"/>
        <w:numPr>
          <w:ilvl w:val="0"/>
          <w:numId w:val="90"/>
        </w:numPr>
        <w:ind w:left="340" w:hanging="142"/>
      </w:pPr>
      <w:r>
        <w:rPr>
          <w:b w:val="0"/>
          <w:i w:val="0"/>
        </w:rPr>
        <w:t>Long-Term</w:t>
      </w:r>
    </w:p>
    <w:p>
      <w:pPr>
        <w:pStyle w:val="ListBullet2"/>
        <w:numPr>
          <w:ilvl w:val="1"/>
          <w:numId w:val="90"/>
        </w:numPr>
        <w:ind w:left="652" w:hanging="142"/>
      </w:pPr>
      <w:r>
        <w:rPr>
          <w:b w:val="0"/>
          <w:i w:val="0"/>
        </w:rPr>
        <w:t>Institutionalize data-driven governance.</w:t>
      </w:r>
    </w:p>
    <w:p>
      <w:pPr>
        <w:pStyle w:val="ListBullet2"/>
        <w:numPr>
          <w:ilvl w:val="1"/>
          <w:numId w:val="90"/>
        </w:numPr>
        <w:ind w:left="652" w:hanging="142"/>
      </w:pPr>
      <w:r>
        <w:rPr>
          <w:b w:val="0"/>
          <w:i w:val="0"/>
        </w:rPr>
        <w:t>Continuously evolve strategies with predictive analytics.</w:t>
      </w:r>
    </w:p>
    <w:p>
      <w:pPr>
        <w:pStyle w:val="Heading2"/>
      </w:pPr>
      <w:r>
        <w:rPr>
          <w:i/>
        </w:rPr>
        <w:t>3. Academic &amp; Research Excellence</w:t>
      </w:r>
    </w:p>
    <w:p>
      <w:pPr>
        <w:pStyle w:val="ListBullet"/>
        <w:numPr>
          <w:ilvl w:val="0"/>
          <w:numId w:val="90"/>
        </w:numPr>
        <w:ind w:left="340" w:hanging="142"/>
      </w:pPr>
      <w:r>
        <w:rPr>
          <w:b w:val="0"/>
          <w:i w:val="0"/>
        </w:rPr>
        <w:t>Short-Term</w:t>
      </w:r>
    </w:p>
    <w:p>
      <w:pPr>
        <w:pStyle w:val="ListBullet2"/>
        <w:numPr>
          <w:ilvl w:val="1"/>
          <w:numId w:val="90"/>
        </w:numPr>
        <w:ind w:left="652" w:hanging="142"/>
      </w:pPr>
      <w:r>
        <w:rPr>
          <w:b w:val="0"/>
          <w:i w:val="0"/>
        </w:rPr>
        <w:t>Revise and modernize curriculum.</w:t>
      </w:r>
    </w:p>
    <w:p>
      <w:pPr>
        <w:pStyle w:val="ListBullet2"/>
        <w:numPr>
          <w:ilvl w:val="1"/>
          <w:numId w:val="90"/>
        </w:numPr>
        <w:ind w:left="652" w:hanging="142"/>
      </w:pPr>
      <w:r>
        <w:rPr>
          <w:b w:val="0"/>
          <w:i w:val="0"/>
        </w:rPr>
        <w:t>Initiate faculty training and skill workshops.</w:t>
      </w:r>
    </w:p>
    <w:p>
      <w:pPr>
        <w:pStyle w:val="ListBullet2"/>
        <w:numPr>
          <w:ilvl w:val="1"/>
          <w:numId w:val="90"/>
        </w:numPr>
        <w:ind w:left="652" w:hanging="142"/>
      </w:pPr>
      <w:r>
        <w:rPr>
          <w:b w:val="0"/>
          <w:i w:val="0"/>
        </w:rPr>
        <w:t>Apply for research grants and seed funding.</w:t>
      </w:r>
    </w:p>
    <w:p>
      <w:pPr>
        <w:pStyle w:val="ListBullet"/>
        <w:numPr>
          <w:ilvl w:val="0"/>
          <w:numId w:val="90"/>
        </w:numPr>
        <w:ind w:left="340" w:hanging="142"/>
      </w:pPr>
      <w:r>
        <w:rPr>
          <w:b w:val="0"/>
          <w:i w:val="0"/>
        </w:rPr>
        <w:t>Medium-Term</w:t>
      </w:r>
    </w:p>
    <w:p>
      <w:pPr>
        <w:pStyle w:val="ListBullet2"/>
        <w:numPr>
          <w:ilvl w:val="1"/>
          <w:numId w:val="90"/>
        </w:numPr>
        <w:ind w:left="652" w:hanging="142"/>
      </w:pPr>
      <w:r>
        <w:rPr>
          <w:b w:val="0"/>
          <w:i w:val="0"/>
        </w:rPr>
        <w:t>Set up Centers of Excellence in key areas (AI, Sustainability, Healthcare).</w:t>
      </w:r>
    </w:p>
    <w:p>
      <w:pPr>
        <w:pStyle w:val="ListBullet2"/>
        <w:numPr>
          <w:ilvl w:val="1"/>
          <w:numId w:val="90"/>
        </w:numPr>
        <w:ind w:left="652" w:hanging="142"/>
      </w:pPr>
      <w:r>
        <w:rPr>
          <w:b w:val="0"/>
          <w:i w:val="0"/>
        </w:rPr>
        <w:t>Introduce interdisciplinary programs.</w:t>
      </w:r>
    </w:p>
    <w:p>
      <w:pPr>
        <w:pStyle w:val="ListBullet2"/>
        <w:numPr>
          <w:ilvl w:val="1"/>
          <w:numId w:val="90"/>
        </w:numPr>
        <w:ind w:left="652" w:hanging="142"/>
      </w:pPr>
      <w:r>
        <w:rPr>
          <w:b w:val="0"/>
          <w:i w:val="0"/>
        </w:rPr>
        <w:t>Encourage innovation hubs and incubators.</w:t>
      </w:r>
    </w:p>
    <w:p>
      <w:pPr>
        <w:pStyle w:val="ListBullet"/>
        <w:numPr>
          <w:ilvl w:val="0"/>
          <w:numId w:val="90"/>
        </w:numPr>
        <w:ind w:left="340" w:hanging="142"/>
      </w:pPr>
      <w:r>
        <w:rPr>
          <w:b w:val="0"/>
          <w:i w:val="0"/>
        </w:rPr>
        <w:t>Long-Term</w:t>
      </w:r>
    </w:p>
    <w:p>
      <w:pPr>
        <w:pStyle w:val="ListBullet2"/>
        <w:numPr>
          <w:ilvl w:val="1"/>
          <w:numId w:val="90"/>
        </w:numPr>
        <w:ind w:left="652" w:hanging="142"/>
      </w:pPr>
      <w:r>
        <w:rPr>
          <w:b w:val="0"/>
          <w:i w:val="0"/>
        </w:rPr>
        <w:t>Attain global research recognition through patents/publications.</w:t>
      </w:r>
    </w:p>
    <w:p>
      <w:pPr>
        <w:pStyle w:val="ListBullet2"/>
        <w:numPr>
          <w:ilvl w:val="1"/>
          <w:numId w:val="90"/>
        </w:numPr>
        <w:ind w:left="652" w:hanging="142"/>
      </w:pPr>
      <w:r>
        <w:rPr>
          <w:b w:val="0"/>
          <w:i w:val="0"/>
        </w:rPr>
        <w:t>Develop industry-academia research ecosystems.</w:t>
      </w:r>
    </w:p>
    <w:p>
      <w:pPr>
        <w:pStyle w:val="ListBullet2"/>
        <w:numPr>
          <w:ilvl w:val="1"/>
          <w:numId w:val="90"/>
        </w:numPr>
        <w:ind w:left="652" w:hanging="142"/>
      </w:pPr>
      <w:r>
        <w:rPr>
          <w:b w:val="0"/>
          <w:i w:val="0"/>
        </w:rPr>
        <w:t>Establish leadership in knowledge economy sectors.</w:t>
      </w:r>
    </w:p>
    <w:p>
      <w:pPr>
        <w:pStyle w:val="Heading2"/>
      </w:pPr>
      <w:r>
        <w:rPr>
          <w:i/>
        </w:rPr>
        <w:t>4. Infrastructure &amp; Technology Development</w:t>
      </w:r>
    </w:p>
    <w:p>
      <w:pPr>
        <w:pStyle w:val="ListBullet"/>
        <w:numPr>
          <w:ilvl w:val="0"/>
          <w:numId w:val="90"/>
        </w:numPr>
        <w:ind w:left="340" w:hanging="142"/>
      </w:pPr>
      <w:r>
        <w:rPr>
          <w:b w:val="0"/>
          <w:i w:val="0"/>
        </w:rPr>
        <w:t>Short-Term</w:t>
      </w:r>
    </w:p>
    <w:p>
      <w:pPr>
        <w:pStyle w:val="ListBullet2"/>
        <w:numPr>
          <w:ilvl w:val="1"/>
          <w:numId w:val="90"/>
        </w:numPr>
        <w:ind w:left="652" w:hanging="142"/>
      </w:pPr>
      <w:r>
        <w:rPr>
          <w:b w:val="0"/>
          <w:i w:val="0"/>
        </w:rPr>
        <w:t>Upgrade ICT infrastructure, smart classrooms, e-libraries.</w:t>
      </w:r>
    </w:p>
    <w:p>
      <w:pPr>
        <w:pStyle w:val="ListBullet2"/>
        <w:numPr>
          <w:ilvl w:val="1"/>
          <w:numId w:val="90"/>
        </w:numPr>
        <w:ind w:left="652" w:hanging="142"/>
      </w:pPr>
      <w:r>
        <w:rPr>
          <w:b w:val="0"/>
          <w:i w:val="0"/>
        </w:rPr>
        <w:t>Start small-scale renewable energy projects.</w:t>
      </w:r>
    </w:p>
    <w:p>
      <w:pPr>
        <w:pStyle w:val="ListBullet"/>
        <w:numPr>
          <w:ilvl w:val="0"/>
          <w:numId w:val="90"/>
        </w:numPr>
        <w:ind w:left="340" w:hanging="142"/>
      </w:pPr>
      <w:r>
        <w:rPr>
          <w:b w:val="0"/>
          <w:i w:val="0"/>
        </w:rPr>
        <w:t>Medium-Term</w:t>
      </w:r>
    </w:p>
    <w:p>
      <w:pPr>
        <w:pStyle w:val="ListBullet2"/>
        <w:numPr>
          <w:ilvl w:val="1"/>
          <w:numId w:val="90"/>
        </w:numPr>
        <w:ind w:left="652" w:hanging="142"/>
      </w:pPr>
      <w:r>
        <w:rPr>
          <w:b w:val="0"/>
          <w:i w:val="0"/>
        </w:rPr>
        <w:t>Build green-certified campuses (solar, rainwater harvesting, waste recycling).</w:t>
      </w:r>
    </w:p>
    <w:p>
      <w:pPr>
        <w:pStyle w:val="ListBullet2"/>
        <w:numPr>
          <w:ilvl w:val="1"/>
          <w:numId w:val="90"/>
        </w:numPr>
        <w:ind w:left="652" w:hanging="142"/>
      </w:pPr>
      <w:r>
        <w:rPr>
          <w:b w:val="0"/>
          <w:i w:val="0"/>
        </w:rPr>
        <w:t>Expand digital labs and simulation centers.</w:t>
      </w:r>
    </w:p>
    <w:p>
      <w:pPr>
        <w:pStyle w:val="ListBullet"/>
        <w:numPr>
          <w:ilvl w:val="0"/>
          <w:numId w:val="90"/>
        </w:numPr>
        <w:ind w:left="340" w:hanging="142"/>
      </w:pPr>
      <w:r>
        <w:rPr>
          <w:b w:val="0"/>
          <w:i w:val="0"/>
        </w:rPr>
        <w:t>Long-Term</w:t>
      </w:r>
    </w:p>
    <w:p>
      <w:pPr>
        <w:pStyle w:val="ListBullet2"/>
        <w:numPr>
          <w:ilvl w:val="1"/>
          <w:numId w:val="90"/>
        </w:numPr>
        <w:ind w:left="652" w:hanging="142"/>
      </w:pPr>
      <w:r>
        <w:rPr>
          <w:b w:val="0"/>
          <w:i w:val="0"/>
        </w:rPr>
        <w:t>Establish fully sustainable campuses with carbon neutrality goals.</w:t>
      </w:r>
    </w:p>
    <w:p>
      <w:pPr>
        <w:pStyle w:val="ListBullet2"/>
        <w:numPr>
          <w:ilvl w:val="1"/>
          <w:numId w:val="90"/>
        </w:numPr>
        <w:ind w:left="652" w:hanging="142"/>
      </w:pPr>
      <w:r>
        <w:rPr>
          <w:b w:val="0"/>
          <w:i w:val="0"/>
        </w:rPr>
        <w:t>Develop global research parks and innovation hubs.</w:t>
      </w:r>
    </w:p>
    <w:p>
      <w:pPr>
        <w:pStyle w:val="Heading2"/>
      </w:pPr>
      <w:r>
        <w:rPr>
          <w:i/>
        </w:rPr>
        <w:t>5. Governance &amp; Quality Assurance</w:t>
      </w:r>
    </w:p>
    <w:p>
      <w:pPr>
        <w:pStyle w:val="ListBullet"/>
        <w:numPr>
          <w:ilvl w:val="0"/>
          <w:numId w:val="90"/>
        </w:numPr>
        <w:ind w:left="340" w:hanging="142"/>
      </w:pPr>
      <w:r>
        <w:rPr>
          <w:b w:val="0"/>
          <w:i w:val="0"/>
        </w:rPr>
        <w:t>Short-Term</w:t>
      </w:r>
    </w:p>
    <w:p>
      <w:pPr>
        <w:pStyle w:val="ListBullet2"/>
        <w:numPr>
          <w:ilvl w:val="1"/>
          <w:numId w:val="90"/>
        </w:numPr>
        <w:ind w:left="652" w:hanging="142"/>
      </w:pPr>
      <w:r>
        <w:rPr>
          <w:b w:val="0"/>
          <w:i w:val="0"/>
        </w:rPr>
        <w:t>Form Internal Quality Assurance Cell (IQAC).</w:t>
      </w:r>
    </w:p>
    <w:p>
      <w:pPr>
        <w:pStyle w:val="ListBullet2"/>
        <w:numPr>
          <w:ilvl w:val="1"/>
          <w:numId w:val="90"/>
        </w:numPr>
        <w:ind w:left="652" w:hanging="142"/>
      </w:pPr>
      <w:r>
        <w:rPr>
          <w:b w:val="0"/>
          <w:i w:val="0"/>
        </w:rPr>
        <w:t>Train staff on accreditation frameworks (NAAC/NBA/QS).</w:t>
      </w:r>
    </w:p>
    <w:p>
      <w:pPr>
        <w:pStyle w:val="ListBullet"/>
        <w:numPr>
          <w:ilvl w:val="0"/>
          <w:numId w:val="90"/>
        </w:numPr>
        <w:ind w:left="340" w:hanging="142"/>
      </w:pPr>
      <w:r>
        <w:rPr>
          <w:b w:val="0"/>
          <w:i w:val="0"/>
        </w:rPr>
        <w:t>Medium-Term</w:t>
      </w:r>
    </w:p>
    <w:p>
      <w:pPr>
        <w:pStyle w:val="ListBullet2"/>
        <w:numPr>
          <w:ilvl w:val="1"/>
          <w:numId w:val="90"/>
        </w:numPr>
        <w:ind w:left="652" w:hanging="142"/>
      </w:pPr>
      <w:r>
        <w:rPr>
          <w:b w:val="0"/>
          <w:i w:val="0"/>
        </w:rPr>
        <w:t>Achieve national accreditation (NAAC/NBA).</w:t>
      </w:r>
    </w:p>
    <w:p>
      <w:pPr>
        <w:pStyle w:val="ListBullet2"/>
        <w:numPr>
          <w:ilvl w:val="1"/>
          <w:numId w:val="90"/>
        </w:numPr>
        <w:ind w:left="652" w:hanging="142"/>
      </w:pPr>
      <w:r>
        <w:rPr>
          <w:b w:val="0"/>
          <w:i w:val="0"/>
        </w:rPr>
        <w:t>Implement policy reforms to improve governance transparency.</w:t>
      </w:r>
    </w:p>
    <w:p>
      <w:pPr>
        <w:pStyle w:val="ListBullet"/>
        <w:numPr>
          <w:ilvl w:val="0"/>
          <w:numId w:val="90"/>
        </w:numPr>
        <w:ind w:left="340" w:hanging="142"/>
      </w:pPr>
      <w:r>
        <w:rPr>
          <w:b w:val="0"/>
          <w:i w:val="0"/>
        </w:rPr>
        <w:t>Long-Term</w:t>
      </w:r>
    </w:p>
    <w:p>
      <w:pPr>
        <w:pStyle w:val="ListBullet2"/>
        <w:numPr>
          <w:ilvl w:val="1"/>
          <w:numId w:val="90"/>
        </w:numPr>
        <w:ind w:left="652" w:hanging="142"/>
      </w:pPr>
      <w:r>
        <w:rPr>
          <w:b w:val="0"/>
          <w:i w:val="0"/>
        </w:rPr>
        <w:t>Secure global rankings and recognitions (QS, Times Higher Education).</w:t>
      </w:r>
    </w:p>
    <w:p>
      <w:pPr>
        <w:pStyle w:val="ListBullet2"/>
        <w:numPr>
          <w:ilvl w:val="1"/>
          <w:numId w:val="90"/>
        </w:numPr>
        <w:ind w:left="652" w:hanging="142"/>
      </w:pPr>
      <w:r>
        <w:rPr>
          <w:b w:val="0"/>
          <w:i w:val="0"/>
        </w:rPr>
        <w:t>Build institutional autonomy through statutory reforms.</w:t>
      </w:r>
    </w:p>
    <w:p>
      <w:pPr>
        <w:pStyle w:val="Heading2"/>
      </w:pPr>
      <w:r>
        <w:rPr>
          <w:i/>
        </w:rPr>
        <w:t>6. Financial Sustainability</w:t>
      </w:r>
    </w:p>
    <w:p>
      <w:pPr>
        <w:pStyle w:val="ListBullet"/>
        <w:numPr>
          <w:ilvl w:val="0"/>
          <w:numId w:val="90"/>
        </w:numPr>
        <w:ind w:left="340" w:hanging="142"/>
      </w:pPr>
      <w:r>
        <w:rPr>
          <w:b w:val="0"/>
          <w:i w:val="0"/>
        </w:rPr>
        <w:t>Short-Term</w:t>
      </w:r>
    </w:p>
    <w:p>
      <w:pPr>
        <w:pStyle w:val="ListBullet2"/>
        <w:numPr>
          <w:ilvl w:val="1"/>
          <w:numId w:val="90"/>
        </w:numPr>
        <w:ind w:left="652" w:hanging="142"/>
      </w:pPr>
      <w:r>
        <w:rPr>
          <w:b w:val="0"/>
          <w:i w:val="0"/>
        </w:rPr>
        <w:t>Streamline budget allocation and expenditure monitoring.</w:t>
      </w:r>
    </w:p>
    <w:p>
      <w:pPr>
        <w:pStyle w:val="ListBullet2"/>
        <w:numPr>
          <w:ilvl w:val="1"/>
          <w:numId w:val="90"/>
        </w:numPr>
        <w:ind w:left="652" w:hanging="142"/>
      </w:pPr>
      <w:r>
        <w:rPr>
          <w:b w:val="0"/>
          <w:i w:val="0"/>
        </w:rPr>
        <w:t>Initiate alumni fundraising campaigns.</w:t>
      </w:r>
    </w:p>
    <w:p>
      <w:pPr>
        <w:pStyle w:val="ListBullet"/>
        <w:numPr>
          <w:ilvl w:val="0"/>
          <w:numId w:val="90"/>
        </w:numPr>
        <w:ind w:left="340" w:hanging="142"/>
      </w:pPr>
      <w:r>
        <w:rPr>
          <w:b w:val="0"/>
          <w:i w:val="0"/>
        </w:rPr>
        <w:t>Medium-Term</w:t>
      </w:r>
    </w:p>
    <w:p>
      <w:pPr>
        <w:pStyle w:val="ListBullet2"/>
        <w:numPr>
          <w:ilvl w:val="1"/>
          <w:numId w:val="90"/>
        </w:numPr>
        <w:ind w:left="652" w:hanging="142"/>
      </w:pPr>
      <w:r>
        <w:rPr>
          <w:b w:val="0"/>
          <w:i w:val="0"/>
        </w:rPr>
        <w:t>Develop industry partnerships for consultancy and joint ventures.</w:t>
      </w:r>
    </w:p>
    <w:p>
      <w:pPr>
        <w:pStyle w:val="ListBullet2"/>
        <w:numPr>
          <w:ilvl w:val="1"/>
          <w:numId w:val="90"/>
        </w:numPr>
        <w:ind w:left="652" w:hanging="142"/>
      </w:pPr>
      <w:r>
        <w:rPr>
          <w:b w:val="0"/>
          <w:i w:val="0"/>
        </w:rPr>
        <w:t>Create endowment funds and scholarship programs.</w:t>
      </w:r>
    </w:p>
    <w:p>
      <w:pPr>
        <w:pStyle w:val="ListBullet"/>
        <w:numPr>
          <w:ilvl w:val="0"/>
          <w:numId w:val="90"/>
        </w:numPr>
        <w:ind w:left="340" w:hanging="142"/>
      </w:pPr>
      <w:r>
        <w:rPr>
          <w:b w:val="0"/>
          <w:i w:val="0"/>
        </w:rPr>
        <w:t>Long-Term</w:t>
      </w:r>
    </w:p>
    <w:p>
      <w:pPr>
        <w:pStyle w:val="ListBullet2"/>
        <w:numPr>
          <w:ilvl w:val="1"/>
          <w:numId w:val="90"/>
        </w:numPr>
        <w:ind w:left="652" w:hanging="142"/>
      </w:pPr>
      <w:r>
        <w:rPr>
          <w:b w:val="0"/>
          <w:i w:val="0"/>
        </w:rPr>
        <w:t>Attain financial independence with diversified revenue models.</w:t>
      </w:r>
    </w:p>
    <w:p>
      <w:pPr>
        <w:pStyle w:val="ListBullet2"/>
        <w:numPr>
          <w:ilvl w:val="1"/>
          <w:numId w:val="90"/>
        </w:numPr>
        <w:ind w:left="652" w:hanging="142"/>
      </w:pPr>
      <w:r>
        <w:rPr>
          <w:b w:val="0"/>
          <w:i w:val="0"/>
        </w:rPr>
        <w:t>Establish investment portfolios for continuous growth.</w:t>
      </w:r>
    </w:p>
    <w:p>
      <w:pPr>
        <w:pStyle w:val="Heading2"/>
      </w:pPr>
      <w:r>
        <w:rPr>
          <w:i/>
        </w:rPr>
        <w:t>7. Community Engagement &amp; Social Responsibility</w:t>
      </w:r>
    </w:p>
    <w:p>
      <w:pPr>
        <w:pStyle w:val="ListBullet"/>
        <w:numPr>
          <w:ilvl w:val="0"/>
          <w:numId w:val="90"/>
        </w:numPr>
        <w:ind w:left="340" w:hanging="142"/>
      </w:pPr>
      <w:r>
        <w:rPr>
          <w:b w:val="0"/>
          <w:i w:val="0"/>
        </w:rPr>
        <w:t>Short-Term</w:t>
      </w:r>
    </w:p>
    <w:p>
      <w:pPr>
        <w:pStyle w:val="ListBullet2"/>
        <w:numPr>
          <w:ilvl w:val="1"/>
          <w:numId w:val="90"/>
        </w:numPr>
        <w:ind w:left="652" w:hanging="142"/>
      </w:pPr>
      <w:r>
        <w:rPr>
          <w:b w:val="0"/>
          <w:i w:val="0"/>
        </w:rPr>
        <w:t>Organize local outreach programs (health camps, literacy drives).</w:t>
      </w:r>
    </w:p>
    <w:p>
      <w:pPr>
        <w:pStyle w:val="ListBullet2"/>
        <w:numPr>
          <w:ilvl w:val="1"/>
          <w:numId w:val="90"/>
        </w:numPr>
        <w:ind w:left="652" w:hanging="142"/>
      </w:pPr>
      <w:r>
        <w:rPr>
          <w:b w:val="0"/>
          <w:i w:val="0"/>
        </w:rPr>
        <w:t>Introduce service-learning courses.</w:t>
      </w:r>
    </w:p>
    <w:p>
      <w:pPr>
        <w:pStyle w:val="ListBullet"/>
        <w:numPr>
          <w:ilvl w:val="0"/>
          <w:numId w:val="90"/>
        </w:numPr>
        <w:ind w:left="340" w:hanging="142"/>
      </w:pPr>
      <w:r>
        <w:rPr>
          <w:b w:val="0"/>
          <w:i w:val="0"/>
        </w:rPr>
        <w:t>Medium-Term</w:t>
      </w:r>
    </w:p>
    <w:p>
      <w:pPr>
        <w:pStyle w:val="ListBullet2"/>
        <w:numPr>
          <w:ilvl w:val="1"/>
          <w:numId w:val="90"/>
        </w:numPr>
        <w:ind w:left="652" w:hanging="142"/>
      </w:pPr>
      <w:r>
        <w:rPr>
          <w:b w:val="0"/>
          <w:i w:val="0"/>
        </w:rPr>
        <w:t>Build long-term community partnerships.</w:t>
      </w:r>
    </w:p>
    <w:p>
      <w:pPr>
        <w:pStyle w:val="ListBullet2"/>
        <w:numPr>
          <w:ilvl w:val="1"/>
          <w:numId w:val="90"/>
        </w:numPr>
        <w:ind w:left="652" w:hanging="142"/>
      </w:pPr>
      <w:r>
        <w:rPr>
          <w:b w:val="0"/>
          <w:i w:val="0"/>
        </w:rPr>
        <w:t>Launch institutional social responsibility projects (ISRs).</w:t>
      </w:r>
    </w:p>
    <w:p>
      <w:pPr>
        <w:pStyle w:val="ListBullet"/>
        <w:numPr>
          <w:ilvl w:val="0"/>
          <w:numId w:val="90"/>
        </w:numPr>
        <w:ind w:left="340" w:hanging="142"/>
      </w:pPr>
      <w:r>
        <w:rPr>
          <w:b w:val="0"/>
          <w:i w:val="0"/>
        </w:rPr>
        <w:t>Long-Term</w:t>
      </w:r>
    </w:p>
    <w:p>
      <w:pPr>
        <w:pStyle w:val="ListBullet2"/>
        <w:numPr>
          <w:ilvl w:val="1"/>
          <w:numId w:val="90"/>
        </w:numPr>
        <w:ind w:left="652" w:hanging="142"/>
      </w:pPr>
      <w:r>
        <w:rPr>
          <w:b w:val="0"/>
          <w:i w:val="0"/>
        </w:rPr>
        <w:t>Recognized as a regional/national leader in community development.</w:t>
      </w:r>
    </w:p>
    <w:p>
      <w:pPr>
        <w:pStyle w:val="ListBullet2"/>
        <w:numPr>
          <w:ilvl w:val="1"/>
          <w:numId w:val="90"/>
        </w:numPr>
        <w:ind w:left="652" w:hanging="142"/>
      </w:pPr>
      <w:r>
        <w:rPr>
          <w:b w:val="0"/>
          <w:i w:val="0"/>
        </w:rPr>
        <w:t>Contribute directly to SDGs (SDG-4, SDG-7, SDG-11).</w:t>
      </w:r>
    </w:p>
    <w:p>
      <w:pPr>
        <w:pStyle w:val="Heading2"/>
      </w:pPr>
      <w:r>
        <w:rPr>
          <w:i/>
        </w:rPr>
        <w:t>8. Internationalization &amp; Collaboration</w:t>
      </w:r>
    </w:p>
    <w:p>
      <w:pPr>
        <w:pStyle w:val="ListBullet"/>
        <w:numPr>
          <w:ilvl w:val="0"/>
          <w:numId w:val="90"/>
        </w:numPr>
        <w:ind w:left="340" w:hanging="142"/>
      </w:pPr>
      <w:r>
        <w:rPr>
          <w:b w:val="0"/>
          <w:i w:val="0"/>
        </w:rPr>
        <w:t>Short-Term</w:t>
      </w:r>
    </w:p>
    <w:p>
      <w:pPr>
        <w:pStyle w:val="ListBullet2"/>
        <w:numPr>
          <w:ilvl w:val="1"/>
          <w:numId w:val="90"/>
        </w:numPr>
        <w:ind w:left="652" w:hanging="142"/>
      </w:pPr>
      <w:r>
        <w:rPr>
          <w:b w:val="0"/>
          <w:i w:val="0"/>
        </w:rPr>
        <w:t>Sign initial MoUs with international universities.</w:t>
      </w:r>
    </w:p>
    <w:p>
      <w:pPr>
        <w:pStyle w:val="ListBullet2"/>
        <w:numPr>
          <w:ilvl w:val="1"/>
          <w:numId w:val="90"/>
        </w:numPr>
        <w:ind w:left="652" w:hanging="142"/>
      </w:pPr>
      <w:r>
        <w:rPr>
          <w:b w:val="0"/>
          <w:i w:val="0"/>
        </w:rPr>
        <w:t>Encourage student participation in global competitions.</w:t>
      </w:r>
    </w:p>
    <w:p>
      <w:pPr>
        <w:pStyle w:val="ListBullet"/>
        <w:numPr>
          <w:ilvl w:val="0"/>
          <w:numId w:val="90"/>
        </w:numPr>
        <w:ind w:left="340" w:hanging="142"/>
      </w:pPr>
      <w:r>
        <w:rPr>
          <w:b w:val="0"/>
          <w:i w:val="0"/>
        </w:rPr>
        <w:t>Medium-Term</w:t>
      </w:r>
    </w:p>
    <w:p>
      <w:pPr>
        <w:pStyle w:val="ListBullet2"/>
        <w:numPr>
          <w:ilvl w:val="1"/>
          <w:numId w:val="90"/>
        </w:numPr>
        <w:ind w:left="652" w:hanging="142"/>
      </w:pPr>
      <w:r>
        <w:rPr>
          <w:b w:val="0"/>
          <w:i w:val="0"/>
        </w:rPr>
        <w:t>Establish dual-degree programs and exchange opportunities.</w:t>
      </w:r>
    </w:p>
    <w:p>
      <w:pPr>
        <w:pStyle w:val="ListBullet2"/>
        <w:numPr>
          <w:ilvl w:val="1"/>
          <w:numId w:val="90"/>
        </w:numPr>
        <w:ind w:left="652" w:hanging="142"/>
      </w:pPr>
      <w:r>
        <w:rPr>
          <w:b w:val="0"/>
          <w:i w:val="0"/>
        </w:rPr>
        <w:t>Host international conferences and joint research.</w:t>
      </w:r>
    </w:p>
    <w:p>
      <w:pPr>
        <w:pStyle w:val="ListBullet"/>
        <w:numPr>
          <w:ilvl w:val="0"/>
          <w:numId w:val="90"/>
        </w:numPr>
        <w:ind w:left="340" w:hanging="142"/>
      </w:pPr>
      <w:r>
        <w:rPr>
          <w:b w:val="0"/>
          <w:i w:val="0"/>
        </w:rPr>
        <w:t>Long-Term</w:t>
      </w:r>
    </w:p>
    <w:p>
      <w:pPr>
        <w:pStyle w:val="ListBullet2"/>
        <w:numPr>
          <w:ilvl w:val="1"/>
          <w:numId w:val="90"/>
        </w:numPr>
        <w:ind w:left="652" w:hanging="142"/>
      </w:pPr>
      <w:r>
        <w:rPr>
          <w:b w:val="0"/>
          <w:i w:val="0"/>
        </w:rPr>
        <w:t>Achieve status as a globally networked institution.</w:t>
      </w:r>
    </w:p>
    <w:p>
      <w:pPr>
        <w:pStyle w:val="ListBullet2"/>
        <w:numPr>
          <w:ilvl w:val="1"/>
          <w:numId w:val="90"/>
        </w:numPr>
        <w:ind w:left="652" w:hanging="142"/>
      </w:pPr>
      <w:r>
        <w:rPr>
          <w:b w:val="0"/>
          <w:i w:val="0"/>
        </w:rPr>
        <w:t>Secure partnerships with top-IOO global universities.</w:t>
      </w:r>
    </w:p>
    <w:p>
      <w:pPr>
        <w:pStyle w:val="Heading2"/>
      </w:pPr>
      <w:r>
        <w:rPr>
          <w:i/>
        </w:rPr>
        <w:t>9. Monitoring, Evaluation &amp; Continuous Improvement</w:t>
      </w:r>
    </w:p>
    <w:p>
      <w:pPr>
        <w:pStyle w:val="ListBullet"/>
        <w:numPr>
          <w:ilvl w:val="0"/>
          <w:numId w:val="90"/>
        </w:numPr>
        <w:ind w:left="340" w:hanging="142"/>
      </w:pPr>
      <w:r>
        <w:rPr>
          <w:b w:val="0"/>
          <w:i w:val="0"/>
        </w:rPr>
        <w:t>Short-Term</w:t>
      </w:r>
    </w:p>
    <w:p>
      <w:pPr>
        <w:pStyle w:val="ListBullet2"/>
        <w:numPr>
          <w:ilvl w:val="1"/>
          <w:numId w:val="90"/>
        </w:numPr>
        <w:ind w:left="652" w:hanging="142"/>
      </w:pPr>
      <w:r>
        <w:rPr>
          <w:b w:val="0"/>
          <w:i w:val="0"/>
        </w:rPr>
        <w:t>Define Key Performance Indicators (KPIs) for all strategic objectives.</w:t>
      </w:r>
    </w:p>
    <w:p>
      <w:pPr>
        <w:pStyle w:val="ListBullet2"/>
        <w:numPr>
          <w:ilvl w:val="1"/>
          <w:numId w:val="90"/>
        </w:numPr>
        <w:ind w:left="652" w:hanging="142"/>
      </w:pPr>
      <w:r>
        <w:rPr>
          <w:b w:val="0"/>
          <w:i w:val="0"/>
        </w:rPr>
        <w:t>Launch digital monitoring dashboards.</w:t>
      </w:r>
    </w:p>
    <w:p>
      <w:pPr>
        <w:pStyle w:val="ListBullet"/>
        <w:numPr>
          <w:ilvl w:val="0"/>
          <w:numId w:val="90"/>
        </w:numPr>
        <w:ind w:left="340" w:hanging="142"/>
      </w:pPr>
      <w:r>
        <w:rPr>
          <w:b w:val="0"/>
          <w:i w:val="0"/>
        </w:rPr>
        <w:t>Medium-Term</w:t>
      </w:r>
    </w:p>
    <w:p>
      <w:pPr>
        <w:pStyle w:val="ListBullet2"/>
        <w:numPr>
          <w:ilvl w:val="1"/>
          <w:numId w:val="90"/>
        </w:numPr>
        <w:ind w:left="652" w:hanging="142"/>
      </w:pPr>
      <w:r>
        <w:rPr>
          <w:b w:val="0"/>
          <w:i w:val="0"/>
        </w:rPr>
        <w:t>Conduct mid-term reviews and audits.</w:t>
      </w:r>
    </w:p>
    <w:p>
      <w:pPr>
        <w:pStyle w:val="ListBullet2"/>
        <w:numPr>
          <w:ilvl w:val="1"/>
          <w:numId w:val="90"/>
        </w:numPr>
        <w:ind w:left="652" w:hanging="142"/>
      </w:pPr>
      <w:r>
        <w:rPr>
          <w:b w:val="0"/>
          <w:i w:val="0"/>
        </w:rPr>
        <w:t>Implement corrective actions and policy adjustments.</w:t>
      </w:r>
    </w:p>
    <w:p>
      <w:pPr>
        <w:pStyle w:val="ListBullet"/>
        <w:numPr>
          <w:ilvl w:val="0"/>
          <w:numId w:val="90"/>
        </w:numPr>
        <w:ind w:left="340" w:hanging="142"/>
      </w:pPr>
      <w:r>
        <w:rPr>
          <w:b w:val="0"/>
          <w:i w:val="0"/>
        </w:rPr>
        <w:t>Long-Term</w:t>
      </w:r>
    </w:p>
    <w:p>
      <w:pPr>
        <w:pStyle w:val="ListBullet2"/>
        <w:numPr>
          <w:ilvl w:val="1"/>
          <w:numId w:val="90"/>
        </w:numPr>
        <w:ind w:left="652" w:hanging="142"/>
      </w:pPr>
      <w:r>
        <w:rPr>
          <w:b w:val="0"/>
          <w:i w:val="0"/>
        </w:rPr>
        <w:t>Create a culture of continuous quality enhancement.</w:t>
      </w:r>
    </w:p>
    <w:p>
      <w:pPr>
        <w:pStyle w:val="ListBullet2"/>
        <w:numPr>
          <w:ilvl w:val="1"/>
          <w:numId w:val="90"/>
        </w:numPr>
        <w:ind w:left="652" w:hanging="142"/>
      </w:pPr>
      <w:r>
        <w:rPr>
          <w:b w:val="0"/>
          <w:i w:val="0"/>
        </w:rPr>
        <w:t>Institutionalize adaptive governance through AI-driven monitoring.</w:t>
      </w:r>
    </w:p>
    <w:p>
      <w:pPr>
        <w:pStyle w:val="Heading1"/>
      </w:pPr>
      <w:r>
        <w:t>4. Step-by-Step Practical Guide for implementing the Strategic Development Plan (SDP)</w:t>
      </w:r>
    </w:p>
    <w:p>
      <w:pPr>
        <w:pStyle w:val="Heading2"/>
      </w:pPr>
      <w:r>
        <w:t>Step 1: Establish Foundation</w:t>
      </w:r>
    </w:p>
    <w:p>
      <w:pPr>
        <w:pStyle w:val="ListBullet"/>
        <w:numPr>
          <w:ilvl w:val="0"/>
          <w:numId w:val="90"/>
        </w:numPr>
        <w:ind w:left="340" w:hanging="142"/>
      </w:pPr>
      <w:r>
        <w:rPr>
          <w:b w:val="0"/>
          <w:i w:val="0"/>
        </w:rPr>
        <w:t>Form a Strategic Planning Committee (faculty, administrators, students, community reps).</w:t>
      </w:r>
    </w:p>
    <w:p>
      <w:pPr>
        <w:pStyle w:val="ListBullet"/>
        <w:numPr>
          <w:ilvl w:val="0"/>
          <w:numId w:val="90"/>
        </w:numPr>
        <w:ind w:left="340" w:hanging="142"/>
      </w:pPr>
      <w:r>
        <w:rPr>
          <w:b w:val="0"/>
          <w:i w:val="0"/>
        </w:rPr>
        <w:t>Define vision and mission statements aligned with SDGs, NEP 2020, and institutional goals.</w:t>
      </w:r>
    </w:p>
    <w:p>
      <w:pPr>
        <w:pStyle w:val="ListBullet"/>
        <w:numPr>
          <w:ilvl w:val="0"/>
          <w:numId w:val="90"/>
        </w:numPr>
        <w:ind w:left="340" w:hanging="142"/>
      </w:pPr>
      <w:r>
        <w:rPr>
          <w:b w:val="0"/>
          <w:i w:val="0"/>
        </w:rPr>
        <w:t>Communicate purpose across departments to ensure shared ownership.</w:t>
      </w:r>
    </w:p>
    <w:p>
      <w:pPr>
        <w:pStyle w:val="Heading2"/>
      </w:pPr>
      <w:r>
        <w:t>Step 2: Conduct Situational Analysis</w:t>
      </w:r>
    </w:p>
    <w:p>
      <w:pPr>
        <w:pStyle w:val="ListBullet"/>
        <w:numPr>
          <w:ilvl w:val="0"/>
          <w:numId w:val="90"/>
        </w:numPr>
        <w:ind w:left="340" w:hanging="142"/>
      </w:pPr>
      <w:r>
        <w:rPr>
          <w:b w:val="0"/>
          <w:i w:val="0"/>
        </w:rPr>
        <w:t>Perform SWOT (Strengths, Weaknesses, Opportunities, Threats) assessment.</w:t>
      </w:r>
    </w:p>
    <w:p>
      <w:pPr>
        <w:pStyle w:val="ListBullet"/>
        <w:numPr>
          <w:ilvl w:val="0"/>
          <w:numId w:val="90"/>
        </w:numPr>
        <w:ind w:left="340" w:hanging="142"/>
      </w:pPr>
      <w:r>
        <w:rPr>
          <w:b w:val="0"/>
          <w:i w:val="0"/>
        </w:rPr>
        <w:t>Perform PESTLE (Political, Economic, Social, Technological, Legal, Environmental) scan.</w:t>
      </w:r>
    </w:p>
    <w:p>
      <w:pPr>
        <w:pStyle w:val="ListBullet"/>
        <w:numPr>
          <w:ilvl w:val="0"/>
          <w:numId w:val="90"/>
        </w:numPr>
        <w:ind w:left="340" w:hanging="142"/>
      </w:pPr>
      <w:r>
        <w:rPr>
          <w:b/>
          <w:i w:val="0"/>
        </w:rPr>
        <w:t>Gather baseline data:</w:t>
      </w:r>
      <w:r>
        <w:rPr>
          <w:b w:val="0"/>
          <w:i w:val="0"/>
        </w:rPr>
        <w:t xml:space="preserve"> student enrollment, faculty capacity, infrastructure, finances, community outreach.</w:t>
      </w:r>
    </w:p>
    <w:p>
      <w:pPr>
        <w:pStyle w:val="ListBullet"/>
        <w:numPr>
          <w:ilvl w:val="0"/>
          <w:numId w:val="90"/>
        </w:numPr>
        <w:ind w:left="340" w:hanging="142"/>
      </w:pPr>
      <w:r>
        <w:rPr>
          <w:b w:val="0"/>
          <w:i w:val="0"/>
        </w:rPr>
        <w:t>Benchmark with national/global best practices and competitors.</w:t>
      </w:r>
    </w:p>
    <w:p>
      <w:pPr>
        <w:pStyle w:val="Heading2"/>
      </w:pPr>
      <w:r>
        <w:t>Step 3: Define Strategic Objectives</w:t>
      </w:r>
    </w:p>
    <w:p>
      <w:pPr>
        <w:pStyle w:val="ListBullet"/>
        <w:numPr>
          <w:ilvl w:val="0"/>
          <w:numId w:val="90"/>
        </w:numPr>
        <w:ind w:left="340" w:hanging="142"/>
      </w:pPr>
      <w:r>
        <w:rPr>
          <w:b w:val="0"/>
          <w:i w:val="0"/>
        </w:rPr>
        <w:t>Identify key focus areas (academic excellence, research, technology, governance, sustainability).</w:t>
      </w:r>
    </w:p>
    <w:p>
      <w:pPr>
        <w:pStyle w:val="ListBullet"/>
        <w:numPr>
          <w:ilvl w:val="0"/>
          <w:numId w:val="90"/>
        </w:numPr>
        <w:ind w:left="340" w:hanging="142"/>
      </w:pPr>
      <w:r>
        <w:rPr>
          <w:b w:val="0"/>
          <w:i w:val="0"/>
        </w:rPr>
        <w:t>Translate each into SMART goals (Specific, Measurable, Achievable, Relevant, Time-bound).</w:t>
      </w:r>
    </w:p>
    <w:p>
      <w:pPr>
        <w:pStyle w:val="ListBullet"/>
        <w:numPr>
          <w:ilvl w:val="0"/>
          <w:numId w:val="90"/>
        </w:numPr>
        <w:ind w:left="340" w:hanging="142"/>
      </w:pPr>
      <w:r>
        <w:rPr>
          <w:b w:val="0"/>
          <w:i w:val="0"/>
        </w:rPr>
        <w:t>Prioritize objectives based on feasibility, urgency, and impact.</w:t>
      </w:r>
    </w:p>
    <w:p>
      <w:pPr>
        <w:pStyle w:val="Heading2"/>
      </w:pPr>
      <w:r>
        <w:t>Step 4: Develop Action Plans</w:t>
      </w:r>
    </w:p>
    <w:p>
      <w:pPr>
        <w:pStyle w:val="ListBullet"/>
        <w:numPr>
          <w:ilvl w:val="0"/>
          <w:numId w:val="90"/>
        </w:numPr>
        <w:ind w:left="340" w:hanging="142"/>
      </w:pPr>
      <w:r>
        <w:rPr>
          <w:b w:val="0"/>
          <w:i w:val="0"/>
        </w:rPr>
        <w:t>Break each strategic objective into clear activities/projects.</w:t>
      </w:r>
    </w:p>
    <w:p>
      <w:pPr>
        <w:pStyle w:val="ListBullet"/>
        <w:numPr>
          <w:ilvl w:val="0"/>
          <w:numId w:val="90"/>
        </w:numPr>
        <w:ind w:left="340" w:hanging="142"/>
      </w:pPr>
      <w:r>
        <w:rPr>
          <w:b w:val="0"/>
          <w:i w:val="0"/>
        </w:rPr>
        <w:t>Assign responsible units or departments for execution.</w:t>
      </w:r>
    </w:p>
    <w:p>
      <w:pPr>
        <w:pStyle w:val="ListBullet"/>
        <w:numPr>
          <w:ilvl w:val="0"/>
          <w:numId w:val="90"/>
        </w:numPr>
        <w:ind w:left="340" w:hanging="142"/>
      </w:pPr>
      <w:r>
        <w:rPr>
          <w:b w:val="0"/>
          <w:i w:val="0"/>
        </w:rPr>
        <w:t>Allocate budgets, resources, and manpower.</w:t>
      </w:r>
    </w:p>
    <w:p>
      <w:pPr>
        <w:pStyle w:val="ListBullet"/>
        <w:numPr>
          <w:ilvl w:val="0"/>
          <w:numId w:val="90"/>
        </w:numPr>
        <w:ind w:left="340" w:hanging="142"/>
      </w:pPr>
      <w:r>
        <w:rPr>
          <w:b/>
          <w:i w:val="0"/>
        </w:rPr>
        <w:t>Establish timelines (short-term:</w:t>
      </w:r>
      <w:r>
        <w:rPr>
          <w:b w:val="0"/>
          <w:i w:val="0"/>
        </w:rPr>
        <w:t xml:space="preserve"> 1 year, medium-term: 2–3 years, long-term: 4–7 years).</w:t>
      </w:r>
    </w:p>
    <w:p>
      <w:pPr>
        <w:pStyle w:val="Heading2"/>
      </w:pPr>
      <w:r>
        <w:t>Step 5: Build Infrastructure &amp; Capacity</w:t>
      </w:r>
    </w:p>
    <w:p>
      <w:pPr>
        <w:pStyle w:val="ListBullet"/>
        <w:numPr>
          <w:ilvl w:val="0"/>
          <w:numId w:val="90"/>
        </w:numPr>
        <w:ind w:left="340" w:hanging="142"/>
      </w:pPr>
      <w:r>
        <w:rPr>
          <w:b w:val="0"/>
          <w:i w:val="0"/>
        </w:rPr>
        <w:t>Upgrade ICT systems, smart classrooms, and research labs.</w:t>
      </w:r>
    </w:p>
    <w:p>
      <w:pPr>
        <w:pStyle w:val="ListBullet"/>
        <w:numPr>
          <w:ilvl w:val="0"/>
          <w:numId w:val="90"/>
        </w:numPr>
        <w:ind w:left="340" w:hanging="142"/>
      </w:pPr>
      <w:r>
        <w:rPr>
          <w:b w:val="0"/>
          <w:i w:val="0"/>
        </w:rPr>
        <w:t>Implement green campus initiatives (solar, rainwater harvesting, waste recycling).</w:t>
      </w:r>
    </w:p>
    <w:p>
      <w:pPr>
        <w:pStyle w:val="ListBullet"/>
        <w:numPr>
          <w:ilvl w:val="0"/>
          <w:numId w:val="90"/>
        </w:numPr>
        <w:ind w:left="340" w:hanging="142"/>
      </w:pPr>
      <w:r>
        <w:rPr>
          <w:b w:val="0"/>
          <w:i w:val="0"/>
        </w:rPr>
        <w:t>Introduce faculty training, workshops, and mentoring.</w:t>
      </w:r>
    </w:p>
    <w:p>
      <w:pPr>
        <w:pStyle w:val="ListBullet"/>
        <w:numPr>
          <w:ilvl w:val="0"/>
          <w:numId w:val="90"/>
        </w:numPr>
        <w:ind w:left="340" w:hanging="142"/>
      </w:pPr>
      <w:r>
        <w:rPr>
          <w:b w:val="0"/>
          <w:i w:val="0"/>
        </w:rPr>
        <w:t>Encourage innovation hubs and incubators for students.</w:t>
      </w:r>
    </w:p>
    <w:p>
      <w:pPr>
        <w:pStyle w:val="Heading2"/>
      </w:pPr>
      <w:r>
        <w:t>Step 6: Strengthen Governance &amp; Quality Assurance</w:t>
      </w:r>
    </w:p>
    <w:p>
      <w:pPr>
        <w:pStyle w:val="ListBullet"/>
        <w:numPr>
          <w:ilvl w:val="0"/>
          <w:numId w:val="90"/>
        </w:numPr>
        <w:ind w:left="340" w:hanging="142"/>
      </w:pPr>
      <w:r>
        <w:rPr>
          <w:b w:val="0"/>
          <w:i w:val="0"/>
        </w:rPr>
        <w:t>Establish an Internal Quality Assurance Cell (IQAC).</w:t>
      </w:r>
    </w:p>
    <w:p>
      <w:pPr>
        <w:pStyle w:val="ListBullet"/>
        <w:numPr>
          <w:ilvl w:val="0"/>
          <w:numId w:val="90"/>
        </w:numPr>
        <w:ind w:left="340" w:hanging="142"/>
      </w:pPr>
      <w:r>
        <w:rPr>
          <w:b w:val="0"/>
          <w:i w:val="0"/>
        </w:rPr>
        <w:t>Train staff on accreditation standards (NAAC, NBA, QS).</w:t>
      </w:r>
    </w:p>
    <w:p>
      <w:pPr>
        <w:pStyle w:val="ListBullet"/>
        <w:numPr>
          <w:ilvl w:val="0"/>
          <w:numId w:val="90"/>
        </w:numPr>
        <w:ind w:left="340" w:hanging="142"/>
      </w:pPr>
      <w:r>
        <w:rPr>
          <w:b w:val="0"/>
          <w:i w:val="0"/>
        </w:rPr>
        <w:t>Set up transparent policies for admissions, finance, and HR.</w:t>
      </w:r>
    </w:p>
    <w:p>
      <w:pPr>
        <w:pStyle w:val="ListBullet"/>
        <w:numPr>
          <w:ilvl w:val="0"/>
          <w:numId w:val="90"/>
        </w:numPr>
        <w:ind w:left="340" w:hanging="142"/>
      </w:pPr>
      <w:r>
        <w:rPr>
          <w:b w:val="0"/>
          <w:i w:val="0"/>
        </w:rPr>
        <w:t>Introduce digital monitoring dashboards for real-time tracking.</w:t>
      </w:r>
    </w:p>
    <w:p>
      <w:pPr>
        <w:pStyle w:val="Heading2"/>
      </w:pPr>
      <w:r>
        <w:t>Step 7: Secure Financial Sustainability</w:t>
      </w:r>
    </w:p>
    <w:p>
      <w:pPr>
        <w:pStyle w:val="ListBullet"/>
        <w:numPr>
          <w:ilvl w:val="0"/>
          <w:numId w:val="90"/>
        </w:numPr>
        <w:ind w:left="340" w:hanging="142"/>
      </w:pPr>
      <w:r>
        <w:rPr>
          <w:b/>
          <w:i w:val="0"/>
        </w:rPr>
        <w:t>Diversify funding:</w:t>
      </w:r>
      <w:r>
        <w:rPr>
          <w:b w:val="0"/>
          <w:i w:val="0"/>
        </w:rPr>
        <w:t xml:space="preserve"> grants, consultancy projects, alumni donations.</w:t>
      </w:r>
    </w:p>
    <w:p>
      <w:pPr>
        <w:pStyle w:val="ListBullet"/>
        <w:numPr>
          <w:ilvl w:val="0"/>
          <w:numId w:val="90"/>
        </w:numPr>
        <w:ind w:left="340" w:hanging="142"/>
      </w:pPr>
      <w:r>
        <w:rPr>
          <w:b w:val="0"/>
          <w:i w:val="0"/>
        </w:rPr>
        <w:t>Build public-private partnerships for infrastructure.</w:t>
      </w:r>
    </w:p>
    <w:p>
      <w:pPr>
        <w:pStyle w:val="ListBullet"/>
        <w:numPr>
          <w:ilvl w:val="0"/>
          <w:numId w:val="90"/>
        </w:numPr>
        <w:ind w:left="340" w:hanging="142"/>
      </w:pPr>
      <w:r>
        <w:rPr>
          <w:b w:val="0"/>
          <w:i w:val="0"/>
        </w:rPr>
        <w:t>Create endowment funds for scholarships and research.</w:t>
      </w:r>
    </w:p>
    <w:p>
      <w:pPr>
        <w:pStyle w:val="ListBullet"/>
        <w:numPr>
          <w:ilvl w:val="0"/>
          <w:numId w:val="90"/>
        </w:numPr>
        <w:ind w:left="340" w:hanging="142"/>
      </w:pPr>
      <w:r>
        <w:rPr>
          <w:b w:val="0"/>
          <w:i w:val="0"/>
        </w:rPr>
        <w:t>Implement cost-efficiency measures across departments.</w:t>
      </w:r>
    </w:p>
    <w:p>
      <w:pPr>
        <w:pStyle w:val="Heading2"/>
      </w:pPr>
      <w:r>
        <w:t>Step 8: Engage Community &amp; Global Networks</w:t>
      </w:r>
    </w:p>
    <w:p>
      <w:pPr>
        <w:pStyle w:val="ListBullet"/>
        <w:numPr>
          <w:ilvl w:val="0"/>
          <w:numId w:val="90"/>
        </w:numPr>
        <w:ind w:left="340" w:hanging="142"/>
      </w:pPr>
      <w:r>
        <w:rPr>
          <w:b w:val="0"/>
          <w:i w:val="0"/>
        </w:rPr>
        <w:t>Launch extension services (health camps, literacy drives, social initiatives).</w:t>
      </w:r>
    </w:p>
    <w:p>
      <w:pPr>
        <w:pStyle w:val="ListBullet"/>
        <w:numPr>
          <w:ilvl w:val="0"/>
          <w:numId w:val="90"/>
        </w:numPr>
        <w:ind w:left="340" w:hanging="142"/>
      </w:pPr>
      <w:r>
        <w:rPr>
          <w:b w:val="0"/>
          <w:i w:val="0"/>
        </w:rPr>
        <w:t>Partner with local industries and government bodies for societal impact.</w:t>
      </w:r>
    </w:p>
    <w:p>
      <w:pPr>
        <w:pStyle w:val="ListBullet"/>
        <w:numPr>
          <w:ilvl w:val="0"/>
          <w:numId w:val="90"/>
        </w:numPr>
        <w:ind w:left="340" w:hanging="142"/>
      </w:pPr>
      <w:r>
        <w:rPr>
          <w:b w:val="0"/>
          <w:i w:val="0"/>
        </w:rPr>
        <w:t>Sign MoUs with international universities for exchange and research.</w:t>
      </w:r>
    </w:p>
    <w:p>
      <w:pPr>
        <w:pStyle w:val="ListBullet"/>
        <w:numPr>
          <w:ilvl w:val="0"/>
          <w:numId w:val="90"/>
        </w:numPr>
        <w:ind w:left="340" w:hanging="142"/>
      </w:pPr>
      <w:r>
        <w:rPr>
          <w:b w:val="0"/>
          <w:i w:val="0"/>
        </w:rPr>
        <w:t>Host international conferences and collaborations to build global visibility.</w:t>
      </w:r>
    </w:p>
    <w:p>
      <w:pPr>
        <w:pStyle w:val="Heading2"/>
      </w:pPr>
      <w:r>
        <w:t>Step 9: Implement Monitoring &amp; Evaluation</w:t>
      </w:r>
    </w:p>
    <w:p>
      <w:pPr>
        <w:pStyle w:val="ListBullet"/>
        <w:numPr>
          <w:ilvl w:val="0"/>
          <w:numId w:val="90"/>
        </w:numPr>
        <w:ind w:left="340" w:hanging="142"/>
      </w:pPr>
      <w:r>
        <w:rPr>
          <w:b w:val="0"/>
          <w:i w:val="0"/>
        </w:rPr>
        <w:t>Define KPIs (Key Performance Indicators) for each strategic goal.</w:t>
      </w:r>
    </w:p>
    <w:p>
      <w:pPr>
        <w:pStyle w:val="ListBullet"/>
        <w:numPr>
          <w:ilvl w:val="0"/>
          <w:numId w:val="90"/>
        </w:numPr>
        <w:ind w:left="340" w:hanging="142"/>
      </w:pPr>
      <w:r>
        <w:rPr>
          <w:b w:val="0"/>
          <w:i w:val="0"/>
        </w:rPr>
        <w:t>Conduct quarterly and annual reviews with all stakeholders.</w:t>
      </w:r>
    </w:p>
    <w:p>
      <w:pPr>
        <w:pStyle w:val="ListBullet"/>
        <w:numPr>
          <w:ilvl w:val="0"/>
          <w:numId w:val="90"/>
        </w:numPr>
        <w:ind w:left="340" w:hanging="142"/>
      </w:pPr>
      <w:r>
        <w:rPr>
          <w:b w:val="0"/>
          <w:i w:val="0"/>
        </w:rPr>
        <w:t>Use feedback loops (student surveys, faculty reviews, community inputs).</w:t>
      </w:r>
    </w:p>
    <w:p>
      <w:pPr>
        <w:pStyle w:val="ListBullet"/>
        <w:numPr>
          <w:ilvl w:val="0"/>
          <w:numId w:val="90"/>
        </w:numPr>
        <w:ind w:left="340" w:hanging="142"/>
      </w:pPr>
      <w:r>
        <w:rPr>
          <w:b w:val="0"/>
          <w:i w:val="0"/>
        </w:rPr>
        <w:t>Apply mid-course corrections where needed.</w:t>
      </w:r>
    </w:p>
    <w:p>
      <w:pPr>
        <w:pStyle w:val="Heading2"/>
      </w:pPr>
      <w:r>
        <w:t>Step 10: Ensure Continuous Improvement</w:t>
      </w:r>
    </w:p>
    <w:p>
      <w:pPr>
        <w:pStyle w:val="ListBullet"/>
        <w:numPr>
          <w:ilvl w:val="0"/>
          <w:numId w:val="90"/>
        </w:numPr>
        <w:ind w:left="340" w:hanging="142"/>
      </w:pPr>
      <w:r>
        <w:rPr>
          <w:b w:val="0"/>
          <w:i w:val="0"/>
        </w:rPr>
        <w:t>Institutionalize a culture of innovation and adaptability.</w:t>
      </w:r>
    </w:p>
    <w:p>
      <w:pPr>
        <w:pStyle w:val="ListBullet"/>
        <w:numPr>
          <w:ilvl w:val="0"/>
          <w:numId w:val="90"/>
        </w:numPr>
        <w:ind w:left="340" w:hanging="142"/>
      </w:pPr>
      <w:r>
        <w:rPr>
          <w:b w:val="0"/>
          <w:i w:val="0"/>
        </w:rPr>
        <w:t>Use AI-driven analytics for long-term trend monitoring.</w:t>
      </w:r>
    </w:p>
    <w:p>
      <w:pPr>
        <w:pStyle w:val="ListBullet"/>
        <w:numPr>
          <w:ilvl w:val="0"/>
          <w:numId w:val="90"/>
        </w:numPr>
        <w:ind w:left="340" w:hanging="142"/>
      </w:pPr>
      <w:r>
        <w:rPr>
          <w:b w:val="0"/>
          <w:i w:val="0"/>
        </w:rPr>
        <w:t>Celebrate success stories and publish annual progress reports.</w:t>
      </w:r>
    </w:p>
    <w:p>
      <w:pPr>
        <w:pStyle w:val="ListBullet"/>
        <w:numPr>
          <w:ilvl w:val="0"/>
          <w:numId w:val="90"/>
        </w:numPr>
        <w:ind w:left="340" w:hanging="142"/>
      </w:pPr>
      <w:r>
        <w:rPr>
          <w:b w:val="0"/>
          <w:i w:val="0"/>
        </w:rPr>
        <w:t>Revise the SDP every 5–7 years to stay relevant with emerging challenges.</w:t>
      </w:r>
    </w:p>
    <w:p>
      <w:pPr>
        <w:pStyle w:val="Heading1"/>
      </w:pPr>
      <w:r>
        <w:t>5. Vision Statement</w:t>
      </w:r>
    </w:p>
    <w:p>
      <w:pPr>
        <w:pStyle w:val="Heading2"/>
      </w:pPr>
      <w:r>
        <w:t>Key Features</w:t>
      </w:r>
    </w:p>
    <w:p>
      <w:pPr>
        <w:pStyle w:val="ListBullet"/>
        <w:numPr>
          <w:ilvl w:val="0"/>
          <w:numId w:val="90"/>
        </w:numPr>
        <w:ind w:left="340" w:hanging="142"/>
      </w:pPr>
      <w:r>
        <w:rPr>
          <w:b/>
          <w:i w:val="0"/>
        </w:rPr>
        <w:t>Clarity:</w:t>
      </w:r>
      <w:r>
        <w:rPr>
          <w:b w:val="0"/>
          <w:i w:val="0"/>
        </w:rPr>
        <w:t xml:space="preserve"> Simple, unambiguous, and easy to communicate.</w:t>
      </w:r>
    </w:p>
    <w:p>
      <w:pPr>
        <w:pStyle w:val="ListBullet"/>
        <w:numPr>
          <w:ilvl w:val="0"/>
          <w:numId w:val="90"/>
        </w:numPr>
        <w:ind w:left="340" w:hanging="142"/>
      </w:pPr>
      <w:r>
        <w:rPr>
          <w:b/>
          <w:i w:val="0"/>
        </w:rPr>
        <w:t>Future-Oriented:</w:t>
      </w:r>
      <w:r>
        <w:rPr>
          <w:b w:val="0"/>
          <w:i w:val="0"/>
        </w:rPr>
        <w:t xml:space="preserve"> Focuses on long-term aspirations (10–20 years).</w:t>
      </w:r>
    </w:p>
    <w:p>
      <w:pPr>
        <w:pStyle w:val="ListBullet"/>
        <w:numPr>
          <w:ilvl w:val="0"/>
          <w:numId w:val="90"/>
        </w:numPr>
        <w:ind w:left="340" w:hanging="142"/>
      </w:pPr>
      <w:r>
        <w:rPr>
          <w:b/>
          <w:i w:val="0"/>
        </w:rPr>
        <w:t>Inspirational:</w:t>
      </w:r>
      <w:r>
        <w:rPr>
          <w:b w:val="0"/>
          <w:i w:val="0"/>
        </w:rPr>
        <w:t xml:space="preserve"> Motivates stakeholders (students, faculty, community).</w:t>
      </w:r>
    </w:p>
    <w:p>
      <w:pPr>
        <w:pStyle w:val="ListBullet"/>
        <w:numPr>
          <w:ilvl w:val="0"/>
          <w:numId w:val="90"/>
        </w:numPr>
        <w:ind w:left="340" w:hanging="142"/>
      </w:pPr>
      <w:r>
        <w:rPr>
          <w:b/>
          <w:i w:val="0"/>
        </w:rPr>
        <w:t>Strategic Alignment:</w:t>
      </w:r>
      <w:r>
        <w:rPr>
          <w:b w:val="0"/>
          <w:i w:val="0"/>
        </w:rPr>
        <w:t xml:space="preserve"> Consistent with NEP 2020, SDGs, and global higher education priorities.</w:t>
      </w:r>
    </w:p>
    <w:p>
      <w:pPr>
        <w:pStyle w:val="ListBullet"/>
        <w:numPr>
          <w:ilvl w:val="0"/>
          <w:numId w:val="90"/>
        </w:numPr>
        <w:ind w:left="340" w:hanging="142"/>
      </w:pPr>
      <w:r>
        <w:rPr>
          <w:b/>
          <w:i w:val="0"/>
        </w:rPr>
        <w:t>Institution-Specific:</w:t>
      </w:r>
      <w:r>
        <w:rPr>
          <w:b w:val="0"/>
          <w:i w:val="0"/>
        </w:rPr>
        <w:t xml:space="preserve"> Reflects unique identity and strengths of the institution.</w:t>
      </w:r>
    </w:p>
    <w:p>
      <w:pPr>
        <w:pStyle w:val="Heading2"/>
      </w:pPr>
      <w:r>
        <w:t>Sample Vision Statements</w:t>
      </w:r>
    </w:p>
    <w:p>
      <w:pPr>
        <w:pStyle w:val="ListBullet"/>
        <w:numPr>
          <w:ilvl w:val="0"/>
          <w:numId w:val="90"/>
        </w:numPr>
        <w:ind w:left="340" w:hanging="142"/>
      </w:pPr>
      <w:r>
        <w:rPr>
          <w:b/>
          <w:i w:val="0"/>
        </w:rPr>
        <w:t>Academic Excellence:</w:t>
      </w:r>
      <w:r>
        <w:rPr>
          <w:b w:val="0"/>
          <w:i w:val="0"/>
        </w:rPr>
        <w:t xml:space="preserve"> </w:t>
      </w:r>
      <w:r>
        <w:rPr>
          <w:b w:val="0"/>
          <w:i/>
        </w:rPr>
        <w:t>“To be a globally recognized institution of excellence in teaching, research, and innovation, fostering lifelong learning and societal transformation.”</w:t>
      </w:r>
    </w:p>
    <w:p>
      <w:pPr>
        <w:pStyle w:val="ListBullet"/>
        <w:numPr>
          <w:ilvl w:val="0"/>
          <w:numId w:val="90"/>
        </w:numPr>
        <w:ind w:left="340" w:hanging="142"/>
      </w:pPr>
      <w:r>
        <w:rPr>
          <w:b/>
          <w:i w:val="0"/>
        </w:rPr>
        <w:t>Research &amp; Innovation Focus:</w:t>
      </w:r>
      <w:r>
        <w:rPr>
          <w:b w:val="0"/>
          <w:i w:val="0"/>
        </w:rPr>
        <w:t xml:space="preserve"> </w:t>
      </w:r>
      <w:r>
        <w:rPr>
          <w:b w:val="0"/>
          <w:i/>
        </w:rPr>
        <w:t>“To lead as a knowledge hub that drives sustainable innovation, multidisciplinary research, and impactful solutions for global challenges.”</w:t>
      </w:r>
    </w:p>
    <w:p>
      <w:pPr>
        <w:pStyle w:val="ListBullet"/>
        <w:numPr>
          <w:ilvl w:val="0"/>
          <w:numId w:val="90"/>
        </w:numPr>
        <w:ind w:left="340" w:hanging="142"/>
      </w:pPr>
      <w:r>
        <w:rPr>
          <w:b/>
          <w:i w:val="0"/>
        </w:rPr>
        <w:t>Sustainability &amp; SDG Alignment:</w:t>
      </w:r>
      <w:r>
        <w:rPr>
          <w:b w:val="0"/>
          <w:i w:val="0"/>
        </w:rPr>
        <w:t xml:space="preserve"> </w:t>
      </w:r>
      <w:r>
        <w:rPr>
          <w:b w:val="0"/>
          <w:i/>
        </w:rPr>
        <w:t>“To create a sustainable and inclusive academic ecosystem that empowers individuals, advances clean technologies, and contributes to the UN Sustainable Development Goals.”</w:t>
      </w:r>
    </w:p>
    <w:p>
      <w:pPr>
        <w:pStyle w:val="ListBullet"/>
        <w:numPr>
          <w:ilvl w:val="0"/>
          <w:numId w:val="90"/>
        </w:numPr>
        <w:ind w:left="340" w:hanging="142"/>
      </w:pPr>
      <w:r>
        <w:rPr>
          <w:b/>
          <w:i w:val="0"/>
        </w:rPr>
        <w:t>Global Engagement:</w:t>
      </w:r>
      <w:r>
        <w:rPr>
          <w:b w:val="0"/>
          <w:i w:val="0"/>
        </w:rPr>
        <w:t xml:space="preserve"> </w:t>
      </w:r>
      <w:r>
        <w:rPr>
          <w:b w:val="0"/>
          <w:i/>
        </w:rPr>
        <w:t>“To emerge as a world-class university that nurtures global citizens, builds international collaborations, and inspires leadership for a better future.”</w:t>
      </w:r>
    </w:p>
    <w:p>
      <w:pPr>
        <w:pStyle w:val="Heading2"/>
      </w:pPr>
      <w:r>
        <w:t>Draft Vision Statement</w:t>
      </w:r>
    </w:p>
    <w:p>
      <w:pPr>
        <w:ind w:left="369" w:right="227"/>
      </w:pPr>
      <w:r>
        <w:rPr>
          <w:b w:val="0"/>
          <w:i/>
        </w:rPr>
        <w:t>“To be a transformative higher education institution that nurtures excellence in teaching, research, and innovation, empowers learners with multidisciplinary knowledge and global competencies, advances equity and inclusivity, and contributes to sustainable development by aligning education with the principles of NEP 2020 and the United Nations Sustainable Development Goals.”</w:t>
      </w:r>
    </w:p>
    <w:p>
      <w:pPr>
        <w:pStyle w:val="Heading2"/>
      </w:pPr>
      <w:r>
        <w:t>Key Elements Embedded</w:t>
      </w:r>
    </w:p>
    <w:p>
      <w:pPr>
        <w:pStyle w:val="ListBullet"/>
        <w:numPr>
          <w:ilvl w:val="0"/>
          <w:numId w:val="90"/>
        </w:numPr>
        <w:ind w:left="340" w:hanging="142"/>
      </w:pPr>
      <w:r>
        <w:rPr>
          <w:b w:val="0"/>
          <w:i w:val="0"/>
        </w:rPr>
        <w:t>Excellence in Teaching &amp; Research → Academic quality (NEP 2020 focus).</w:t>
      </w:r>
    </w:p>
    <w:p>
      <w:pPr>
        <w:pStyle w:val="ListBullet"/>
        <w:numPr>
          <w:ilvl w:val="0"/>
          <w:numId w:val="90"/>
        </w:numPr>
        <w:ind w:left="340" w:hanging="142"/>
      </w:pPr>
      <w:r>
        <w:rPr>
          <w:b w:val="0"/>
          <w:i w:val="0"/>
        </w:rPr>
        <w:t>Multidisciplinary Knowledge → Flexibility, innovation, and holistic education.</w:t>
      </w:r>
    </w:p>
    <w:p>
      <w:pPr>
        <w:pStyle w:val="ListBullet"/>
        <w:numPr>
          <w:ilvl w:val="0"/>
          <w:numId w:val="90"/>
        </w:numPr>
        <w:ind w:left="340" w:hanging="142"/>
      </w:pPr>
      <w:r>
        <w:rPr>
          <w:b w:val="0"/>
          <w:i w:val="0"/>
        </w:rPr>
        <w:t>Equity &amp; Inclusivity → Social justice, diversity, and SDG-4 (Quality Education).</w:t>
      </w:r>
    </w:p>
    <w:p>
      <w:pPr>
        <w:pStyle w:val="ListBullet"/>
        <w:numPr>
          <w:ilvl w:val="0"/>
          <w:numId w:val="90"/>
        </w:numPr>
        <w:ind w:left="340" w:hanging="142"/>
      </w:pPr>
      <w:r>
        <w:rPr>
          <w:b w:val="0"/>
          <w:i w:val="0"/>
        </w:rPr>
        <w:t>. Global Competencies → Preparing students as global citizens.</w:t>
      </w:r>
    </w:p>
    <w:p>
      <w:pPr>
        <w:pStyle w:val="ListBullet"/>
        <w:numPr>
          <w:ilvl w:val="0"/>
          <w:numId w:val="90"/>
        </w:numPr>
        <w:ind w:left="340" w:hanging="142"/>
      </w:pPr>
      <w:r>
        <w:rPr>
          <w:b w:val="0"/>
          <w:i w:val="0"/>
        </w:rPr>
        <w:t>. Sustainability → Strong link to SDGs (SDG-7 Clean Energy, SDG-11 Sustainable Communities, SDG-17 Partnerships).</w:t>
      </w:r>
    </w:p>
    <w:p>
      <w:pPr>
        <w:pStyle w:val="ListBullet"/>
        <w:numPr>
          <w:ilvl w:val="0"/>
          <w:numId w:val="90"/>
        </w:numPr>
        <w:ind w:left="340" w:hanging="142"/>
      </w:pPr>
      <w:r>
        <w:rPr>
          <w:b w:val="0"/>
          <w:i w:val="0"/>
        </w:rPr>
        <w:t>National &amp; Global Alignment → Direct compliance with NEP 2020 priorities.</w:t>
      </w:r>
    </w:p>
    <w:p>
      <w:pPr>
        <w:pStyle w:val="Heading2"/>
      </w:pPr>
      <w:r>
        <w:t>1. Academic-Focused</w:t>
      </w:r>
    </w:p>
    <w:p>
      <w:pPr>
        <w:ind w:left="369" w:right="227"/>
      </w:pPr>
      <w:r>
        <w:rPr>
          <w:b w:val="0"/>
          <w:i/>
        </w:rPr>
        <w:t>“To be a leading institution of higher learning that fosters academic excellence, holistic development, and lifelong learning in alignment with NEP 2020 and the global SDGs.”</w:t>
      </w:r>
    </w:p>
    <w:p>
      <w:pPr>
        <w:pStyle w:val="Heading2"/>
      </w:pPr>
      <w:r>
        <w:t>2. Research-Focused</w:t>
      </w:r>
    </w:p>
    <w:p>
      <w:pPr>
        <w:ind w:left="369" w:right="227"/>
      </w:pPr>
      <w:r>
        <w:rPr>
          <w:b w:val="0"/>
          <w:i/>
        </w:rPr>
        <w:t>“To emerge as a global hub of innovation and multidisciplinary research, creating knowledge and solutions that advance sustainable development and societal”</w:t>
      </w:r>
      <w:r>
        <w:rPr>
          <w:b w:val="0"/>
          <w:i/>
        </w:rPr>
        <w:t xml:space="preserve"> progress.</w:t>
      </w:r>
    </w:p>
    <w:p>
      <w:pPr>
        <w:pStyle w:val="Heading2"/>
      </w:pPr>
      <w:r>
        <w:t>3. Sustainability-Focused</w:t>
      </w:r>
    </w:p>
    <w:p>
      <w:pPr>
        <w:ind w:left="369" w:right="227"/>
      </w:pPr>
      <w:r>
        <w:rPr>
          <w:b w:val="0"/>
          <w:i/>
        </w:rPr>
        <w:t>“To cultivate an inclusive, sustainable, and future-ready academic ecosystem that empowers learners and contributes to the UN Sustainable Development Goals.”</w:t>
      </w:r>
    </w:p>
    <w:p>
      <w:pPr>
        <w:pStyle w:val="Heading2"/>
      </w:pPr>
      <w:r>
        <w:t>Option 1: Academic Excellence &amp; Lifelong Learning</w:t>
      </w:r>
    </w:p>
    <w:p>
      <w:pPr>
        <w:ind w:left="369" w:right="227"/>
      </w:pPr>
      <w:r>
        <w:rPr>
          <w:b w:val="0"/>
          <w:i/>
        </w:rPr>
        <w:t>“To be a world-class higher education institution over the next two decades, shaping future generations through transformative learning, interdisciplinary knowledge, and inclusive education that prepares students for lifelong success and societal impact.”</w:t>
      </w:r>
    </w:p>
    <w:p>
      <w:pPr>
        <w:pStyle w:val="Heading2"/>
      </w:pPr>
      <w:r>
        <w:t>Option 2: Research &amp; Global Leadership</w:t>
      </w:r>
    </w:p>
    <w:p>
      <w:pPr>
        <w:ind w:left="369" w:right="227"/>
      </w:pPr>
      <w:r>
        <w:rPr>
          <w:b w:val="0"/>
          <w:i/>
        </w:rPr>
        <w:t>“In the next 20 years, to emerge as a global leader in multidisciplinary research, innovation, and knowledge creation, delivering solutions to humanity’s grand challenges while advancing national priorities and global Sustainable Development Goals.”</w:t>
      </w:r>
    </w:p>
    <w:p>
      <w:pPr>
        <w:pStyle w:val="Heading2"/>
      </w:pPr>
      <w:r>
        <w:t>Option 3: Sustainability &amp; Social Impact</w:t>
      </w:r>
    </w:p>
    <w:p>
      <w:pPr>
        <w:ind w:left="369" w:right="227"/>
      </w:pPr>
      <w:r>
        <w:rPr>
          <w:b w:val="0"/>
          <w:i/>
        </w:rPr>
        <w:t>“To create, within the next generation, a sustainable and socially responsible academic ecosystem that drives green innovation, empowers communities, and establishes the institution as a model for higher education aligned with the SDGs.”</w:t>
      </w:r>
    </w:p>
    <w:p>
      <w:pPr>
        <w:pStyle w:val="Heading2"/>
      </w:pPr>
      <w:r>
        <w:t>Option 4: Comprehensive Growth (Integrated Model)</w:t>
      </w:r>
    </w:p>
    <w:p>
      <w:pPr>
        <w:ind w:left="369" w:right="227"/>
      </w:pPr>
      <w:r>
        <w:rPr>
          <w:b w:val="0"/>
          <w:i/>
        </w:rPr>
        <w:t>“Over the next 10–20 years, to evolve into a transformative higher education institution recognized globally for excellence in teaching, research, inclusivity, sustainability, and innovation—bridging local aspirations with global Sustainable Development Goals.”</w:t>
      </w:r>
    </w:p>
    <w:p>
      <w:pPr>
        <w:pStyle w:val="Heading2"/>
      </w:pPr>
      <w:r>
        <w:t>Vision–Pillar Mapping Framework</w:t>
      </w:r>
    </w:p>
    <w:p>
      <w:pPr>
        <w:pStyle w:val="Heading2"/>
      </w:pPr>
      <w:r>
        <w:rPr>
          <w:i/>
        </w:rPr>
        <w:t>Option 1: Academic Excellence &amp; Lifelong Learning</w:t>
      </w:r>
    </w:p>
    <w:p>
      <w:pPr>
        <w:ind w:left="369" w:right="227"/>
      </w:pPr>
      <w:r>
        <w:rPr>
          <w:b w:val="0"/>
          <w:i/>
        </w:rPr>
        <w:t>“To be a world-class higher education institution over the next two decades, shaping future generations through transformative learning, interdisciplinary knowledge, and inclusive education that prepares students for lifelong success and societal impact.”</w:t>
      </w:r>
    </w:p>
    <w:p>
      <w:pPr>
        <w:pStyle w:val="Heading2"/>
      </w:pPr>
      <w:r>
        <w:t>Strategic Pillars:</w:t>
      </w:r>
    </w:p>
    <w:p>
      <w:pPr>
        <w:pStyle w:val="ListBullet"/>
        <w:numPr>
          <w:ilvl w:val="0"/>
          <w:numId w:val="90"/>
        </w:numPr>
        <w:ind w:left="340" w:hanging="142"/>
      </w:pPr>
      <w:r>
        <w:rPr>
          <w:b/>
          <w:i w:val="0"/>
        </w:rPr>
        <w:t>Academic Excellence:</w:t>
      </w:r>
      <w:r>
        <w:rPr>
          <w:b w:val="0"/>
          <w:i w:val="0"/>
        </w:rPr>
        <w:t xml:space="preserve"> Curriculum reforms, outcome-based learning, lifelong learning pathways.</w:t>
      </w:r>
    </w:p>
    <w:p>
      <w:pPr>
        <w:pStyle w:val="ListBullet"/>
        <w:numPr>
          <w:ilvl w:val="0"/>
          <w:numId w:val="90"/>
        </w:numPr>
        <w:ind w:left="340" w:hanging="142"/>
      </w:pPr>
      <w:r>
        <w:rPr>
          <w:b/>
          <w:i w:val="0"/>
        </w:rPr>
        <w:t>Equity &amp; Inclusion:</w:t>
      </w:r>
      <w:r>
        <w:rPr>
          <w:b w:val="0"/>
          <w:i w:val="0"/>
        </w:rPr>
        <w:t xml:space="preserve"> Scholarships, access for underrepresented groups, gender diversity.</w:t>
      </w:r>
    </w:p>
    <w:p>
      <w:pPr>
        <w:pStyle w:val="ListBullet"/>
        <w:numPr>
          <w:ilvl w:val="0"/>
          <w:numId w:val="90"/>
        </w:numPr>
        <w:ind w:left="340" w:hanging="142"/>
      </w:pPr>
      <w:r>
        <w:rPr>
          <w:b/>
          <w:i w:val="0"/>
        </w:rPr>
        <w:t>Student Development:</w:t>
      </w:r>
      <w:r>
        <w:rPr>
          <w:b w:val="0"/>
          <w:i w:val="0"/>
        </w:rPr>
        <w:t xml:space="preserve"> Career services, holistic development, mentorship.</w:t>
      </w:r>
    </w:p>
    <w:p>
      <w:pPr>
        <w:pStyle w:val="ListBullet"/>
        <w:numPr>
          <w:ilvl w:val="0"/>
          <w:numId w:val="90"/>
        </w:numPr>
        <w:ind w:left="340" w:hanging="142"/>
      </w:pPr>
      <w:r>
        <w:rPr>
          <w:b/>
          <w:i w:val="0"/>
        </w:rPr>
        <w:t>Community Engagement:</w:t>
      </w:r>
      <w:r>
        <w:rPr>
          <w:b w:val="0"/>
          <w:i w:val="0"/>
        </w:rPr>
        <w:t xml:space="preserve"> Lifelong learning programs for society, local development initiatives.</w:t>
      </w:r>
    </w:p>
    <w:p>
      <w:pPr>
        <w:pStyle w:val="Heading2"/>
      </w:pPr>
      <w:r>
        <w:rPr>
          <w:i/>
        </w:rPr>
        <w:t>Option 2: Research &amp; Global Leadership</w:t>
      </w:r>
    </w:p>
    <w:p>
      <w:pPr>
        <w:ind w:left="369" w:right="227"/>
      </w:pPr>
      <w:r>
        <w:rPr>
          <w:b w:val="0"/>
          <w:i/>
        </w:rPr>
        <w:t>“In the next 20 years, to emerge as a global leader in multidisciplinary research, innovation, and knowledge creation, delivering solutions to humanity’s grand challenges while advancing national priorities and global Sustainable Development Goals.”</w:t>
      </w:r>
    </w:p>
    <w:p>
      <w:pPr>
        <w:pStyle w:val="Heading2"/>
      </w:pPr>
      <w:r>
        <w:t>Strategic Pillars:</w:t>
      </w:r>
    </w:p>
    <w:p>
      <w:pPr>
        <w:pStyle w:val="ListBullet"/>
        <w:numPr>
          <w:ilvl w:val="0"/>
          <w:numId w:val="90"/>
        </w:numPr>
        <w:ind w:left="340" w:hanging="142"/>
      </w:pPr>
      <w:r>
        <w:rPr>
          <w:b/>
          <w:i w:val="0"/>
        </w:rPr>
        <w:t>Research &amp; Innovation:</w:t>
      </w:r>
      <w:r>
        <w:rPr>
          <w:b w:val="0"/>
          <w:i w:val="0"/>
        </w:rPr>
        <w:t xml:space="preserve"> Centers of Excellence, patents, global research networks.</w:t>
      </w:r>
    </w:p>
    <w:p>
      <w:pPr>
        <w:pStyle w:val="ListBullet"/>
        <w:numPr>
          <w:ilvl w:val="0"/>
          <w:numId w:val="90"/>
        </w:numPr>
        <w:ind w:left="340" w:hanging="142"/>
      </w:pPr>
      <w:r>
        <w:rPr>
          <w:b/>
          <w:i w:val="0"/>
        </w:rPr>
        <w:t>Globalization &amp; Partnerships:</w:t>
      </w:r>
      <w:r>
        <w:rPr>
          <w:b w:val="0"/>
          <w:i w:val="0"/>
        </w:rPr>
        <w:t xml:space="preserve"> MoUs, dual degrees, international conferences.</w:t>
      </w:r>
    </w:p>
    <w:p>
      <w:pPr>
        <w:pStyle w:val="ListBullet"/>
        <w:numPr>
          <w:ilvl w:val="0"/>
          <w:numId w:val="90"/>
        </w:numPr>
        <w:ind w:left="340" w:hanging="142"/>
      </w:pPr>
      <w:r>
        <w:rPr>
          <w:b/>
          <w:i w:val="0"/>
        </w:rPr>
        <w:t>Technology Advancement:</w:t>
      </w:r>
      <w:r>
        <w:rPr>
          <w:b w:val="0"/>
          <w:i w:val="0"/>
        </w:rPr>
        <w:t xml:space="preserve"> AI, big data, IoT, and sustainability-driven research.</w:t>
      </w:r>
    </w:p>
    <w:p>
      <w:pPr>
        <w:pStyle w:val="ListBullet"/>
        <w:numPr>
          <w:ilvl w:val="0"/>
          <w:numId w:val="90"/>
        </w:numPr>
        <w:ind w:left="340" w:hanging="142"/>
      </w:pPr>
      <w:r>
        <w:rPr>
          <w:b/>
          <w:i w:val="0"/>
        </w:rPr>
        <w:t>Societal Impact:</w:t>
      </w:r>
      <w:r>
        <w:rPr>
          <w:b w:val="0"/>
          <w:i w:val="0"/>
        </w:rPr>
        <w:t xml:space="preserve"> Research aligned with SDGs (climate change, clean energy, health).</w:t>
      </w:r>
    </w:p>
    <w:p>
      <w:pPr>
        <w:pStyle w:val="Heading2"/>
      </w:pPr>
      <w:r>
        <w:rPr>
          <w:i/>
        </w:rPr>
        <w:t>Option 3: Sustainability &amp; Social Impact</w:t>
      </w:r>
    </w:p>
    <w:p>
      <w:pPr>
        <w:ind w:left="369" w:right="227"/>
      </w:pPr>
      <w:r>
        <w:rPr>
          <w:b w:val="0"/>
          <w:i/>
        </w:rPr>
        <w:t>“To create, within the next generation, a sustainable and socially responsible academic ecosystem that drives green innovation, empowers communities, and establishes the institution as a model for higher education aligned with the SDGs.”</w:t>
      </w:r>
    </w:p>
    <w:p>
      <w:pPr>
        <w:pStyle w:val="Heading2"/>
      </w:pPr>
      <w:r>
        <w:t>Strategic Pillars:</w:t>
      </w:r>
    </w:p>
    <w:p>
      <w:pPr>
        <w:pStyle w:val="ListBullet"/>
        <w:numPr>
          <w:ilvl w:val="0"/>
          <w:numId w:val="90"/>
        </w:numPr>
        <w:ind w:left="340" w:hanging="142"/>
      </w:pPr>
      <w:r>
        <w:rPr>
          <w:b/>
          <w:i w:val="0"/>
        </w:rPr>
        <w:t>Sustainability:</w:t>
      </w:r>
      <w:r>
        <w:rPr>
          <w:b w:val="0"/>
          <w:i w:val="0"/>
        </w:rPr>
        <w:t xml:space="preserve"> Carbon-neutral campus, renewable energy adoption, green buildings.</w:t>
      </w:r>
    </w:p>
    <w:p>
      <w:pPr>
        <w:pStyle w:val="ListBullet"/>
        <w:numPr>
          <w:ilvl w:val="0"/>
          <w:numId w:val="90"/>
        </w:numPr>
        <w:ind w:left="340" w:hanging="142"/>
      </w:pPr>
      <w:r>
        <w:rPr>
          <w:b/>
          <w:i w:val="0"/>
        </w:rPr>
        <w:t>Community Engagement &amp; ISR:</w:t>
      </w:r>
      <w:r>
        <w:rPr>
          <w:b w:val="0"/>
          <w:i w:val="0"/>
        </w:rPr>
        <w:t xml:space="preserve"> Social responsibility programs, extension projects, grassroots impact.</w:t>
      </w:r>
    </w:p>
    <w:p>
      <w:pPr>
        <w:pStyle w:val="ListBullet"/>
        <w:numPr>
          <w:ilvl w:val="0"/>
          <w:numId w:val="90"/>
        </w:numPr>
        <w:ind w:left="340" w:hanging="142"/>
      </w:pPr>
      <w:r>
        <w:rPr>
          <w:b/>
          <w:i w:val="0"/>
        </w:rPr>
        <w:t>Governance &amp; Policy Alignment:</w:t>
      </w:r>
      <w:r>
        <w:rPr>
          <w:b w:val="0"/>
          <w:i w:val="0"/>
        </w:rPr>
        <w:t xml:space="preserve"> Compliance with SDGs, national sustainability frameworks.</w:t>
      </w:r>
    </w:p>
    <w:p>
      <w:pPr>
        <w:pStyle w:val="ListBullet"/>
        <w:numPr>
          <w:ilvl w:val="0"/>
          <w:numId w:val="90"/>
        </w:numPr>
        <w:ind w:left="340" w:hanging="142"/>
      </w:pPr>
      <w:r>
        <w:rPr>
          <w:b/>
          <w:i w:val="0"/>
        </w:rPr>
        <w:t>Research for Sustainability:</w:t>
      </w:r>
      <w:r>
        <w:rPr>
          <w:b w:val="0"/>
          <w:i w:val="0"/>
        </w:rPr>
        <w:t xml:space="preserve"> Focus on clean technologies, circular economy, climate solutions.</w:t>
      </w:r>
    </w:p>
    <w:p>
      <w:pPr>
        <w:pStyle w:val="Heading2"/>
      </w:pPr>
      <w:r>
        <w:rPr>
          <w:i/>
        </w:rPr>
        <w:t>Option 4: Comprehensive Growth (Integrated Model)</w:t>
      </w:r>
    </w:p>
    <w:p>
      <w:pPr>
        <w:ind w:left="369" w:right="227"/>
      </w:pPr>
      <w:r>
        <w:rPr>
          <w:b w:val="0"/>
          <w:i/>
        </w:rPr>
        <w:t>“Over the next 10–20 years, to evolve into a transformative higher education institution recognized globally for excellence in teaching, research, inclusivity, sustainability, and innovation—bridging local aspirations with global Sustainable Development Goals.”</w:t>
      </w:r>
    </w:p>
    <w:p>
      <w:pPr>
        <w:pStyle w:val="Heading2"/>
      </w:pPr>
      <w:r>
        <w:t>Strategic Pillars:</w:t>
      </w:r>
    </w:p>
    <w:p>
      <w:pPr>
        <w:pStyle w:val="ListBullet"/>
        <w:numPr>
          <w:ilvl w:val="0"/>
          <w:numId w:val="90"/>
        </w:numPr>
        <w:ind w:left="340" w:hanging="142"/>
      </w:pPr>
      <w:r>
        <w:rPr>
          <w:b/>
          <w:i w:val="0"/>
        </w:rPr>
        <w:t>Academic Excellence:</w:t>
      </w:r>
      <w:r>
        <w:rPr>
          <w:b w:val="0"/>
          <w:i w:val="0"/>
        </w:rPr>
        <w:t xml:space="preserve"> NEP 2020-based reforms, lifelong learning.</w:t>
      </w:r>
    </w:p>
    <w:p>
      <w:pPr>
        <w:pStyle w:val="ListBullet"/>
        <w:numPr>
          <w:ilvl w:val="0"/>
          <w:numId w:val="90"/>
        </w:numPr>
        <w:ind w:left="340" w:hanging="142"/>
      </w:pPr>
      <w:r>
        <w:rPr>
          <w:b/>
          <w:i w:val="0"/>
        </w:rPr>
        <w:t>Research &amp; Innovation:</w:t>
      </w:r>
      <w:r>
        <w:rPr>
          <w:b w:val="0"/>
          <w:i w:val="0"/>
        </w:rPr>
        <w:t xml:space="preserve"> Global collaborations, multidisciplinary research.</w:t>
      </w:r>
    </w:p>
    <w:p>
      <w:pPr>
        <w:pStyle w:val="ListBullet"/>
        <w:numPr>
          <w:ilvl w:val="0"/>
          <w:numId w:val="90"/>
        </w:numPr>
        <w:ind w:left="340" w:hanging="142"/>
      </w:pPr>
      <w:r>
        <w:rPr>
          <w:b/>
          <w:i w:val="0"/>
        </w:rPr>
        <w:t>Equity &amp; Inclusion:</w:t>
      </w:r>
      <w:r>
        <w:rPr>
          <w:b w:val="0"/>
          <w:i w:val="0"/>
        </w:rPr>
        <w:t xml:space="preserve"> Access, affordability, scholarships, student success.</w:t>
      </w:r>
    </w:p>
    <w:p>
      <w:pPr>
        <w:pStyle w:val="ListBullet"/>
        <w:numPr>
          <w:ilvl w:val="0"/>
          <w:numId w:val="90"/>
        </w:numPr>
        <w:ind w:left="340" w:hanging="142"/>
      </w:pPr>
      <w:r>
        <w:rPr>
          <w:b/>
          <w:i w:val="0"/>
        </w:rPr>
        <w:t>Sustainability:</w:t>
      </w:r>
      <w:r>
        <w:rPr>
          <w:b w:val="0"/>
          <w:i w:val="0"/>
        </w:rPr>
        <w:t xml:space="preserve"> Green campuses, renewable energy, SDG-linked initiatives.</w:t>
      </w:r>
    </w:p>
    <w:p>
      <w:pPr>
        <w:pStyle w:val="ListBullet"/>
        <w:numPr>
          <w:ilvl w:val="0"/>
          <w:numId w:val="90"/>
        </w:numPr>
        <w:ind w:left="340" w:hanging="142"/>
      </w:pPr>
      <w:r>
        <w:rPr>
          <w:b/>
          <w:i w:val="0"/>
        </w:rPr>
        <w:t>Governance &amp; Quality Assurance:</w:t>
      </w:r>
      <w:r>
        <w:rPr>
          <w:b w:val="0"/>
          <w:i w:val="0"/>
        </w:rPr>
        <w:t xml:space="preserve"> Strong IQAC, accreditation excellence.</w:t>
      </w:r>
    </w:p>
    <w:p>
      <w:pPr>
        <w:pStyle w:val="ListBullet"/>
        <w:numPr>
          <w:ilvl w:val="0"/>
          <w:numId w:val="90"/>
        </w:numPr>
        <w:ind w:left="340" w:hanging="142"/>
      </w:pPr>
      <w:r>
        <w:rPr>
          <w:b/>
          <w:i w:val="0"/>
        </w:rPr>
        <w:t>Globalization:</w:t>
      </w:r>
      <w:r>
        <w:rPr>
          <w:b w:val="0"/>
          <w:i w:val="0"/>
        </w:rPr>
        <w:t xml:space="preserve"> International collaborations, global rankings.</w:t>
      </w:r>
    </w:p>
    <w:p>
      <w:pPr>
        <w:pStyle w:val="ListBullet"/>
        <w:numPr>
          <w:ilvl w:val="0"/>
          <w:numId w:val="90"/>
        </w:numPr>
        <w:ind w:left="340" w:hanging="142"/>
      </w:pPr>
      <w:r>
        <w:rPr>
          <w:b/>
          <w:i w:val="0"/>
        </w:rPr>
        <w:t>Community Engagement:</w:t>
      </w:r>
      <w:r>
        <w:rPr>
          <w:b w:val="0"/>
          <w:i w:val="0"/>
        </w:rPr>
        <w:t xml:space="preserve"> Outreach programs, ISR projects, societal transformation.</w:t>
      </w:r>
    </w:p>
    <w:p>
      <w:pPr>
        <w:pStyle w:val="Heading2"/>
      </w:pPr>
      <w:r>
        <w:t>20-Year Strategic Roadmap for Higher Education Institutions (HEIs)</w:t>
      </w:r>
    </w:p>
    <w:p>
      <w:pPr>
        <w:pStyle w:val="Heading2"/>
      </w:pPr>
      <w:r>
        <w:rPr>
          <w:i/>
        </w:rPr>
        <w:t>1. Academic Excellence &amp; Lifelong Learning</w:t>
      </w:r>
    </w:p>
    <w:p>
      <w:pPr>
        <w:pStyle w:val="ListBullet"/>
        <w:numPr>
          <w:ilvl w:val="0"/>
          <w:numId w:val="90"/>
        </w:numPr>
        <w:ind w:left="340" w:hanging="142"/>
      </w:pPr>
      <w:r>
        <w:rPr>
          <w:b/>
          <w:i w:val="0"/>
        </w:rPr>
        <w:t>Short-Term (0–5 years):</w:t>
      </w:r>
    </w:p>
    <w:p>
      <w:pPr>
        <w:pStyle w:val="ListBullet2"/>
        <w:numPr>
          <w:ilvl w:val="1"/>
          <w:numId w:val="90"/>
        </w:numPr>
        <w:ind w:left="652" w:hanging="142"/>
      </w:pPr>
      <w:r>
        <w:rPr>
          <w:b w:val="0"/>
          <w:i w:val="0"/>
        </w:rPr>
        <w:t>Revise 100% curricula to align with NEP 2020 and Outcome-Based Education (OBE).</w:t>
      </w:r>
    </w:p>
    <w:p>
      <w:pPr>
        <w:pStyle w:val="ListBullet2"/>
        <w:numPr>
          <w:ilvl w:val="1"/>
          <w:numId w:val="90"/>
        </w:numPr>
        <w:ind w:left="652" w:hanging="142"/>
      </w:pPr>
      <w:r>
        <w:rPr>
          <w:b w:val="0"/>
          <w:i w:val="0"/>
        </w:rPr>
        <w:t>Introduce 3–5 interdisciplinary programs.</w:t>
      </w:r>
    </w:p>
    <w:p>
      <w:pPr>
        <w:pStyle w:val="ListBullet2"/>
        <w:numPr>
          <w:ilvl w:val="1"/>
          <w:numId w:val="90"/>
        </w:numPr>
        <w:ind w:left="652" w:hanging="142"/>
      </w:pPr>
      <w:r>
        <w:rPr>
          <w:b w:val="0"/>
          <w:i w:val="0"/>
        </w:rPr>
        <w:t>Implement digital/ICT-enabled smart classrooms (≥70%).</w:t>
      </w:r>
    </w:p>
    <w:p>
      <w:pPr>
        <w:pStyle w:val="ListBullet"/>
        <w:numPr>
          <w:ilvl w:val="0"/>
          <w:numId w:val="90"/>
        </w:numPr>
        <w:ind w:left="340" w:hanging="142"/>
      </w:pPr>
      <w:r>
        <w:rPr>
          <w:b/>
          <w:i w:val="0"/>
        </w:rPr>
        <w:t>Medium-Term (6–10 years):</w:t>
      </w:r>
    </w:p>
    <w:p>
      <w:pPr>
        <w:pStyle w:val="ListBullet2"/>
        <w:numPr>
          <w:ilvl w:val="1"/>
          <w:numId w:val="90"/>
        </w:numPr>
        <w:ind w:left="652" w:hanging="142"/>
      </w:pPr>
      <w:r>
        <w:rPr>
          <w:b w:val="0"/>
          <w:i w:val="0"/>
        </w:rPr>
        <w:t>Establish lifelong learning hubs (online/offline blended platforms).</w:t>
      </w:r>
    </w:p>
    <w:p>
      <w:pPr>
        <w:pStyle w:val="ListBullet2"/>
        <w:numPr>
          <w:ilvl w:val="1"/>
          <w:numId w:val="90"/>
        </w:numPr>
        <w:ind w:left="652" w:hanging="142"/>
      </w:pPr>
      <w:r>
        <w:rPr>
          <w:b w:val="0"/>
          <w:i w:val="0"/>
        </w:rPr>
        <w:t>Develop academic bank of credits and global credit transfer mechanisms.</w:t>
      </w:r>
    </w:p>
    <w:p>
      <w:pPr>
        <w:pStyle w:val="ListBullet2"/>
        <w:numPr>
          <w:ilvl w:val="1"/>
          <w:numId w:val="90"/>
        </w:numPr>
        <w:ind w:left="652" w:hanging="142"/>
      </w:pPr>
      <w:r>
        <w:rPr>
          <w:b w:val="0"/>
          <w:i w:val="0"/>
        </w:rPr>
        <w:t>Achieve ≥90% student satisfaction index.</w:t>
      </w:r>
    </w:p>
    <w:p>
      <w:pPr>
        <w:pStyle w:val="ListBullet"/>
        <w:numPr>
          <w:ilvl w:val="0"/>
          <w:numId w:val="90"/>
        </w:numPr>
        <w:ind w:left="340" w:hanging="142"/>
      </w:pPr>
      <w:r>
        <w:rPr>
          <w:b/>
          <w:i w:val="0"/>
        </w:rPr>
        <w:t>Long-Term (11–20 years):</w:t>
      </w:r>
    </w:p>
    <w:p>
      <w:pPr>
        <w:pStyle w:val="ListBullet2"/>
        <w:numPr>
          <w:ilvl w:val="1"/>
          <w:numId w:val="90"/>
        </w:numPr>
        <w:ind w:left="652" w:hanging="142"/>
      </w:pPr>
      <w:r>
        <w:rPr>
          <w:b w:val="0"/>
          <w:i w:val="0"/>
        </w:rPr>
        <w:t>Recognition as a world-class teaching institution.</w:t>
      </w:r>
    </w:p>
    <w:p>
      <w:pPr>
        <w:pStyle w:val="ListBullet2"/>
        <w:numPr>
          <w:ilvl w:val="1"/>
          <w:numId w:val="90"/>
        </w:numPr>
        <w:ind w:left="652" w:hanging="142"/>
      </w:pPr>
      <w:r>
        <w:rPr>
          <w:b w:val="0"/>
          <w:i w:val="0"/>
        </w:rPr>
        <w:t>Lifelong learning ecosystem integrated with society and industry.</w:t>
      </w:r>
    </w:p>
    <w:p>
      <w:pPr>
        <w:pStyle w:val="ListBullet2"/>
        <w:numPr>
          <w:ilvl w:val="1"/>
          <w:numId w:val="90"/>
        </w:numPr>
        <w:ind w:left="652" w:hanging="142"/>
      </w:pPr>
      <w:r>
        <w:rPr>
          <w:b w:val="0"/>
          <w:i w:val="0"/>
        </w:rPr>
        <w:t>Graduate employability rate ≥95%.</w:t>
      </w:r>
    </w:p>
    <w:p>
      <w:pPr>
        <w:pStyle w:val="Heading2"/>
      </w:pPr>
      <w:r>
        <w:rPr>
          <w:i/>
        </w:rPr>
        <w:t>2. Research, Innovation &amp; Knowledge Creation</w:t>
      </w:r>
    </w:p>
    <w:p>
      <w:pPr>
        <w:pStyle w:val="ListBullet"/>
        <w:numPr>
          <w:ilvl w:val="0"/>
          <w:numId w:val="90"/>
        </w:numPr>
        <w:ind w:left="340" w:hanging="142"/>
      </w:pPr>
      <w:r>
        <w:rPr>
          <w:b/>
          <w:i w:val="0"/>
        </w:rPr>
        <w:t>Short-Term (0–5 years):</w:t>
      </w:r>
    </w:p>
    <w:p>
      <w:pPr>
        <w:pStyle w:val="ListBullet2"/>
        <w:numPr>
          <w:ilvl w:val="1"/>
          <w:numId w:val="90"/>
        </w:numPr>
        <w:ind w:left="652" w:hanging="142"/>
      </w:pPr>
      <w:r>
        <w:rPr>
          <w:b w:val="0"/>
          <w:i w:val="0"/>
        </w:rPr>
        <w:t>Set up 2 Centers of Excellence (AI, sustainability, healthcare).</w:t>
      </w:r>
    </w:p>
    <w:p>
      <w:pPr>
        <w:pStyle w:val="ListBullet2"/>
        <w:numPr>
          <w:ilvl w:val="1"/>
          <w:numId w:val="90"/>
        </w:numPr>
        <w:ind w:left="652" w:hanging="142"/>
      </w:pPr>
      <w:r>
        <w:rPr>
          <w:b w:val="0"/>
          <w:i w:val="0"/>
        </w:rPr>
        <w:t>File ≥10 patents annually.</w:t>
      </w:r>
    </w:p>
    <w:p>
      <w:pPr>
        <w:pStyle w:val="ListBullet2"/>
        <w:numPr>
          <w:ilvl w:val="1"/>
          <w:numId w:val="90"/>
        </w:numPr>
        <w:ind w:left="652" w:hanging="142"/>
      </w:pPr>
      <w:r>
        <w:rPr>
          <w:b w:val="0"/>
          <w:i w:val="0"/>
        </w:rPr>
        <w:t>Establish an innovation &amp; incubation hub.</w:t>
      </w:r>
    </w:p>
    <w:p>
      <w:pPr>
        <w:pStyle w:val="ListBullet"/>
        <w:numPr>
          <w:ilvl w:val="0"/>
          <w:numId w:val="90"/>
        </w:numPr>
        <w:ind w:left="340" w:hanging="142"/>
      </w:pPr>
      <w:r>
        <w:rPr>
          <w:b/>
          <w:i w:val="0"/>
        </w:rPr>
        <w:t>Medium-Term (6–10 years):</w:t>
      </w:r>
    </w:p>
    <w:p>
      <w:pPr>
        <w:pStyle w:val="ListBullet2"/>
        <w:numPr>
          <w:ilvl w:val="1"/>
          <w:numId w:val="90"/>
        </w:numPr>
        <w:ind w:left="652" w:hanging="142"/>
      </w:pPr>
      <w:r>
        <w:rPr>
          <w:b w:val="0"/>
          <w:i w:val="0"/>
        </w:rPr>
        <w:t>Increase research funding to ₹50 crore/£5m.</w:t>
      </w:r>
    </w:p>
    <w:p>
      <w:pPr>
        <w:pStyle w:val="ListBullet2"/>
        <w:numPr>
          <w:ilvl w:val="1"/>
          <w:numId w:val="90"/>
        </w:numPr>
        <w:ind w:left="652" w:hanging="142"/>
      </w:pPr>
      <w:r>
        <w:rPr>
          <w:b w:val="0"/>
          <w:i w:val="0"/>
        </w:rPr>
        <w:t>Develop global joint research labs with partner universities.</w:t>
      </w:r>
    </w:p>
    <w:p>
      <w:pPr>
        <w:pStyle w:val="ListBullet2"/>
        <w:numPr>
          <w:ilvl w:val="1"/>
          <w:numId w:val="90"/>
        </w:numPr>
        <w:ind w:left="652" w:hanging="142"/>
      </w:pPr>
      <w:r>
        <w:rPr>
          <w:b w:val="0"/>
          <w:i w:val="0"/>
        </w:rPr>
        <w:t>Launch at least 5 industry-funded projects annually.</w:t>
      </w:r>
    </w:p>
    <w:p>
      <w:pPr>
        <w:pStyle w:val="ListBullet"/>
        <w:numPr>
          <w:ilvl w:val="0"/>
          <w:numId w:val="90"/>
        </w:numPr>
        <w:ind w:left="340" w:hanging="142"/>
      </w:pPr>
      <w:r>
        <w:rPr>
          <w:b/>
          <w:i w:val="0"/>
        </w:rPr>
        <w:t>Long-Term (11–20 years):</w:t>
      </w:r>
    </w:p>
    <w:p>
      <w:pPr>
        <w:pStyle w:val="ListBullet2"/>
        <w:numPr>
          <w:ilvl w:val="1"/>
          <w:numId w:val="90"/>
        </w:numPr>
        <w:ind w:left="652" w:hanging="142"/>
      </w:pPr>
      <w:r>
        <w:rPr>
          <w:b w:val="0"/>
          <w:i w:val="0"/>
        </w:rPr>
        <w:t>Institution recognized as a global leader in multidisciplinary research.</w:t>
      </w:r>
    </w:p>
    <w:p>
      <w:pPr>
        <w:pStyle w:val="ListBullet2"/>
        <w:numPr>
          <w:ilvl w:val="1"/>
          <w:numId w:val="90"/>
        </w:numPr>
        <w:ind w:left="652" w:hanging="142"/>
      </w:pPr>
      <w:r>
        <w:rPr>
          <w:b w:val="0"/>
          <w:i w:val="0"/>
        </w:rPr>
        <w:t>50+ patents annually and international research citations.</w:t>
      </w:r>
    </w:p>
    <w:p>
      <w:pPr>
        <w:pStyle w:val="ListBullet2"/>
        <w:numPr>
          <w:ilvl w:val="1"/>
          <w:numId w:val="90"/>
        </w:numPr>
        <w:ind w:left="652" w:hanging="142"/>
      </w:pPr>
      <w:r>
        <w:rPr>
          <w:b w:val="0"/>
          <w:i w:val="0"/>
        </w:rPr>
        <w:t>Continuous contribution to UN SDGs through applied research.</w:t>
      </w:r>
    </w:p>
    <w:p>
      <w:pPr>
        <w:pStyle w:val="Heading2"/>
      </w:pPr>
      <w:r>
        <w:rPr>
          <w:i/>
        </w:rPr>
        <w:t>3. Sustainability &amp; Green Development</w:t>
      </w:r>
    </w:p>
    <w:p>
      <w:pPr>
        <w:pStyle w:val="ListBullet"/>
        <w:numPr>
          <w:ilvl w:val="0"/>
          <w:numId w:val="90"/>
        </w:numPr>
        <w:ind w:left="340" w:hanging="142"/>
      </w:pPr>
      <w:r>
        <w:rPr>
          <w:b/>
          <w:i w:val="0"/>
        </w:rPr>
        <w:t>Short-Term (0–5 years):</w:t>
      </w:r>
    </w:p>
    <w:p>
      <w:pPr>
        <w:pStyle w:val="ListBullet2"/>
        <w:numPr>
          <w:ilvl w:val="1"/>
          <w:numId w:val="90"/>
        </w:numPr>
        <w:ind w:left="652" w:hanging="142"/>
      </w:pPr>
      <w:r>
        <w:rPr>
          <w:b w:val="0"/>
          <w:i w:val="0"/>
        </w:rPr>
        <w:t>Convert 40% of campus energy to renewables.</w:t>
      </w:r>
    </w:p>
    <w:p>
      <w:pPr>
        <w:pStyle w:val="ListBullet2"/>
        <w:numPr>
          <w:ilvl w:val="1"/>
          <w:numId w:val="90"/>
        </w:numPr>
        <w:ind w:left="652" w:hanging="142"/>
      </w:pPr>
      <w:r>
        <w:rPr>
          <w:b w:val="0"/>
          <w:i w:val="0"/>
        </w:rPr>
        <w:t>Obtain Green Building Certification for 3 facilities.</w:t>
      </w:r>
    </w:p>
    <w:p>
      <w:pPr>
        <w:pStyle w:val="ListBullet2"/>
        <w:numPr>
          <w:ilvl w:val="1"/>
          <w:numId w:val="90"/>
        </w:numPr>
        <w:ind w:left="652" w:hanging="142"/>
      </w:pPr>
      <w:r>
        <w:rPr>
          <w:b w:val="0"/>
          <w:i w:val="0"/>
        </w:rPr>
        <w:t>Campus-wide waste and water management systems in place.</w:t>
      </w:r>
    </w:p>
    <w:p>
      <w:pPr>
        <w:pStyle w:val="ListBullet"/>
        <w:numPr>
          <w:ilvl w:val="0"/>
          <w:numId w:val="90"/>
        </w:numPr>
        <w:ind w:left="340" w:hanging="142"/>
      </w:pPr>
      <w:r>
        <w:rPr>
          <w:b/>
          <w:i w:val="0"/>
        </w:rPr>
        <w:t>Medium-Term (6–10 years):</w:t>
      </w:r>
    </w:p>
    <w:p>
      <w:pPr>
        <w:pStyle w:val="ListBullet2"/>
        <w:numPr>
          <w:ilvl w:val="1"/>
          <w:numId w:val="90"/>
        </w:numPr>
        <w:ind w:left="652" w:hanging="142"/>
      </w:pPr>
      <w:r>
        <w:rPr>
          <w:b w:val="0"/>
          <w:i w:val="0"/>
        </w:rPr>
        <w:t>Expand renewable energy use to 70% of campus needs.</w:t>
      </w:r>
    </w:p>
    <w:p>
      <w:pPr>
        <w:pStyle w:val="ListBullet2"/>
        <w:numPr>
          <w:ilvl w:val="1"/>
          <w:numId w:val="90"/>
        </w:numPr>
        <w:ind w:left="652" w:hanging="142"/>
      </w:pPr>
      <w:r>
        <w:rPr>
          <w:b w:val="0"/>
          <w:i w:val="0"/>
        </w:rPr>
        <w:t>Launch sustainability-focused degree programs.</w:t>
      </w:r>
    </w:p>
    <w:p>
      <w:pPr>
        <w:pStyle w:val="ListBullet2"/>
        <w:numPr>
          <w:ilvl w:val="1"/>
          <w:numId w:val="90"/>
        </w:numPr>
        <w:ind w:left="652" w:hanging="142"/>
      </w:pPr>
      <w:r>
        <w:rPr>
          <w:b w:val="0"/>
          <w:i w:val="0"/>
        </w:rPr>
        <w:t>Conduct annual environmental audits with ≥90% compliance.</w:t>
      </w:r>
    </w:p>
    <w:p>
      <w:pPr>
        <w:pStyle w:val="ListBullet"/>
        <w:numPr>
          <w:ilvl w:val="0"/>
          <w:numId w:val="90"/>
        </w:numPr>
        <w:ind w:left="340" w:hanging="142"/>
      </w:pPr>
      <w:r>
        <w:rPr>
          <w:b/>
          <w:i w:val="0"/>
        </w:rPr>
        <w:t>Long-Term (11–20 years):</w:t>
      </w:r>
    </w:p>
    <w:p>
      <w:pPr>
        <w:pStyle w:val="ListBullet2"/>
        <w:numPr>
          <w:ilvl w:val="1"/>
          <w:numId w:val="90"/>
        </w:numPr>
        <w:ind w:left="652" w:hanging="142"/>
      </w:pPr>
      <w:r>
        <w:rPr>
          <w:b w:val="0"/>
          <w:i w:val="0"/>
        </w:rPr>
        <w:t>Achieve carbon-neutral campus status.</w:t>
      </w:r>
    </w:p>
    <w:p>
      <w:pPr>
        <w:pStyle w:val="ListBullet2"/>
        <w:numPr>
          <w:ilvl w:val="1"/>
          <w:numId w:val="90"/>
        </w:numPr>
        <w:ind w:left="652" w:hanging="142"/>
      </w:pPr>
      <w:r>
        <w:rPr>
          <w:b w:val="0"/>
          <w:i w:val="0"/>
        </w:rPr>
        <w:t>Be a national model for green universities.</w:t>
      </w:r>
    </w:p>
    <w:p>
      <w:pPr>
        <w:pStyle w:val="ListBullet2"/>
        <w:numPr>
          <w:ilvl w:val="1"/>
          <w:numId w:val="90"/>
        </w:numPr>
        <w:ind w:left="652" w:hanging="142"/>
      </w:pPr>
      <w:r>
        <w:rPr>
          <w:b w:val="0"/>
          <w:i w:val="0"/>
        </w:rPr>
        <w:t>Recognized globally for climate change leadership in education.</w:t>
      </w:r>
    </w:p>
    <w:p>
      <w:pPr>
        <w:pStyle w:val="Heading2"/>
      </w:pPr>
      <w:r>
        <w:rPr>
          <w:i/>
        </w:rPr>
        <w:t>4. Globalization &amp; Internationalization</w:t>
      </w:r>
    </w:p>
    <w:p>
      <w:pPr>
        <w:pStyle w:val="ListBullet"/>
        <w:numPr>
          <w:ilvl w:val="0"/>
          <w:numId w:val="90"/>
        </w:numPr>
        <w:ind w:left="340" w:hanging="142"/>
      </w:pPr>
      <w:r>
        <w:rPr>
          <w:b/>
          <w:i w:val="0"/>
        </w:rPr>
        <w:t>Short-Term (0–5 years):</w:t>
      </w:r>
    </w:p>
    <w:p>
      <w:pPr>
        <w:pStyle w:val="ListBullet2"/>
        <w:numPr>
          <w:ilvl w:val="1"/>
          <w:numId w:val="90"/>
        </w:numPr>
        <w:ind w:left="652" w:hanging="142"/>
      </w:pPr>
      <w:r>
        <w:rPr>
          <w:b w:val="0"/>
          <w:i w:val="0"/>
        </w:rPr>
        <w:t>Sign 20 MoUs with global universities.</w:t>
      </w:r>
    </w:p>
    <w:p>
      <w:pPr>
        <w:pStyle w:val="ListBullet2"/>
        <w:numPr>
          <w:ilvl w:val="1"/>
          <w:numId w:val="90"/>
        </w:numPr>
        <w:ind w:left="652" w:hanging="142"/>
      </w:pPr>
      <w:r>
        <w:rPr>
          <w:b w:val="0"/>
          <w:i w:val="0"/>
        </w:rPr>
        <w:t>Host 3 international conferences annually.</w:t>
      </w:r>
    </w:p>
    <w:p>
      <w:pPr>
        <w:pStyle w:val="ListBullet2"/>
        <w:numPr>
          <w:ilvl w:val="1"/>
          <w:numId w:val="90"/>
        </w:numPr>
        <w:ind w:left="652" w:hanging="142"/>
      </w:pPr>
      <w:r>
        <w:rPr>
          <w:b w:val="0"/>
          <w:i w:val="0"/>
        </w:rPr>
        <w:t>Initiate student/faculty exchange (≥50 per year).</w:t>
      </w:r>
    </w:p>
    <w:p>
      <w:pPr>
        <w:pStyle w:val="ListBullet"/>
        <w:numPr>
          <w:ilvl w:val="0"/>
          <w:numId w:val="90"/>
        </w:numPr>
        <w:ind w:left="340" w:hanging="142"/>
      </w:pPr>
      <w:r>
        <w:rPr>
          <w:b/>
          <w:i w:val="0"/>
        </w:rPr>
        <w:t>Medium-Term (6–10 years):</w:t>
      </w:r>
    </w:p>
    <w:p>
      <w:pPr>
        <w:pStyle w:val="ListBullet2"/>
        <w:numPr>
          <w:ilvl w:val="1"/>
          <w:numId w:val="90"/>
        </w:numPr>
        <w:ind w:left="652" w:hanging="142"/>
      </w:pPr>
      <w:r>
        <w:rPr>
          <w:b w:val="0"/>
          <w:i w:val="0"/>
        </w:rPr>
        <w:t>Launch dual-degree programs with at least 5 international universities.</w:t>
      </w:r>
    </w:p>
    <w:p>
      <w:pPr>
        <w:pStyle w:val="ListBullet2"/>
        <w:numPr>
          <w:ilvl w:val="1"/>
          <w:numId w:val="90"/>
        </w:numPr>
        <w:ind w:left="652" w:hanging="142"/>
      </w:pPr>
      <w:r>
        <w:rPr>
          <w:b w:val="0"/>
          <w:i w:val="0"/>
        </w:rPr>
        <w:t>Increase international student enrollment to 10% of total.</w:t>
      </w:r>
    </w:p>
    <w:p>
      <w:pPr>
        <w:pStyle w:val="ListBullet2"/>
        <w:numPr>
          <w:ilvl w:val="1"/>
          <w:numId w:val="90"/>
        </w:numPr>
        <w:ind w:left="652" w:hanging="142"/>
      </w:pPr>
      <w:r>
        <w:rPr>
          <w:b w:val="0"/>
          <w:i w:val="0"/>
        </w:rPr>
        <w:t>Achieve Top 100 Asian ranking.</w:t>
      </w:r>
    </w:p>
    <w:p>
      <w:pPr>
        <w:pStyle w:val="ListBullet"/>
        <w:numPr>
          <w:ilvl w:val="0"/>
          <w:numId w:val="90"/>
        </w:numPr>
        <w:ind w:left="340" w:hanging="142"/>
      </w:pPr>
      <w:r>
        <w:rPr>
          <w:b/>
          <w:i w:val="0"/>
        </w:rPr>
        <w:t>Long-Term (11–20 years):</w:t>
      </w:r>
    </w:p>
    <w:p>
      <w:pPr>
        <w:pStyle w:val="ListBullet2"/>
        <w:numPr>
          <w:ilvl w:val="1"/>
          <w:numId w:val="90"/>
        </w:numPr>
        <w:ind w:left="652" w:hanging="142"/>
      </w:pPr>
      <w:r>
        <w:rPr>
          <w:b w:val="0"/>
          <w:i w:val="0"/>
        </w:rPr>
        <w:t>Secure Top 500 Global University ranking (QS/THE).</w:t>
      </w:r>
    </w:p>
    <w:p>
      <w:pPr>
        <w:pStyle w:val="ListBullet2"/>
        <w:numPr>
          <w:ilvl w:val="1"/>
          <w:numId w:val="90"/>
        </w:numPr>
        <w:ind w:left="652" w:hanging="142"/>
      </w:pPr>
      <w:r>
        <w:rPr>
          <w:b w:val="0"/>
          <w:i w:val="0"/>
        </w:rPr>
        <w:t>200+ annual student/faculty exchanges.</w:t>
      </w:r>
    </w:p>
    <w:p>
      <w:pPr>
        <w:pStyle w:val="ListBullet2"/>
        <w:numPr>
          <w:ilvl w:val="1"/>
          <w:numId w:val="90"/>
        </w:numPr>
        <w:ind w:left="652" w:hanging="142"/>
      </w:pPr>
      <w:r>
        <w:rPr>
          <w:b w:val="0"/>
          <w:i w:val="0"/>
        </w:rPr>
        <w:t>Institution recognized as a global higher education hub.</w:t>
      </w:r>
    </w:p>
    <w:p>
      <w:pPr>
        <w:pStyle w:val="Heading2"/>
      </w:pPr>
      <w:r>
        <w:rPr>
          <w:i/>
        </w:rPr>
        <w:t>5. Community Engagement &amp; Social Responsibility</w:t>
      </w:r>
    </w:p>
    <w:p>
      <w:pPr>
        <w:pStyle w:val="ListBullet"/>
        <w:numPr>
          <w:ilvl w:val="0"/>
          <w:numId w:val="90"/>
        </w:numPr>
        <w:ind w:left="340" w:hanging="142"/>
      </w:pPr>
      <w:r>
        <w:rPr>
          <w:b/>
          <w:i w:val="0"/>
        </w:rPr>
        <w:t>Short-Term (0–5 years):</w:t>
      </w:r>
    </w:p>
    <w:p>
      <w:pPr>
        <w:pStyle w:val="ListBullet2"/>
        <w:numPr>
          <w:ilvl w:val="1"/>
          <w:numId w:val="90"/>
        </w:numPr>
        <w:ind w:left="652" w:hanging="142"/>
      </w:pPr>
      <w:r>
        <w:rPr>
          <w:b w:val="0"/>
          <w:i w:val="0"/>
        </w:rPr>
        <w:t>Engage 80% of students in ISR/community projects.</w:t>
      </w:r>
    </w:p>
    <w:p>
      <w:pPr>
        <w:pStyle w:val="ListBullet2"/>
        <w:numPr>
          <w:ilvl w:val="1"/>
          <w:numId w:val="90"/>
        </w:numPr>
        <w:ind w:left="652" w:hanging="142"/>
      </w:pPr>
      <w:r>
        <w:rPr>
          <w:b w:val="0"/>
          <w:i w:val="0"/>
        </w:rPr>
        <w:t>Directly impact 5,000 beneficiaries annually.</w:t>
      </w:r>
    </w:p>
    <w:p>
      <w:pPr>
        <w:pStyle w:val="ListBullet"/>
        <w:numPr>
          <w:ilvl w:val="0"/>
          <w:numId w:val="90"/>
        </w:numPr>
        <w:ind w:left="340" w:hanging="142"/>
      </w:pPr>
      <w:r>
        <w:rPr>
          <w:b/>
          <w:i w:val="0"/>
        </w:rPr>
        <w:t>Medium-Term (6–10 years):</w:t>
      </w:r>
    </w:p>
    <w:p>
      <w:pPr>
        <w:pStyle w:val="ListBullet2"/>
        <w:numPr>
          <w:ilvl w:val="1"/>
          <w:numId w:val="90"/>
        </w:numPr>
        <w:ind w:left="652" w:hanging="142"/>
      </w:pPr>
      <w:r>
        <w:rPr>
          <w:b w:val="0"/>
          <w:i w:val="0"/>
        </w:rPr>
        <w:t>Scale ISR projects to impact 50,000 beneficiaries cumulatively.</w:t>
      </w:r>
    </w:p>
    <w:p>
      <w:pPr>
        <w:pStyle w:val="ListBullet2"/>
        <w:numPr>
          <w:ilvl w:val="1"/>
          <w:numId w:val="90"/>
        </w:numPr>
        <w:ind w:left="652" w:hanging="142"/>
      </w:pPr>
      <w:r>
        <w:rPr>
          <w:b w:val="0"/>
          <w:i w:val="0"/>
        </w:rPr>
        <w:t>Integrate service-learning into all programs.</w:t>
      </w:r>
    </w:p>
    <w:p>
      <w:pPr>
        <w:pStyle w:val="ListBullet"/>
        <w:numPr>
          <w:ilvl w:val="0"/>
          <w:numId w:val="90"/>
        </w:numPr>
        <w:ind w:left="340" w:hanging="142"/>
      </w:pPr>
      <w:r>
        <w:rPr>
          <w:b/>
          <w:i w:val="0"/>
        </w:rPr>
        <w:t>Long-Term (11–20 years):</w:t>
      </w:r>
    </w:p>
    <w:p>
      <w:pPr>
        <w:pStyle w:val="ListBullet2"/>
        <w:numPr>
          <w:ilvl w:val="1"/>
          <w:numId w:val="90"/>
        </w:numPr>
        <w:ind w:left="652" w:hanging="142"/>
      </w:pPr>
      <w:r>
        <w:rPr>
          <w:b w:val="0"/>
          <w:i w:val="0"/>
        </w:rPr>
        <w:t>Recognized as a national leader in higher education social impact.</w:t>
      </w:r>
    </w:p>
    <w:p>
      <w:pPr>
        <w:pStyle w:val="ListBullet2"/>
        <w:numPr>
          <w:ilvl w:val="1"/>
          <w:numId w:val="90"/>
        </w:numPr>
        <w:ind w:left="652" w:hanging="142"/>
      </w:pPr>
      <w:r>
        <w:rPr>
          <w:b w:val="0"/>
          <w:i w:val="0"/>
        </w:rPr>
        <w:t>Annual impact of ≥100,000 beneficiaries.</w:t>
      </w:r>
    </w:p>
    <w:p>
      <w:pPr>
        <w:pStyle w:val="ListBullet2"/>
        <w:numPr>
          <w:ilvl w:val="1"/>
          <w:numId w:val="90"/>
        </w:numPr>
        <w:ind w:left="652" w:hanging="142"/>
      </w:pPr>
      <w:r>
        <w:rPr>
          <w:b w:val="0"/>
          <w:i w:val="0"/>
        </w:rPr>
        <w:t>Contribution to SDGs at regional and national levels.</w:t>
      </w:r>
    </w:p>
    <w:p>
      <w:pPr>
        <w:pStyle w:val="Heading2"/>
      </w:pPr>
      <w:r>
        <w:rPr>
          <w:i/>
        </w:rPr>
        <w:t>6. Governance, Quality Assurance &amp; Accreditation</w:t>
      </w:r>
    </w:p>
    <w:p>
      <w:pPr>
        <w:pStyle w:val="ListBullet"/>
        <w:numPr>
          <w:ilvl w:val="0"/>
          <w:numId w:val="90"/>
        </w:numPr>
        <w:ind w:left="340" w:hanging="142"/>
      </w:pPr>
      <w:r>
        <w:rPr>
          <w:b/>
          <w:i w:val="0"/>
        </w:rPr>
        <w:t>Short-Term (0–5 years):</w:t>
      </w:r>
    </w:p>
    <w:p>
      <w:pPr>
        <w:pStyle w:val="ListBullet2"/>
        <w:numPr>
          <w:ilvl w:val="1"/>
          <w:numId w:val="90"/>
        </w:numPr>
        <w:ind w:left="652" w:hanging="142"/>
      </w:pPr>
      <w:r>
        <w:rPr>
          <w:b w:val="0"/>
          <w:i w:val="0"/>
        </w:rPr>
        <w:t>Strengthen IQAC and implement digital dashboards.</w:t>
      </w:r>
    </w:p>
    <w:p>
      <w:pPr>
        <w:pStyle w:val="ListBullet2"/>
        <w:numPr>
          <w:ilvl w:val="1"/>
          <w:numId w:val="90"/>
        </w:numPr>
        <w:ind w:left="652" w:hanging="142"/>
      </w:pPr>
      <w:r>
        <w:rPr>
          <w:b w:val="0"/>
          <w:i w:val="0"/>
        </w:rPr>
        <w:t>Achieve NAAC A++ accreditation.</w:t>
      </w:r>
    </w:p>
    <w:p>
      <w:pPr>
        <w:pStyle w:val="ListBullet"/>
        <w:numPr>
          <w:ilvl w:val="0"/>
          <w:numId w:val="90"/>
        </w:numPr>
        <w:ind w:left="340" w:hanging="142"/>
      </w:pPr>
      <w:r>
        <w:rPr>
          <w:b/>
          <w:i w:val="0"/>
        </w:rPr>
        <w:t>Medium-Term (6–10 years):</w:t>
      </w:r>
    </w:p>
    <w:p>
      <w:pPr>
        <w:pStyle w:val="ListBullet2"/>
        <w:numPr>
          <w:ilvl w:val="1"/>
          <w:numId w:val="90"/>
        </w:numPr>
        <w:ind w:left="652" w:hanging="142"/>
      </w:pPr>
      <w:r>
        <w:rPr>
          <w:b w:val="0"/>
          <w:i w:val="0"/>
        </w:rPr>
        <w:t>Secure NBA Tier-I accreditation across all eligible programs.</w:t>
      </w:r>
    </w:p>
    <w:p>
      <w:pPr>
        <w:pStyle w:val="ListBullet2"/>
        <w:numPr>
          <w:ilvl w:val="1"/>
          <w:numId w:val="90"/>
        </w:numPr>
        <w:ind w:left="652" w:hanging="142"/>
      </w:pPr>
      <w:r>
        <w:rPr>
          <w:b w:val="0"/>
          <w:i w:val="0"/>
        </w:rPr>
        <w:t>Achieve Top 50 NIRF ranking.</w:t>
      </w:r>
    </w:p>
    <w:p>
      <w:pPr>
        <w:pStyle w:val="ListBullet2"/>
        <w:numPr>
          <w:ilvl w:val="1"/>
          <w:numId w:val="90"/>
        </w:numPr>
        <w:ind w:left="652" w:hanging="142"/>
      </w:pPr>
      <w:r>
        <w:rPr>
          <w:b w:val="0"/>
          <w:i w:val="0"/>
        </w:rPr>
        <w:t>Adopt full-fledged data-driven governance.</w:t>
      </w:r>
    </w:p>
    <w:p>
      <w:pPr>
        <w:pStyle w:val="ListBullet"/>
        <w:numPr>
          <w:ilvl w:val="0"/>
          <w:numId w:val="90"/>
        </w:numPr>
        <w:ind w:left="340" w:hanging="142"/>
      </w:pPr>
      <w:r>
        <w:rPr>
          <w:b/>
          <w:i w:val="0"/>
        </w:rPr>
        <w:t>Long-Term (11–20 years):</w:t>
      </w:r>
    </w:p>
    <w:p>
      <w:pPr>
        <w:pStyle w:val="ListBullet2"/>
        <w:numPr>
          <w:ilvl w:val="1"/>
          <w:numId w:val="90"/>
        </w:numPr>
        <w:ind w:left="652" w:hanging="142"/>
      </w:pPr>
      <w:r>
        <w:rPr>
          <w:b w:val="0"/>
          <w:i w:val="0"/>
        </w:rPr>
        <w:t>Attain QS 5-Star/Top THE rankings.</w:t>
      </w:r>
    </w:p>
    <w:p>
      <w:pPr>
        <w:pStyle w:val="ListBullet2"/>
        <w:numPr>
          <w:ilvl w:val="1"/>
          <w:numId w:val="90"/>
        </w:numPr>
        <w:ind w:left="652" w:hanging="142"/>
      </w:pPr>
      <w:r>
        <w:rPr>
          <w:b w:val="0"/>
          <w:i w:val="0"/>
        </w:rPr>
        <w:t>Benchmark as a global leader in quality assurance &amp; governance.</w:t>
      </w:r>
    </w:p>
    <w:p>
      <w:pPr>
        <w:pStyle w:val="Heading2"/>
      </w:pPr>
      <w:r>
        <w:rPr>
          <w:i/>
        </w:rPr>
        <w:t>7. Equity, Inclusion &amp; Student Development</w:t>
      </w:r>
    </w:p>
    <w:p>
      <w:pPr>
        <w:pStyle w:val="ListBullet"/>
        <w:numPr>
          <w:ilvl w:val="0"/>
          <w:numId w:val="90"/>
        </w:numPr>
        <w:ind w:left="340" w:hanging="142"/>
      </w:pPr>
      <w:r>
        <w:rPr>
          <w:b/>
          <w:i w:val="0"/>
        </w:rPr>
        <w:t>Short-Term (0–5 years):</w:t>
      </w:r>
    </w:p>
    <w:p>
      <w:pPr>
        <w:pStyle w:val="ListBullet2"/>
        <w:numPr>
          <w:ilvl w:val="1"/>
          <w:numId w:val="90"/>
        </w:numPr>
        <w:ind w:left="652" w:hanging="142"/>
      </w:pPr>
      <w:r>
        <w:rPr>
          <w:b w:val="0"/>
          <w:i w:val="0"/>
        </w:rPr>
        <w:t>Provide scholarships to ≥25% of students.</w:t>
      </w:r>
    </w:p>
    <w:p>
      <w:pPr>
        <w:pStyle w:val="ListBullet2"/>
        <w:numPr>
          <w:ilvl w:val="1"/>
          <w:numId w:val="90"/>
        </w:numPr>
        <w:ind w:left="652" w:hanging="142"/>
      </w:pPr>
      <w:r>
        <w:rPr>
          <w:b w:val="0"/>
          <w:i w:val="0"/>
        </w:rPr>
        <w:t>Set up career services and counseling centers.</w:t>
      </w:r>
    </w:p>
    <w:p>
      <w:pPr>
        <w:pStyle w:val="ListBullet"/>
        <w:numPr>
          <w:ilvl w:val="0"/>
          <w:numId w:val="90"/>
        </w:numPr>
        <w:ind w:left="340" w:hanging="142"/>
      </w:pPr>
      <w:r>
        <w:rPr>
          <w:b/>
          <w:i w:val="0"/>
        </w:rPr>
        <w:t>Medium-Term (6–10 years):</w:t>
      </w:r>
    </w:p>
    <w:p>
      <w:pPr>
        <w:pStyle w:val="ListBullet2"/>
        <w:numPr>
          <w:ilvl w:val="1"/>
          <w:numId w:val="90"/>
        </w:numPr>
        <w:ind w:left="652" w:hanging="142"/>
      </w:pPr>
      <w:r>
        <w:rPr>
          <w:b w:val="0"/>
          <w:i w:val="0"/>
        </w:rPr>
        <w:t>Increase student retention to ≥95%.</w:t>
      </w:r>
    </w:p>
    <w:p>
      <w:pPr>
        <w:pStyle w:val="ListBullet2"/>
        <w:numPr>
          <w:ilvl w:val="1"/>
          <w:numId w:val="90"/>
        </w:numPr>
        <w:ind w:left="652" w:hanging="142"/>
      </w:pPr>
      <w:r>
        <w:rPr>
          <w:b w:val="0"/>
          <w:i w:val="0"/>
        </w:rPr>
        <w:t>90% placement support for all graduates.</w:t>
      </w:r>
    </w:p>
    <w:p>
      <w:pPr>
        <w:pStyle w:val="ListBullet2"/>
        <w:numPr>
          <w:ilvl w:val="1"/>
          <w:numId w:val="90"/>
        </w:numPr>
        <w:ind w:left="652" w:hanging="142"/>
      </w:pPr>
      <w:r>
        <w:rPr>
          <w:b w:val="0"/>
          <w:i w:val="0"/>
        </w:rPr>
        <w:t>Expand inclusivity programs (gender, socio-economic, special needs).</w:t>
      </w:r>
    </w:p>
    <w:p>
      <w:pPr>
        <w:pStyle w:val="ListBullet"/>
        <w:numPr>
          <w:ilvl w:val="0"/>
          <w:numId w:val="90"/>
        </w:numPr>
        <w:ind w:left="340" w:hanging="142"/>
      </w:pPr>
      <w:r>
        <w:rPr>
          <w:b/>
          <w:i w:val="0"/>
        </w:rPr>
        <w:t>Long-Term (11–20 years):</w:t>
      </w:r>
    </w:p>
    <w:p>
      <w:pPr>
        <w:pStyle w:val="ListBullet2"/>
        <w:numPr>
          <w:ilvl w:val="1"/>
          <w:numId w:val="90"/>
        </w:numPr>
        <w:ind w:left="652" w:hanging="142"/>
      </w:pPr>
      <w:r>
        <w:rPr>
          <w:b w:val="0"/>
          <w:i w:val="0"/>
        </w:rPr>
        <w:t>Recognized as a global model for inclusive higher education.</w:t>
      </w:r>
    </w:p>
    <w:p>
      <w:pPr>
        <w:pStyle w:val="ListBullet2"/>
        <w:numPr>
          <w:ilvl w:val="1"/>
          <w:numId w:val="90"/>
        </w:numPr>
        <w:ind w:left="652" w:hanging="142"/>
      </w:pPr>
      <w:r>
        <w:rPr>
          <w:b w:val="0"/>
          <w:i w:val="0"/>
        </w:rPr>
        <w:t>Diversity index ≥50% across faculty and student body.</w:t>
      </w:r>
    </w:p>
    <w:p>
      <w:pPr>
        <w:pStyle w:val="ListBullet2"/>
        <w:numPr>
          <w:ilvl w:val="1"/>
          <w:numId w:val="90"/>
        </w:numPr>
        <w:ind w:left="652" w:hanging="142"/>
      </w:pPr>
      <w:r>
        <w:rPr>
          <w:b w:val="0"/>
          <w:i w:val="0"/>
        </w:rPr>
        <w:t>Lifelong career support ecosystem for alumni.</w:t>
      </w:r>
    </w:p>
    <w:p>
      <w:pPr>
        <w:pStyle w:val="Heading2"/>
      </w:pPr>
      <w:r>
        <w:t>Core Themes of the Strategic Development Plan</w:t>
      </w:r>
    </w:p>
    <w:p>
      <w:pPr>
        <w:pStyle w:val="Heading2"/>
      </w:pPr>
      <w:r>
        <w:rPr>
          <w:i/>
        </w:rPr>
        <w:t>1. Academic Excellence</w:t>
      </w:r>
    </w:p>
    <w:p>
      <w:pPr>
        <w:pStyle w:val="ListBullet"/>
        <w:numPr>
          <w:ilvl w:val="0"/>
          <w:numId w:val="90"/>
        </w:numPr>
        <w:ind w:left="340" w:hanging="142"/>
      </w:pPr>
      <w:r>
        <w:rPr>
          <w:b/>
          <w:i w:val="0"/>
        </w:rPr>
        <w:t>Focus:</w:t>
      </w:r>
      <w:r>
        <w:rPr>
          <w:b w:val="0"/>
          <w:i w:val="0"/>
        </w:rPr>
        <w:t xml:space="preserve"> Deliver high-quality teaching, learning, and assessment practices.</w:t>
      </w:r>
    </w:p>
    <w:p>
      <w:pPr>
        <w:pStyle w:val="ListBullet"/>
        <w:numPr>
          <w:ilvl w:val="0"/>
          <w:numId w:val="90"/>
        </w:numPr>
        <w:ind w:left="340" w:hanging="142"/>
      </w:pPr>
      <w:r>
        <w:rPr>
          <w:b/>
          <w:i w:val="0"/>
        </w:rPr>
        <w:t>Key Elements:</w:t>
      </w:r>
    </w:p>
    <w:p>
      <w:pPr>
        <w:pStyle w:val="ListBullet2"/>
        <w:numPr>
          <w:ilvl w:val="1"/>
          <w:numId w:val="90"/>
        </w:numPr>
        <w:ind w:left="652" w:hanging="142"/>
      </w:pPr>
      <w:r>
        <w:rPr>
          <w:b w:val="0"/>
          <w:i w:val="0"/>
        </w:rPr>
        <w:t>Outcome-Based Education (OBE) aligned with NEP 2020.</w:t>
      </w:r>
    </w:p>
    <w:p>
      <w:pPr>
        <w:pStyle w:val="ListBullet2"/>
        <w:numPr>
          <w:ilvl w:val="1"/>
          <w:numId w:val="90"/>
        </w:numPr>
        <w:ind w:left="652" w:hanging="142"/>
      </w:pPr>
      <w:r>
        <w:rPr>
          <w:b w:val="0"/>
          <w:i w:val="0"/>
        </w:rPr>
        <w:t>Interdisciplinary and flexible learning pathways.</w:t>
      </w:r>
    </w:p>
    <w:p>
      <w:pPr>
        <w:pStyle w:val="ListBullet2"/>
        <w:numPr>
          <w:ilvl w:val="1"/>
          <w:numId w:val="90"/>
        </w:numPr>
        <w:ind w:left="652" w:hanging="142"/>
      </w:pPr>
      <w:r>
        <w:rPr>
          <w:b w:val="0"/>
          <w:i w:val="0"/>
        </w:rPr>
        <w:t>Lifelong learning and skill development programs.</w:t>
      </w:r>
    </w:p>
    <w:p>
      <w:pPr>
        <w:pStyle w:val="ListBullet2"/>
        <w:numPr>
          <w:ilvl w:val="1"/>
          <w:numId w:val="90"/>
        </w:numPr>
        <w:ind w:left="652" w:hanging="142"/>
      </w:pPr>
      <w:r>
        <w:rPr>
          <w:b w:val="0"/>
          <w:i w:val="0"/>
        </w:rPr>
        <w:t>Faculty development for advanced pedagogy.</w:t>
      </w:r>
    </w:p>
    <w:p>
      <w:pPr>
        <w:pStyle w:val="ListBullet"/>
        <w:numPr>
          <w:ilvl w:val="0"/>
          <w:numId w:val="90"/>
        </w:numPr>
        <w:ind w:left="340" w:hanging="142"/>
      </w:pPr>
      <w:r>
        <w:rPr>
          <w:b/>
          <w:i w:val="0"/>
        </w:rPr>
        <w:t>Linked SDGs:</w:t>
      </w:r>
      <w:r>
        <w:rPr>
          <w:b w:val="0"/>
          <w:i w:val="0"/>
        </w:rPr>
        <w:t xml:space="preserve"> SDG-4 (Quality Education).</w:t>
      </w:r>
    </w:p>
    <w:p>
      <w:pPr>
        <w:pStyle w:val="Heading2"/>
      </w:pPr>
      <w:r>
        <w:rPr>
          <w:i/>
        </w:rPr>
        <w:t>2. Innovation &amp; Knowledge Creation</w:t>
      </w:r>
    </w:p>
    <w:p>
      <w:pPr>
        <w:pStyle w:val="ListBullet"/>
        <w:numPr>
          <w:ilvl w:val="0"/>
          <w:numId w:val="90"/>
        </w:numPr>
        <w:ind w:left="340" w:hanging="142"/>
      </w:pPr>
      <w:r>
        <w:rPr>
          <w:b/>
          <w:i w:val="0"/>
        </w:rPr>
        <w:t>Focus:</w:t>
      </w:r>
      <w:r>
        <w:rPr>
          <w:b w:val="0"/>
          <w:i w:val="0"/>
        </w:rPr>
        <w:t xml:space="preserve"> Promote research, patents, entrepreneurship, and incubation.</w:t>
      </w:r>
    </w:p>
    <w:p>
      <w:pPr>
        <w:pStyle w:val="ListBullet"/>
        <w:numPr>
          <w:ilvl w:val="0"/>
          <w:numId w:val="90"/>
        </w:numPr>
        <w:ind w:left="340" w:hanging="142"/>
      </w:pPr>
      <w:r>
        <w:rPr>
          <w:b/>
          <w:i w:val="0"/>
        </w:rPr>
        <w:t>Key Elements:</w:t>
      </w:r>
    </w:p>
    <w:p>
      <w:pPr>
        <w:pStyle w:val="ListBullet2"/>
        <w:numPr>
          <w:ilvl w:val="1"/>
          <w:numId w:val="90"/>
        </w:numPr>
        <w:ind w:left="652" w:hanging="142"/>
      </w:pPr>
      <w:r>
        <w:rPr>
          <w:b w:val="0"/>
          <w:i w:val="0"/>
        </w:rPr>
        <w:t>Establish Centers of Excellence in emerging fields (AI, sustainability, health sciences).</w:t>
      </w:r>
    </w:p>
    <w:p>
      <w:pPr>
        <w:pStyle w:val="ListBullet2"/>
        <w:numPr>
          <w:ilvl w:val="1"/>
          <w:numId w:val="90"/>
        </w:numPr>
        <w:ind w:left="652" w:hanging="142"/>
      </w:pPr>
      <w:r>
        <w:rPr>
          <w:b w:val="0"/>
          <w:i w:val="0"/>
        </w:rPr>
        <w:t>Encourage patents, startups, and industry partnerships.</w:t>
      </w:r>
    </w:p>
    <w:p>
      <w:pPr>
        <w:pStyle w:val="ListBullet2"/>
        <w:numPr>
          <w:ilvl w:val="1"/>
          <w:numId w:val="90"/>
        </w:numPr>
        <w:ind w:left="652" w:hanging="142"/>
      </w:pPr>
      <w:r>
        <w:rPr>
          <w:b w:val="0"/>
          <w:i w:val="0"/>
        </w:rPr>
        <w:t>Innovation hubs and incubation ecosystems.</w:t>
      </w:r>
    </w:p>
    <w:p>
      <w:pPr>
        <w:pStyle w:val="ListBullet2"/>
        <w:numPr>
          <w:ilvl w:val="1"/>
          <w:numId w:val="90"/>
        </w:numPr>
        <w:ind w:left="652" w:hanging="142"/>
      </w:pPr>
      <w:r>
        <w:rPr>
          <w:b w:val="0"/>
          <w:i w:val="0"/>
        </w:rPr>
        <w:t>Strengthen global research collaborations.</w:t>
      </w:r>
    </w:p>
    <w:p>
      <w:pPr>
        <w:pStyle w:val="ListBullet"/>
        <w:numPr>
          <w:ilvl w:val="0"/>
          <w:numId w:val="90"/>
        </w:numPr>
        <w:ind w:left="340" w:hanging="142"/>
      </w:pPr>
      <w:r>
        <w:rPr>
          <w:b/>
          <w:i w:val="0"/>
        </w:rPr>
        <w:t>Linked SDGs:</w:t>
      </w:r>
      <w:r>
        <w:rPr>
          <w:b w:val="0"/>
          <w:i w:val="0"/>
        </w:rPr>
        <w:t xml:space="preserve"> SDG-9 (Industry, Innovation &amp; Infrastructure).</w:t>
      </w:r>
    </w:p>
    <w:p>
      <w:pPr>
        <w:pStyle w:val="Heading2"/>
      </w:pPr>
      <w:r>
        <w:rPr>
          <w:i/>
        </w:rPr>
        <w:t>3. Sustainability &amp; Green Development</w:t>
      </w:r>
    </w:p>
    <w:p>
      <w:pPr>
        <w:pStyle w:val="ListBullet"/>
        <w:numPr>
          <w:ilvl w:val="0"/>
          <w:numId w:val="90"/>
        </w:numPr>
        <w:ind w:left="340" w:hanging="142"/>
      </w:pPr>
      <w:r>
        <w:rPr>
          <w:b/>
          <w:i w:val="0"/>
        </w:rPr>
        <w:t>Focus:</w:t>
      </w:r>
      <w:r>
        <w:rPr>
          <w:b w:val="0"/>
          <w:i w:val="0"/>
        </w:rPr>
        <w:t xml:space="preserve"> Build eco-friendly campuses and lead climate action.</w:t>
      </w:r>
    </w:p>
    <w:p>
      <w:pPr>
        <w:pStyle w:val="ListBullet"/>
        <w:numPr>
          <w:ilvl w:val="0"/>
          <w:numId w:val="90"/>
        </w:numPr>
        <w:ind w:left="340" w:hanging="142"/>
      </w:pPr>
      <w:r>
        <w:rPr>
          <w:b/>
          <w:i w:val="0"/>
        </w:rPr>
        <w:t>Key Elements:</w:t>
      </w:r>
    </w:p>
    <w:p>
      <w:pPr>
        <w:pStyle w:val="ListBullet2"/>
        <w:numPr>
          <w:ilvl w:val="1"/>
          <w:numId w:val="90"/>
        </w:numPr>
        <w:ind w:left="652" w:hanging="142"/>
      </w:pPr>
      <w:r>
        <w:rPr>
          <w:b w:val="0"/>
          <w:i w:val="0"/>
        </w:rPr>
        <w:t>Renewable energy adoption (solar, wind, bio-energy).</w:t>
      </w:r>
    </w:p>
    <w:p>
      <w:pPr>
        <w:pStyle w:val="ListBullet2"/>
        <w:numPr>
          <w:ilvl w:val="1"/>
          <w:numId w:val="90"/>
        </w:numPr>
        <w:ind w:left="652" w:hanging="142"/>
      </w:pPr>
      <w:r>
        <w:rPr>
          <w:b w:val="0"/>
          <w:i w:val="0"/>
        </w:rPr>
        <w:t>Carbon-neutral campus initiatives.</w:t>
      </w:r>
    </w:p>
    <w:p>
      <w:pPr>
        <w:pStyle w:val="ListBullet2"/>
        <w:numPr>
          <w:ilvl w:val="1"/>
          <w:numId w:val="90"/>
        </w:numPr>
        <w:ind w:left="652" w:hanging="142"/>
      </w:pPr>
      <w:r>
        <w:rPr>
          <w:b w:val="0"/>
          <w:i w:val="0"/>
        </w:rPr>
        <w:t>Waste and water management systems.</w:t>
      </w:r>
    </w:p>
    <w:p>
      <w:pPr>
        <w:pStyle w:val="ListBullet2"/>
        <w:numPr>
          <w:ilvl w:val="1"/>
          <w:numId w:val="90"/>
        </w:numPr>
        <w:ind w:left="652" w:hanging="142"/>
      </w:pPr>
      <w:r>
        <w:rPr>
          <w:b w:val="0"/>
          <w:i w:val="0"/>
        </w:rPr>
        <w:t>Research on sustainable technologies and policies.</w:t>
      </w:r>
    </w:p>
    <w:p>
      <w:pPr>
        <w:pStyle w:val="ListBullet"/>
        <w:numPr>
          <w:ilvl w:val="0"/>
          <w:numId w:val="90"/>
        </w:numPr>
        <w:ind w:left="340" w:hanging="142"/>
      </w:pPr>
      <w:r>
        <w:rPr>
          <w:b/>
          <w:i w:val="0"/>
        </w:rPr>
        <w:t>Linked SDGs:</w:t>
      </w:r>
      <w:r>
        <w:rPr>
          <w:b w:val="0"/>
          <w:i w:val="0"/>
        </w:rPr>
        <w:t xml:space="preserve"> SDG-7 (Affordable &amp; Clean Energy), SDG-11 (Sustainable Cities), SDG-13 (Climate Action).</w:t>
      </w:r>
    </w:p>
    <w:p>
      <w:pPr>
        <w:pStyle w:val="Heading2"/>
      </w:pPr>
      <w:r>
        <w:rPr>
          <w:i/>
        </w:rPr>
        <w:t>4. Inclusivity &amp; Equity</w:t>
      </w:r>
    </w:p>
    <w:p>
      <w:pPr>
        <w:pStyle w:val="ListBullet"/>
        <w:numPr>
          <w:ilvl w:val="0"/>
          <w:numId w:val="90"/>
        </w:numPr>
        <w:ind w:left="340" w:hanging="142"/>
      </w:pPr>
      <w:r>
        <w:rPr>
          <w:b/>
          <w:i w:val="0"/>
        </w:rPr>
        <w:t>Focus:</w:t>
      </w:r>
      <w:r>
        <w:rPr>
          <w:b w:val="0"/>
          <w:i w:val="0"/>
        </w:rPr>
        <w:t xml:space="preserve"> Ensure access, equity, and holistic student development.</w:t>
      </w:r>
    </w:p>
    <w:p>
      <w:pPr>
        <w:pStyle w:val="ListBullet"/>
        <w:numPr>
          <w:ilvl w:val="0"/>
          <w:numId w:val="90"/>
        </w:numPr>
        <w:ind w:left="340" w:hanging="142"/>
      </w:pPr>
      <w:r>
        <w:rPr>
          <w:b/>
          <w:i w:val="0"/>
        </w:rPr>
        <w:t>Key Elements:</w:t>
      </w:r>
    </w:p>
    <w:p>
      <w:pPr>
        <w:pStyle w:val="ListBullet2"/>
        <w:numPr>
          <w:ilvl w:val="1"/>
          <w:numId w:val="90"/>
        </w:numPr>
        <w:ind w:left="652" w:hanging="142"/>
      </w:pPr>
      <w:r>
        <w:rPr>
          <w:b w:val="0"/>
          <w:i w:val="0"/>
        </w:rPr>
        <w:t>Scholarships and financial aid for marginalized groups.</w:t>
      </w:r>
    </w:p>
    <w:p>
      <w:pPr>
        <w:pStyle w:val="ListBullet2"/>
        <w:numPr>
          <w:ilvl w:val="1"/>
          <w:numId w:val="90"/>
        </w:numPr>
        <w:ind w:left="652" w:hanging="142"/>
      </w:pPr>
      <w:r>
        <w:rPr>
          <w:b w:val="0"/>
          <w:i w:val="0"/>
        </w:rPr>
        <w:t>Diversity and inclusion in admissions and hiring.</w:t>
      </w:r>
    </w:p>
    <w:p>
      <w:pPr>
        <w:pStyle w:val="ListBullet2"/>
        <w:numPr>
          <w:ilvl w:val="1"/>
          <w:numId w:val="90"/>
        </w:numPr>
        <w:ind w:left="652" w:hanging="142"/>
      </w:pPr>
      <w:r>
        <w:rPr>
          <w:b w:val="0"/>
          <w:i w:val="0"/>
        </w:rPr>
        <w:t>Student counseling, mentoring, and career support.</w:t>
      </w:r>
    </w:p>
    <w:p>
      <w:pPr>
        <w:pStyle w:val="ListBullet2"/>
        <w:numPr>
          <w:ilvl w:val="1"/>
          <w:numId w:val="90"/>
        </w:numPr>
        <w:ind w:left="652" w:hanging="142"/>
      </w:pPr>
      <w:r>
        <w:rPr>
          <w:b w:val="0"/>
          <w:i w:val="0"/>
        </w:rPr>
        <w:t>Policies for gender equity and differently-abled learners.</w:t>
      </w:r>
    </w:p>
    <w:p>
      <w:pPr>
        <w:pStyle w:val="ListBullet"/>
        <w:numPr>
          <w:ilvl w:val="0"/>
          <w:numId w:val="90"/>
        </w:numPr>
        <w:ind w:left="340" w:hanging="142"/>
      </w:pPr>
      <w:r>
        <w:rPr>
          <w:b/>
          <w:i w:val="0"/>
        </w:rPr>
        <w:t>Linked SDGs:</w:t>
      </w:r>
      <w:r>
        <w:rPr>
          <w:b w:val="0"/>
          <w:i w:val="0"/>
        </w:rPr>
        <w:t xml:space="preserve"> SDG-5 (Gender Equality), SDG-10 (Reduced Inequalities).</w:t>
      </w:r>
    </w:p>
    <w:p>
      <w:pPr>
        <w:pStyle w:val="Heading2"/>
      </w:pPr>
      <w:r>
        <w:rPr>
          <w:i/>
        </w:rPr>
        <w:t>5. Global Impact &amp; Engagement</w:t>
      </w:r>
    </w:p>
    <w:p>
      <w:pPr>
        <w:pStyle w:val="ListBullet"/>
        <w:numPr>
          <w:ilvl w:val="0"/>
          <w:numId w:val="90"/>
        </w:numPr>
        <w:ind w:left="340" w:hanging="142"/>
      </w:pPr>
      <w:r>
        <w:rPr>
          <w:b/>
          <w:i w:val="0"/>
        </w:rPr>
        <w:t>Focus:</w:t>
      </w:r>
      <w:r>
        <w:rPr>
          <w:b w:val="0"/>
          <w:i w:val="0"/>
        </w:rPr>
        <w:t xml:space="preserve"> Position institution as a globally recognized education and research hub.</w:t>
      </w:r>
    </w:p>
    <w:p>
      <w:pPr>
        <w:pStyle w:val="ListBullet"/>
        <w:numPr>
          <w:ilvl w:val="0"/>
          <w:numId w:val="90"/>
        </w:numPr>
        <w:ind w:left="340" w:hanging="142"/>
      </w:pPr>
      <w:r>
        <w:rPr>
          <w:b/>
          <w:i w:val="0"/>
        </w:rPr>
        <w:t>Key Elements:</w:t>
      </w:r>
    </w:p>
    <w:p>
      <w:pPr>
        <w:pStyle w:val="ListBullet2"/>
        <w:numPr>
          <w:ilvl w:val="1"/>
          <w:numId w:val="90"/>
        </w:numPr>
        <w:ind w:left="652" w:hanging="142"/>
      </w:pPr>
      <w:r>
        <w:rPr>
          <w:b w:val="0"/>
          <w:i w:val="0"/>
        </w:rPr>
        <w:t>International MoUs, dual-degree programs, and exchanges.</w:t>
      </w:r>
    </w:p>
    <w:p>
      <w:pPr>
        <w:pStyle w:val="ListBullet2"/>
        <w:numPr>
          <w:ilvl w:val="1"/>
          <w:numId w:val="90"/>
        </w:numPr>
        <w:ind w:left="652" w:hanging="142"/>
      </w:pPr>
      <w:r>
        <w:rPr>
          <w:b w:val="0"/>
          <w:i w:val="0"/>
        </w:rPr>
        <w:t>Hosting global conferences, summits, and academic forums.</w:t>
      </w:r>
    </w:p>
    <w:p>
      <w:pPr>
        <w:pStyle w:val="ListBullet2"/>
        <w:numPr>
          <w:ilvl w:val="1"/>
          <w:numId w:val="90"/>
        </w:numPr>
        <w:ind w:left="652" w:hanging="142"/>
      </w:pPr>
      <w:r>
        <w:rPr>
          <w:b w:val="0"/>
          <w:i w:val="0"/>
        </w:rPr>
        <w:t>Collaborative research with top global universities.</w:t>
      </w:r>
    </w:p>
    <w:p>
      <w:pPr>
        <w:pStyle w:val="ListBullet2"/>
        <w:numPr>
          <w:ilvl w:val="1"/>
          <w:numId w:val="90"/>
        </w:numPr>
        <w:ind w:left="652" w:hanging="142"/>
      </w:pPr>
      <w:r>
        <w:rPr>
          <w:b w:val="0"/>
          <w:i w:val="0"/>
        </w:rPr>
        <w:t>Participation in global rankings and benchmarks (QS, THE).</w:t>
      </w:r>
    </w:p>
    <w:p>
      <w:pPr>
        <w:pStyle w:val="ListBullet"/>
        <w:numPr>
          <w:ilvl w:val="0"/>
          <w:numId w:val="90"/>
        </w:numPr>
        <w:ind w:left="340" w:hanging="142"/>
      </w:pPr>
      <w:r>
        <w:rPr>
          <w:b/>
          <w:i w:val="0"/>
        </w:rPr>
        <w:t>Linked SDGs:</w:t>
      </w:r>
      <w:r>
        <w:rPr>
          <w:b w:val="0"/>
          <w:i w:val="0"/>
        </w:rPr>
        <w:t xml:space="preserve"> SDG-17 (Partnerships for the Goals).</w:t>
      </w:r>
    </w:p>
    <w:p>
      <w:pPr>
        <w:keepNext/>
      </w:pPr>
      <w:r>
        <w:rPr>
          <w:b/>
          <w:i w:val="0"/>
        </w:rPr>
        <w:t>Core Theme 1:</w:t>
      </w:r>
      <w:r>
        <w:rPr>
          <w:b w:val="0"/>
          <w:i w:val="0"/>
        </w:rPr>
        <w:t xml:space="preserve"> Academic Excellence → Strategic Pillar: Teaching &amp; Learning Quality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984"/>
        <w:gridCol w:w="3061"/>
        <w:gridCol w:w="2211"/>
        <w:gridCol w:w="2154"/>
      </w:tblGrid>
      <w:tr>
        <w:trPr>
          <w:tblHeader/>
          <w:cantSplit/>
        </w:trPr>
        <w:tc>
          <w:tcPr>
            <w:tcW w:type="dxa" w:w="1984"/>
            <w:vAlign w:val="center"/>
            <w:shd w:fill="1F3A5F"/>
          </w:tcPr>
          <w:p>
            <w:pPr>
              <w:keepNext/>
              <w:spacing w:after="40" w:line="276" w:lineRule="auto"/>
              <w:jc w:val="left"/>
            </w:pPr>
            <w:r>
              <w:rPr>
                <w:b/>
                <w:i w:val="0"/>
                <w:color w:val="FFFFFF"/>
              </w:rPr>
              <w:t>Policy Direction</w:t>
            </w:r>
          </w:p>
        </w:tc>
        <w:tc>
          <w:tcPr>
            <w:tcW w:type="dxa" w:w="3061"/>
            <w:vAlign w:val="center"/>
            <w:shd w:fill="1F3A5F"/>
          </w:tcPr>
          <w:p>
            <w:pPr>
              <w:keepNext/>
              <w:spacing w:after="40" w:line="276" w:lineRule="auto"/>
              <w:jc w:val="left"/>
            </w:pPr>
            <w:r>
              <w:rPr>
                <w:b/>
                <w:i w:val="0"/>
                <w:color w:val="FFFFFF"/>
              </w:rPr>
              <w:t>Strategic Actions</w:t>
            </w:r>
          </w:p>
        </w:tc>
        <w:tc>
          <w:tcPr>
            <w:tcW w:type="dxa" w:w="2211"/>
            <w:vAlign w:val="center"/>
            <w:shd w:fill="1F3A5F"/>
          </w:tcPr>
          <w:p>
            <w:pPr>
              <w:keepNext/>
              <w:spacing w:after="40" w:line="276" w:lineRule="auto"/>
              <w:jc w:val="left"/>
            </w:pPr>
            <w:r>
              <w:rPr>
                <w:b/>
                <w:i w:val="0"/>
                <w:color w:val="FFFFFF"/>
              </w:rPr>
              <w:t>Expected Outcomes</w:t>
            </w:r>
          </w:p>
        </w:tc>
        <w:tc>
          <w:tcPr>
            <w:tcW w:type="dxa" w:w="2154"/>
            <w:vAlign w:val="center"/>
            <w:shd w:fill="1F3A5F"/>
          </w:tcPr>
          <w:p>
            <w:pPr>
              <w:keepNext/>
              <w:spacing w:after="40" w:line="276" w:lineRule="auto"/>
              <w:jc w:val="left"/>
            </w:pPr>
            <w:r>
              <w:rPr>
                <w:b/>
                <w:i w:val="0"/>
                <w:color w:val="FFFFFF"/>
              </w:rPr>
              <w:t>KPIs</w:t>
            </w:r>
          </w:p>
        </w:tc>
      </w:tr>
      <w:tr>
        <w:trPr>
          <w:cantSplit/>
        </w:trPr>
        <w:tc>
          <w:tcPr>
            <w:tcW w:type="dxa" w:w="1984"/>
            <w:vAlign w:val="center"/>
            <w:shd w:fill="FFFFFF"/>
          </w:tcPr>
          <w:p>
            <w:pPr>
              <w:spacing w:after="40" w:line="276" w:lineRule="auto"/>
              <w:jc w:val="left"/>
            </w:pPr>
            <w:r>
              <w:rPr>
                <w:b w:val="0"/>
                <w:i w:val="0"/>
              </w:rPr>
              <w:t>Implement OBE &amp; NEP 2020 reforms</w:t>
            </w:r>
          </w:p>
        </w:tc>
        <w:tc>
          <w:tcPr>
            <w:tcW w:type="dxa" w:w="3061"/>
            <w:vAlign w:val="center"/>
            <w:shd w:fill="FFFFFF"/>
          </w:tcPr>
          <w:p>
            <w:pPr>
              <w:spacing w:after="40" w:line="276" w:lineRule="auto"/>
              <w:jc w:val="left"/>
            </w:pPr>
            <w:r>
              <w:rPr>
                <w:b w:val="0"/>
                <w:i w:val="0"/>
              </w:rPr>
              <w:t>Revise 100% curricula to OBE standards; integrate interdisciplinary programs</w:t>
            </w:r>
          </w:p>
        </w:tc>
        <w:tc>
          <w:tcPr>
            <w:tcW w:type="dxa" w:w="2211"/>
            <w:vAlign w:val="center"/>
            <w:shd w:fill="FFFFFF"/>
          </w:tcPr>
          <w:p>
            <w:pPr>
              <w:spacing w:after="40" w:line="276" w:lineRule="auto"/>
              <w:jc w:val="left"/>
            </w:pPr>
            <w:r>
              <w:rPr>
                <w:b w:val="0"/>
                <w:i w:val="0"/>
              </w:rPr>
              <w:t>Modern, flexible, student-centric education</w:t>
            </w:r>
          </w:p>
        </w:tc>
        <w:tc>
          <w:tcPr>
            <w:tcW w:type="dxa" w:w="2154"/>
            <w:vAlign w:val="center"/>
            <w:shd w:fill="FFFFFF"/>
          </w:tcPr>
          <w:p>
            <w:pPr>
              <w:spacing w:after="40" w:line="276" w:lineRule="auto"/>
              <w:jc w:val="left"/>
            </w:pPr>
            <w:r>
              <w:rPr>
                <w:b/>
                <w:i w:val="0"/>
              </w:rPr>
              <w:t>% curricula revised (Target:</w:t>
            </w:r>
            <w:r>
              <w:rPr>
                <w:b w:val="0"/>
                <w:i w:val="0"/>
              </w:rPr>
              <w:t xml:space="preserve"> 100% by 2027)</w:t>
            </w:r>
          </w:p>
        </w:tc>
      </w:tr>
      <w:tr>
        <w:trPr>
          <w:cantSplit/>
        </w:trPr>
        <w:tc>
          <w:tcPr>
            <w:tcW w:type="dxa" w:w="1984"/>
            <w:vAlign w:val="center"/>
            <w:shd w:fill="EDF2F7"/>
          </w:tcPr>
          <w:p>
            <w:pPr>
              <w:spacing w:after="40" w:line="276" w:lineRule="auto"/>
              <w:jc w:val="left"/>
            </w:pPr>
            <w:r>
              <w:rPr>
                <w:b w:val="0"/>
                <w:i w:val="0"/>
              </w:rPr>
              <w:t>Enhance faculty quality</w:t>
            </w:r>
          </w:p>
        </w:tc>
        <w:tc>
          <w:tcPr>
            <w:tcW w:type="dxa" w:w="3061"/>
            <w:vAlign w:val="center"/>
            <w:shd w:fill="EDF2F7"/>
          </w:tcPr>
          <w:p>
            <w:pPr>
              <w:spacing w:after="40" w:line="276" w:lineRule="auto"/>
              <w:jc w:val="left"/>
            </w:pPr>
            <w:r>
              <w:rPr>
                <w:b w:val="0"/>
                <w:i w:val="0"/>
              </w:rPr>
              <w:t>Faculty training in digital pedagogy and NEP models</w:t>
            </w:r>
          </w:p>
        </w:tc>
        <w:tc>
          <w:tcPr>
            <w:tcW w:type="dxa" w:w="2211"/>
            <w:vAlign w:val="center"/>
            <w:shd w:fill="EDF2F7"/>
          </w:tcPr>
          <w:p>
            <w:pPr>
              <w:spacing w:after="40" w:line="276" w:lineRule="auto"/>
              <w:jc w:val="left"/>
            </w:pPr>
            <w:r>
              <w:rPr>
                <w:b w:val="0"/>
                <w:i w:val="0"/>
              </w:rPr>
              <w:t>Improved teaching effectiveness</w:t>
            </w:r>
          </w:p>
        </w:tc>
        <w:tc>
          <w:tcPr>
            <w:tcW w:type="dxa" w:w="2154"/>
            <w:vAlign w:val="center"/>
            <w:shd w:fill="EDF2F7"/>
          </w:tcPr>
          <w:p>
            <w:pPr>
              <w:spacing w:after="40" w:line="276" w:lineRule="auto"/>
              <w:jc w:val="left"/>
            </w:pPr>
            <w:r>
              <w:rPr>
                <w:b/>
                <w:i w:val="0"/>
              </w:rPr>
              <w:t>% faculty trained (Target:</w:t>
            </w:r>
            <w:r>
              <w:rPr>
                <w:b w:val="0"/>
                <w:i w:val="0"/>
              </w:rPr>
              <w:t xml:space="preserve"> 100% by 2025)</w:t>
            </w:r>
          </w:p>
        </w:tc>
      </w:tr>
      <w:tr>
        <w:trPr>
          <w:cantSplit/>
        </w:trPr>
        <w:tc>
          <w:tcPr>
            <w:tcW w:type="dxa" w:w="1984"/>
            <w:vAlign w:val="center"/>
            <w:shd w:fill="FFFFFF"/>
          </w:tcPr>
          <w:p>
            <w:pPr>
              <w:spacing w:after="40" w:line="276" w:lineRule="auto"/>
              <w:jc w:val="left"/>
            </w:pPr>
            <w:r>
              <w:rPr>
                <w:b w:val="0"/>
                <w:i w:val="0"/>
              </w:rPr>
              <w:t>Strengthen student learning</w:t>
            </w:r>
          </w:p>
        </w:tc>
        <w:tc>
          <w:tcPr>
            <w:tcW w:type="dxa" w:w="3061"/>
            <w:vAlign w:val="center"/>
            <w:shd w:fill="FFFFFF"/>
          </w:tcPr>
          <w:p>
            <w:pPr>
              <w:spacing w:after="40" w:line="276" w:lineRule="auto"/>
              <w:jc w:val="left"/>
            </w:pPr>
            <w:r>
              <w:rPr>
                <w:b w:val="0"/>
                <w:i w:val="0"/>
              </w:rPr>
              <w:t>Introduce credit-based academic bank and blended learning</w:t>
            </w:r>
          </w:p>
        </w:tc>
        <w:tc>
          <w:tcPr>
            <w:tcW w:type="dxa" w:w="2211"/>
            <w:vAlign w:val="center"/>
            <w:shd w:fill="FFFFFF"/>
          </w:tcPr>
          <w:p>
            <w:pPr>
              <w:spacing w:after="40" w:line="276" w:lineRule="auto"/>
              <w:jc w:val="left"/>
            </w:pPr>
            <w:r>
              <w:rPr>
                <w:b w:val="0"/>
                <w:i w:val="0"/>
              </w:rPr>
              <w:t>Lifelong learning ecosystem</w:t>
            </w:r>
          </w:p>
        </w:tc>
        <w:tc>
          <w:tcPr>
            <w:tcW w:type="dxa" w:w="2154"/>
            <w:vAlign w:val="center"/>
            <w:shd w:fill="FFFFFF"/>
          </w:tcPr>
          <w:p>
            <w:pPr>
              <w:spacing w:after="40" w:line="276" w:lineRule="auto"/>
              <w:jc w:val="left"/>
            </w:pPr>
            <w:r>
              <w:rPr>
                <w:b w:val="0"/>
                <w:i w:val="0"/>
              </w:rPr>
              <w:t>Student satisfaction index (≥85%)</w:t>
            </w:r>
          </w:p>
        </w:tc>
      </w:tr>
    </w:tbl>
    <w:p>
      <w:pPr>
        <w:spacing w:after="40"/>
      </w:pPr>
    </w:p>
    <w:p>
      <w:pPr>
        <w:keepNext/>
      </w:pPr>
      <w:r>
        <w:rPr>
          <w:b/>
          <w:i w:val="0"/>
        </w:rPr>
        <w:t>Core Theme 2:</w:t>
      </w:r>
      <w:r>
        <w:rPr>
          <w:b w:val="0"/>
          <w:i w:val="0"/>
        </w:rPr>
        <w:t xml:space="preserve"> Innovation &amp; Knowledge Creation → Strategic Pillar: Research &amp; Innovation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984"/>
        <w:gridCol w:w="3061"/>
        <w:gridCol w:w="2211"/>
        <w:gridCol w:w="2154"/>
      </w:tblGrid>
      <w:tr>
        <w:trPr>
          <w:tblHeader/>
          <w:cantSplit/>
        </w:trPr>
        <w:tc>
          <w:tcPr>
            <w:tcW w:type="dxa" w:w="1984"/>
            <w:vAlign w:val="center"/>
            <w:shd w:fill="1F3A5F"/>
          </w:tcPr>
          <w:p>
            <w:pPr>
              <w:keepNext/>
              <w:spacing w:after="40" w:line="276" w:lineRule="auto"/>
              <w:jc w:val="left"/>
            </w:pPr>
            <w:r>
              <w:rPr>
                <w:b/>
                <w:i w:val="0"/>
                <w:color w:val="FFFFFF"/>
              </w:rPr>
              <w:t>Policy Direction</w:t>
            </w:r>
          </w:p>
        </w:tc>
        <w:tc>
          <w:tcPr>
            <w:tcW w:type="dxa" w:w="3061"/>
            <w:vAlign w:val="center"/>
            <w:shd w:fill="1F3A5F"/>
          </w:tcPr>
          <w:p>
            <w:pPr>
              <w:keepNext/>
              <w:spacing w:after="40" w:line="276" w:lineRule="auto"/>
              <w:jc w:val="left"/>
            </w:pPr>
            <w:r>
              <w:rPr>
                <w:b/>
                <w:i w:val="0"/>
                <w:color w:val="FFFFFF"/>
              </w:rPr>
              <w:t>Strategic Actions</w:t>
            </w:r>
          </w:p>
        </w:tc>
        <w:tc>
          <w:tcPr>
            <w:tcW w:type="dxa" w:w="2211"/>
            <w:vAlign w:val="center"/>
            <w:shd w:fill="1F3A5F"/>
          </w:tcPr>
          <w:p>
            <w:pPr>
              <w:keepNext/>
              <w:spacing w:after="40" w:line="276" w:lineRule="auto"/>
              <w:jc w:val="left"/>
            </w:pPr>
            <w:r>
              <w:rPr>
                <w:b/>
                <w:i w:val="0"/>
                <w:color w:val="FFFFFF"/>
              </w:rPr>
              <w:t>Expected Outcomes</w:t>
            </w:r>
          </w:p>
        </w:tc>
        <w:tc>
          <w:tcPr>
            <w:tcW w:type="dxa" w:w="2154"/>
            <w:vAlign w:val="center"/>
            <w:shd w:fill="1F3A5F"/>
          </w:tcPr>
          <w:p>
            <w:pPr>
              <w:keepNext/>
              <w:spacing w:after="40" w:line="276" w:lineRule="auto"/>
              <w:jc w:val="left"/>
            </w:pPr>
            <w:r>
              <w:rPr>
                <w:b/>
                <w:i w:val="0"/>
                <w:color w:val="FFFFFF"/>
              </w:rPr>
              <w:t>KPIs</w:t>
            </w:r>
          </w:p>
        </w:tc>
      </w:tr>
      <w:tr>
        <w:trPr>
          <w:cantSplit/>
        </w:trPr>
        <w:tc>
          <w:tcPr>
            <w:tcW w:type="dxa" w:w="1984"/>
            <w:vAlign w:val="center"/>
            <w:shd w:fill="FFFFFF"/>
          </w:tcPr>
          <w:p>
            <w:pPr>
              <w:spacing w:after="40" w:line="276" w:lineRule="auto"/>
              <w:jc w:val="left"/>
            </w:pPr>
            <w:r>
              <w:rPr>
                <w:b w:val="0"/>
                <w:i w:val="0"/>
              </w:rPr>
              <w:t>Strengthen research ecosystem</w:t>
            </w:r>
          </w:p>
        </w:tc>
        <w:tc>
          <w:tcPr>
            <w:tcW w:type="dxa" w:w="3061"/>
            <w:vAlign w:val="center"/>
            <w:shd w:fill="FFFFFF"/>
          </w:tcPr>
          <w:p>
            <w:pPr>
              <w:spacing w:after="40" w:line="276" w:lineRule="auto"/>
              <w:jc w:val="left"/>
            </w:pPr>
            <w:r>
              <w:rPr>
                <w:b w:val="0"/>
                <w:i w:val="0"/>
              </w:rPr>
              <w:t>Establish 2–3 Centers of Excellence; enhance research funding</w:t>
            </w:r>
          </w:p>
        </w:tc>
        <w:tc>
          <w:tcPr>
            <w:tcW w:type="dxa" w:w="2211"/>
            <w:vAlign w:val="center"/>
            <w:shd w:fill="FFFFFF"/>
          </w:tcPr>
          <w:p>
            <w:pPr>
              <w:spacing w:after="40" w:line="276" w:lineRule="auto"/>
              <w:jc w:val="left"/>
            </w:pPr>
            <w:r>
              <w:rPr>
                <w:b w:val="0"/>
                <w:i w:val="0"/>
              </w:rPr>
              <w:t>Higher research output and global reputation</w:t>
            </w:r>
          </w:p>
        </w:tc>
        <w:tc>
          <w:tcPr>
            <w:tcW w:type="dxa" w:w="2154"/>
            <w:vAlign w:val="center"/>
            <w:shd w:fill="FFFFFF"/>
          </w:tcPr>
          <w:p>
            <w:pPr>
              <w:spacing w:after="40" w:line="276" w:lineRule="auto"/>
              <w:jc w:val="left"/>
            </w:pPr>
            <w:r>
              <w:rPr>
                <w:b w:val="0"/>
                <w:i w:val="0"/>
              </w:rPr>
              <w:t>Research funding secured (₹/£); No. of CoEs</w:t>
            </w:r>
          </w:p>
        </w:tc>
      </w:tr>
      <w:tr>
        <w:trPr>
          <w:cantSplit/>
        </w:trPr>
        <w:tc>
          <w:tcPr>
            <w:tcW w:type="dxa" w:w="1984"/>
            <w:vAlign w:val="center"/>
            <w:shd w:fill="EDF2F7"/>
          </w:tcPr>
          <w:p>
            <w:pPr>
              <w:spacing w:after="40" w:line="276" w:lineRule="auto"/>
              <w:jc w:val="left"/>
            </w:pPr>
            <w:r>
              <w:rPr>
                <w:b w:val="0"/>
                <w:i w:val="0"/>
              </w:rPr>
              <w:t>Promote innovation &amp; entrepreneurship</w:t>
            </w:r>
          </w:p>
        </w:tc>
        <w:tc>
          <w:tcPr>
            <w:tcW w:type="dxa" w:w="3061"/>
            <w:vAlign w:val="center"/>
            <w:shd w:fill="EDF2F7"/>
          </w:tcPr>
          <w:p>
            <w:pPr>
              <w:spacing w:after="40" w:line="276" w:lineRule="auto"/>
              <w:jc w:val="left"/>
            </w:pPr>
            <w:r>
              <w:rPr>
                <w:b w:val="0"/>
                <w:i w:val="0"/>
              </w:rPr>
              <w:t>Launch incubation hubs; support student/​faculty startups</w:t>
            </w:r>
          </w:p>
        </w:tc>
        <w:tc>
          <w:tcPr>
            <w:tcW w:type="dxa" w:w="2211"/>
            <w:vAlign w:val="center"/>
            <w:shd w:fill="EDF2F7"/>
          </w:tcPr>
          <w:p>
            <w:pPr>
              <w:spacing w:after="40" w:line="276" w:lineRule="auto"/>
              <w:jc w:val="left"/>
            </w:pPr>
            <w:r>
              <w:rPr>
                <w:b w:val="0"/>
                <w:i w:val="0"/>
              </w:rPr>
              <w:t>Startups and patents driving innovation</w:t>
            </w:r>
          </w:p>
        </w:tc>
        <w:tc>
          <w:tcPr>
            <w:tcW w:type="dxa" w:w="2154"/>
            <w:vAlign w:val="center"/>
            <w:shd w:fill="EDF2F7"/>
          </w:tcPr>
          <w:p>
            <w:pPr>
              <w:spacing w:after="40" w:line="276" w:lineRule="auto"/>
              <w:jc w:val="left"/>
            </w:pPr>
            <w:r>
              <w:rPr>
                <w:b w:val="0"/>
                <w:i w:val="0"/>
              </w:rPr>
              <w:t>No. of patents filed (≥10/​year); No. of startups</w:t>
            </w:r>
          </w:p>
        </w:tc>
      </w:tr>
      <w:tr>
        <w:trPr>
          <w:cantSplit/>
        </w:trPr>
        <w:tc>
          <w:tcPr>
            <w:tcW w:type="dxa" w:w="1984"/>
            <w:vAlign w:val="center"/>
            <w:shd w:fill="FFFFFF"/>
          </w:tcPr>
          <w:p>
            <w:pPr>
              <w:spacing w:after="40" w:line="276" w:lineRule="auto"/>
              <w:jc w:val="left"/>
            </w:pPr>
            <w:r>
              <w:rPr>
                <w:b w:val="0"/>
                <w:i w:val="0"/>
              </w:rPr>
              <w:t>Build global collaborations</w:t>
            </w:r>
          </w:p>
        </w:tc>
        <w:tc>
          <w:tcPr>
            <w:tcW w:type="dxa" w:w="3061"/>
            <w:vAlign w:val="center"/>
            <w:shd w:fill="FFFFFF"/>
          </w:tcPr>
          <w:p>
            <w:pPr>
              <w:spacing w:after="40" w:line="276" w:lineRule="auto"/>
              <w:jc w:val="left"/>
            </w:pPr>
            <w:r>
              <w:rPr>
                <w:b w:val="0"/>
                <w:i w:val="0"/>
              </w:rPr>
              <w:t>Partner with global universities for joint research</w:t>
            </w:r>
          </w:p>
        </w:tc>
        <w:tc>
          <w:tcPr>
            <w:tcW w:type="dxa" w:w="2211"/>
            <w:vAlign w:val="center"/>
            <w:shd w:fill="FFFFFF"/>
          </w:tcPr>
          <w:p>
            <w:pPr>
              <w:spacing w:after="40" w:line="276" w:lineRule="auto"/>
              <w:jc w:val="left"/>
            </w:pPr>
            <w:r>
              <w:rPr>
                <w:b w:val="0"/>
                <w:i w:val="0"/>
              </w:rPr>
              <w:t>International research visibility</w:t>
            </w:r>
          </w:p>
        </w:tc>
        <w:tc>
          <w:tcPr>
            <w:tcW w:type="dxa" w:w="2154"/>
            <w:vAlign w:val="center"/>
            <w:shd w:fill="FFFFFF"/>
          </w:tcPr>
          <w:p>
            <w:pPr>
              <w:spacing w:after="40" w:line="276" w:lineRule="auto"/>
              <w:jc w:val="left"/>
            </w:pPr>
            <w:r>
              <w:rPr>
                <w:b w:val="0"/>
                <w:i w:val="0"/>
              </w:rPr>
              <w:t>No. of joint publications; No. of MoUs</w:t>
            </w:r>
          </w:p>
        </w:tc>
      </w:tr>
    </w:tbl>
    <w:p>
      <w:pPr>
        <w:spacing w:after="40"/>
      </w:pPr>
    </w:p>
    <w:p>
      <w:pPr>
        <w:keepNext/>
      </w:pPr>
      <w:r>
        <w:rPr>
          <w:b/>
          <w:i w:val="0"/>
        </w:rPr>
        <w:t>Core Theme 3:</w:t>
      </w:r>
      <w:r>
        <w:rPr>
          <w:b w:val="0"/>
          <w:i w:val="0"/>
        </w:rPr>
        <w:t xml:space="preserve"> Sustainability &amp; Green Development → Strategic Pillar: Eco-Friendly Campus &amp; Climate Leadership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984"/>
        <w:gridCol w:w="3061"/>
        <w:gridCol w:w="2211"/>
        <w:gridCol w:w="2154"/>
      </w:tblGrid>
      <w:tr>
        <w:trPr>
          <w:tblHeader/>
          <w:cantSplit/>
        </w:trPr>
        <w:tc>
          <w:tcPr>
            <w:tcW w:type="dxa" w:w="1984"/>
            <w:vAlign w:val="center"/>
            <w:shd w:fill="1F3A5F"/>
          </w:tcPr>
          <w:p>
            <w:pPr>
              <w:keepNext/>
              <w:spacing w:after="40" w:line="276" w:lineRule="auto"/>
              <w:jc w:val="left"/>
            </w:pPr>
            <w:r>
              <w:rPr>
                <w:b/>
                <w:i w:val="0"/>
                <w:color w:val="FFFFFF"/>
              </w:rPr>
              <w:t>Policy Direction</w:t>
            </w:r>
          </w:p>
        </w:tc>
        <w:tc>
          <w:tcPr>
            <w:tcW w:type="dxa" w:w="3061"/>
            <w:vAlign w:val="center"/>
            <w:shd w:fill="1F3A5F"/>
          </w:tcPr>
          <w:p>
            <w:pPr>
              <w:keepNext/>
              <w:spacing w:after="40" w:line="276" w:lineRule="auto"/>
              <w:jc w:val="left"/>
            </w:pPr>
            <w:r>
              <w:rPr>
                <w:b/>
                <w:i w:val="0"/>
                <w:color w:val="FFFFFF"/>
              </w:rPr>
              <w:t>Strategic Actions</w:t>
            </w:r>
          </w:p>
        </w:tc>
        <w:tc>
          <w:tcPr>
            <w:tcW w:type="dxa" w:w="2211"/>
            <w:vAlign w:val="center"/>
            <w:shd w:fill="1F3A5F"/>
          </w:tcPr>
          <w:p>
            <w:pPr>
              <w:keepNext/>
              <w:spacing w:after="40" w:line="276" w:lineRule="auto"/>
              <w:jc w:val="left"/>
            </w:pPr>
            <w:r>
              <w:rPr>
                <w:b/>
                <w:i w:val="0"/>
                <w:color w:val="FFFFFF"/>
              </w:rPr>
              <w:t>Expected Outcomes</w:t>
            </w:r>
          </w:p>
        </w:tc>
        <w:tc>
          <w:tcPr>
            <w:tcW w:type="dxa" w:w="2154"/>
            <w:vAlign w:val="center"/>
            <w:shd w:fill="1F3A5F"/>
          </w:tcPr>
          <w:p>
            <w:pPr>
              <w:keepNext/>
              <w:spacing w:after="40" w:line="276" w:lineRule="auto"/>
              <w:jc w:val="left"/>
            </w:pPr>
            <w:r>
              <w:rPr>
                <w:b/>
                <w:i w:val="0"/>
                <w:color w:val="FFFFFF"/>
              </w:rPr>
              <w:t>KPIs</w:t>
            </w:r>
          </w:p>
        </w:tc>
      </w:tr>
      <w:tr>
        <w:trPr>
          <w:cantSplit/>
        </w:trPr>
        <w:tc>
          <w:tcPr>
            <w:tcW w:type="dxa" w:w="1984"/>
            <w:vAlign w:val="center"/>
            <w:shd w:fill="FFFFFF"/>
          </w:tcPr>
          <w:p>
            <w:pPr>
              <w:spacing w:after="40" w:line="276" w:lineRule="auto"/>
              <w:jc w:val="left"/>
            </w:pPr>
            <w:r>
              <w:rPr>
                <w:b w:val="0"/>
                <w:i w:val="0"/>
              </w:rPr>
              <w:t>Green infrastructure</w:t>
            </w:r>
          </w:p>
        </w:tc>
        <w:tc>
          <w:tcPr>
            <w:tcW w:type="dxa" w:w="3061"/>
            <w:vAlign w:val="center"/>
            <w:shd w:fill="FFFFFF"/>
          </w:tcPr>
          <w:p>
            <w:pPr>
              <w:spacing w:after="40" w:line="276" w:lineRule="auto"/>
              <w:jc w:val="left"/>
            </w:pPr>
            <w:r>
              <w:rPr>
                <w:b w:val="0"/>
                <w:i w:val="0"/>
              </w:rPr>
              <w:t>Develop carbon-neutral campus; green-certified buildings</w:t>
            </w:r>
          </w:p>
        </w:tc>
        <w:tc>
          <w:tcPr>
            <w:tcW w:type="dxa" w:w="2211"/>
            <w:vAlign w:val="center"/>
            <w:shd w:fill="FFFFFF"/>
          </w:tcPr>
          <w:p>
            <w:pPr>
              <w:spacing w:after="40" w:line="276" w:lineRule="auto"/>
              <w:jc w:val="left"/>
            </w:pPr>
            <w:r>
              <w:rPr>
                <w:b w:val="0"/>
                <w:i w:val="0"/>
              </w:rPr>
              <w:t>Model green university</w:t>
            </w:r>
          </w:p>
        </w:tc>
        <w:tc>
          <w:tcPr>
            <w:tcW w:type="dxa" w:w="2154"/>
            <w:vAlign w:val="center"/>
            <w:shd w:fill="FFFFFF"/>
          </w:tcPr>
          <w:p>
            <w:pPr>
              <w:spacing w:after="40" w:line="276" w:lineRule="auto"/>
              <w:jc w:val="left"/>
            </w:pPr>
            <w:r>
              <w:rPr>
                <w:b/>
                <w:i w:val="0"/>
              </w:rPr>
              <w:t>% renewable energy use (Target:</w:t>
            </w:r>
            <w:r>
              <w:rPr>
                <w:b w:val="0"/>
                <w:i w:val="0"/>
              </w:rPr>
              <w:t xml:space="preserve"> 70% by 2030)</w:t>
            </w:r>
          </w:p>
        </w:tc>
      </w:tr>
      <w:tr>
        <w:trPr>
          <w:cantSplit/>
        </w:trPr>
        <w:tc>
          <w:tcPr>
            <w:tcW w:type="dxa" w:w="1984"/>
            <w:vAlign w:val="center"/>
            <w:shd w:fill="EDF2F7"/>
          </w:tcPr>
          <w:p>
            <w:pPr>
              <w:spacing w:after="40" w:line="276" w:lineRule="auto"/>
              <w:jc w:val="left"/>
            </w:pPr>
            <w:r>
              <w:rPr>
                <w:b w:val="0"/>
                <w:i w:val="0"/>
              </w:rPr>
              <w:t>Climate-conscious operations</w:t>
            </w:r>
          </w:p>
        </w:tc>
        <w:tc>
          <w:tcPr>
            <w:tcW w:type="dxa" w:w="3061"/>
            <w:vAlign w:val="center"/>
            <w:shd w:fill="EDF2F7"/>
          </w:tcPr>
          <w:p>
            <w:pPr>
              <w:spacing w:after="40" w:line="276" w:lineRule="auto"/>
              <w:jc w:val="left"/>
            </w:pPr>
            <w:r>
              <w:rPr>
                <w:b w:val="0"/>
                <w:i w:val="0"/>
              </w:rPr>
              <w:t>Implement waste &amp; water management</w:t>
            </w:r>
          </w:p>
        </w:tc>
        <w:tc>
          <w:tcPr>
            <w:tcW w:type="dxa" w:w="2211"/>
            <w:vAlign w:val="center"/>
            <w:shd w:fill="EDF2F7"/>
          </w:tcPr>
          <w:p>
            <w:pPr>
              <w:spacing w:after="40" w:line="276" w:lineRule="auto"/>
              <w:jc w:val="left"/>
            </w:pPr>
            <w:r>
              <w:rPr>
                <w:b w:val="0"/>
                <w:i w:val="0"/>
              </w:rPr>
              <w:t>Efficient and sustainable resource use</w:t>
            </w:r>
          </w:p>
        </w:tc>
        <w:tc>
          <w:tcPr>
            <w:tcW w:type="dxa" w:w="2154"/>
            <w:vAlign w:val="center"/>
            <w:shd w:fill="EDF2F7"/>
          </w:tcPr>
          <w:p>
            <w:pPr>
              <w:spacing w:after="40" w:line="276" w:lineRule="auto"/>
              <w:jc w:val="left"/>
            </w:pPr>
            <w:r>
              <w:rPr>
                <w:b w:val="0"/>
                <w:i w:val="0"/>
              </w:rPr>
              <w:t>Waste recycling rate (%); Water conservation index</w:t>
            </w:r>
          </w:p>
        </w:tc>
      </w:tr>
      <w:tr>
        <w:trPr>
          <w:cantSplit/>
        </w:trPr>
        <w:tc>
          <w:tcPr>
            <w:tcW w:type="dxa" w:w="1984"/>
            <w:vAlign w:val="center"/>
            <w:shd w:fill="FFFFFF"/>
          </w:tcPr>
          <w:p>
            <w:pPr>
              <w:spacing w:after="40" w:line="276" w:lineRule="auto"/>
              <w:jc w:val="left"/>
            </w:pPr>
            <w:r>
              <w:rPr>
                <w:b w:val="0"/>
                <w:i w:val="0"/>
              </w:rPr>
              <w:t>Sustainability research</w:t>
            </w:r>
          </w:p>
        </w:tc>
        <w:tc>
          <w:tcPr>
            <w:tcW w:type="dxa" w:w="3061"/>
            <w:vAlign w:val="center"/>
            <w:shd w:fill="FFFFFF"/>
          </w:tcPr>
          <w:p>
            <w:pPr>
              <w:spacing w:after="40" w:line="276" w:lineRule="auto"/>
              <w:jc w:val="left"/>
            </w:pPr>
            <w:r>
              <w:rPr>
                <w:b w:val="0"/>
                <w:i w:val="0"/>
              </w:rPr>
              <w:t>Launch programs in clean tech, circular economy</w:t>
            </w:r>
          </w:p>
        </w:tc>
        <w:tc>
          <w:tcPr>
            <w:tcW w:type="dxa" w:w="2211"/>
            <w:vAlign w:val="center"/>
            <w:shd w:fill="FFFFFF"/>
          </w:tcPr>
          <w:p>
            <w:pPr>
              <w:spacing w:after="40" w:line="276" w:lineRule="auto"/>
              <w:jc w:val="left"/>
            </w:pPr>
            <w:r>
              <w:rPr>
                <w:b w:val="0"/>
                <w:i w:val="0"/>
              </w:rPr>
              <w:t>Research addressing SDGs</w:t>
            </w:r>
          </w:p>
        </w:tc>
        <w:tc>
          <w:tcPr>
            <w:tcW w:type="dxa" w:w="2154"/>
            <w:vAlign w:val="center"/>
            <w:shd w:fill="FFFFFF"/>
          </w:tcPr>
          <w:p>
            <w:pPr>
              <w:spacing w:after="40" w:line="276" w:lineRule="auto"/>
              <w:jc w:val="left"/>
            </w:pPr>
            <w:r>
              <w:rPr>
                <w:b w:val="0"/>
                <w:i w:val="0"/>
              </w:rPr>
              <w:t>No. of sustainability-related publications/​projects</w:t>
            </w:r>
          </w:p>
        </w:tc>
      </w:tr>
    </w:tbl>
    <w:p>
      <w:pPr>
        <w:spacing w:after="40"/>
      </w:pPr>
    </w:p>
    <w:p>
      <w:pPr>
        <w:keepNext/>
      </w:pPr>
      <w:r>
        <w:rPr>
          <w:b/>
          <w:i w:val="0"/>
        </w:rPr>
        <w:t>Core Theme 4:</w:t>
      </w:r>
      <w:r>
        <w:rPr>
          <w:b w:val="0"/>
          <w:i w:val="0"/>
        </w:rPr>
        <w:t xml:space="preserve"> Inclusivity &amp; Equity → Strategic Pillar: Inclusive Education &amp; Student Development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984"/>
        <w:gridCol w:w="3061"/>
        <w:gridCol w:w="2211"/>
        <w:gridCol w:w="2154"/>
      </w:tblGrid>
      <w:tr>
        <w:trPr>
          <w:tblHeader/>
          <w:cantSplit/>
        </w:trPr>
        <w:tc>
          <w:tcPr>
            <w:tcW w:type="dxa" w:w="1984"/>
            <w:vAlign w:val="center"/>
            <w:shd w:fill="1F3A5F"/>
          </w:tcPr>
          <w:p>
            <w:pPr>
              <w:keepNext/>
              <w:spacing w:after="40" w:line="276" w:lineRule="auto"/>
              <w:jc w:val="left"/>
            </w:pPr>
            <w:r>
              <w:rPr>
                <w:b/>
                <w:i w:val="0"/>
                <w:color w:val="FFFFFF"/>
              </w:rPr>
              <w:t>Policy Direction</w:t>
            </w:r>
          </w:p>
        </w:tc>
        <w:tc>
          <w:tcPr>
            <w:tcW w:type="dxa" w:w="3061"/>
            <w:vAlign w:val="center"/>
            <w:shd w:fill="1F3A5F"/>
          </w:tcPr>
          <w:p>
            <w:pPr>
              <w:keepNext/>
              <w:spacing w:after="40" w:line="276" w:lineRule="auto"/>
              <w:jc w:val="left"/>
            </w:pPr>
            <w:r>
              <w:rPr>
                <w:b/>
                <w:i w:val="0"/>
                <w:color w:val="FFFFFF"/>
              </w:rPr>
              <w:t>Strategic Actions</w:t>
            </w:r>
          </w:p>
        </w:tc>
        <w:tc>
          <w:tcPr>
            <w:tcW w:type="dxa" w:w="2211"/>
            <w:vAlign w:val="center"/>
            <w:shd w:fill="1F3A5F"/>
          </w:tcPr>
          <w:p>
            <w:pPr>
              <w:keepNext/>
              <w:spacing w:after="40" w:line="276" w:lineRule="auto"/>
              <w:jc w:val="left"/>
            </w:pPr>
            <w:r>
              <w:rPr>
                <w:b/>
                <w:i w:val="0"/>
                <w:color w:val="FFFFFF"/>
              </w:rPr>
              <w:t>Expected Outcomes</w:t>
            </w:r>
          </w:p>
        </w:tc>
        <w:tc>
          <w:tcPr>
            <w:tcW w:type="dxa" w:w="2154"/>
            <w:vAlign w:val="center"/>
            <w:shd w:fill="1F3A5F"/>
          </w:tcPr>
          <w:p>
            <w:pPr>
              <w:keepNext/>
              <w:spacing w:after="40" w:line="276" w:lineRule="auto"/>
              <w:jc w:val="left"/>
            </w:pPr>
            <w:r>
              <w:rPr>
                <w:b/>
                <w:i w:val="0"/>
                <w:color w:val="FFFFFF"/>
              </w:rPr>
              <w:t>KPIs</w:t>
            </w:r>
          </w:p>
        </w:tc>
      </w:tr>
      <w:tr>
        <w:trPr>
          <w:cantSplit/>
        </w:trPr>
        <w:tc>
          <w:tcPr>
            <w:tcW w:type="dxa" w:w="1984"/>
            <w:vAlign w:val="center"/>
            <w:shd w:fill="FFFFFF"/>
          </w:tcPr>
          <w:p>
            <w:pPr>
              <w:spacing w:after="40" w:line="276" w:lineRule="auto"/>
              <w:jc w:val="left"/>
            </w:pPr>
            <w:r>
              <w:rPr>
                <w:b w:val="0"/>
                <w:i w:val="0"/>
              </w:rPr>
              <w:t>Equity in access</w:t>
            </w:r>
          </w:p>
        </w:tc>
        <w:tc>
          <w:tcPr>
            <w:tcW w:type="dxa" w:w="3061"/>
            <w:vAlign w:val="center"/>
            <w:shd w:fill="FFFFFF"/>
          </w:tcPr>
          <w:p>
            <w:pPr>
              <w:spacing w:after="40" w:line="276" w:lineRule="auto"/>
              <w:jc w:val="left"/>
            </w:pPr>
            <w:r>
              <w:rPr>
                <w:b w:val="0"/>
                <w:i w:val="0"/>
              </w:rPr>
              <w:t>Provide scholarships to 25% of students annually</w:t>
            </w:r>
          </w:p>
        </w:tc>
        <w:tc>
          <w:tcPr>
            <w:tcW w:type="dxa" w:w="2211"/>
            <w:vAlign w:val="center"/>
            <w:shd w:fill="FFFFFF"/>
          </w:tcPr>
          <w:p>
            <w:pPr>
              <w:spacing w:after="40" w:line="276" w:lineRule="auto"/>
              <w:jc w:val="left"/>
            </w:pPr>
            <w:r>
              <w:rPr>
                <w:b w:val="0"/>
                <w:i w:val="0"/>
              </w:rPr>
              <w:t>Affordable access to education</w:t>
            </w:r>
          </w:p>
        </w:tc>
        <w:tc>
          <w:tcPr>
            <w:tcW w:type="dxa" w:w="2154"/>
            <w:vAlign w:val="center"/>
            <w:shd w:fill="FFFFFF"/>
          </w:tcPr>
          <w:p>
            <w:pPr>
              <w:spacing w:after="40" w:line="276" w:lineRule="auto"/>
              <w:jc w:val="left"/>
            </w:pPr>
            <w:r>
              <w:rPr>
                <w:b w:val="0"/>
                <w:i w:val="0"/>
              </w:rPr>
              <w:t>% students receiving scholarships</w:t>
            </w:r>
          </w:p>
        </w:tc>
      </w:tr>
      <w:tr>
        <w:trPr>
          <w:cantSplit/>
        </w:trPr>
        <w:tc>
          <w:tcPr>
            <w:tcW w:type="dxa" w:w="1984"/>
            <w:vAlign w:val="center"/>
            <w:shd w:fill="EDF2F7"/>
          </w:tcPr>
          <w:p>
            <w:pPr>
              <w:spacing w:after="40" w:line="276" w:lineRule="auto"/>
              <w:jc w:val="left"/>
            </w:pPr>
            <w:r>
              <w:rPr>
                <w:b w:val="0"/>
                <w:i w:val="0"/>
              </w:rPr>
              <w:t>Student support</w:t>
            </w:r>
          </w:p>
        </w:tc>
        <w:tc>
          <w:tcPr>
            <w:tcW w:type="dxa" w:w="3061"/>
            <w:vAlign w:val="center"/>
            <w:shd w:fill="EDF2F7"/>
          </w:tcPr>
          <w:p>
            <w:pPr>
              <w:spacing w:after="40" w:line="276" w:lineRule="auto"/>
              <w:jc w:val="left"/>
            </w:pPr>
            <w:r>
              <w:rPr>
                <w:b w:val="0"/>
                <w:i w:val="0"/>
              </w:rPr>
              <w:t>Establish career services &amp; counseling centers</w:t>
            </w:r>
          </w:p>
        </w:tc>
        <w:tc>
          <w:tcPr>
            <w:tcW w:type="dxa" w:w="2211"/>
            <w:vAlign w:val="center"/>
            <w:shd w:fill="EDF2F7"/>
          </w:tcPr>
          <w:p>
            <w:pPr>
              <w:spacing w:after="40" w:line="276" w:lineRule="auto"/>
              <w:jc w:val="left"/>
            </w:pPr>
            <w:r>
              <w:rPr>
                <w:b w:val="0"/>
                <w:i w:val="0"/>
              </w:rPr>
              <w:t>Higher retention &amp; employability</w:t>
            </w:r>
          </w:p>
        </w:tc>
        <w:tc>
          <w:tcPr>
            <w:tcW w:type="dxa" w:w="2154"/>
            <w:vAlign w:val="center"/>
            <w:shd w:fill="EDF2F7"/>
          </w:tcPr>
          <w:p>
            <w:pPr>
              <w:spacing w:after="40" w:line="276" w:lineRule="auto"/>
              <w:jc w:val="left"/>
            </w:pPr>
            <w:r>
              <w:rPr>
                <w:b w:val="0"/>
                <w:i w:val="0"/>
              </w:rPr>
              <w:t>Retention rate (≥95%); Placement rate (≥90%)</w:t>
            </w:r>
          </w:p>
        </w:tc>
      </w:tr>
      <w:tr>
        <w:trPr>
          <w:cantSplit/>
        </w:trPr>
        <w:tc>
          <w:tcPr>
            <w:tcW w:type="dxa" w:w="1984"/>
            <w:vAlign w:val="center"/>
            <w:shd w:fill="FFFFFF"/>
          </w:tcPr>
          <w:p>
            <w:pPr>
              <w:spacing w:after="40" w:line="276" w:lineRule="auto"/>
              <w:jc w:val="left"/>
            </w:pPr>
            <w:r>
              <w:rPr>
                <w:b w:val="0"/>
                <w:i w:val="0"/>
              </w:rPr>
              <w:t>Diversity &amp; inclusivity</w:t>
            </w:r>
          </w:p>
        </w:tc>
        <w:tc>
          <w:tcPr>
            <w:tcW w:type="dxa" w:w="3061"/>
            <w:vAlign w:val="center"/>
            <w:shd w:fill="FFFFFF"/>
          </w:tcPr>
          <w:p>
            <w:pPr>
              <w:spacing w:after="40" w:line="276" w:lineRule="auto"/>
              <w:jc w:val="left"/>
            </w:pPr>
            <w:r>
              <w:rPr>
                <w:b w:val="0"/>
                <w:i w:val="0"/>
              </w:rPr>
              <w:t>Policies for gender balance &amp; differently-abled learners</w:t>
            </w:r>
          </w:p>
        </w:tc>
        <w:tc>
          <w:tcPr>
            <w:tcW w:type="dxa" w:w="2211"/>
            <w:vAlign w:val="center"/>
            <w:shd w:fill="FFFFFF"/>
          </w:tcPr>
          <w:p>
            <w:pPr>
              <w:spacing w:after="40" w:line="276" w:lineRule="auto"/>
              <w:jc w:val="left"/>
            </w:pPr>
            <w:r>
              <w:rPr>
                <w:b w:val="0"/>
                <w:i w:val="0"/>
              </w:rPr>
              <w:t>Inclusive campus environment</w:t>
            </w:r>
          </w:p>
        </w:tc>
        <w:tc>
          <w:tcPr>
            <w:tcW w:type="dxa" w:w="2154"/>
            <w:vAlign w:val="center"/>
            <w:shd w:fill="FFFFFF"/>
          </w:tcPr>
          <w:p>
            <w:pPr>
              <w:spacing w:after="40" w:line="276" w:lineRule="auto"/>
              <w:jc w:val="left"/>
            </w:pPr>
            <w:r>
              <w:rPr>
                <w:b w:val="0"/>
                <w:i w:val="0"/>
              </w:rPr>
              <w:t>Diversity index; No. of inclusivity programs</w:t>
            </w:r>
          </w:p>
        </w:tc>
      </w:tr>
    </w:tbl>
    <w:p>
      <w:pPr>
        <w:spacing w:after="40"/>
      </w:pPr>
    </w:p>
    <w:p>
      <w:pPr>
        <w:keepNext/>
      </w:pPr>
      <w:r>
        <w:rPr>
          <w:b/>
          <w:i w:val="0"/>
        </w:rPr>
        <w:t>Core Theme 5:</w:t>
      </w:r>
      <w:r>
        <w:rPr>
          <w:b w:val="0"/>
          <w:i w:val="0"/>
        </w:rPr>
        <w:t xml:space="preserve"> Global Impact &amp; Engagement → Strategic Pillar: Internationalization &amp; Partnerships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984"/>
        <w:gridCol w:w="3061"/>
        <w:gridCol w:w="2211"/>
        <w:gridCol w:w="2154"/>
      </w:tblGrid>
      <w:tr>
        <w:trPr>
          <w:tblHeader/>
          <w:cantSplit/>
        </w:trPr>
        <w:tc>
          <w:tcPr>
            <w:tcW w:type="dxa" w:w="1984"/>
            <w:vAlign w:val="center"/>
            <w:shd w:fill="1F3A5F"/>
          </w:tcPr>
          <w:p>
            <w:pPr>
              <w:keepNext/>
              <w:spacing w:after="40" w:line="276" w:lineRule="auto"/>
              <w:jc w:val="left"/>
            </w:pPr>
            <w:r>
              <w:rPr>
                <w:b/>
                <w:i w:val="0"/>
                <w:color w:val="FFFFFF"/>
              </w:rPr>
              <w:t>Policy Direction</w:t>
            </w:r>
          </w:p>
        </w:tc>
        <w:tc>
          <w:tcPr>
            <w:tcW w:type="dxa" w:w="3061"/>
            <w:vAlign w:val="center"/>
            <w:shd w:fill="1F3A5F"/>
          </w:tcPr>
          <w:p>
            <w:pPr>
              <w:keepNext/>
              <w:spacing w:after="40" w:line="276" w:lineRule="auto"/>
              <w:jc w:val="left"/>
            </w:pPr>
            <w:r>
              <w:rPr>
                <w:b/>
                <w:i w:val="0"/>
                <w:color w:val="FFFFFF"/>
              </w:rPr>
              <w:t>Strategic Actions</w:t>
            </w:r>
          </w:p>
        </w:tc>
        <w:tc>
          <w:tcPr>
            <w:tcW w:type="dxa" w:w="2211"/>
            <w:vAlign w:val="center"/>
            <w:shd w:fill="1F3A5F"/>
          </w:tcPr>
          <w:p>
            <w:pPr>
              <w:keepNext/>
              <w:spacing w:after="40" w:line="276" w:lineRule="auto"/>
              <w:jc w:val="left"/>
            </w:pPr>
            <w:r>
              <w:rPr>
                <w:b/>
                <w:i w:val="0"/>
                <w:color w:val="FFFFFF"/>
              </w:rPr>
              <w:t>Expected Outcomes</w:t>
            </w:r>
          </w:p>
        </w:tc>
        <w:tc>
          <w:tcPr>
            <w:tcW w:type="dxa" w:w="2154"/>
            <w:vAlign w:val="center"/>
            <w:shd w:fill="1F3A5F"/>
          </w:tcPr>
          <w:p>
            <w:pPr>
              <w:keepNext/>
              <w:spacing w:after="40" w:line="276" w:lineRule="auto"/>
              <w:jc w:val="left"/>
            </w:pPr>
            <w:r>
              <w:rPr>
                <w:b/>
                <w:i w:val="0"/>
                <w:color w:val="FFFFFF"/>
              </w:rPr>
              <w:t>KPIs</w:t>
            </w:r>
          </w:p>
        </w:tc>
      </w:tr>
      <w:tr>
        <w:trPr>
          <w:cantSplit/>
        </w:trPr>
        <w:tc>
          <w:tcPr>
            <w:tcW w:type="dxa" w:w="1984"/>
            <w:vAlign w:val="center"/>
            <w:shd w:fill="FFFFFF"/>
          </w:tcPr>
          <w:p>
            <w:pPr>
              <w:spacing w:after="40" w:line="276" w:lineRule="auto"/>
              <w:jc w:val="left"/>
            </w:pPr>
            <w:r>
              <w:rPr>
                <w:b w:val="0"/>
                <w:i w:val="0"/>
              </w:rPr>
              <w:t>Expand global networks</w:t>
            </w:r>
          </w:p>
        </w:tc>
        <w:tc>
          <w:tcPr>
            <w:tcW w:type="dxa" w:w="3061"/>
            <w:vAlign w:val="center"/>
            <w:shd w:fill="FFFFFF"/>
          </w:tcPr>
          <w:p>
            <w:pPr>
              <w:spacing w:after="40" w:line="276" w:lineRule="auto"/>
              <w:jc w:val="left"/>
            </w:pPr>
            <w:r>
              <w:rPr>
                <w:b w:val="0"/>
                <w:i w:val="0"/>
              </w:rPr>
              <w:t>Sign 20+ MoUs; launch dual-degree programs</w:t>
            </w:r>
          </w:p>
        </w:tc>
        <w:tc>
          <w:tcPr>
            <w:tcW w:type="dxa" w:w="2211"/>
            <w:vAlign w:val="center"/>
            <w:shd w:fill="FFFFFF"/>
          </w:tcPr>
          <w:p>
            <w:pPr>
              <w:spacing w:after="40" w:line="276" w:lineRule="auto"/>
              <w:jc w:val="left"/>
            </w:pPr>
            <w:r>
              <w:rPr>
                <w:b w:val="0"/>
                <w:i w:val="0"/>
              </w:rPr>
              <w:t>International academic presence</w:t>
            </w:r>
          </w:p>
        </w:tc>
        <w:tc>
          <w:tcPr>
            <w:tcW w:type="dxa" w:w="2154"/>
            <w:vAlign w:val="center"/>
            <w:shd w:fill="FFFFFF"/>
          </w:tcPr>
          <w:p>
            <w:pPr>
              <w:spacing w:after="40" w:line="276" w:lineRule="auto"/>
              <w:jc w:val="left"/>
            </w:pPr>
            <w:r>
              <w:rPr>
                <w:b w:val="0"/>
                <w:i w:val="0"/>
              </w:rPr>
              <w:t>No. of active MoUs; No. of dual degrees</w:t>
            </w:r>
          </w:p>
        </w:tc>
      </w:tr>
      <w:tr>
        <w:trPr>
          <w:cantSplit/>
        </w:trPr>
        <w:tc>
          <w:tcPr>
            <w:tcW w:type="dxa" w:w="1984"/>
            <w:vAlign w:val="center"/>
            <w:shd w:fill="EDF2F7"/>
          </w:tcPr>
          <w:p>
            <w:pPr>
              <w:spacing w:after="40" w:line="276" w:lineRule="auto"/>
              <w:jc w:val="left"/>
            </w:pPr>
            <w:r>
              <w:rPr>
                <w:b w:val="0"/>
                <w:i w:val="0"/>
              </w:rPr>
              <w:t>Promote global mobility</w:t>
            </w:r>
          </w:p>
        </w:tc>
        <w:tc>
          <w:tcPr>
            <w:tcW w:type="dxa" w:w="3061"/>
            <w:vAlign w:val="center"/>
            <w:shd w:fill="EDF2F7"/>
          </w:tcPr>
          <w:p>
            <w:pPr>
              <w:spacing w:after="40" w:line="276" w:lineRule="auto"/>
              <w:jc w:val="left"/>
            </w:pPr>
            <w:r>
              <w:rPr>
                <w:b w:val="0"/>
                <w:i w:val="0"/>
              </w:rPr>
              <w:t>Facilitate 200+ exchanges in 10 years</w:t>
            </w:r>
          </w:p>
        </w:tc>
        <w:tc>
          <w:tcPr>
            <w:tcW w:type="dxa" w:w="2211"/>
            <w:vAlign w:val="center"/>
            <w:shd w:fill="EDF2F7"/>
          </w:tcPr>
          <w:p>
            <w:pPr>
              <w:spacing w:after="40" w:line="276" w:lineRule="auto"/>
              <w:jc w:val="left"/>
            </w:pPr>
            <w:r>
              <w:rPr>
                <w:b w:val="0"/>
                <w:i w:val="0"/>
              </w:rPr>
              <w:t>Global exposure for students/​faculty</w:t>
            </w:r>
          </w:p>
        </w:tc>
        <w:tc>
          <w:tcPr>
            <w:tcW w:type="dxa" w:w="2154"/>
            <w:vAlign w:val="center"/>
            <w:shd w:fill="EDF2F7"/>
          </w:tcPr>
          <w:p>
            <w:pPr>
              <w:spacing w:after="40" w:line="276" w:lineRule="auto"/>
              <w:jc w:val="left"/>
            </w:pPr>
            <w:r>
              <w:rPr>
                <w:b w:val="0"/>
                <w:i w:val="0"/>
              </w:rPr>
              <w:t>No. of exchanges per year</w:t>
            </w:r>
          </w:p>
        </w:tc>
      </w:tr>
      <w:tr>
        <w:trPr>
          <w:cantSplit/>
        </w:trPr>
        <w:tc>
          <w:tcPr>
            <w:tcW w:type="dxa" w:w="1984"/>
            <w:vAlign w:val="center"/>
            <w:shd w:fill="FFFFFF"/>
          </w:tcPr>
          <w:p>
            <w:pPr>
              <w:spacing w:after="40" w:line="276" w:lineRule="auto"/>
              <w:jc w:val="left"/>
            </w:pPr>
            <w:r>
              <w:rPr>
                <w:b w:val="0"/>
                <w:i w:val="0"/>
              </w:rPr>
              <w:t>Global benchmarking</w:t>
            </w:r>
          </w:p>
        </w:tc>
        <w:tc>
          <w:tcPr>
            <w:tcW w:type="dxa" w:w="3061"/>
            <w:vAlign w:val="center"/>
            <w:shd w:fill="FFFFFF"/>
          </w:tcPr>
          <w:p>
            <w:pPr>
              <w:spacing w:after="40" w:line="276" w:lineRule="auto"/>
              <w:jc w:val="left"/>
            </w:pPr>
            <w:r>
              <w:rPr>
                <w:b w:val="0"/>
                <w:i w:val="0"/>
              </w:rPr>
              <w:t>Participate in QS, THE rankings</w:t>
            </w:r>
          </w:p>
        </w:tc>
        <w:tc>
          <w:tcPr>
            <w:tcW w:type="dxa" w:w="2211"/>
            <w:vAlign w:val="center"/>
            <w:shd w:fill="FFFFFF"/>
          </w:tcPr>
          <w:p>
            <w:pPr>
              <w:spacing w:after="40" w:line="276" w:lineRule="auto"/>
              <w:jc w:val="left"/>
            </w:pPr>
            <w:r>
              <w:rPr>
                <w:b w:val="0"/>
                <w:i w:val="0"/>
              </w:rPr>
              <w:t>Enhanced global reputation</w:t>
            </w:r>
          </w:p>
        </w:tc>
        <w:tc>
          <w:tcPr>
            <w:tcW w:type="dxa" w:w="2154"/>
            <w:vAlign w:val="center"/>
            <w:shd w:fill="FFFFFF"/>
          </w:tcPr>
          <w:p>
            <w:pPr>
              <w:spacing w:after="40" w:line="276" w:lineRule="auto"/>
              <w:jc w:val="left"/>
            </w:pPr>
            <w:r>
              <w:rPr>
                <w:b w:val="0"/>
                <w:i w:val="0"/>
              </w:rPr>
              <w:t>QS/​THE ranking improvement; No. of international conferences hosted</w:t>
            </w:r>
          </w:p>
        </w:tc>
      </w:tr>
    </w:tbl>
    <w:p>
      <w:pPr>
        <w:spacing w:after="40"/>
      </w:pPr>
    </w:p>
    <w:p>
      <w:pPr>
        <w:pStyle w:val="Heading2"/>
      </w:pPr>
      <w:r>
        <w:t>Alignment of SDP with NEP 2020 and SDGs</w:t>
      </w:r>
    </w:p>
    <w:p>
      <w:pPr>
        <w:pStyle w:val="Heading2"/>
      </w:pPr>
      <w:r>
        <w:rPr>
          <w:i/>
        </w:rPr>
        <w:t>1. Academic Excellence</w:t>
      </w:r>
    </w:p>
    <w:p>
      <w:pPr>
        <w:pStyle w:val="ListBullet"/>
        <w:numPr>
          <w:ilvl w:val="0"/>
          <w:numId w:val="90"/>
        </w:numPr>
        <w:ind w:left="340" w:hanging="142"/>
      </w:pPr>
      <w:r>
        <w:rPr>
          <w:b/>
          <w:i w:val="0"/>
        </w:rPr>
        <w:t>NEP 2020 Alignment:</w:t>
      </w:r>
    </w:p>
    <w:p>
      <w:pPr>
        <w:pStyle w:val="ListBullet2"/>
        <w:numPr>
          <w:ilvl w:val="1"/>
          <w:numId w:val="90"/>
        </w:numPr>
        <w:ind w:left="652" w:hanging="142"/>
      </w:pPr>
      <w:r>
        <w:rPr>
          <w:b w:val="0"/>
          <w:i w:val="0"/>
        </w:rPr>
        <w:t>Multidisciplinary education, holistic development.</w:t>
      </w:r>
    </w:p>
    <w:p>
      <w:pPr>
        <w:pStyle w:val="ListBullet2"/>
        <w:numPr>
          <w:ilvl w:val="1"/>
          <w:numId w:val="90"/>
        </w:numPr>
        <w:ind w:left="652" w:hanging="142"/>
      </w:pPr>
      <w:r>
        <w:rPr>
          <w:b w:val="0"/>
          <w:i w:val="0"/>
        </w:rPr>
        <w:t>Outcome-Based Education (OBE) and Academic Bank of Credits.</w:t>
      </w:r>
    </w:p>
    <w:p>
      <w:pPr>
        <w:pStyle w:val="ListBullet2"/>
        <w:numPr>
          <w:ilvl w:val="1"/>
          <w:numId w:val="90"/>
        </w:numPr>
        <w:ind w:left="652" w:hanging="142"/>
      </w:pPr>
      <w:r>
        <w:rPr>
          <w:b w:val="0"/>
          <w:i w:val="0"/>
        </w:rPr>
        <w:t>Flexibility in curriculum, credit transfer, blended learning.</w:t>
      </w:r>
    </w:p>
    <w:p>
      <w:pPr>
        <w:pStyle w:val="ListBullet"/>
        <w:numPr>
          <w:ilvl w:val="0"/>
          <w:numId w:val="90"/>
        </w:numPr>
        <w:ind w:left="340" w:hanging="142"/>
      </w:pPr>
      <w:r>
        <w:rPr>
          <w:b/>
          <w:i w:val="0"/>
        </w:rPr>
        <w:t>SDG Alignment:</w:t>
      </w:r>
    </w:p>
    <w:p>
      <w:pPr>
        <w:pStyle w:val="ListBullet2"/>
        <w:numPr>
          <w:ilvl w:val="1"/>
          <w:numId w:val="90"/>
        </w:numPr>
        <w:ind w:left="652" w:hanging="142"/>
      </w:pPr>
      <w:r>
        <w:rPr>
          <w:b/>
          <w:i w:val="0"/>
        </w:rPr>
        <w:t>SDG-4 (Quality Education):</w:t>
      </w:r>
      <w:r>
        <w:rPr>
          <w:b w:val="0"/>
          <w:i w:val="0"/>
        </w:rPr>
        <w:t xml:space="preserve"> Ensure inclusive and equitable quality education.</w:t>
      </w:r>
    </w:p>
    <w:p>
      <w:pPr>
        <w:pStyle w:val="ListBullet2"/>
        <w:numPr>
          <w:ilvl w:val="1"/>
          <w:numId w:val="90"/>
        </w:numPr>
        <w:ind w:left="652" w:hanging="142"/>
      </w:pPr>
      <w:r>
        <w:rPr>
          <w:b/>
          <w:i w:val="0"/>
        </w:rPr>
        <w:t>SDG-8 (Decent Work &amp; Economic Growth):</w:t>
      </w:r>
      <w:r>
        <w:rPr>
          <w:b w:val="0"/>
          <w:i w:val="0"/>
        </w:rPr>
        <w:t xml:space="preserve"> Skills for employability.</w:t>
      </w:r>
    </w:p>
    <w:p>
      <w:pPr>
        <w:pStyle w:val="Heading2"/>
      </w:pPr>
      <w:r>
        <w:rPr>
          <w:i/>
        </w:rPr>
        <w:t>2. Research, Innovation &amp; Knowledge Creation</w:t>
      </w:r>
    </w:p>
    <w:p>
      <w:pPr>
        <w:pStyle w:val="ListBullet"/>
        <w:numPr>
          <w:ilvl w:val="0"/>
          <w:numId w:val="90"/>
        </w:numPr>
        <w:ind w:left="340" w:hanging="142"/>
      </w:pPr>
      <w:r>
        <w:rPr>
          <w:b/>
          <w:i w:val="0"/>
        </w:rPr>
        <w:t>NEP 2020 Alignment:</w:t>
      </w:r>
    </w:p>
    <w:p>
      <w:pPr>
        <w:pStyle w:val="ListBullet2"/>
        <w:numPr>
          <w:ilvl w:val="1"/>
          <w:numId w:val="90"/>
        </w:numPr>
        <w:ind w:left="652" w:hanging="142"/>
      </w:pPr>
      <w:r>
        <w:rPr>
          <w:b w:val="0"/>
          <w:i w:val="0"/>
        </w:rPr>
        <w:t>National Research Foundation (NRF) framework.</w:t>
      </w:r>
    </w:p>
    <w:p>
      <w:pPr>
        <w:pStyle w:val="ListBullet2"/>
        <w:numPr>
          <w:ilvl w:val="1"/>
          <w:numId w:val="90"/>
        </w:numPr>
        <w:ind w:left="652" w:hanging="142"/>
      </w:pPr>
      <w:r>
        <w:rPr>
          <w:b w:val="0"/>
          <w:i w:val="0"/>
        </w:rPr>
        <w:t>Stronger emphasis on innovation, patents, and start-ups.</w:t>
      </w:r>
    </w:p>
    <w:p>
      <w:pPr>
        <w:pStyle w:val="ListBullet2"/>
        <w:numPr>
          <w:ilvl w:val="1"/>
          <w:numId w:val="90"/>
        </w:numPr>
        <w:ind w:left="652" w:hanging="142"/>
      </w:pPr>
      <w:r>
        <w:rPr>
          <w:b w:val="0"/>
          <w:i w:val="0"/>
        </w:rPr>
        <w:t>Promoting interdisciplinary and translational research.</w:t>
      </w:r>
    </w:p>
    <w:p>
      <w:pPr>
        <w:pStyle w:val="ListBullet"/>
        <w:numPr>
          <w:ilvl w:val="0"/>
          <w:numId w:val="90"/>
        </w:numPr>
        <w:ind w:left="340" w:hanging="142"/>
      </w:pPr>
      <w:r>
        <w:rPr>
          <w:b/>
          <w:i w:val="0"/>
        </w:rPr>
        <w:t>SDG Alignment:</w:t>
      </w:r>
    </w:p>
    <w:p>
      <w:pPr>
        <w:pStyle w:val="ListBullet2"/>
        <w:numPr>
          <w:ilvl w:val="1"/>
          <w:numId w:val="90"/>
        </w:numPr>
        <w:ind w:left="652" w:hanging="142"/>
      </w:pPr>
      <w:r>
        <w:rPr>
          <w:b/>
          <w:i w:val="0"/>
        </w:rPr>
        <w:t>SDG-9 (Industry, Innovation &amp; Infrastructure):</w:t>
      </w:r>
      <w:r>
        <w:rPr>
          <w:b w:val="0"/>
          <w:i w:val="0"/>
        </w:rPr>
        <w:t xml:space="preserve"> Fostering innovation and R&amp;D.</w:t>
      </w:r>
    </w:p>
    <w:p>
      <w:pPr>
        <w:pStyle w:val="ListBullet2"/>
        <w:numPr>
          <w:ilvl w:val="1"/>
          <w:numId w:val="90"/>
        </w:numPr>
        <w:ind w:left="652" w:hanging="142"/>
      </w:pPr>
      <w:r>
        <w:rPr>
          <w:b/>
          <w:i w:val="0"/>
        </w:rPr>
        <w:t>SDG-17 (Partnerships for Goals):</w:t>
      </w:r>
      <w:r>
        <w:rPr>
          <w:b w:val="0"/>
          <w:i w:val="0"/>
        </w:rPr>
        <w:t xml:space="preserve"> Research collaborations globally.</w:t>
      </w:r>
    </w:p>
    <w:p>
      <w:pPr>
        <w:pStyle w:val="Heading2"/>
      </w:pPr>
      <w:r>
        <w:rPr>
          <w:i/>
        </w:rPr>
        <w:t>3. Sustainability &amp; Green Development</w:t>
      </w:r>
    </w:p>
    <w:p>
      <w:pPr>
        <w:pStyle w:val="ListBullet"/>
        <w:numPr>
          <w:ilvl w:val="0"/>
          <w:numId w:val="90"/>
        </w:numPr>
        <w:ind w:left="340" w:hanging="142"/>
      </w:pPr>
      <w:r>
        <w:rPr>
          <w:b/>
          <w:i w:val="0"/>
        </w:rPr>
        <w:t>NEP 2020 Alignment:</w:t>
      </w:r>
    </w:p>
    <w:p>
      <w:pPr>
        <w:pStyle w:val="ListBullet2"/>
        <w:numPr>
          <w:ilvl w:val="1"/>
          <w:numId w:val="90"/>
        </w:numPr>
        <w:ind w:left="652" w:hanging="142"/>
      </w:pPr>
      <w:r>
        <w:rPr>
          <w:b w:val="0"/>
          <w:i w:val="0"/>
        </w:rPr>
        <w:t>Environmental education integrated into curricula.</w:t>
      </w:r>
    </w:p>
    <w:p>
      <w:pPr>
        <w:pStyle w:val="ListBullet2"/>
        <w:numPr>
          <w:ilvl w:val="1"/>
          <w:numId w:val="90"/>
        </w:numPr>
        <w:ind w:left="652" w:hanging="142"/>
      </w:pPr>
      <w:r>
        <w:rPr>
          <w:b w:val="0"/>
          <w:i w:val="0"/>
        </w:rPr>
        <w:t>Promotion of sustainable campus practices.</w:t>
      </w:r>
    </w:p>
    <w:p>
      <w:pPr>
        <w:pStyle w:val="ListBullet"/>
        <w:numPr>
          <w:ilvl w:val="0"/>
          <w:numId w:val="90"/>
        </w:numPr>
        <w:ind w:left="340" w:hanging="142"/>
      </w:pPr>
      <w:r>
        <w:rPr>
          <w:b/>
          <w:i w:val="0"/>
        </w:rPr>
        <w:t>SDG Alignment:</w:t>
      </w:r>
    </w:p>
    <w:p>
      <w:pPr>
        <w:pStyle w:val="ListBullet2"/>
        <w:numPr>
          <w:ilvl w:val="1"/>
          <w:numId w:val="90"/>
        </w:numPr>
        <w:ind w:left="652" w:hanging="142"/>
      </w:pPr>
      <w:r>
        <w:rPr>
          <w:b/>
          <w:i w:val="0"/>
        </w:rPr>
        <w:t>SDG-7 (Affordable &amp; Clean Energy):</w:t>
      </w:r>
      <w:r>
        <w:rPr>
          <w:b w:val="0"/>
          <w:i w:val="0"/>
        </w:rPr>
        <w:t xml:space="preserve"> Renewable energy adoption.</w:t>
      </w:r>
    </w:p>
    <w:p>
      <w:pPr>
        <w:pStyle w:val="ListBullet2"/>
        <w:numPr>
          <w:ilvl w:val="1"/>
          <w:numId w:val="90"/>
        </w:numPr>
        <w:ind w:left="652" w:hanging="142"/>
      </w:pPr>
      <w:r>
        <w:rPr>
          <w:b/>
          <w:i w:val="0"/>
        </w:rPr>
        <w:t>SDG-11 (Sustainable Cities &amp; Communities):</w:t>
      </w:r>
      <w:r>
        <w:rPr>
          <w:b w:val="0"/>
          <w:i w:val="0"/>
        </w:rPr>
        <w:t xml:space="preserve"> Green campus and eco-infrastructure.</w:t>
      </w:r>
    </w:p>
    <w:p>
      <w:pPr>
        <w:pStyle w:val="ListBullet2"/>
        <w:numPr>
          <w:ilvl w:val="1"/>
          <w:numId w:val="90"/>
        </w:numPr>
        <w:ind w:left="652" w:hanging="142"/>
      </w:pPr>
      <w:r>
        <w:rPr>
          <w:b/>
          <w:i w:val="0"/>
        </w:rPr>
        <w:t>SDG-13 (Climate Action):</w:t>
      </w:r>
      <w:r>
        <w:rPr>
          <w:b w:val="0"/>
          <w:i w:val="0"/>
        </w:rPr>
        <w:t xml:space="preserve"> Carbon-neutral initiatives and sustainability research.</w:t>
      </w:r>
    </w:p>
    <w:p>
      <w:pPr>
        <w:pStyle w:val="Heading2"/>
      </w:pPr>
      <w:r>
        <w:rPr>
          <w:i/>
        </w:rPr>
        <w:t>4. Inclusivity &amp; Equity</w:t>
      </w:r>
    </w:p>
    <w:p>
      <w:pPr>
        <w:pStyle w:val="ListBullet"/>
        <w:numPr>
          <w:ilvl w:val="0"/>
          <w:numId w:val="90"/>
        </w:numPr>
        <w:ind w:left="340" w:hanging="142"/>
      </w:pPr>
      <w:r>
        <w:rPr>
          <w:b/>
          <w:i w:val="0"/>
        </w:rPr>
        <w:t>NEP 2020 Alignment:</w:t>
      </w:r>
    </w:p>
    <w:p>
      <w:pPr>
        <w:pStyle w:val="ListBullet2"/>
        <w:numPr>
          <w:ilvl w:val="1"/>
          <w:numId w:val="90"/>
        </w:numPr>
        <w:ind w:left="652" w:hanging="142"/>
      </w:pPr>
      <w:r>
        <w:rPr>
          <w:b w:val="0"/>
          <w:i w:val="0"/>
        </w:rPr>
        <w:t>Access to education for underrepresented groups.</w:t>
      </w:r>
    </w:p>
    <w:p>
      <w:pPr>
        <w:pStyle w:val="ListBullet2"/>
        <w:numPr>
          <w:ilvl w:val="1"/>
          <w:numId w:val="90"/>
        </w:numPr>
        <w:ind w:left="652" w:hanging="142"/>
      </w:pPr>
      <w:r>
        <w:rPr>
          <w:b w:val="0"/>
          <w:i w:val="0"/>
        </w:rPr>
        <w:t>Gender inclusivity, scholarships, and financial aid.</w:t>
      </w:r>
    </w:p>
    <w:p>
      <w:pPr>
        <w:pStyle w:val="ListBullet2"/>
        <w:numPr>
          <w:ilvl w:val="1"/>
          <w:numId w:val="90"/>
        </w:numPr>
        <w:ind w:left="652" w:hanging="142"/>
      </w:pPr>
      <w:r>
        <w:rPr>
          <w:b w:val="0"/>
          <w:i w:val="0"/>
        </w:rPr>
        <w:t>Special provisions for socio-economically disadvantaged groups.</w:t>
      </w:r>
    </w:p>
    <w:p>
      <w:pPr>
        <w:pStyle w:val="ListBullet"/>
        <w:numPr>
          <w:ilvl w:val="0"/>
          <w:numId w:val="90"/>
        </w:numPr>
        <w:ind w:left="340" w:hanging="142"/>
      </w:pPr>
      <w:r>
        <w:rPr>
          <w:b/>
          <w:i w:val="0"/>
        </w:rPr>
        <w:t>SDG Alignment:</w:t>
      </w:r>
    </w:p>
    <w:p>
      <w:pPr>
        <w:pStyle w:val="ListBullet2"/>
        <w:numPr>
          <w:ilvl w:val="1"/>
          <w:numId w:val="90"/>
        </w:numPr>
        <w:ind w:left="652" w:hanging="142"/>
      </w:pPr>
      <w:r>
        <w:rPr>
          <w:b/>
          <w:i w:val="0"/>
        </w:rPr>
        <w:t>SDG-5 (Gender Equality):</w:t>
      </w:r>
      <w:r>
        <w:rPr>
          <w:b w:val="0"/>
          <w:i w:val="0"/>
        </w:rPr>
        <w:t xml:space="preserve"> Empowering women and girls.</w:t>
      </w:r>
    </w:p>
    <w:p>
      <w:pPr>
        <w:pStyle w:val="ListBullet2"/>
        <w:numPr>
          <w:ilvl w:val="1"/>
          <w:numId w:val="90"/>
        </w:numPr>
        <w:ind w:left="652" w:hanging="142"/>
      </w:pPr>
      <w:r>
        <w:rPr>
          <w:b/>
          <w:i w:val="0"/>
        </w:rPr>
        <w:t>SDG-10 (Reduced Inequalities):</w:t>
      </w:r>
      <w:r>
        <w:rPr>
          <w:b w:val="0"/>
          <w:i w:val="0"/>
        </w:rPr>
        <w:t xml:space="preserve"> Equal opportunities in education.</w:t>
      </w:r>
    </w:p>
    <w:p>
      <w:pPr>
        <w:pStyle w:val="Heading2"/>
      </w:pPr>
      <w:r>
        <w:rPr>
          <w:i/>
        </w:rPr>
        <w:t>5. Global Impact &amp; Engagement</w:t>
      </w:r>
    </w:p>
    <w:p>
      <w:pPr>
        <w:pStyle w:val="ListBullet"/>
        <w:numPr>
          <w:ilvl w:val="0"/>
          <w:numId w:val="90"/>
        </w:numPr>
        <w:ind w:left="340" w:hanging="142"/>
      </w:pPr>
      <w:r>
        <w:rPr>
          <w:b/>
          <w:i w:val="0"/>
        </w:rPr>
        <w:t>NEP 2020 Alignment:</w:t>
      </w:r>
    </w:p>
    <w:p>
      <w:pPr>
        <w:pStyle w:val="ListBullet2"/>
        <w:numPr>
          <w:ilvl w:val="1"/>
          <w:numId w:val="90"/>
        </w:numPr>
        <w:ind w:left="652" w:hanging="142"/>
      </w:pPr>
      <w:r>
        <w:rPr>
          <w:b w:val="0"/>
          <w:i w:val="0"/>
        </w:rPr>
        <w:t>Internationalization of higher education.</w:t>
      </w:r>
    </w:p>
    <w:p>
      <w:pPr>
        <w:pStyle w:val="ListBullet2"/>
        <w:numPr>
          <w:ilvl w:val="1"/>
          <w:numId w:val="90"/>
        </w:numPr>
        <w:ind w:left="652" w:hanging="142"/>
      </w:pPr>
      <w:r>
        <w:rPr>
          <w:b w:val="0"/>
          <w:i w:val="0"/>
        </w:rPr>
        <w:t>Credit transfer and dual-degree collaborations.</w:t>
      </w:r>
    </w:p>
    <w:p>
      <w:pPr>
        <w:pStyle w:val="ListBullet2"/>
        <w:numPr>
          <w:ilvl w:val="1"/>
          <w:numId w:val="90"/>
        </w:numPr>
        <w:ind w:left="652" w:hanging="142"/>
      </w:pPr>
      <w:r>
        <w:rPr>
          <w:b w:val="0"/>
          <w:i w:val="0"/>
        </w:rPr>
        <w:t>Greater global mobility for students and faculty.</w:t>
      </w:r>
    </w:p>
    <w:p>
      <w:pPr>
        <w:pStyle w:val="ListBullet"/>
        <w:numPr>
          <w:ilvl w:val="0"/>
          <w:numId w:val="90"/>
        </w:numPr>
        <w:ind w:left="340" w:hanging="142"/>
      </w:pPr>
      <w:r>
        <w:rPr>
          <w:b/>
          <w:i w:val="0"/>
        </w:rPr>
        <w:t>SDG Alignment:</w:t>
      </w:r>
    </w:p>
    <w:p>
      <w:pPr>
        <w:pStyle w:val="ListBullet2"/>
        <w:numPr>
          <w:ilvl w:val="1"/>
          <w:numId w:val="90"/>
        </w:numPr>
        <w:ind w:left="652" w:hanging="142"/>
      </w:pPr>
      <w:r>
        <w:rPr>
          <w:b/>
          <w:i w:val="0"/>
        </w:rPr>
        <w:t>SDG-17 (Partnerships for the Goals):</w:t>
      </w:r>
      <w:r>
        <w:rPr>
          <w:b w:val="0"/>
          <w:i w:val="0"/>
        </w:rPr>
        <w:t xml:space="preserve"> Global collaboration and knowledge sharing.</w:t>
      </w:r>
    </w:p>
    <w:p>
      <w:pPr>
        <w:pStyle w:val="ListBullet2"/>
        <w:numPr>
          <w:ilvl w:val="1"/>
          <w:numId w:val="90"/>
        </w:numPr>
        <w:ind w:left="652" w:hanging="142"/>
      </w:pPr>
      <w:r>
        <w:rPr>
          <w:b/>
          <w:i w:val="0"/>
        </w:rPr>
        <w:t>SDG-4 (Quality Education):</w:t>
      </w:r>
      <w:r>
        <w:rPr>
          <w:b w:val="0"/>
          <w:i w:val="0"/>
        </w:rPr>
        <w:t xml:space="preserve"> Promoting international quality benchmarks.</w:t>
      </w:r>
    </w:p>
    <w:p>
      <w:pPr>
        <w:pStyle w:val="Heading2"/>
      </w:pPr>
      <w:r>
        <w:t>Alignment Matrix: SDP - NEP 2020 - SDGs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2324"/>
        <w:gridCol w:w="4082"/>
        <w:gridCol w:w="3005"/>
      </w:tblGrid>
      <w:tr>
        <w:trPr>
          <w:tblHeader/>
          <w:cantSplit/>
        </w:trPr>
        <w:tc>
          <w:tcPr>
            <w:tcW w:type="dxa" w:w="2324"/>
            <w:vAlign w:val="center"/>
            <w:shd w:fill="1F3A5F"/>
          </w:tcPr>
          <w:p>
            <w:pPr>
              <w:keepNext/>
              <w:spacing w:after="40" w:line="276" w:lineRule="auto"/>
              <w:jc w:val="left"/>
            </w:pPr>
            <w:r>
              <w:rPr>
                <w:b/>
                <w:i w:val="0"/>
                <w:color w:val="FFFFFF"/>
              </w:rPr>
              <w:t>SDP Strategic Pillar</w:t>
            </w:r>
          </w:p>
        </w:tc>
        <w:tc>
          <w:tcPr>
            <w:tcW w:type="dxa" w:w="4082"/>
            <w:vAlign w:val="center"/>
            <w:shd w:fill="1F3A5F"/>
          </w:tcPr>
          <w:p>
            <w:pPr>
              <w:keepNext/>
              <w:spacing w:after="40" w:line="276" w:lineRule="auto"/>
              <w:jc w:val="left"/>
            </w:pPr>
            <w:r>
              <w:rPr>
                <w:b/>
                <w:i w:val="0"/>
                <w:color w:val="FFFFFF"/>
              </w:rPr>
              <w:t>NEP 2020 Alignment</w:t>
            </w:r>
          </w:p>
        </w:tc>
        <w:tc>
          <w:tcPr>
            <w:tcW w:type="dxa" w:w="3005"/>
            <w:vAlign w:val="center"/>
            <w:shd w:fill="1F3A5F"/>
          </w:tcPr>
          <w:p>
            <w:pPr>
              <w:keepNext/>
              <w:spacing w:after="40" w:line="276" w:lineRule="auto"/>
              <w:jc w:val="left"/>
            </w:pPr>
            <w:r>
              <w:rPr>
                <w:b/>
                <w:i w:val="0"/>
                <w:color w:val="FFFFFF"/>
              </w:rPr>
              <w:t>SDG Alignment</w:t>
            </w:r>
          </w:p>
        </w:tc>
      </w:tr>
      <w:tr>
        <w:trPr>
          <w:cantSplit/>
        </w:trPr>
        <w:tc>
          <w:tcPr>
            <w:tcW w:type="dxa" w:w="2324"/>
            <w:vAlign w:val="center"/>
            <w:shd w:fill="FFFFFF"/>
          </w:tcPr>
          <w:p>
            <w:pPr>
              <w:spacing w:after="40" w:line="276" w:lineRule="auto"/>
              <w:jc w:val="left"/>
            </w:pPr>
            <w:r>
              <w:rPr>
                <w:b w:val="0"/>
                <w:i w:val="0"/>
              </w:rPr>
              <w:t>Academic Excellence</w:t>
            </w:r>
          </w:p>
        </w:tc>
        <w:tc>
          <w:tcPr>
            <w:tcW w:type="dxa" w:w="4082"/>
            <w:vAlign w:val="center"/>
            <w:shd w:fill="FFFFFF"/>
          </w:tcPr>
          <w:p>
            <w:pPr>
              <w:spacing w:after="40" w:line="276" w:lineRule="auto"/>
              <w:ind w:left="125" w:hanging="125"/>
              <w:jc w:val="left"/>
            </w:pPr>
            <w:r>
              <w:t xml:space="preserve">• </w:t>
            </w:r>
            <w:r>
              <w:rPr>
                <w:b w:val="0"/>
                <w:i w:val="0"/>
              </w:rPr>
              <w:t>Multidisciplinary and holistic education.</w:t>
            </w:r>
          </w:p>
          <w:p>
            <w:pPr>
              <w:spacing w:after="40" w:line="276" w:lineRule="auto"/>
              <w:ind w:left="125" w:hanging="125"/>
              <w:jc w:val="left"/>
            </w:pPr>
            <w:r>
              <w:t xml:space="preserve">• </w:t>
            </w:r>
            <w:r>
              <w:rPr>
                <w:b w:val="0"/>
                <w:i w:val="0"/>
              </w:rPr>
              <w:t>Academic Bank of Credits &amp; flexible learning.</w:t>
            </w:r>
          </w:p>
          <w:p>
            <w:pPr>
              <w:spacing w:after="40" w:line="276" w:lineRule="auto"/>
              <w:ind w:left="125" w:hanging="125"/>
              <w:jc w:val="left"/>
            </w:pPr>
            <w:r>
              <w:t xml:space="preserve">• </w:t>
            </w:r>
            <w:r>
              <w:rPr>
                <w:b w:val="0"/>
                <w:i w:val="0"/>
              </w:rPr>
              <w:t>Outcome-Based Education (OBE).</w:t>
            </w:r>
          </w:p>
        </w:tc>
        <w:tc>
          <w:tcPr>
            <w:tcW w:type="dxa" w:w="3005"/>
            <w:vAlign w:val="center"/>
            <w:shd w:fill="FFFFFF"/>
          </w:tcPr>
          <w:p>
            <w:pPr>
              <w:spacing w:after="40" w:line="276" w:lineRule="auto"/>
              <w:ind w:left="125" w:hanging="125"/>
              <w:jc w:val="left"/>
            </w:pPr>
            <w:r>
              <w:t xml:space="preserve">• </w:t>
            </w:r>
            <w:r>
              <w:rPr>
                <w:b/>
                <w:i w:val="0"/>
              </w:rPr>
              <w:t>SDG-4 (Quality Education):</w:t>
            </w:r>
            <w:r>
              <w:rPr>
                <w:b w:val="0"/>
                <w:i w:val="0"/>
              </w:rPr>
              <w:t xml:space="preserve"> Inclusive and equitable education.</w:t>
            </w:r>
          </w:p>
          <w:p>
            <w:pPr>
              <w:spacing w:after="40" w:line="276" w:lineRule="auto"/>
              <w:ind w:left="125" w:hanging="125"/>
              <w:jc w:val="left"/>
            </w:pPr>
            <w:r>
              <w:t xml:space="preserve">• </w:t>
            </w:r>
            <w:r>
              <w:rPr>
                <w:b/>
                <w:i w:val="0"/>
              </w:rPr>
              <w:t>SDG-8 (Decent Work &amp; Growth):</w:t>
            </w:r>
            <w:r>
              <w:rPr>
                <w:b w:val="0"/>
                <w:i w:val="0"/>
              </w:rPr>
              <w:t xml:space="preserve"> Skills for employability.</w:t>
            </w:r>
          </w:p>
        </w:tc>
      </w:tr>
      <w:tr>
        <w:trPr>
          <w:cantSplit/>
        </w:trPr>
        <w:tc>
          <w:tcPr>
            <w:tcW w:type="dxa" w:w="2324"/>
            <w:vAlign w:val="center"/>
            <w:shd w:fill="EDF2F7"/>
          </w:tcPr>
          <w:p>
            <w:pPr>
              <w:spacing w:after="40" w:line="276" w:lineRule="auto"/>
              <w:jc w:val="left"/>
            </w:pPr>
            <w:r>
              <w:rPr>
                <w:b w:val="0"/>
                <w:i w:val="0"/>
              </w:rPr>
              <w:t>Research &amp; Innovation</w:t>
            </w:r>
          </w:p>
        </w:tc>
        <w:tc>
          <w:tcPr>
            <w:tcW w:type="dxa" w:w="4082"/>
            <w:vAlign w:val="center"/>
            <w:shd w:fill="EDF2F7"/>
          </w:tcPr>
          <w:p>
            <w:pPr>
              <w:spacing w:after="40" w:line="276" w:lineRule="auto"/>
              <w:ind w:left="125" w:hanging="125"/>
              <w:jc w:val="left"/>
            </w:pPr>
            <w:r>
              <w:t xml:space="preserve">• </w:t>
            </w:r>
            <w:r>
              <w:rPr>
                <w:b w:val="0"/>
                <w:i w:val="0"/>
              </w:rPr>
              <w:t>National Research Foundation (NRF) to strengthen research.</w:t>
            </w:r>
          </w:p>
          <w:p>
            <w:pPr>
              <w:spacing w:after="40" w:line="276" w:lineRule="auto"/>
              <w:ind w:left="125" w:hanging="125"/>
              <w:jc w:val="left"/>
            </w:pPr>
            <w:r>
              <w:t xml:space="preserve">• </w:t>
            </w:r>
            <w:r>
              <w:rPr>
                <w:b w:val="0"/>
                <w:i w:val="0"/>
              </w:rPr>
              <w:t>Emphasis on patents, startups, incubation.</w:t>
            </w:r>
          </w:p>
          <w:p>
            <w:pPr>
              <w:spacing w:after="40" w:line="276" w:lineRule="auto"/>
              <w:ind w:left="125" w:hanging="125"/>
              <w:jc w:val="left"/>
            </w:pPr>
            <w:r>
              <w:t xml:space="preserve">• </w:t>
            </w:r>
            <w:r>
              <w:rPr>
                <w:b w:val="0"/>
                <w:i w:val="0"/>
              </w:rPr>
              <w:t>Promotion of interdisciplinary research.</w:t>
            </w:r>
          </w:p>
        </w:tc>
        <w:tc>
          <w:tcPr>
            <w:tcW w:type="dxa" w:w="3005"/>
            <w:vAlign w:val="center"/>
            <w:shd w:fill="EDF2F7"/>
          </w:tcPr>
          <w:p>
            <w:pPr>
              <w:spacing w:after="40" w:line="276" w:lineRule="auto"/>
              <w:ind w:left="125" w:hanging="125"/>
              <w:jc w:val="left"/>
            </w:pPr>
            <w:r>
              <w:t xml:space="preserve">• </w:t>
            </w:r>
            <w:r>
              <w:rPr>
                <w:b/>
                <w:i w:val="0"/>
              </w:rPr>
              <w:t>SDG-9 (Industry, Innovation &amp; Infrastructure):</w:t>
            </w:r>
            <w:r>
              <w:rPr>
                <w:b w:val="0"/>
                <w:i w:val="0"/>
              </w:rPr>
              <w:t xml:space="preserve"> Foster innovation and R&amp;D.</w:t>
            </w:r>
          </w:p>
          <w:p>
            <w:pPr>
              <w:spacing w:after="40" w:line="276" w:lineRule="auto"/>
              <w:ind w:left="125" w:hanging="125"/>
              <w:jc w:val="left"/>
            </w:pPr>
            <w:r>
              <w:t xml:space="preserve">• </w:t>
            </w:r>
            <w:r>
              <w:rPr>
                <w:b/>
                <w:i w:val="0"/>
              </w:rPr>
              <w:t>SDG-17 (Partnerships):</w:t>
            </w:r>
            <w:r>
              <w:rPr>
                <w:b w:val="0"/>
                <w:i w:val="0"/>
              </w:rPr>
              <w:t xml:space="preserve"> Global research collaborations.</w:t>
            </w:r>
          </w:p>
        </w:tc>
      </w:tr>
      <w:tr>
        <w:trPr>
          <w:cantSplit/>
        </w:trPr>
        <w:tc>
          <w:tcPr>
            <w:tcW w:type="dxa" w:w="2324"/>
            <w:vAlign w:val="center"/>
            <w:shd w:fill="FFFFFF"/>
          </w:tcPr>
          <w:p>
            <w:pPr>
              <w:spacing w:after="40" w:line="276" w:lineRule="auto"/>
              <w:jc w:val="left"/>
            </w:pPr>
            <w:r>
              <w:rPr>
                <w:b w:val="0"/>
                <w:i w:val="0"/>
              </w:rPr>
              <w:t>Sustainability &amp; Green Development</w:t>
            </w:r>
          </w:p>
        </w:tc>
        <w:tc>
          <w:tcPr>
            <w:tcW w:type="dxa" w:w="4082"/>
            <w:vAlign w:val="center"/>
            <w:shd w:fill="FFFFFF"/>
          </w:tcPr>
          <w:p>
            <w:pPr>
              <w:spacing w:after="40" w:line="276" w:lineRule="auto"/>
              <w:ind w:left="125" w:hanging="125"/>
              <w:jc w:val="left"/>
            </w:pPr>
            <w:r>
              <w:t xml:space="preserve">• </w:t>
            </w:r>
            <w:r>
              <w:rPr>
                <w:b w:val="0"/>
                <w:i w:val="0"/>
              </w:rPr>
              <w:t>Environmental awareness and sustainability in curricula.</w:t>
            </w:r>
          </w:p>
          <w:p>
            <w:pPr>
              <w:spacing w:after="40" w:line="276" w:lineRule="auto"/>
              <w:ind w:left="125" w:hanging="125"/>
              <w:jc w:val="left"/>
            </w:pPr>
            <w:r>
              <w:t xml:space="preserve">• </w:t>
            </w:r>
            <w:r>
              <w:rPr>
                <w:b w:val="0"/>
                <w:i w:val="0"/>
              </w:rPr>
              <w:t>Campus eco-initiatives (energy, waste, water management).</w:t>
            </w:r>
          </w:p>
        </w:tc>
        <w:tc>
          <w:tcPr>
            <w:tcW w:type="dxa" w:w="3005"/>
            <w:vAlign w:val="center"/>
            <w:shd w:fill="FFFFFF"/>
          </w:tcPr>
          <w:p>
            <w:pPr>
              <w:spacing w:after="40" w:line="276" w:lineRule="auto"/>
              <w:ind w:left="125" w:hanging="125"/>
              <w:jc w:val="left"/>
            </w:pPr>
            <w:r>
              <w:t xml:space="preserve">• </w:t>
            </w:r>
            <w:r>
              <w:rPr>
                <w:b/>
                <w:i w:val="0"/>
              </w:rPr>
              <w:t>SDG-7 (Affordable &amp; Clean Energy):</w:t>
            </w:r>
            <w:r>
              <w:rPr>
                <w:b w:val="0"/>
                <w:i w:val="0"/>
              </w:rPr>
              <w:t xml:space="preserve"> Renewable adoption.</w:t>
            </w:r>
          </w:p>
          <w:p>
            <w:pPr>
              <w:spacing w:after="40" w:line="276" w:lineRule="auto"/>
              <w:ind w:left="125" w:hanging="125"/>
              <w:jc w:val="left"/>
            </w:pPr>
            <w:r>
              <w:t xml:space="preserve">• </w:t>
            </w:r>
            <w:r>
              <w:rPr>
                <w:b/>
                <w:i w:val="0"/>
              </w:rPr>
              <w:t>SDG-11 (Sustainable Cities):</w:t>
            </w:r>
            <w:r>
              <w:rPr>
                <w:b w:val="0"/>
                <w:i w:val="0"/>
              </w:rPr>
              <w:t xml:space="preserve"> Green campus initiatives.</w:t>
            </w:r>
          </w:p>
          <w:p>
            <w:pPr>
              <w:spacing w:after="40" w:line="276" w:lineRule="auto"/>
              <w:ind w:left="125" w:hanging="125"/>
              <w:jc w:val="left"/>
            </w:pPr>
            <w:r>
              <w:t xml:space="preserve">• </w:t>
            </w:r>
            <w:r>
              <w:rPr>
                <w:b/>
                <w:i w:val="0"/>
              </w:rPr>
              <w:t>SDG-13 (Climate Action):</w:t>
            </w:r>
            <w:r>
              <w:rPr>
                <w:b w:val="0"/>
                <w:i w:val="0"/>
              </w:rPr>
              <w:t xml:space="preserve"> Carbon-neutral universities.</w:t>
            </w:r>
          </w:p>
        </w:tc>
      </w:tr>
      <w:tr>
        <w:trPr>
          <w:cantSplit/>
        </w:trPr>
        <w:tc>
          <w:tcPr>
            <w:tcW w:type="dxa" w:w="2324"/>
            <w:vAlign w:val="center"/>
            <w:shd w:fill="EDF2F7"/>
          </w:tcPr>
          <w:p>
            <w:pPr>
              <w:spacing w:after="40" w:line="276" w:lineRule="auto"/>
              <w:jc w:val="left"/>
            </w:pPr>
            <w:r>
              <w:rPr>
                <w:b w:val="0"/>
                <w:i w:val="0"/>
              </w:rPr>
              <w:t>Inclusivity &amp; Equity</w:t>
            </w:r>
          </w:p>
        </w:tc>
        <w:tc>
          <w:tcPr>
            <w:tcW w:type="dxa" w:w="4082"/>
            <w:vAlign w:val="center"/>
            <w:shd w:fill="EDF2F7"/>
          </w:tcPr>
          <w:p>
            <w:pPr>
              <w:spacing w:after="40" w:line="276" w:lineRule="auto"/>
              <w:ind w:left="125" w:hanging="125"/>
              <w:jc w:val="left"/>
            </w:pPr>
            <w:r>
              <w:t xml:space="preserve">• </w:t>
            </w:r>
            <w:r>
              <w:rPr>
                <w:b w:val="0"/>
                <w:i w:val="0"/>
              </w:rPr>
              <w:t>Equity and inclusion for socio-economically disadvantaged groups (SEDGs).</w:t>
            </w:r>
          </w:p>
          <w:p>
            <w:pPr>
              <w:spacing w:after="40" w:line="276" w:lineRule="auto"/>
              <w:ind w:left="125" w:hanging="125"/>
              <w:jc w:val="left"/>
            </w:pPr>
            <w:r>
              <w:t xml:space="preserve">• </w:t>
            </w:r>
            <w:r>
              <w:rPr>
                <w:b w:val="0"/>
                <w:i w:val="0"/>
              </w:rPr>
              <w:t>Gender parity and scholarships.</w:t>
            </w:r>
          </w:p>
          <w:p>
            <w:pPr>
              <w:spacing w:after="40" w:line="276" w:lineRule="auto"/>
              <w:ind w:left="125" w:hanging="125"/>
              <w:jc w:val="left"/>
            </w:pPr>
            <w:r>
              <w:t xml:space="preserve">• </w:t>
            </w:r>
            <w:r>
              <w:rPr>
                <w:b w:val="0"/>
                <w:i w:val="0"/>
              </w:rPr>
              <w:t>Special focus on regional languages and access.</w:t>
            </w:r>
          </w:p>
        </w:tc>
        <w:tc>
          <w:tcPr>
            <w:tcW w:type="dxa" w:w="3005"/>
            <w:vAlign w:val="center"/>
            <w:shd w:fill="EDF2F7"/>
          </w:tcPr>
          <w:p>
            <w:pPr>
              <w:spacing w:after="40" w:line="276" w:lineRule="auto"/>
              <w:ind w:left="125" w:hanging="125"/>
              <w:jc w:val="left"/>
            </w:pPr>
            <w:r>
              <w:t xml:space="preserve">• </w:t>
            </w:r>
            <w:r>
              <w:rPr>
                <w:b/>
                <w:i w:val="0"/>
              </w:rPr>
              <w:t>SDG-5 (Gender Equality):</w:t>
            </w:r>
            <w:r>
              <w:rPr>
                <w:b w:val="0"/>
                <w:i w:val="0"/>
              </w:rPr>
              <w:t xml:space="preserve"> Women empowerment.</w:t>
            </w:r>
          </w:p>
          <w:p>
            <w:pPr>
              <w:spacing w:after="40" w:line="276" w:lineRule="auto"/>
              <w:ind w:left="125" w:hanging="125"/>
              <w:jc w:val="left"/>
            </w:pPr>
            <w:r>
              <w:t xml:space="preserve">• </w:t>
            </w:r>
            <w:r>
              <w:rPr>
                <w:b/>
                <w:i w:val="0"/>
              </w:rPr>
              <w:t>SDG-10 (Reduced Inequalities):</w:t>
            </w:r>
            <w:r>
              <w:rPr>
                <w:b w:val="0"/>
                <w:i w:val="0"/>
              </w:rPr>
              <w:t xml:space="preserve"> Equal opportunities.</w:t>
            </w:r>
          </w:p>
        </w:tc>
      </w:tr>
      <w:tr>
        <w:trPr>
          <w:cantSplit/>
        </w:trPr>
        <w:tc>
          <w:tcPr>
            <w:tcW w:type="dxa" w:w="2324"/>
            <w:vAlign w:val="center"/>
            <w:shd w:fill="FFFFFF"/>
          </w:tcPr>
          <w:p>
            <w:pPr>
              <w:spacing w:after="40" w:line="276" w:lineRule="auto"/>
              <w:jc w:val="left"/>
            </w:pPr>
            <w:r>
              <w:rPr>
                <w:b w:val="0"/>
                <w:i w:val="0"/>
              </w:rPr>
              <w:t>Globalization &amp; Engagement</w:t>
            </w:r>
          </w:p>
        </w:tc>
        <w:tc>
          <w:tcPr>
            <w:tcW w:type="dxa" w:w="4082"/>
            <w:vAlign w:val="center"/>
            <w:shd w:fill="FFFFFF"/>
          </w:tcPr>
          <w:p>
            <w:pPr>
              <w:spacing w:after="40" w:line="276" w:lineRule="auto"/>
              <w:ind w:left="125" w:hanging="125"/>
              <w:jc w:val="left"/>
            </w:pPr>
            <w:r>
              <w:t xml:space="preserve">• </w:t>
            </w:r>
            <w:r>
              <w:rPr>
                <w:b w:val="0"/>
                <w:i w:val="0"/>
              </w:rPr>
              <w:t>Internationalization of higher education.</w:t>
            </w:r>
          </w:p>
          <w:p>
            <w:pPr>
              <w:spacing w:after="40" w:line="276" w:lineRule="auto"/>
              <w:ind w:left="125" w:hanging="125"/>
              <w:jc w:val="left"/>
            </w:pPr>
            <w:r>
              <w:t xml:space="preserve">• </w:t>
            </w:r>
            <w:r>
              <w:rPr>
                <w:b w:val="0"/>
                <w:i w:val="0"/>
              </w:rPr>
              <w:t>Credit transfer &amp; dual-degree programs.</w:t>
            </w:r>
          </w:p>
          <w:p>
            <w:pPr>
              <w:spacing w:after="40" w:line="276" w:lineRule="auto"/>
              <w:ind w:left="125" w:hanging="125"/>
              <w:jc w:val="left"/>
            </w:pPr>
            <w:r>
              <w:t xml:space="preserve">• </w:t>
            </w:r>
            <w:r>
              <w:rPr>
                <w:b w:val="0"/>
                <w:i w:val="0"/>
              </w:rPr>
              <w:t>Faculty and student global mobility.</w:t>
            </w:r>
          </w:p>
        </w:tc>
        <w:tc>
          <w:tcPr>
            <w:tcW w:type="dxa" w:w="3005"/>
            <w:vAlign w:val="center"/>
            <w:shd w:fill="FFFFFF"/>
          </w:tcPr>
          <w:p>
            <w:pPr>
              <w:spacing w:after="40" w:line="276" w:lineRule="auto"/>
              <w:ind w:left="125" w:hanging="125"/>
              <w:jc w:val="left"/>
            </w:pPr>
            <w:r>
              <w:t xml:space="preserve">• </w:t>
            </w:r>
            <w:r>
              <w:rPr>
                <w:b/>
                <w:i w:val="0"/>
              </w:rPr>
              <w:t>SDG-17 (Partnerships for Goals):</w:t>
            </w:r>
            <w:r>
              <w:rPr>
                <w:b w:val="0"/>
                <w:i w:val="0"/>
              </w:rPr>
              <w:t xml:space="preserve"> International collaborations.</w:t>
            </w:r>
          </w:p>
          <w:p>
            <w:pPr>
              <w:spacing w:after="40" w:line="276" w:lineRule="auto"/>
              <w:ind w:left="125" w:hanging="125"/>
              <w:jc w:val="left"/>
            </w:pPr>
            <w:r>
              <w:t xml:space="preserve">• </w:t>
            </w:r>
            <w:r>
              <w:rPr>
                <w:b/>
                <w:i w:val="0"/>
              </w:rPr>
              <w:t>SDG-4 (Quality Education):</w:t>
            </w:r>
            <w:r>
              <w:rPr>
                <w:b w:val="0"/>
                <w:i w:val="0"/>
              </w:rPr>
              <w:t xml:space="preserve"> International quality benchmarks.</w:t>
            </w:r>
          </w:p>
        </w:tc>
      </w:tr>
      <w:tr>
        <w:trPr>
          <w:cantSplit/>
        </w:trPr>
        <w:tc>
          <w:tcPr>
            <w:tcW w:type="dxa" w:w="2324"/>
            <w:vAlign w:val="center"/>
            <w:shd w:fill="EDF2F7"/>
          </w:tcPr>
          <w:p>
            <w:pPr>
              <w:spacing w:after="40" w:line="276" w:lineRule="auto"/>
              <w:jc w:val="left"/>
            </w:pPr>
            <w:r>
              <w:rPr>
                <w:b w:val="0"/>
                <w:i w:val="0"/>
              </w:rPr>
              <w:t>Governance &amp; Quality Assurance</w:t>
            </w:r>
          </w:p>
        </w:tc>
        <w:tc>
          <w:tcPr>
            <w:tcW w:type="dxa" w:w="4082"/>
            <w:vAlign w:val="center"/>
            <w:shd w:fill="EDF2F7"/>
          </w:tcPr>
          <w:p>
            <w:pPr>
              <w:spacing w:after="40" w:line="276" w:lineRule="auto"/>
              <w:ind w:left="125" w:hanging="125"/>
              <w:jc w:val="left"/>
            </w:pPr>
            <w:r>
              <w:t xml:space="preserve">• </w:t>
            </w:r>
            <w:r>
              <w:rPr>
                <w:b w:val="0"/>
                <w:i w:val="0"/>
              </w:rPr>
              <w:t>Institutional autonomy &amp; accountability.</w:t>
            </w:r>
          </w:p>
          <w:p>
            <w:pPr>
              <w:spacing w:after="40" w:line="276" w:lineRule="auto"/>
              <w:ind w:left="125" w:hanging="125"/>
              <w:jc w:val="left"/>
            </w:pPr>
            <w:r>
              <w:t xml:space="preserve">• </w:t>
            </w:r>
            <w:r>
              <w:rPr>
                <w:b w:val="0"/>
                <w:i w:val="0"/>
              </w:rPr>
              <w:t>Data-driven decision-making.</w:t>
            </w:r>
          </w:p>
          <w:p>
            <w:pPr>
              <w:spacing w:after="40" w:line="276" w:lineRule="auto"/>
              <w:ind w:left="125" w:hanging="125"/>
              <w:jc w:val="left"/>
            </w:pPr>
            <w:r>
              <w:t xml:space="preserve">• </w:t>
            </w:r>
            <w:r>
              <w:rPr>
                <w:b w:val="0"/>
                <w:i w:val="0"/>
              </w:rPr>
              <w:t>Accreditation and ranking reforms.</w:t>
            </w:r>
          </w:p>
        </w:tc>
        <w:tc>
          <w:tcPr>
            <w:tcW w:type="dxa" w:w="3005"/>
            <w:vAlign w:val="center"/>
            <w:shd w:fill="EDF2F7"/>
          </w:tcPr>
          <w:p>
            <w:pPr>
              <w:spacing w:after="40" w:line="276" w:lineRule="auto"/>
              <w:ind w:left="125" w:hanging="125"/>
              <w:jc w:val="left"/>
            </w:pPr>
            <w:r>
              <w:t xml:space="preserve">• </w:t>
            </w:r>
            <w:r>
              <w:rPr>
                <w:b/>
                <w:i w:val="0"/>
              </w:rPr>
              <w:t>SDG-16 (Peace, Justice &amp; Strong Institutions):</w:t>
            </w:r>
            <w:r>
              <w:rPr>
                <w:b w:val="0"/>
                <w:i w:val="0"/>
              </w:rPr>
              <w:t xml:space="preserve"> Good governance.</w:t>
            </w:r>
          </w:p>
          <w:p>
            <w:pPr>
              <w:spacing w:after="40" w:line="276" w:lineRule="auto"/>
              <w:ind w:left="125" w:hanging="125"/>
              <w:jc w:val="left"/>
            </w:pPr>
            <w:r>
              <w:t xml:space="preserve">• </w:t>
            </w:r>
            <w:r>
              <w:rPr>
                <w:b/>
                <w:i w:val="0"/>
              </w:rPr>
              <w:t>SDG-17 (Partnerships):</w:t>
            </w:r>
            <w:r>
              <w:rPr>
                <w:b w:val="0"/>
                <w:i w:val="0"/>
              </w:rPr>
              <w:t xml:space="preserve"> Strengthening accountability frameworks.</w:t>
            </w:r>
          </w:p>
        </w:tc>
      </w:tr>
      <w:tr>
        <w:trPr>
          <w:cantSplit/>
        </w:trPr>
        <w:tc>
          <w:tcPr>
            <w:tcW w:type="dxa" w:w="2324"/>
            <w:vAlign w:val="center"/>
            <w:shd w:fill="FFFFFF"/>
          </w:tcPr>
          <w:p>
            <w:pPr>
              <w:spacing w:after="40" w:line="276" w:lineRule="auto"/>
              <w:jc w:val="left"/>
            </w:pPr>
            <w:r>
              <w:rPr>
                <w:b w:val="0"/>
                <w:i w:val="0"/>
              </w:rPr>
              <w:t>Community Engagement &amp; ISR</w:t>
            </w:r>
          </w:p>
        </w:tc>
        <w:tc>
          <w:tcPr>
            <w:tcW w:type="dxa" w:w="4082"/>
            <w:vAlign w:val="center"/>
            <w:shd w:fill="FFFFFF"/>
          </w:tcPr>
          <w:p>
            <w:pPr>
              <w:spacing w:after="40" w:line="276" w:lineRule="auto"/>
              <w:ind w:left="125" w:hanging="125"/>
              <w:jc w:val="left"/>
            </w:pPr>
            <w:r>
              <w:t xml:space="preserve">• </w:t>
            </w:r>
            <w:r>
              <w:rPr>
                <w:b w:val="0"/>
                <w:i w:val="0"/>
              </w:rPr>
              <w:t>Service-learning as part of education.</w:t>
            </w:r>
          </w:p>
          <w:p>
            <w:pPr>
              <w:spacing w:after="40" w:line="276" w:lineRule="auto"/>
              <w:ind w:left="125" w:hanging="125"/>
              <w:jc w:val="left"/>
            </w:pPr>
            <w:r>
              <w:t xml:space="preserve">• </w:t>
            </w:r>
            <w:r>
              <w:rPr>
                <w:b w:val="0"/>
                <w:i w:val="0"/>
              </w:rPr>
              <w:t>Linking HEIs with community development.</w:t>
            </w:r>
          </w:p>
        </w:tc>
        <w:tc>
          <w:tcPr>
            <w:tcW w:type="dxa" w:w="3005"/>
            <w:vAlign w:val="center"/>
            <w:shd w:fill="FFFFFF"/>
          </w:tcPr>
          <w:p>
            <w:pPr>
              <w:spacing w:after="40" w:line="276" w:lineRule="auto"/>
              <w:ind w:left="125" w:hanging="125"/>
              <w:jc w:val="left"/>
            </w:pPr>
            <w:r>
              <w:t xml:space="preserve">• </w:t>
            </w:r>
            <w:r>
              <w:rPr>
                <w:b/>
                <w:i w:val="0"/>
              </w:rPr>
              <w:t>SDG-3 (Good Health &amp; Well-being):</w:t>
            </w:r>
            <w:r>
              <w:rPr>
                <w:b w:val="0"/>
                <w:i w:val="0"/>
              </w:rPr>
              <w:t xml:space="preserve"> Outreach programs.</w:t>
            </w:r>
          </w:p>
          <w:p>
            <w:pPr>
              <w:spacing w:after="40" w:line="276" w:lineRule="auto"/>
              <w:ind w:left="125" w:hanging="125"/>
              <w:jc w:val="left"/>
            </w:pPr>
            <w:r>
              <w:t xml:space="preserve">• </w:t>
            </w:r>
            <w:r>
              <w:rPr>
                <w:b/>
                <w:i w:val="0"/>
              </w:rPr>
              <w:t>SDG-4 (Quality Education):</w:t>
            </w:r>
            <w:r>
              <w:rPr>
                <w:b w:val="0"/>
                <w:i w:val="0"/>
              </w:rPr>
              <w:t xml:space="preserve"> Lifelong learning.</w:t>
            </w:r>
          </w:p>
          <w:p>
            <w:pPr>
              <w:spacing w:after="40" w:line="276" w:lineRule="auto"/>
              <w:ind w:left="125" w:hanging="125"/>
              <w:jc w:val="left"/>
            </w:pPr>
            <w:r>
              <w:t xml:space="preserve">• </w:t>
            </w:r>
            <w:r>
              <w:rPr>
                <w:b/>
                <w:i w:val="0"/>
              </w:rPr>
              <w:t>SDG-11 (Sustainable Communities):</w:t>
            </w:r>
            <w:r>
              <w:rPr>
                <w:b w:val="0"/>
                <w:i w:val="0"/>
              </w:rPr>
              <w:t xml:space="preserve"> Local development.</w:t>
            </w:r>
          </w:p>
        </w:tc>
      </w:tr>
      <w:tr>
        <w:trPr>
          <w:cantSplit/>
        </w:trPr>
        <w:tc>
          <w:tcPr>
            <w:tcW w:type="dxa" w:w="2324"/>
            <w:vAlign w:val="center"/>
            <w:shd w:fill="EDF2F7"/>
          </w:tcPr>
          <w:p>
            <w:pPr>
              <w:spacing w:after="40" w:line="276" w:lineRule="auto"/>
              <w:jc w:val="left"/>
            </w:pPr>
            <w:r>
              <w:rPr>
                <w:b w:val="0"/>
                <w:i w:val="0"/>
              </w:rPr>
              <w:t>Financial Sustainability</w:t>
            </w:r>
          </w:p>
        </w:tc>
        <w:tc>
          <w:tcPr>
            <w:tcW w:type="dxa" w:w="4082"/>
            <w:vAlign w:val="center"/>
            <w:shd w:fill="EDF2F7"/>
          </w:tcPr>
          <w:p>
            <w:pPr>
              <w:spacing w:after="40" w:line="276" w:lineRule="auto"/>
              <w:ind w:left="125" w:hanging="125"/>
              <w:jc w:val="left"/>
            </w:pPr>
            <w:r>
              <w:t xml:space="preserve">• </w:t>
            </w:r>
            <w:r>
              <w:rPr>
                <w:b w:val="0"/>
                <w:i w:val="0"/>
              </w:rPr>
              <w:t>Resource mobilization through PPP, alumni, CSR.</w:t>
            </w:r>
          </w:p>
          <w:p>
            <w:pPr>
              <w:spacing w:after="40" w:line="276" w:lineRule="auto"/>
              <w:ind w:left="125" w:hanging="125"/>
              <w:jc w:val="left"/>
            </w:pPr>
            <w:r>
              <w:t xml:space="preserve">• </w:t>
            </w:r>
            <w:r>
              <w:rPr>
                <w:b w:val="0"/>
                <w:i w:val="0"/>
              </w:rPr>
              <w:t>Institutional development funds.</w:t>
            </w:r>
          </w:p>
        </w:tc>
        <w:tc>
          <w:tcPr>
            <w:tcW w:type="dxa" w:w="3005"/>
            <w:vAlign w:val="center"/>
            <w:shd w:fill="EDF2F7"/>
          </w:tcPr>
          <w:p>
            <w:pPr>
              <w:spacing w:after="40" w:line="276" w:lineRule="auto"/>
              <w:ind w:left="125" w:hanging="125"/>
              <w:jc w:val="left"/>
            </w:pPr>
            <w:r>
              <w:t xml:space="preserve">• </w:t>
            </w:r>
            <w:r>
              <w:rPr>
                <w:b/>
                <w:i w:val="0"/>
              </w:rPr>
              <w:t>SDG-17 (Partnerships):</w:t>
            </w:r>
            <w:r>
              <w:rPr>
                <w:b w:val="0"/>
                <w:i w:val="0"/>
              </w:rPr>
              <w:t xml:space="preserve"> Multi-stakeholder resource generation.</w:t>
            </w:r>
          </w:p>
          <w:p>
            <w:pPr>
              <w:spacing w:after="40" w:line="276" w:lineRule="auto"/>
              <w:ind w:left="125" w:hanging="125"/>
              <w:jc w:val="left"/>
            </w:pPr>
            <w:r>
              <w:t xml:space="preserve">• </w:t>
            </w:r>
            <w:r>
              <w:rPr>
                <w:b/>
                <w:i w:val="0"/>
              </w:rPr>
              <w:t>SDG-8 (Decent Work &amp; Growth):</w:t>
            </w:r>
            <w:r>
              <w:rPr>
                <w:b w:val="0"/>
                <w:i w:val="0"/>
              </w:rPr>
              <w:t xml:space="preserve"> Economic sustainability.</w:t>
            </w:r>
          </w:p>
        </w:tc>
      </w:tr>
      <w:tr>
        <w:trPr>
          <w:cantSplit/>
        </w:trPr>
        <w:tc>
          <w:tcPr>
            <w:tcW w:type="dxa" w:w="2324"/>
            <w:vAlign w:val="center"/>
            <w:shd w:fill="FFFFFF"/>
          </w:tcPr>
          <w:p>
            <w:pPr>
              <w:spacing w:after="40" w:line="276" w:lineRule="auto"/>
              <w:jc w:val="left"/>
            </w:pPr>
            <w:r>
              <w:rPr>
                <w:b w:val="0"/>
                <w:i w:val="0"/>
              </w:rPr>
              <w:t>Technology &amp; Digital Transformation</w:t>
            </w:r>
          </w:p>
        </w:tc>
        <w:tc>
          <w:tcPr>
            <w:tcW w:type="dxa" w:w="4082"/>
            <w:vAlign w:val="center"/>
            <w:shd w:fill="FFFFFF"/>
          </w:tcPr>
          <w:p>
            <w:pPr>
              <w:spacing w:after="40" w:line="276" w:lineRule="auto"/>
              <w:ind w:left="125" w:hanging="125"/>
              <w:jc w:val="left"/>
            </w:pPr>
            <w:r>
              <w:t xml:space="preserve">• </w:t>
            </w:r>
            <w:r>
              <w:rPr>
                <w:b w:val="0"/>
                <w:i w:val="0"/>
              </w:rPr>
              <w:t>ICT-enabled learning, AI, and EdTech integration.</w:t>
            </w:r>
          </w:p>
          <w:p>
            <w:pPr>
              <w:spacing w:after="40" w:line="276" w:lineRule="auto"/>
              <w:ind w:left="125" w:hanging="125"/>
              <w:jc w:val="left"/>
            </w:pPr>
            <w:r>
              <w:t xml:space="preserve">• </w:t>
            </w:r>
            <w:r>
              <w:rPr>
                <w:b w:val="0"/>
                <w:i w:val="0"/>
              </w:rPr>
              <w:t>Expansion of online/​blended education.</w:t>
            </w:r>
          </w:p>
        </w:tc>
        <w:tc>
          <w:tcPr>
            <w:tcW w:type="dxa" w:w="3005"/>
            <w:vAlign w:val="center"/>
            <w:shd w:fill="FFFFFF"/>
          </w:tcPr>
          <w:p>
            <w:pPr>
              <w:spacing w:after="40" w:line="276" w:lineRule="auto"/>
              <w:ind w:left="125" w:hanging="125"/>
              <w:jc w:val="left"/>
            </w:pPr>
            <w:r>
              <w:t xml:space="preserve">• </w:t>
            </w:r>
            <w:r>
              <w:rPr>
                <w:b/>
                <w:i w:val="0"/>
              </w:rPr>
              <w:t>SDG-9 (Innovation &amp; Infrastructure):</w:t>
            </w:r>
            <w:r>
              <w:rPr>
                <w:b w:val="0"/>
                <w:i w:val="0"/>
              </w:rPr>
              <w:t xml:space="preserve"> Digital advancement.</w:t>
            </w:r>
          </w:p>
          <w:p>
            <w:pPr>
              <w:spacing w:after="40" w:line="276" w:lineRule="auto"/>
              <w:ind w:left="125" w:hanging="125"/>
              <w:jc w:val="left"/>
            </w:pPr>
            <w:r>
              <w:t xml:space="preserve">• </w:t>
            </w:r>
            <w:r>
              <w:rPr>
                <w:b/>
                <w:i w:val="0"/>
              </w:rPr>
              <w:t>SDG-4 (Quality Education):</w:t>
            </w:r>
            <w:r>
              <w:rPr>
                <w:b w:val="0"/>
                <w:i w:val="0"/>
              </w:rPr>
              <w:t xml:space="preserve"> Technology-enhanced access.</w:t>
            </w:r>
          </w:p>
        </w:tc>
      </w:tr>
    </w:tbl>
    <w:p>
      <w:pPr>
        <w:spacing w:after="40"/>
      </w:pPr>
    </w:p>
    <w:p>
      <w:pPr>
        <w:pStyle w:val="Heading1"/>
      </w:pPr>
      <w:r>
        <w:t>6. Mission Statement</w:t>
      </w:r>
    </w:p>
    <w:p>
      <w:pPr>
        <w:pStyle w:val="Heading2"/>
      </w:pPr>
      <w:r>
        <w:t>Key Features</w:t>
      </w:r>
    </w:p>
    <w:p>
      <w:pPr>
        <w:pStyle w:val="ListBullet"/>
        <w:numPr>
          <w:ilvl w:val="0"/>
          <w:numId w:val="90"/>
        </w:numPr>
        <w:ind w:left="340" w:hanging="142"/>
      </w:pPr>
      <w:r>
        <w:rPr>
          <w:b/>
          <w:i w:val="0"/>
        </w:rPr>
        <w:t>Purpose-Oriented:</w:t>
      </w:r>
      <w:r>
        <w:rPr>
          <w:b w:val="0"/>
          <w:i w:val="0"/>
        </w:rPr>
        <w:t xml:space="preserve"> Explains why the institution exists.</w:t>
      </w:r>
    </w:p>
    <w:p>
      <w:pPr>
        <w:pStyle w:val="ListBullet"/>
        <w:numPr>
          <w:ilvl w:val="0"/>
          <w:numId w:val="90"/>
        </w:numPr>
        <w:ind w:left="340" w:hanging="142"/>
      </w:pPr>
      <w:r>
        <w:rPr>
          <w:b/>
          <w:i w:val="0"/>
        </w:rPr>
        <w:t>Core Values:</w:t>
      </w:r>
      <w:r>
        <w:rPr>
          <w:b w:val="0"/>
          <w:i w:val="0"/>
        </w:rPr>
        <w:t xml:space="preserve"> Defines guiding principles (equity, sustainability, innovation, excellence).</w:t>
      </w:r>
    </w:p>
    <w:p>
      <w:pPr>
        <w:pStyle w:val="ListBullet"/>
        <w:numPr>
          <w:ilvl w:val="0"/>
          <w:numId w:val="90"/>
        </w:numPr>
        <w:ind w:left="340" w:hanging="142"/>
      </w:pPr>
      <w:r>
        <w:rPr>
          <w:b/>
          <w:i w:val="0"/>
        </w:rPr>
        <w:t>Action-Oriented:</w:t>
      </w:r>
      <w:r>
        <w:rPr>
          <w:b w:val="0"/>
          <w:i w:val="0"/>
        </w:rPr>
        <w:t xml:space="preserve"> Describes how the vision will be achieved.</w:t>
      </w:r>
    </w:p>
    <w:p>
      <w:pPr>
        <w:pStyle w:val="ListBullet"/>
        <w:numPr>
          <w:ilvl w:val="0"/>
          <w:numId w:val="90"/>
        </w:numPr>
        <w:ind w:left="340" w:hanging="142"/>
      </w:pPr>
      <w:r>
        <w:rPr>
          <w:b/>
          <w:i w:val="0"/>
        </w:rPr>
        <w:t>Alignment:</w:t>
      </w:r>
      <w:r>
        <w:rPr>
          <w:b w:val="0"/>
          <w:i w:val="0"/>
        </w:rPr>
        <w:t xml:space="preserve"> Must reflect NEP 2020 reforms and SDG priorities.</w:t>
      </w:r>
    </w:p>
    <w:p>
      <w:pPr>
        <w:pStyle w:val="ListBullet"/>
        <w:numPr>
          <w:ilvl w:val="0"/>
          <w:numId w:val="90"/>
        </w:numPr>
        <w:ind w:left="340" w:hanging="142"/>
      </w:pPr>
      <w:r>
        <w:rPr>
          <w:b/>
          <w:i w:val="0"/>
        </w:rPr>
        <w:t>Concise:</w:t>
      </w:r>
      <w:r>
        <w:rPr>
          <w:b w:val="0"/>
          <w:i w:val="0"/>
        </w:rPr>
        <w:t xml:space="preserve"> 2–4 sentences, clear and inspiring.</w:t>
      </w:r>
    </w:p>
    <w:p>
      <w:pPr>
        <w:pStyle w:val="Heading2"/>
      </w:pPr>
      <w:r>
        <w:t>Draft Mission Statements</w:t>
      </w:r>
    </w:p>
    <w:p>
      <w:pPr>
        <w:pStyle w:val="Heading2"/>
      </w:pPr>
      <w:r>
        <w:rPr>
          <w:i/>
        </w:rPr>
        <w:t>Option 1: Academic Excellence &amp; Student Development</w:t>
      </w:r>
    </w:p>
    <w:p>
      <w:pPr>
        <w:ind w:left="369" w:right="227"/>
      </w:pPr>
      <w:r>
        <w:rPr>
          <w:b w:val="0"/>
          <w:i/>
        </w:rPr>
        <w:t>“Our mission is to provide transformative education that nurtures critical thinking, creativity, and lifelong learning. We are committed to outcome-based, inclusive, and multidisciplinary teaching that empowers students to succeed in a rapidly changing world.”</w:t>
      </w:r>
    </w:p>
    <w:p>
      <w:pPr>
        <w:pStyle w:val="Heading2"/>
      </w:pPr>
      <w:r>
        <w:rPr>
          <w:i/>
        </w:rPr>
        <w:t>Option 2: Research &amp; Innovation</w:t>
      </w:r>
    </w:p>
    <w:p>
      <w:pPr>
        <w:ind w:left="369" w:right="227"/>
      </w:pPr>
      <w:r>
        <w:rPr>
          <w:b w:val="0"/>
          <w:i/>
        </w:rPr>
        <w:t>“Our mission is to advance knowledge through innovative research, interdisciplinary collaboration, and entrepreneurship. We strive to create impactful solutions that address national priorities and contribute to global Sustainable Development Goals.”</w:t>
      </w:r>
    </w:p>
    <w:p>
      <w:pPr>
        <w:pStyle w:val="Heading2"/>
      </w:pPr>
      <w:r>
        <w:rPr>
          <w:i/>
        </w:rPr>
        <w:t>Option 3: Sustainability &amp; Inclusivity</w:t>
      </w:r>
    </w:p>
    <w:p>
      <w:pPr>
        <w:ind w:left="369" w:right="227"/>
      </w:pPr>
      <w:r>
        <w:rPr>
          <w:b w:val="0"/>
          <w:i/>
        </w:rPr>
        <w:t>“Our mission is to foster an inclusive, sustainable, and socially responsible academic ecosystem. We are dedicated to equity, diversity, and environmental stewardship while preparing learners to lead change for a better future.”</w:t>
      </w:r>
    </w:p>
    <w:p>
      <w:pPr>
        <w:pStyle w:val="Heading2"/>
      </w:pPr>
      <w:r>
        <w:rPr>
          <w:i/>
        </w:rPr>
        <w:t>Option 4: Comprehensive Integrated Model</w:t>
      </w:r>
    </w:p>
    <w:p>
      <w:pPr>
        <w:ind w:left="369" w:right="227"/>
      </w:pPr>
      <w:r>
        <w:rPr>
          <w:b w:val="0"/>
          <w:i/>
        </w:rPr>
        <w:t>“Our mission is to deliver excellence in teaching, research, and community engagement, guided by the principles of equity, sustainability, and innovation. Through global partnerships and national alignment with NEP 2020, we seek to empower individuals and contribute to the Sustainable Development Goals.”</w:t>
      </w:r>
    </w:p>
    <w:p>
      <w:pPr>
        <w:pStyle w:val="Heading2"/>
      </w:pPr>
      <w:r>
        <w:t>1. Vision Statement (Future Aspiration)</w:t>
      </w:r>
    </w:p>
    <w:p>
      <w:pPr>
        <w:ind w:left="369" w:right="227"/>
      </w:pPr>
      <w:r>
        <w:rPr>
          <w:b w:val="0"/>
          <w:i/>
        </w:rPr>
        <w:t>“To evolve as a transformative higher education institution recognized globally for excellence in teaching, research, inclusivity, and sustainability, contributing directly to national priorities and the United Nations Sustainable Development Goals.”</w:t>
      </w:r>
    </w:p>
    <w:p>
      <w:pPr>
        <w:pStyle w:val="Heading2"/>
      </w:pPr>
      <w:r>
        <w:t>2. Mission Statement (Purpose &amp; Core Values in Action)</w:t>
      </w:r>
    </w:p>
    <w:p>
      <w:pPr>
        <w:ind w:left="369" w:right="227"/>
      </w:pPr>
      <w:r>
        <w:rPr>
          <w:b w:val="0"/>
          <w:i/>
        </w:rPr>
        <w:t>“Our mission is to deliver excellence in teaching, research, and community engagement, guided by the principles of equity, sustainability, and innovation. Through global partnerships and alignment with NEP 2020, we aim to empower learners, create knowledge, and drive social transformation.”</w:t>
      </w:r>
    </w:p>
    <w:p>
      <w:pPr>
        <w:pStyle w:val="Heading2"/>
      </w:pPr>
      <w:r>
        <w:t>3. Core Values</w:t>
      </w:r>
    </w:p>
    <w:p>
      <w:pPr>
        <w:pStyle w:val="ListBullet"/>
        <w:numPr>
          <w:ilvl w:val="0"/>
          <w:numId w:val="90"/>
        </w:numPr>
        <w:ind w:left="340" w:hanging="142"/>
      </w:pPr>
      <w:r>
        <w:rPr>
          <w:b/>
          <w:i w:val="0"/>
        </w:rPr>
        <w:t>Excellence:</w:t>
      </w:r>
      <w:r>
        <w:rPr>
          <w:b w:val="0"/>
          <w:i w:val="0"/>
        </w:rPr>
        <w:t xml:space="preserve"> Striving for the highest standards in teaching, learning, and research.</w:t>
      </w:r>
    </w:p>
    <w:p>
      <w:pPr>
        <w:pStyle w:val="ListBullet"/>
        <w:numPr>
          <w:ilvl w:val="0"/>
          <w:numId w:val="90"/>
        </w:numPr>
        <w:ind w:left="340" w:hanging="142"/>
      </w:pPr>
      <w:r>
        <w:rPr>
          <w:b/>
          <w:i w:val="0"/>
        </w:rPr>
        <w:t>Innovation:</w:t>
      </w:r>
      <w:r>
        <w:rPr>
          <w:b w:val="0"/>
          <w:i w:val="0"/>
        </w:rPr>
        <w:t xml:space="preserve"> Promoting creativity, entrepreneurship, and cutting-edge knowledge.</w:t>
      </w:r>
    </w:p>
    <w:p>
      <w:pPr>
        <w:pStyle w:val="ListBullet"/>
        <w:numPr>
          <w:ilvl w:val="0"/>
          <w:numId w:val="90"/>
        </w:numPr>
        <w:ind w:left="340" w:hanging="142"/>
      </w:pPr>
      <w:r>
        <w:rPr>
          <w:b/>
          <w:i w:val="0"/>
        </w:rPr>
        <w:t>Sustainability:</w:t>
      </w:r>
      <w:r>
        <w:rPr>
          <w:b w:val="0"/>
          <w:i w:val="0"/>
        </w:rPr>
        <w:t xml:space="preserve"> Embedding environmental responsibility and green practices.</w:t>
      </w:r>
    </w:p>
    <w:p>
      <w:pPr>
        <w:pStyle w:val="ListBullet"/>
        <w:numPr>
          <w:ilvl w:val="0"/>
          <w:numId w:val="90"/>
        </w:numPr>
        <w:ind w:left="340" w:hanging="142"/>
      </w:pPr>
      <w:r>
        <w:rPr>
          <w:b/>
          <w:i w:val="0"/>
        </w:rPr>
        <w:t>Inclusivity &amp; Equity:</w:t>
      </w:r>
      <w:r>
        <w:rPr>
          <w:b w:val="0"/>
          <w:i w:val="0"/>
        </w:rPr>
        <w:t xml:space="preserve"> Ensuring access, diversity, and fairness in all processes.</w:t>
      </w:r>
    </w:p>
    <w:p>
      <w:pPr>
        <w:pStyle w:val="ListBullet"/>
        <w:numPr>
          <w:ilvl w:val="0"/>
          <w:numId w:val="90"/>
        </w:numPr>
        <w:ind w:left="340" w:hanging="142"/>
      </w:pPr>
      <w:r>
        <w:rPr>
          <w:b/>
          <w:i w:val="0"/>
        </w:rPr>
        <w:t>Global Engagement:</w:t>
      </w:r>
      <w:r>
        <w:rPr>
          <w:b w:val="0"/>
          <w:i w:val="0"/>
        </w:rPr>
        <w:t xml:space="preserve"> Building international collaborations and cultural exchange.</w:t>
      </w:r>
    </w:p>
    <w:p>
      <w:pPr>
        <w:pStyle w:val="ListBullet"/>
        <w:numPr>
          <w:ilvl w:val="0"/>
          <w:numId w:val="90"/>
        </w:numPr>
        <w:ind w:left="340" w:hanging="142"/>
      </w:pPr>
      <w:r>
        <w:rPr>
          <w:b/>
          <w:i w:val="0"/>
        </w:rPr>
        <w:t>Integrity &amp; Accountability:</w:t>
      </w:r>
      <w:r>
        <w:rPr>
          <w:b w:val="0"/>
          <w:i w:val="0"/>
        </w:rPr>
        <w:t xml:space="preserve"> Transparent, ethical, and responsible governance.</w:t>
      </w:r>
    </w:p>
    <w:p>
      <w:pPr>
        <w:pStyle w:val="ListBullet"/>
        <w:numPr>
          <w:ilvl w:val="0"/>
          <w:numId w:val="90"/>
        </w:numPr>
        <w:ind w:left="340" w:hanging="142"/>
      </w:pPr>
      <w:r>
        <w:rPr>
          <w:b/>
          <w:i w:val="0"/>
        </w:rPr>
        <w:t>Community Service:</w:t>
      </w:r>
      <w:r>
        <w:rPr>
          <w:b w:val="0"/>
          <w:i w:val="0"/>
        </w:rPr>
        <w:t xml:space="preserve"> Commitment to social responsibility and nation-building.</w:t>
      </w:r>
    </w:p>
    <w:p>
      <w:pPr>
        <w:pStyle w:val="Heading2"/>
      </w:pPr>
      <w:r>
        <w:t>4. Strategic Pillars (Translating Vision &amp; Mission into Action)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2324"/>
        <w:gridCol w:w="4082"/>
        <w:gridCol w:w="3005"/>
      </w:tblGrid>
      <w:tr>
        <w:trPr>
          <w:tblHeader/>
          <w:cantSplit/>
        </w:trPr>
        <w:tc>
          <w:tcPr>
            <w:tcW w:type="dxa" w:w="2324"/>
            <w:vAlign w:val="center"/>
            <w:shd w:fill="1F3A5F"/>
          </w:tcPr>
          <w:p>
            <w:pPr>
              <w:keepNext/>
              <w:spacing w:after="40" w:line="276" w:lineRule="auto"/>
              <w:jc w:val="left"/>
            </w:pPr>
            <w:r>
              <w:rPr>
                <w:b/>
                <w:i w:val="0"/>
                <w:color w:val="FFFFFF"/>
              </w:rPr>
              <w:t>Strategic Pillar</w:t>
            </w:r>
          </w:p>
        </w:tc>
        <w:tc>
          <w:tcPr>
            <w:tcW w:type="dxa" w:w="4082"/>
            <w:vAlign w:val="center"/>
            <w:shd w:fill="1F3A5F"/>
          </w:tcPr>
          <w:p>
            <w:pPr>
              <w:keepNext/>
              <w:spacing w:after="40" w:line="276" w:lineRule="auto"/>
              <w:jc w:val="left"/>
            </w:pPr>
            <w:r>
              <w:rPr>
                <w:b/>
                <w:i w:val="0"/>
                <w:color w:val="FFFFFF"/>
              </w:rPr>
              <w:t>Linked to Vision/​Mission</w:t>
            </w:r>
          </w:p>
        </w:tc>
        <w:tc>
          <w:tcPr>
            <w:tcW w:type="dxa" w:w="3005"/>
            <w:vAlign w:val="center"/>
            <w:shd w:fill="1F3A5F"/>
          </w:tcPr>
          <w:p>
            <w:pPr>
              <w:keepNext/>
              <w:spacing w:after="40" w:line="276" w:lineRule="auto"/>
              <w:jc w:val="left"/>
            </w:pPr>
            <w:r>
              <w:rPr>
                <w:b/>
                <w:i w:val="0"/>
                <w:color w:val="FFFFFF"/>
              </w:rPr>
              <w:t>Focus Areas</w:t>
            </w:r>
          </w:p>
        </w:tc>
      </w:tr>
      <w:tr>
        <w:trPr>
          <w:cantSplit/>
        </w:trPr>
        <w:tc>
          <w:tcPr>
            <w:tcW w:type="dxa" w:w="2324"/>
            <w:vAlign w:val="center"/>
            <w:shd w:fill="FFFFFF"/>
          </w:tcPr>
          <w:p>
            <w:pPr>
              <w:spacing w:after="40" w:line="276" w:lineRule="auto"/>
              <w:jc w:val="left"/>
            </w:pPr>
            <w:r>
              <w:rPr>
                <w:b w:val="0"/>
                <w:i w:val="0"/>
              </w:rPr>
              <w:t>Academic Excellence</w:t>
            </w:r>
          </w:p>
        </w:tc>
        <w:tc>
          <w:tcPr>
            <w:tcW w:type="dxa" w:w="4082"/>
            <w:vAlign w:val="center"/>
            <w:shd w:fill="FFFFFF"/>
          </w:tcPr>
          <w:p>
            <w:pPr>
              <w:spacing w:after="40" w:line="276" w:lineRule="auto"/>
              <w:jc w:val="left"/>
            </w:pPr>
            <w:r>
              <w:rPr>
                <w:b/>
                <w:i w:val="0"/>
              </w:rPr>
              <w:t>Vision:</w:t>
            </w:r>
            <w:r>
              <w:rPr>
                <w:b w:val="0"/>
                <w:i w:val="0"/>
              </w:rPr>
              <w:t xml:space="preserve"> global recognition; Mission: excellence in teaching</w:t>
            </w:r>
          </w:p>
        </w:tc>
        <w:tc>
          <w:tcPr>
            <w:tcW w:type="dxa" w:w="3005"/>
            <w:vAlign w:val="center"/>
            <w:shd w:fill="FFFFFF"/>
          </w:tcPr>
          <w:p>
            <w:pPr>
              <w:spacing w:after="40" w:line="276" w:lineRule="auto"/>
              <w:jc w:val="left"/>
            </w:pPr>
            <w:r>
              <w:rPr>
                <w:b w:val="0"/>
                <w:i w:val="0"/>
              </w:rPr>
              <w:t>OBE reforms, curriculum modernization, faculty development, lifelong learning</w:t>
            </w:r>
          </w:p>
        </w:tc>
      </w:tr>
      <w:tr>
        <w:trPr>
          <w:cantSplit/>
        </w:trPr>
        <w:tc>
          <w:tcPr>
            <w:tcW w:type="dxa" w:w="2324"/>
            <w:vAlign w:val="center"/>
            <w:shd w:fill="EDF2F7"/>
          </w:tcPr>
          <w:p>
            <w:pPr>
              <w:spacing w:after="40" w:line="276" w:lineRule="auto"/>
              <w:jc w:val="left"/>
            </w:pPr>
            <w:r>
              <w:rPr>
                <w:b w:val="0"/>
                <w:i w:val="0"/>
              </w:rPr>
              <w:t>Research &amp; Innovation</w:t>
            </w:r>
          </w:p>
        </w:tc>
        <w:tc>
          <w:tcPr>
            <w:tcW w:type="dxa" w:w="4082"/>
            <w:vAlign w:val="center"/>
            <w:shd w:fill="EDF2F7"/>
          </w:tcPr>
          <w:p>
            <w:pPr>
              <w:spacing w:after="40" w:line="276" w:lineRule="auto"/>
              <w:jc w:val="left"/>
            </w:pPr>
            <w:r>
              <w:rPr>
                <w:b/>
                <w:i w:val="0"/>
              </w:rPr>
              <w:t>Vision:</w:t>
            </w:r>
            <w:r>
              <w:rPr>
                <w:b w:val="0"/>
                <w:i w:val="0"/>
              </w:rPr>
              <w:t xml:space="preserve"> knowledge creation; Mission: innovation &amp; impact</w:t>
            </w:r>
          </w:p>
        </w:tc>
        <w:tc>
          <w:tcPr>
            <w:tcW w:type="dxa" w:w="3005"/>
            <w:vAlign w:val="center"/>
            <w:shd w:fill="EDF2F7"/>
          </w:tcPr>
          <w:p>
            <w:pPr>
              <w:spacing w:after="40" w:line="276" w:lineRule="auto"/>
              <w:jc w:val="left"/>
            </w:pPr>
            <w:r>
              <w:rPr>
                <w:b w:val="0"/>
                <w:i w:val="0"/>
              </w:rPr>
              <w:t>Centers of Excellence, patents, startups, interdisciplinary research</w:t>
            </w:r>
          </w:p>
        </w:tc>
      </w:tr>
      <w:tr>
        <w:trPr>
          <w:cantSplit/>
        </w:trPr>
        <w:tc>
          <w:tcPr>
            <w:tcW w:type="dxa" w:w="2324"/>
            <w:vAlign w:val="center"/>
            <w:shd w:fill="FFFFFF"/>
          </w:tcPr>
          <w:p>
            <w:pPr>
              <w:spacing w:after="40" w:line="276" w:lineRule="auto"/>
              <w:jc w:val="left"/>
            </w:pPr>
            <w:r>
              <w:rPr>
                <w:b w:val="0"/>
                <w:i w:val="0"/>
              </w:rPr>
              <w:t>Sustainability &amp; Green Development</w:t>
            </w:r>
          </w:p>
        </w:tc>
        <w:tc>
          <w:tcPr>
            <w:tcW w:type="dxa" w:w="4082"/>
            <w:vAlign w:val="center"/>
            <w:shd w:fill="FFFFFF"/>
          </w:tcPr>
          <w:p>
            <w:pPr>
              <w:spacing w:after="40" w:line="276" w:lineRule="auto"/>
              <w:jc w:val="left"/>
            </w:pPr>
            <w:r>
              <w:rPr>
                <w:b/>
                <w:i w:val="0"/>
              </w:rPr>
              <w:t>Vision:</w:t>
            </w:r>
            <w:r>
              <w:rPr>
                <w:b w:val="0"/>
                <w:i w:val="0"/>
              </w:rPr>
              <w:t xml:space="preserve"> sustainability; Mission: environmental responsibility</w:t>
            </w:r>
          </w:p>
        </w:tc>
        <w:tc>
          <w:tcPr>
            <w:tcW w:type="dxa" w:w="3005"/>
            <w:vAlign w:val="center"/>
            <w:shd w:fill="FFFFFF"/>
          </w:tcPr>
          <w:p>
            <w:pPr>
              <w:spacing w:after="40" w:line="276" w:lineRule="auto"/>
              <w:jc w:val="left"/>
            </w:pPr>
            <w:r>
              <w:rPr>
                <w:b w:val="0"/>
                <w:i w:val="0"/>
              </w:rPr>
              <w:t>Carbon-neutral campus, renewable energy, sustainability research</w:t>
            </w:r>
          </w:p>
        </w:tc>
      </w:tr>
      <w:tr>
        <w:trPr>
          <w:cantSplit/>
        </w:trPr>
        <w:tc>
          <w:tcPr>
            <w:tcW w:type="dxa" w:w="2324"/>
            <w:vAlign w:val="center"/>
            <w:shd w:fill="EDF2F7"/>
          </w:tcPr>
          <w:p>
            <w:pPr>
              <w:spacing w:after="40" w:line="276" w:lineRule="auto"/>
              <w:jc w:val="left"/>
            </w:pPr>
            <w:r>
              <w:rPr>
                <w:b w:val="0"/>
                <w:i w:val="0"/>
              </w:rPr>
              <w:t>Inclusivity &amp; Equity</w:t>
            </w:r>
          </w:p>
        </w:tc>
        <w:tc>
          <w:tcPr>
            <w:tcW w:type="dxa" w:w="4082"/>
            <w:vAlign w:val="center"/>
            <w:shd w:fill="EDF2F7"/>
          </w:tcPr>
          <w:p>
            <w:pPr>
              <w:spacing w:after="40" w:line="276" w:lineRule="auto"/>
              <w:jc w:val="left"/>
            </w:pPr>
            <w:r>
              <w:rPr>
                <w:b/>
                <w:i w:val="0"/>
              </w:rPr>
              <w:t>Vision:</w:t>
            </w:r>
            <w:r>
              <w:rPr>
                <w:b w:val="0"/>
                <w:i w:val="0"/>
              </w:rPr>
              <w:t xml:space="preserve"> inclusivity; Mission: equity &amp; diversity</w:t>
            </w:r>
          </w:p>
        </w:tc>
        <w:tc>
          <w:tcPr>
            <w:tcW w:type="dxa" w:w="3005"/>
            <w:vAlign w:val="center"/>
            <w:shd w:fill="EDF2F7"/>
          </w:tcPr>
          <w:p>
            <w:pPr>
              <w:spacing w:after="40" w:line="276" w:lineRule="auto"/>
              <w:jc w:val="left"/>
            </w:pPr>
            <w:r>
              <w:rPr>
                <w:b w:val="0"/>
                <w:i w:val="0"/>
              </w:rPr>
              <w:t>Scholarships, access to marginalized groups, gender equality, student retention</w:t>
            </w:r>
          </w:p>
        </w:tc>
      </w:tr>
      <w:tr>
        <w:trPr>
          <w:cantSplit/>
        </w:trPr>
        <w:tc>
          <w:tcPr>
            <w:tcW w:type="dxa" w:w="2324"/>
            <w:vAlign w:val="center"/>
            <w:shd w:fill="FFFFFF"/>
          </w:tcPr>
          <w:p>
            <w:pPr>
              <w:spacing w:after="40" w:line="276" w:lineRule="auto"/>
              <w:jc w:val="left"/>
            </w:pPr>
            <w:r>
              <w:rPr>
                <w:b w:val="0"/>
                <w:i w:val="0"/>
              </w:rPr>
              <w:t>Global Engagement &amp; Partnerships</w:t>
            </w:r>
          </w:p>
        </w:tc>
        <w:tc>
          <w:tcPr>
            <w:tcW w:type="dxa" w:w="4082"/>
            <w:vAlign w:val="center"/>
            <w:shd w:fill="FFFFFF"/>
          </w:tcPr>
          <w:p>
            <w:pPr>
              <w:spacing w:after="40" w:line="276" w:lineRule="auto"/>
              <w:jc w:val="left"/>
            </w:pPr>
            <w:r>
              <w:rPr>
                <w:b/>
                <w:i w:val="0"/>
              </w:rPr>
              <w:t>Vision:</w:t>
            </w:r>
            <w:r>
              <w:rPr>
                <w:b w:val="0"/>
                <w:i w:val="0"/>
              </w:rPr>
              <w:t xml:space="preserve"> global recognition; Mission: global collaborations</w:t>
            </w:r>
          </w:p>
        </w:tc>
        <w:tc>
          <w:tcPr>
            <w:tcW w:type="dxa" w:w="3005"/>
            <w:vAlign w:val="center"/>
            <w:shd w:fill="FFFFFF"/>
          </w:tcPr>
          <w:p>
            <w:pPr>
              <w:spacing w:after="40" w:line="276" w:lineRule="auto"/>
              <w:jc w:val="left"/>
            </w:pPr>
            <w:r>
              <w:rPr>
                <w:b w:val="0"/>
                <w:i w:val="0"/>
              </w:rPr>
              <w:t>MoUs, exchange programs, dual-degree pathways, global rankings</w:t>
            </w:r>
          </w:p>
        </w:tc>
      </w:tr>
      <w:tr>
        <w:trPr>
          <w:cantSplit/>
        </w:trPr>
        <w:tc>
          <w:tcPr>
            <w:tcW w:type="dxa" w:w="2324"/>
            <w:vAlign w:val="center"/>
            <w:shd w:fill="EDF2F7"/>
          </w:tcPr>
          <w:p>
            <w:pPr>
              <w:spacing w:after="40" w:line="276" w:lineRule="auto"/>
              <w:jc w:val="left"/>
            </w:pPr>
            <w:r>
              <w:rPr>
                <w:b w:val="0"/>
                <w:i w:val="0"/>
              </w:rPr>
              <w:t>Community Engagement &amp; ISR</w:t>
            </w:r>
          </w:p>
        </w:tc>
        <w:tc>
          <w:tcPr>
            <w:tcW w:type="dxa" w:w="4082"/>
            <w:vAlign w:val="center"/>
            <w:shd w:fill="EDF2F7"/>
          </w:tcPr>
          <w:p>
            <w:pPr>
              <w:spacing w:after="40" w:line="276" w:lineRule="auto"/>
              <w:jc w:val="left"/>
            </w:pPr>
            <w:r>
              <w:rPr>
                <w:b/>
                <w:i w:val="0"/>
              </w:rPr>
              <w:t>Vision:</w:t>
            </w:r>
            <w:r>
              <w:rPr>
                <w:b w:val="0"/>
                <w:i w:val="0"/>
              </w:rPr>
              <w:t xml:space="preserve"> social transformation; Mission: community service</w:t>
            </w:r>
          </w:p>
        </w:tc>
        <w:tc>
          <w:tcPr>
            <w:tcW w:type="dxa" w:w="3005"/>
            <w:vAlign w:val="center"/>
            <w:shd w:fill="EDF2F7"/>
          </w:tcPr>
          <w:p>
            <w:pPr>
              <w:spacing w:after="40" w:line="276" w:lineRule="auto"/>
              <w:jc w:val="left"/>
            </w:pPr>
            <w:r>
              <w:rPr>
                <w:b w:val="0"/>
                <w:i w:val="0"/>
              </w:rPr>
              <w:t>Outreach, service-learning, health &amp; literacy programs, local development</w:t>
            </w:r>
          </w:p>
        </w:tc>
      </w:tr>
      <w:tr>
        <w:trPr>
          <w:cantSplit/>
        </w:trPr>
        <w:tc>
          <w:tcPr>
            <w:tcW w:type="dxa" w:w="2324"/>
            <w:vAlign w:val="center"/>
            <w:shd w:fill="FFFFFF"/>
          </w:tcPr>
          <w:p>
            <w:pPr>
              <w:spacing w:after="40" w:line="276" w:lineRule="auto"/>
              <w:jc w:val="left"/>
            </w:pPr>
            <w:r>
              <w:rPr>
                <w:b w:val="0"/>
                <w:i w:val="0"/>
              </w:rPr>
              <w:t>Governance &amp; Quality Assurance</w:t>
            </w:r>
          </w:p>
        </w:tc>
        <w:tc>
          <w:tcPr>
            <w:tcW w:type="dxa" w:w="4082"/>
            <w:vAlign w:val="center"/>
            <w:shd w:fill="FFFFFF"/>
          </w:tcPr>
          <w:p>
            <w:pPr>
              <w:spacing w:after="40" w:line="276" w:lineRule="auto"/>
              <w:jc w:val="left"/>
            </w:pPr>
            <w:r>
              <w:rPr>
                <w:b/>
                <w:i w:val="0"/>
              </w:rPr>
              <w:t>Vision:</w:t>
            </w:r>
            <w:r>
              <w:rPr>
                <w:b w:val="0"/>
                <w:i w:val="0"/>
              </w:rPr>
              <w:t xml:space="preserve"> transformation; Mission: accountability</w:t>
            </w:r>
          </w:p>
        </w:tc>
        <w:tc>
          <w:tcPr>
            <w:tcW w:type="dxa" w:w="3005"/>
            <w:vAlign w:val="center"/>
            <w:shd w:fill="FFFFFF"/>
          </w:tcPr>
          <w:p>
            <w:pPr>
              <w:spacing w:after="40" w:line="276" w:lineRule="auto"/>
              <w:jc w:val="left"/>
            </w:pPr>
            <w:r>
              <w:rPr>
                <w:b w:val="0"/>
                <w:i w:val="0"/>
              </w:rPr>
              <w:t>IQAC strengthening, accreditation excellence (NAAC/​NBA/​NIRF/​QS), data-driven governance</w:t>
            </w:r>
          </w:p>
        </w:tc>
      </w:tr>
      <w:tr>
        <w:trPr>
          <w:cantSplit/>
        </w:trPr>
        <w:tc>
          <w:tcPr>
            <w:tcW w:type="dxa" w:w="2324"/>
            <w:vAlign w:val="center"/>
            <w:shd w:fill="EDF2F7"/>
          </w:tcPr>
          <w:p>
            <w:pPr>
              <w:spacing w:after="40" w:line="276" w:lineRule="auto"/>
              <w:jc w:val="left"/>
            </w:pPr>
            <w:r>
              <w:rPr>
                <w:b w:val="0"/>
                <w:i w:val="0"/>
              </w:rPr>
              <w:t>Financial Sustainability</w:t>
            </w:r>
          </w:p>
        </w:tc>
        <w:tc>
          <w:tcPr>
            <w:tcW w:type="dxa" w:w="4082"/>
            <w:vAlign w:val="center"/>
            <w:shd w:fill="EDF2F7"/>
          </w:tcPr>
          <w:p>
            <w:pPr>
              <w:spacing w:after="40" w:line="276" w:lineRule="auto"/>
              <w:jc w:val="left"/>
            </w:pPr>
            <w:r>
              <w:rPr>
                <w:b/>
                <w:i w:val="0"/>
              </w:rPr>
              <w:t>Vision:</w:t>
            </w:r>
            <w:r>
              <w:rPr>
                <w:b w:val="0"/>
                <w:i w:val="0"/>
              </w:rPr>
              <w:t xml:space="preserve"> resilience; Mission: innovation &amp; partnerships</w:t>
            </w:r>
          </w:p>
        </w:tc>
        <w:tc>
          <w:tcPr>
            <w:tcW w:type="dxa" w:w="3005"/>
            <w:vAlign w:val="center"/>
            <w:shd w:fill="EDF2F7"/>
          </w:tcPr>
          <w:p>
            <w:pPr>
              <w:spacing w:after="40" w:line="276" w:lineRule="auto"/>
              <w:jc w:val="left"/>
            </w:pPr>
            <w:r>
              <w:rPr>
                <w:b w:val="0"/>
                <w:i w:val="0"/>
              </w:rPr>
              <w:t>Alumni &amp; CSR funding, PPP projects, consultancy, endowment funds</w:t>
            </w:r>
          </w:p>
        </w:tc>
      </w:tr>
      <w:tr>
        <w:trPr>
          <w:cantSplit/>
        </w:trPr>
        <w:tc>
          <w:tcPr>
            <w:tcW w:type="dxa" w:w="2324"/>
            <w:vAlign w:val="center"/>
            <w:shd w:fill="FFFFFF"/>
          </w:tcPr>
          <w:p>
            <w:pPr>
              <w:spacing w:after="40" w:line="276" w:lineRule="auto"/>
              <w:jc w:val="left"/>
            </w:pPr>
            <w:r>
              <w:rPr>
                <w:b w:val="0"/>
                <w:i w:val="0"/>
              </w:rPr>
              <w:t>Technology &amp; Digital Transformation</w:t>
            </w:r>
          </w:p>
        </w:tc>
        <w:tc>
          <w:tcPr>
            <w:tcW w:type="dxa" w:w="4082"/>
            <w:vAlign w:val="center"/>
            <w:shd w:fill="FFFFFF"/>
          </w:tcPr>
          <w:p>
            <w:pPr>
              <w:spacing w:after="40" w:line="276" w:lineRule="auto"/>
              <w:jc w:val="left"/>
            </w:pPr>
            <w:r>
              <w:rPr>
                <w:b/>
                <w:i w:val="0"/>
              </w:rPr>
              <w:t>Vision:</w:t>
            </w:r>
            <w:r>
              <w:rPr>
                <w:b w:val="0"/>
                <w:i w:val="0"/>
              </w:rPr>
              <w:t xml:space="preserve"> modern excellence; Mission: empowerment</w:t>
            </w:r>
          </w:p>
        </w:tc>
        <w:tc>
          <w:tcPr>
            <w:tcW w:type="dxa" w:w="3005"/>
            <w:vAlign w:val="center"/>
            <w:shd w:fill="FFFFFF"/>
          </w:tcPr>
          <w:p>
            <w:pPr>
              <w:spacing w:after="40" w:line="276" w:lineRule="auto"/>
              <w:jc w:val="left"/>
            </w:pPr>
            <w:r>
              <w:rPr>
                <w:b w:val="0"/>
                <w:i w:val="0"/>
              </w:rPr>
              <w:t>ICT-enabled learning, AI-driven dashboards, cybersecurity, digital literacy</w:t>
            </w:r>
          </w:p>
        </w:tc>
      </w:tr>
    </w:tbl>
    <w:p>
      <w:pPr>
        <w:spacing w:after="40"/>
      </w:pPr>
    </w:p>
    <w:p>
      <w:pPr/>
      <w:r>
        <w:rPr>
          <w:b w:val="0"/>
          <w:i w:val="0"/>
        </w:rPr>
        <w:t>Vision (20-Year Horizon)</w:t>
      </w:r>
    </w:p>
    <w:p>
      <w:pPr>
        <w:ind w:left="369" w:right="227"/>
      </w:pPr>
      <w:r>
        <w:rPr>
          <w:b w:val="0"/>
          <w:i/>
        </w:rPr>
        <w:t>“Over the next two decades, to evolve into a transformative higher education institution of global repute, excelling in teaching, research, inclusivity, innovation, and sustainability—empowering learners, advancing knowledge, and contributing directly to the United Nations Sustainable Development Goals and national priorities under NEP 2020.”</w:t>
      </w:r>
    </w:p>
    <w:p>
      <w:pPr/>
      <w:r>
        <w:rPr>
          <w:b w:val="0"/>
          <w:i w:val="0"/>
        </w:rPr>
        <w:t>Key Features of a 20-Year Vision</w:t>
      </w:r>
    </w:p>
    <w:p>
      <w:pPr>
        <w:pStyle w:val="ListBullet"/>
        <w:numPr>
          <w:ilvl w:val="0"/>
          <w:numId w:val="90"/>
        </w:numPr>
        <w:ind w:left="340" w:hanging="142"/>
      </w:pPr>
      <w:r>
        <w:rPr>
          <w:b/>
          <w:i w:val="0"/>
        </w:rPr>
        <w:t>Future-Oriented:</w:t>
      </w:r>
      <w:r>
        <w:rPr>
          <w:b w:val="0"/>
          <w:i w:val="0"/>
        </w:rPr>
        <w:t xml:space="preserve"> Sets a 20-year aspiration (2035–2045).</w:t>
      </w:r>
    </w:p>
    <w:p>
      <w:pPr>
        <w:pStyle w:val="ListBullet"/>
        <w:numPr>
          <w:ilvl w:val="0"/>
          <w:numId w:val="90"/>
        </w:numPr>
        <w:ind w:left="340" w:hanging="142"/>
      </w:pPr>
      <w:r>
        <w:rPr>
          <w:b/>
          <w:i w:val="0"/>
        </w:rPr>
        <w:t>Transformative:</w:t>
      </w:r>
      <w:r>
        <w:rPr>
          <w:b w:val="0"/>
          <w:i w:val="0"/>
        </w:rPr>
        <w:t xml:space="preserve"> Moves beyond incremental growth → aims at global leadership.</w:t>
      </w:r>
    </w:p>
    <w:p>
      <w:pPr>
        <w:pStyle w:val="ListBullet"/>
        <w:numPr>
          <w:ilvl w:val="0"/>
          <w:numId w:val="90"/>
        </w:numPr>
        <w:ind w:left="340" w:hanging="142"/>
      </w:pPr>
      <w:r>
        <w:rPr>
          <w:b/>
          <w:i w:val="0"/>
        </w:rPr>
        <w:t>Global Recognition:</w:t>
      </w:r>
      <w:r>
        <w:rPr>
          <w:b w:val="0"/>
          <w:i w:val="0"/>
        </w:rPr>
        <w:t xml:space="preserve"> Positions the institution among Top 500 world universities.</w:t>
      </w:r>
    </w:p>
    <w:p>
      <w:pPr>
        <w:pStyle w:val="ListBullet"/>
        <w:numPr>
          <w:ilvl w:val="0"/>
          <w:numId w:val="90"/>
        </w:numPr>
        <w:ind w:left="340" w:hanging="142"/>
      </w:pPr>
      <w:r>
        <w:rPr>
          <w:b/>
          <w:i w:val="0"/>
        </w:rPr>
        <w:t>Sustainability Commitment:</w:t>
      </w:r>
      <w:r>
        <w:rPr>
          <w:b w:val="0"/>
          <w:i w:val="0"/>
        </w:rPr>
        <w:t xml:space="preserve"> Carbon-neutral, eco-conscious academic ecosystem.</w:t>
      </w:r>
    </w:p>
    <w:p>
      <w:pPr>
        <w:pStyle w:val="ListBullet"/>
        <w:numPr>
          <w:ilvl w:val="0"/>
          <w:numId w:val="90"/>
        </w:numPr>
        <w:ind w:left="340" w:hanging="142"/>
      </w:pPr>
      <w:r>
        <w:rPr>
          <w:b/>
          <w:i w:val="0"/>
        </w:rPr>
        <w:t>Inclusivity:</w:t>
      </w:r>
      <w:r>
        <w:rPr>
          <w:b w:val="0"/>
          <w:i w:val="0"/>
        </w:rPr>
        <w:t xml:space="preserve"> Benchmark for equity, diversity, and lifelong learning access.</w:t>
      </w:r>
    </w:p>
    <w:p>
      <w:pPr>
        <w:pStyle w:val="ListBullet"/>
        <w:numPr>
          <w:ilvl w:val="0"/>
          <w:numId w:val="90"/>
        </w:numPr>
        <w:ind w:left="340" w:hanging="142"/>
      </w:pPr>
      <w:r>
        <w:rPr>
          <w:b/>
          <w:i w:val="0"/>
        </w:rPr>
        <w:t>Innovation Leadership:</w:t>
      </w:r>
      <w:r>
        <w:rPr>
          <w:b w:val="0"/>
          <w:i w:val="0"/>
        </w:rPr>
        <w:t xml:space="preserve"> Hub for patents, startups, and industry-driven research.</w:t>
      </w:r>
    </w:p>
    <w:p>
      <w:pPr>
        <w:pStyle w:val="ListBullet"/>
        <w:numPr>
          <w:ilvl w:val="0"/>
          <w:numId w:val="90"/>
        </w:numPr>
        <w:ind w:left="340" w:hanging="142"/>
      </w:pPr>
      <w:r>
        <w:rPr>
          <w:b/>
          <w:i w:val="0"/>
        </w:rPr>
        <w:t>Community Impact:</w:t>
      </w:r>
      <w:r>
        <w:rPr>
          <w:b w:val="0"/>
          <w:i w:val="0"/>
        </w:rPr>
        <w:t xml:space="preserve"> Institution as a driver of SDG progress (local + global).</w:t>
      </w:r>
    </w:p>
    <w:p>
      <w:pPr/>
      <w:r>
        <w:rPr>
          <w:b w:val="0"/>
          <w:i w:val="0"/>
        </w:rPr>
        <w:t>Vision Statement Checklist (20-Year Ready)</w:t>
      </w:r>
    </w:p>
    <w:p>
      <w:pPr/>
      <w:r>
        <w:rPr>
          <w:b/>
          <w:i w:val="0"/>
        </w:rPr>
        <w:t>Clear:</w:t>
      </w:r>
      <w:r>
        <w:rPr>
          <w:b w:val="0"/>
          <w:i w:val="0"/>
        </w:rPr>
        <w:t xml:space="preserve"> Easy to communicate in 1–2 lines.</w:t>
      </w:r>
    </w:p>
    <w:p>
      <w:pPr/>
      <w:r>
        <w:rPr>
          <w:b/>
          <w:i w:val="0"/>
        </w:rPr>
        <w:t>Inspirational:</w:t>
      </w:r>
      <w:r>
        <w:rPr>
          <w:b w:val="0"/>
          <w:i w:val="0"/>
        </w:rPr>
        <w:t xml:space="preserve"> Motivates students, faculty, and stakeholders.</w:t>
      </w:r>
    </w:p>
    <w:p>
      <w:pPr/>
      <w:r>
        <w:rPr>
          <w:b/>
          <w:i w:val="0"/>
        </w:rPr>
        <w:t>Aligned:</w:t>
      </w:r>
      <w:r>
        <w:rPr>
          <w:b w:val="0"/>
          <w:i w:val="0"/>
        </w:rPr>
        <w:t xml:space="preserve"> With NEP 2020 reforms and SDG priorities.</w:t>
      </w:r>
    </w:p>
    <w:p>
      <w:pPr/>
      <w:r>
        <w:rPr>
          <w:b/>
          <w:i w:val="0"/>
        </w:rPr>
        <w:t>Long-Term:</w:t>
      </w:r>
      <w:r>
        <w:rPr>
          <w:b w:val="0"/>
          <w:i w:val="0"/>
        </w:rPr>
        <w:t xml:space="preserve"> Guides policy, action, and investment for two decades.</w:t>
      </w:r>
    </w:p>
    <w:p>
      <w:pPr>
        <w:pStyle w:val="Heading2"/>
      </w:pPr>
      <w:r>
        <w:t>20-Year Vision Growth Map</w:t>
      </w:r>
    </w:p>
    <w:p>
      <w:pPr>
        <w:pStyle w:val="Heading2"/>
      </w:pPr>
      <w:r>
        <w:rPr>
          <w:i/>
        </w:rPr>
        <w:t>Phase 1: Foundation &amp; Readiness (Short-Term: 0–5 Years)</w:t>
      </w:r>
    </w:p>
    <w:p>
      <w:pPr>
        <w:pStyle w:val="ListBullet"/>
        <w:numPr>
          <w:ilvl w:val="0"/>
          <w:numId w:val="90"/>
        </w:numPr>
        <w:ind w:left="340" w:hanging="142"/>
      </w:pPr>
      <w:r>
        <w:rPr>
          <w:b w:val="0"/>
          <w:i w:val="0"/>
        </w:rPr>
        <w:t>Academic Excellence</w:t>
      </w:r>
    </w:p>
    <w:p>
      <w:pPr>
        <w:pStyle w:val="ListBullet2"/>
        <w:numPr>
          <w:ilvl w:val="1"/>
          <w:numId w:val="90"/>
        </w:numPr>
        <w:ind w:left="652" w:hanging="142"/>
      </w:pPr>
      <w:r>
        <w:rPr>
          <w:b w:val="0"/>
          <w:i w:val="0"/>
        </w:rPr>
        <w:t>Revise 100% of curricula to NEP 2020 &amp; OBE standards.</w:t>
      </w:r>
    </w:p>
    <w:p>
      <w:pPr>
        <w:pStyle w:val="ListBullet2"/>
        <w:numPr>
          <w:ilvl w:val="1"/>
          <w:numId w:val="90"/>
        </w:numPr>
        <w:ind w:left="652" w:hanging="142"/>
      </w:pPr>
      <w:r>
        <w:rPr>
          <w:b w:val="0"/>
          <w:i w:val="0"/>
        </w:rPr>
        <w:t>Train all faculty in digital pedagogy and multidisciplinary teaching.</w:t>
      </w:r>
    </w:p>
    <w:p>
      <w:pPr>
        <w:pStyle w:val="ListBullet"/>
        <w:numPr>
          <w:ilvl w:val="0"/>
          <w:numId w:val="90"/>
        </w:numPr>
        <w:ind w:left="340" w:hanging="142"/>
      </w:pPr>
      <w:r>
        <w:rPr>
          <w:b w:val="0"/>
          <w:i w:val="0"/>
        </w:rPr>
        <w:t>Research &amp; Innovation</w:t>
      </w:r>
    </w:p>
    <w:p>
      <w:pPr>
        <w:pStyle w:val="ListBullet2"/>
        <w:numPr>
          <w:ilvl w:val="1"/>
          <w:numId w:val="90"/>
        </w:numPr>
        <w:ind w:left="652" w:hanging="142"/>
      </w:pPr>
      <w:r>
        <w:rPr>
          <w:b w:val="0"/>
          <w:i w:val="0"/>
        </w:rPr>
        <w:t>Establish 2–3 Centers of Excellence (AI, Sustainability, Healthcare).</w:t>
      </w:r>
    </w:p>
    <w:p>
      <w:pPr>
        <w:pStyle w:val="ListBullet2"/>
        <w:numPr>
          <w:ilvl w:val="1"/>
          <w:numId w:val="90"/>
        </w:numPr>
        <w:ind w:left="652" w:hanging="142"/>
      </w:pPr>
      <w:r>
        <w:rPr>
          <w:b w:val="0"/>
          <w:i w:val="0"/>
        </w:rPr>
        <w:t>File at least 10 patents annually.</w:t>
      </w:r>
    </w:p>
    <w:p>
      <w:pPr>
        <w:pStyle w:val="ListBullet"/>
        <w:numPr>
          <w:ilvl w:val="0"/>
          <w:numId w:val="90"/>
        </w:numPr>
        <w:ind w:left="340" w:hanging="142"/>
      </w:pPr>
      <w:r>
        <w:rPr>
          <w:b w:val="0"/>
          <w:i w:val="0"/>
        </w:rPr>
        <w:t>Sustainability</w:t>
      </w:r>
    </w:p>
    <w:p>
      <w:pPr>
        <w:pStyle w:val="ListBullet2"/>
        <w:numPr>
          <w:ilvl w:val="1"/>
          <w:numId w:val="90"/>
        </w:numPr>
        <w:ind w:left="652" w:hanging="142"/>
      </w:pPr>
      <w:r>
        <w:rPr>
          <w:b w:val="0"/>
          <w:i w:val="0"/>
        </w:rPr>
        <w:t>Convert 40% of campus energy use to renewable sources.</w:t>
      </w:r>
    </w:p>
    <w:p>
      <w:pPr>
        <w:pStyle w:val="ListBullet2"/>
        <w:numPr>
          <w:ilvl w:val="1"/>
          <w:numId w:val="90"/>
        </w:numPr>
        <w:ind w:left="652" w:hanging="142"/>
      </w:pPr>
      <w:r>
        <w:rPr>
          <w:b w:val="0"/>
          <w:i w:val="0"/>
        </w:rPr>
        <w:t>Achieve Green Building Certification for key academic buildings.</w:t>
      </w:r>
    </w:p>
    <w:p>
      <w:pPr>
        <w:pStyle w:val="ListBullet"/>
        <w:numPr>
          <w:ilvl w:val="0"/>
          <w:numId w:val="90"/>
        </w:numPr>
        <w:ind w:left="340" w:hanging="142"/>
      </w:pPr>
      <w:r>
        <w:rPr>
          <w:b w:val="0"/>
          <w:i w:val="0"/>
        </w:rPr>
        <w:t>Inclusivity</w:t>
      </w:r>
    </w:p>
    <w:p>
      <w:pPr>
        <w:pStyle w:val="ListBullet2"/>
        <w:numPr>
          <w:ilvl w:val="1"/>
          <w:numId w:val="90"/>
        </w:numPr>
        <w:ind w:left="652" w:hanging="142"/>
      </w:pPr>
      <w:r>
        <w:rPr>
          <w:b w:val="0"/>
          <w:i w:val="0"/>
        </w:rPr>
        <w:t>Scholarships for 25% of students.</w:t>
      </w:r>
    </w:p>
    <w:p>
      <w:pPr>
        <w:pStyle w:val="ListBullet2"/>
        <w:numPr>
          <w:ilvl w:val="1"/>
          <w:numId w:val="90"/>
        </w:numPr>
        <w:ind w:left="652" w:hanging="142"/>
      </w:pPr>
      <w:r>
        <w:rPr>
          <w:b w:val="0"/>
          <w:i w:val="0"/>
        </w:rPr>
        <w:t>Student retention improved to ≥90%.</w:t>
      </w:r>
    </w:p>
    <w:p>
      <w:pPr>
        <w:pStyle w:val="ListBullet"/>
        <w:numPr>
          <w:ilvl w:val="0"/>
          <w:numId w:val="90"/>
        </w:numPr>
        <w:ind w:left="340" w:hanging="142"/>
      </w:pPr>
      <w:r>
        <w:rPr>
          <w:b w:val="0"/>
          <w:i w:val="0"/>
        </w:rPr>
        <w:t>Globalization</w:t>
      </w:r>
    </w:p>
    <w:p>
      <w:pPr>
        <w:pStyle w:val="ListBullet2"/>
        <w:numPr>
          <w:ilvl w:val="1"/>
          <w:numId w:val="90"/>
        </w:numPr>
        <w:ind w:left="652" w:hanging="142"/>
      </w:pPr>
      <w:r>
        <w:rPr>
          <w:b w:val="0"/>
          <w:i w:val="0"/>
        </w:rPr>
        <w:t>Sign 20 international MoUs and host 3 international conferences annually.</w:t>
      </w:r>
    </w:p>
    <w:p>
      <w:pPr>
        <w:pStyle w:val="ListBullet"/>
        <w:numPr>
          <w:ilvl w:val="0"/>
          <w:numId w:val="90"/>
        </w:numPr>
        <w:ind w:left="340" w:hanging="142"/>
      </w:pPr>
      <w:r>
        <w:rPr>
          <w:b w:val="0"/>
          <w:i w:val="0"/>
        </w:rPr>
        <w:t>Governance</w:t>
      </w:r>
    </w:p>
    <w:p>
      <w:pPr>
        <w:pStyle w:val="ListBullet2"/>
        <w:numPr>
          <w:ilvl w:val="1"/>
          <w:numId w:val="90"/>
        </w:numPr>
        <w:ind w:left="652" w:hanging="142"/>
      </w:pPr>
      <w:r>
        <w:rPr>
          <w:b w:val="0"/>
          <w:i w:val="0"/>
        </w:rPr>
        <w:t>Strengthen IQAC and achieve NAAC A++ accreditation.</w:t>
      </w:r>
    </w:p>
    <w:p>
      <w:pPr>
        <w:pStyle w:val="Heading2"/>
      </w:pPr>
      <w:r>
        <w:rPr>
          <w:i/>
        </w:rPr>
        <w:t>Phase 2: Expansion &amp; Recognition (Medium-Term: 6–10 Years)</w:t>
      </w:r>
    </w:p>
    <w:p>
      <w:pPr>
        <w:pStyle w:val="ListBullet"/>
        <w:numPr>
          <w:ilvl w:val="0"/>
          <w:numId w:val="90"/>
        </w:numPr>
        <w:ind w:left="340" w:hanging="142"/>
      </w:pPr>
      <w:r>
        <w:rPr>
          <w:b w:val="0"/>
          <w:i w:val="0"/>
        </w:rPr>
        <w:t>Academic Excellence</w:t>
      </w:r>
    </w:p>
    <w:p>
      <w:pPr>
        <w:pStyle w:val="ListBullet2"/>
        <w:numPr>
          <w:ilvl w:val="1"/>
          <w:numId w:val="90"/>
        </w:numPr>
        <w:ind w:left="652" w:hanging="142"/>
      </w:pPr>
      <w:r>
        <w:rPr>
          <w:b w:val="0"/>
          <w:i w:val="0"/>
        </w:rPr>
        <w:t>Introduce 5+ interdisciplinary and dual-degree programs.</w:t>
      </w:r>
    </w:p>
    <w:p>
      <w:pPr>
        <w:pStyle w:val="ListBullet2"/>
        <w:numPr>
          <w:ilvl w:val="1"/>
          <w:numId w:val="90"/>
        </w:numPr>
        <w:ind w:left="652" w:hanging="142"/>
      </w:pPr>
      <w:r>
        <w:rPr>
          <w:b w:val="0"/>
          <w:i w:val="0"/>
        </w:rPr>
        <w:t>Achieve ≥90% student satisfaction index.</w:t>
      </w:r>
    </w:p>
    <w:p>
      <w:pPr>
        <w:pStyle w:val="ListBullet"/>
        <w:numPr>
          <w:ilvl w:val="0"/>
          <w:numId w:val="90"/>
        </w:numPr>
        <w:ind w:left="340" w:hanging="142"/>
      </w:pPr>
      <w:r>
        <w:rPr>
          <w:b w:val="0"/>
          <w:i w:val="0"/>
        </w:rPr>
        <w:t>Research &amp; Innovation</w:t>
      </w:r>
    </w:p>
    <w:p>
      <w:pPr>
        <w:pStyle w:val="ListBullet2"/>
        <w:numPr>
          <w:ilvl w:val="1"/>
          <w:numId w:val="90"/>
        </w:numPr>
        <w:ind w:left="652" w:hanging="142"/>
      </w:pPr>
      <w:r>
        <w:rPr>
          <w:b w:val="0"/>
          <w:i w:val="0"/>
        </w:rPr>
        <w:t>Grow research funding to ₹50 crore/£5m.</w:t>
      </w:r>
    </w:p>
    <w:p>
      <w:pPr>
        <w:pStyle w:val="ListBullet2"/>
        <w:numPr>
          <w:ilvl w:val="1"/>
          <w:numId w:val="90"/>
        </w:numPr>
        <w:ind w:left="652" w:hanging="142"/>
      </w:pPr>
      <w:r>
        <w:rPr>
          <w:b w:val="0"/>
          <w:i w:val="0"/>
        </w:rPr>
        <w:t>Establish global joint research labs with partner universities.</w:t>
      </w:r>
    </w:p>
    <w:p>
      <w:pPr>
        <w:pStyle w:val="ListBullet"/>
        <w:numPr>
          <w:ilvl w:val="0"/>
          <w:numId w:val="90"/>
        </w:numPr>
        <w:ind w:left="340" w:hanging="142"/>
      </w:pPr>
      <w:r>
        <w:rPr>
          <w:b w:val="0"/>
          <w:i w:val="0"/>
        </w:rPr>
        <w:t>Sustainability</w:t>
      </w:r>
    </w:p>
    <w:p>
      <w:pPr>
        <w:pStyle w:val="ListBullet2"/>
        <w:numPr>
          <w:ilvl w:val="1"/>
          <w:numId w:val="90"/>
        </w:numPr>
        <w:ind w:left="652" w:hanging="142"/>
      </w:pPr>
      <w:r>
        <w:rPr>
          <w:b w:val="0"/>
          <w:i w:val="0"/>
        </w:rPr>
        <w:t>Expand renewable energy to 70% of campus needs.</w:t>
      </w:r>
    </w:p>
    <w:p>
      <w:pPr>
        <w:pStyle w:val="ListBullet2"/>
        <w:numPr>
          <w:ilvl w:val="1"/>
          <w:numId w:val="90"/>
        </w:numPr>
        <w:ind w:left="652" w:hanging="142"/>
      </w:pPr>
      <w:r>
        <w:rPr>
          <w:b w:val="0"/>
          <w:i w:val="0"/>
        </w:rPr>
        <w:t>Launch sustainability-focused academic programs.</w:t>
      </w:r>
    </w:p>
    <w:p>
      <w:pPr>
        <w:pStyle w:val="ListBullet"/>
        <w:numPr>
          <w:ilvl w:val="0"/>
          <w:numId w:val="90"/>
        </w:numPr>
        <w:ind w:left="340" w:hanging="142"/>
      </w:pPr>
      <w:r>
        <w:rPr>
          <w:b w:val="0"/>
          <w:i w:val="0"/>
        </w:rPr>
        <w:t>Inclusivity</w:t>
      </w:r>
    </w:p>
    <w:p>
      <w:pPr>
        <w:pStyle w:val="ListBullet2"/>
        <w:numPr>
          <w:ilvl w:val="1"/>
          <w:numId w:val="90"/>
        </w:numPr>
        <w:ind w:left="652" w:hanging="142"/>
      </w:pPr>
      <w:r>
        <w:rPr>
          <w:b w:val="0"/>
          <w:i w:val="0"/>
        </w:rPr>
        <w:t>Increase diversity index by 30%.</w:t>
      </w:r>
    </w:p>
    <w:p>
      <w:pPr>
        <w:pStyle w:val="ListBullet2"/>
        <w:numPr>
          <w:ilvl w:val="1"/>
          <w:numId w:val="90"/>
        </w:numPr>
        <w:ind w:left="652" w:hanging="142"/>
      </w:pPr>
      <w:r>
        <w:rPr>
          <w:b w:val="0"/>
          <w:i w:val="0"/>
        </w:rPr>
        <w:t>Placement support for ≥90% of graduates.</w:t>
      </w:r>
    </w:p>
    <w:p>
      <w:pPr>
        <w:pStyle w:val="ListBullet"/>
        <w:numPr>
          <w:ilvl w:val="0"/>
          <w:numId w:val="90"/>
        </w:numPr>
        <w:ind w:left="340" w:hanging="142"/>
      </w:pPr>
      <w:r>
        <w:rPr>
          <w:b w:val="0"/>
          <w:i w:val="0"/>
        </w:rPr>
        <w:t>Globalization</w:t>
      </w:r>
    </w:p>
    <w:p>
      <w:pPr>
        <w:pStyle w:val="ListBullet2"/>
        <w:numPr>
          <w:ilvl w:val="1"/>
          <w:numId w:val="90"/>
        </w:numPr>
        <w:ind w:left="652" w:hanging="142"/>
      </w:pPr>
      <w:r>
        <w:rPr>
          <w:b w:val="0"/>
          <w:i w:val="0"/>
        </w:rPr>
        <w:t>Launch dual-degree programs with at least 5 global universities.</w:t>
      </w:r>
    </w:p>
    <w:p>
      <w:pPr>
        <w:pStyle w:val="ListBullet2"/>
        <w:numPr>
          <w:ilvl w:val="1"/>
          <w:numId w:val="90"/>
        </w:numPr>
        <w:ind w:left="652" w:hanging="142"/>
      </w:pPr>
      <w:r>
        <w:rPr>
          <w:b w:val="0"/>
          <w:i w:val="0"/>
        </w:rPr>
        <w:t>Achieve Top 100 in Asian university rankings.</w:t>
      </w:r>
    </w:p>
    <w:p>
      <w:pPr>
        <w:pStyle w:val="ListBullet"/>
        <w:numPr>
          <w:ilvl w:val="0"/>
          <w:numId w:val="90"/>
        </w:numPr>
        <w:ind w:left="340" w:hanging="142"/>
      </w:pPr>
      <w:r>
        <w:rPr>
          <w:b w:val="0"/>
          <w:i w:val="0"/>
        </w:rPr>
        <w:t>Governance</w:t>
      </w:r>
    </w:p>
    <w:p>
      <w:pPr>
        <w:pStyle w:val="ListBullet2"/>
        <w:numPr>
          <w:ilvl w:val="1"/>
          <w:numId w:val="90"/>
        </w:numPr>
        <w:ind w:left="652" w:hanging="142"/>
      </w:pPr>
      <w:r>
        <w:rPr>
          <w:b w:val="0"/>
          <w:i w:val="0"/>
        </w:rPr>
        <w:t>Secure NBA Tier-I accreditations across all eligible programs.</w:t>
      </w:r>
    </w:p>
    <w:p>
      <w:pPr>
        <w:pStyle w:val="Heading2"/>
      </w:pPr>
      <w:r>
        <w:rPr>
          <w:i/>
        </w:rPr>
        <w:t>Phase 3: Leadership &amp; Global Impact (Long-Term: 11–20 Years)</w:t>
      </w:r>
    </w:p>
    <w:p>
      <w:pPr>
        <w:pStyle w:val="ListBullet"/>
        <w:numPr>
          <w:ilvl w:val="0"/>
          <w:numId w:val="90"/>
        </w:numPr>
        <w:ind w:left="340" w:hanging="142"/>
      </w:pPr>
      <w:r>
        <w:rPr>
          <w:b w:val="0"/>
          <w:i w:val="0"/>
        </w:rPr>
        <w:t>Academic Excellence</w:t>
      </w:r>
    </w:p>
    <w:p>
      <w:pPr>
        <w:pStyle w:val="ListBullet2"/>
        <w:numPr>
          <w:ilvl w:val="1"/>
          <w:numId w:val="90"/>
        </w:numPr>
        <w:ind w:left="652" w:hanging="142"/>
      </w:pPr>
      <w:r>
        <w:rPr>
          <w:b w:val="0"/>
          <w:i w:val="0"/>
        </w:rPr>
        <w:t>Become a globally recognized hub for teaching and lifelong learning.</w:t>
      </w:r>
    </w:p>
    <w:p>
      <w:pPr>
        <w:pStyle w:val="ListBullet2"/>
        <w:numPr>
          <w:ilvl w:val="1"/>
          <w:numId w:val="90"/>
        </w:numPr>
        <w:ind w:left="652" w:hanging="142"/>
      </w:pPr>
      <w:r>
        <w:rPr>
          <w:b w:val="0"/>
          <w:i w:val="0"/>
        </w:rPr>
        <w:t>Graduate employability rate ≥95%.</w:t>
      </w:r>
    </w:p>
    <w:p>
      <w:pPr>
        <w:pStyle w:val="ListBullet"/>
        <w:numPr>
          <w:ilvl w:val="0"/>
          <w:numId w:val="90"/>
        </w:numPr>
        <w:ind w:left="340" w:hanging="142"/>
      </w:pPr>
      <w:r>
        <w:rPr>
          <w:b w:val="0"/>
          <w:i w:val="0"/>
        </w:rPr>
        <w:t>Research &amp; Innovation</w:t>
      </w:r>
    </w:p>
    <w:p>
      <w:pPr>
        <w:pStyle w:val="ListBullet2"/>
        <w:numPr>
          <w:ilvl w:val="1"/>
          <w:numId w:val="90"/>
        </w:numPr>
        <w:ind w:left="652" w:hanging="142"/>
      </w:pPr>
      <w:r>
        <w:rPr>
          <w:b w:val="0"/>
          <w:i w:val="0"/>
        </w:rPr>
        <w:t>File 50+ patents annually and lead global research networks.</w:t>
      </w:r>
    </w:p>
    <w:p>
      <w:pPr>
        <w:pStyle w:val="ListBullet2"/>
        <w:numPr>
          <w:ilvl w:val="1"/>
          <w:numId w:val="90"/>
        </w:numPr>
        <w:ind w:left="652" w:hanging="142"/>
      </w:pPr>
      <w:r>
        <w:rPr>
          <w:b w:val="0"/>
          <w:i w:val="0"/>
        </w:rPr>
        <w:t>Recognition as a global leader in SDG-aligned research.</w:t>
      </w:r>
    </w:p>
    <w:p>
      <w:pPr>
        <w:pStyle w:val="ListBullet"/>
        <w:numPr>
          <w:ilvl w:val="0"/>
          <w:numId w:val="90"/>
        </w:numPr>
        <w:ind w:left="340" w:hanging="142"/>
      </w:pPr>
      <w:r>
        <w:rPr>
          <w:b w:val="0"/>
          <w:i w:val="0"/>
        </w:rPr>
        <w:t>Sustainability</w:t>
      </w:r>
    </w:p>
    <w:p>
      <w:pPr>
        <w:pStyle w:val="ListBullet2"/>
        <w:numPr>
          <w:ilvl w:val="1"/>
          <w:numId w:val="90"/>
        </w:numPr>
        <w:ind w:left="652" w:hanging="142"/>
      </w:pPr>
      <w:r>
        <w:rPr>
          <w:b w:val="0"/>
          <w:i w:val="0"/>
        </w:rPr>
        <w:t>Achieve carbon-neutral campus status.</w:t>
      </w:r>
    </w:p>
    <w:p>
      <w:pPr>
        <w:pStyle w:val="ListBullet2"/>
        <w:numPr>
          <w:ilvl w:val="1"/>
          <w:numId w:val="90"/>
        </w:numPr>
        <w:ind w:left="652" w:hanging="142"/>
      </w:pPr>
      <w:r>
        <w:rPr>
          <w:b w:val="0"/>
          <w:i w:val="0"/>
        </w:rPr>
        <w:t>Recognized as a model Green University worldwide.</w:t>
      </w:r>
    </w:p>
    <w:p>
      <w:pPr>
        <w:pStyle w:val="ListBullet"/>
        <w:numPr>
          <w:ilvl w:val="0"/>
          <w:numId w:val="90"/>
        </w:numPr>
        <w:ind w:left="340" w:hanging="142"/>
      </w:pPr>
      <w:r>
        <w:rPr>
          <w:b w:val="0"/>
          <w:i w:val="0"/>
        </w:rPr>
        <w:t>Inclusivity</w:t>
      </w:r>
    </w:p>
    <w:p>
      <w:pPr>
        <w:pStyle w:val="ListBullet2"/>
        <w:numPr>
          <w:ilvl w:val="1"/>
          <w:numId w:val="90"/>
        </w:numPr>
        <w:ind w:left="652" w:hanging="142"/>
      </w:pPr>
      <w:r>
        <w:rPr>
          <w:b w:val="0"/>
          <w:i w:val="0"/>
        </w:rPr>
        <w:t>Achieve a 50% diversity index in faculty and students.</w:t>
      </w:r>
    </w:p>
    <w:p>
      <w:pPr>
        <w:pStyle w:val="ListBullet2"/>
        <w:numPr>
          <w:ilvl w:val="1"/>
          <w:numId w:val="90"/>
        </w:numPr>
        <w:ind w:left="652" w:hanging="142"/>
      </w:pPr>
      <w:r>
        <w:rPr>
          <w:b w:val="0"/>
          <w:i w:val="0"/>
        </w:rPr>
        <w:t>Be a global benchmark for inclusive higher education.</w:t>
      </w:r>
    </w:p>
    <w:p>
      <w:pPr>
        <w:pStyle w:val="ListBullet"/>
        <w:numPr>
          <w:ilvl w:val="0"/>
          <w:numId w:val="90"/>
        </w:numPr>
        <w:ind w:left="340" w:hanging="142"/>
      </w:pPr>
      <w:r>
        <w:rPr>
          <w:b w:val="0"/>
          <w:i w:val="0"/>
        </w:rPr>
        <w:t>Globalization</w:t>
      </w:r>
    </w:p>
    <w:p>
      <w:pPr>
        <w:pStyle w:val="ListBullet2"/>
        <w:numPr>
          <w:ilvl w:val="1"/>
          <w:numId w:val="90"/>
        </w:numPr>
        <w:ind w:left="652" w:hanging="142"/>
      </w:pPr>
      <w:r>
        <w:rPr>
          <w:b w:val="0"/>
          <w:i w:val="0"/>
        </w:rPr>
        <w:t>Reach Top 500 Global University Ranking (QS/THE).</w:t>
      </w:r>
    </w:p>
    <w:p>
      <w:pPr>
        <w:pStyle w:val="ListBullet2"/>
        <w:numPr>
          <w:ilvl w:val="1"/>
          <w:numId w:val="90"/>
        </w:numPr>
        <w:ind w:left="652" w:hanging="142"/>
      </w:pPr>
      <w:r>
        <w:rPr>
          <w:b w:val="0"/>
          <w:i w:val="0"/>
        </w:rPr>
        <w:t>Facilitate 200+ annual student/faculty exchanges.</w:t>
      </w:r>
    </w:p>
    <w:p>
      <w:pPr>
        <w:pStyle w:val="ListBullet"/>
        <w:numPr>
          <w:ilvl w:val="0"/>
          <w:numId w:val="90"/>
        </w:numPr>
        <w:ind w:left="340" w:hanging="142"/>
      </w:pPr>
      <w:r>
        <w:rPr>
          <w:b w:val="0"/>
          <w:i w:val="0"/>
        </w:rPr>
        <w:t>Governance</w:t>
      </w:r>
    </w:p>
    <w:p>
      <w:pPr>
        <w:pStyle w:val="ListBullet2"/>
        <w:numPr>
          <w:ilvl w:val="1"/>
          <w:numId w:val="90"/>
        </w:numPr>
        <w:ind w:left="652" w:hanging="142"/>
      </w:pPr>
      <w:r>
        <w:rPr>
          <w:b w:val="0"/>
          <w:i w:val="0"/>
        </w:rPr>
        <w:t>Recognized as a global leader in accreditation, quality assurance, and data-driven governance.</w:t>
      </w:r>
    </w:p>
    <w:p>
      <w:pPr/>
      <w:r>
        <w:rPr>
          <w:b/>
          <w:i w:val="0"/>
        </w:rPr>
        <w:t>This phased growth map ensures:</w:t>
      </w:r>
    </w:p>
    <w:p>
      <w:pPr>
        <w:pStyle w:val="ListBullet"/>
        <w:numPr>
          <w:ilvl w:val="0"/>
          <w:numId w:val="90"/>
        </w:numPr>
        <w:ind w:left="340" w:hanging="142"/>
      </w:pPr>
      <w:r>
        <w:rPr>
          <w:b/>
          <w:i w:val="0"/>
        </w:rPr>
        <w:t>0–5 years (Foundation):</w:t>
      </w:r>
      <w:r>
        <w:rPr>
          <w:b w:val="0"/>
          <w:i w:val="0"/>
        </w:rPr>
        <w:t xml:space="preserve"> Build structures, achieve accreditations, and launch initiatives.</w:t>
      </w:r>
    </w:p>
    <w:p>
      <w:pPr>
        <w:pStyle w:val="ListBullet"/>
        <w:numPr>
          <w:ilvl w:val="0"/>
          <w:numId w:val="90"/>
        </w:numPr>
        <w:ind w:left="340" w:hanging="142"/>
      </w:pPr>
      <w:r>
        <w:rPr>
          <w:b/>
          <w:i w:val="0"/>
        </w:rPr>
        <w:t>6–10 years (Expansion):</w:t>
      </w:r>
      <w:r>
        <w:rPr>
          <w:b w:val="0"/>
          <w:i w:val="0"/>
        </w:rPr>
        <w:t xml:space="preserve"> Gain recognition, expand global and research footprint.</w:t>
      </w:r>
    </w:p>
    <w:p>
      <w:pPr>
        <w:pStyle w:val="ListBullet"/>
        <w:numPr>
          <w:ilvl w:val="0"/>
          <w:numId w:val="90"/>
        </w:numPr>
        <w:ind w:left="340" w:hanging="142"/>
      </w:pPr>
      <w:r>
        <w:rPr>
          <w:b/>
          <w:i w:val="0"/>
        </w:rPr>
        <w:t>11–20 years (Leadership):</w:t>
      </w:r>
      <w:r>
        <w:rPr>
          <w:b w:val="0"/>
          <w:i w:val="0"/>
        </w:rPr>
        <w:t xml:space="preserve"> Attain global leadership, carbon neutrality, and inclusive excellence.</w:t>
      </w:r>
    </w:p>
    <w:p>
      <w:pPr>
        <w:pStyle w:val="Heading2"/>
      </w:pPr>
      <w:r>
        <w:t>Mission Statement (Purpose &amp; Values in Action)</w:t>
      </w:r>
    </w:p>
    <w:p>
      <w:pPr>
        <w:ind w:left="369" w:right="227"/>
      </w:pPr>
      <w:r>
        <w:rPr>
          <w:b w:val="0"/>
          <w:i/>
        </w:rPr>
        <w:t>“Our mission is to deliver transformative education through multidisciplinary teaching, cutting-edge research, and inclusive practices. Guided by the values ofexcellence, innovation, sustainability, and equity, we strive to empower learners, foster knowledge creation, and engage with communities while aligning with NEP 2020 reforms and advancing the United Nations Sustainable Development Goals.”</w:t>
      </w:r>
    </w:p>
    <w:p>
      <w:pPr/>
      <w:r>
        <w:rPr>
          <w:b w:val="0"/>
          <w:i w:val="0"/>
        </w:rPr>
        <w:t>How This Mission Achieves the Vision (20-Year Aspiration)</w:t>
      </w:r>
    </w:p>
    <w:p>
      <w:pPr>
        <w:pStyle w:val="ListBullet"/>
        <w:numPr>
          <w:ilvl w:val="0"/>
          <w:numId w:val="90"/>
        </w:numPr>
        <w:ind w:left="340" w:hanging="142"/>
      </w:pPr>
      <w:r>
        <w:rPr>
          <w:b/>
          <w:i w:val="0"/>
        </w:rPr>
        <w:t>Academic Excellence:</w:t>
      </w:r>
      <w:r>
        <w:rPr>
          <w:b w:val="0"/>
          <w:i w:val="0"/>
        </w:rPr>
        <w:t xml:space="preserve"> OBE-driven, flexible, and student-centered learning.</w:t>
      </w:r>
    </w:p>
    <w:p>
      <w:pPr>
        <w:pStyle w:val="ListBullet"/>
        <w:numPr>
          <w:ilvl w:val="0"/>
          <w:numId w:val="90"/>
        </w:numPr>
        <w:ind w:left="340" w:hanging="142"/>
      </w:pPr>
      <w:r>
        <w:rPr>
          <w:b/>
          <w:i w:val="0"/>
        </w:rPr>
        <w:t>Innovation &amp; Research:</w:t>
      </w:r>
      <w:r>
        <w:rPr>
          <w:b w:val="0"/>
          <w:i w:val="0"/>
        </w:rPr>
        <w:t xml:space="preserve"> Establishing Centers of Excellence, patents, and global collaborations.</w:t>
      </w:r>
    </w:p>
    <w:p>
      <w:pPr>
        <w:pStyle w:val="ListBullet"/>
        <w:numPr>
          <w:ilvl w:val="0"/>
          <w:numId w:val="90"/>
        </w:numPr>
        <w:ind w:left="340" w:hanging="142"/>
      </w:pPr>
      <w:r>
        <w:rPr>
          <w:b/>
          <w:i w:val="0"/>
        </w:rPr>
        <w:t>Sustainability:</w:t>
      </w:r>
      <w:r>
        <w:rPr>
          <w:b w:val="0"/>
          <w:i w:val="0"/>
        </w:rPr>
        <w:t xml:space="preserve"> Carbon-neutral campus and SDG-aligned initiatives.</w:t>
      </w:r>
    </w:p>
    <w:p>
      <w:pPr>
        <w:pStyle w:val="ListBullet"/>
        <w:numPr>
          <w:ilvl w:val="0"/>
          <w:numId w:val="90"/>
        </w:numPr>
        <w:ind w:left="340" w:hanging="142"/>
      </w:pPr>
      <w:r>
        <w:rPr>
          <w:b/>
          <w:i w:val="0"/>
        </w:rPr>
        <w:t>Inclusivity &amp; Equity:</w:t>
      </w:r>
      <w:r>
        <w:rPr>
          <w:b w:val="0"/>
          <w:i w:val="0"/>
        </w:rPr>
        <w:t xml:space="preserve"> Scholarships, access for disadvantaged groups, diversity policies.</w:t>
      </w:r>
    </w:p>
    <w:p>
      <w:pPr>
        <w:pStyle w:val="ListBullet"/>
        <w:numPr>
          <w:ilvl w:val="0"/>
          <w:numId w:val="90"/>
        </w:numPr>
        <w:ind w:left="340" w:hanging="142"/>
      </w:pPr>
      <w:r>
        <w:rPr>
          <w:b/>
          <w:i w:val="0"/>
        </w:rPr>
        <w:t>Global Engagement:</w:t>
      </w:r>
      <w:r>
        <w:rPr>
          <w:b w:val="0"/>
          <w:i w:val="0"/>
        </w:rPr>
        <w:t xml:space="preserve"> MoUs, exchanges, dual degrees, and rankings.</w:t>
      </w:r>
    </w:p>
    <w:p>
      <w:pPr>
        <w:pStyle w:val="ListBullet"/>
        <w:numPr>
          <w:ilvl w:val="0"/>
          <w:numId w:val="90"/>
        </w:numPr>
        <w:ind w:left="340" w:hanging="142"/>
      </w:pPr>
      <w:r>
        <w:rPr>
          <w:b/>
          <w:i w:val="0"/>
        </w:rPr>
        <w:t>Community Impact:</w:t>
      </w:r>
      <w:r>
        <w:rPr>
          <w:b w:val="0"/>
          <w:i w:val="0"/>
        </w:rPr>
        <w:t xml:space="preserve"> Service-learning, ISR projects, and SDG-focused outreach.</w:t>
      </w:r>
    </w:p>
    <w:p>
      <w:pPr/>
      <w:r>
        <w:rPr>
          <w:b w:val="0"/>
          <w:i w:val="0"/>
        </w:rPr>
        <w:t>Vision = Destination (20-year aspiration)</w:t>
      </w:r>
    </w:p>
    <w:p>
      <w:pPr/>
      <w:r>
        <w:rPr>
          <w:b w:val="0"/>
          <w:i w:val="0"/>
        </w:rPr>
        <w:t>Mission = Pathway (daily purpose &amp; actions through values)</w:t>
      </w:r>
    </w:p>
    <w:p>
      <w:pPr>
        <w:pStyle w:val="Heading2"/>
      </w:pPr>
      <w:r>
        <w:t>Core Values — Principles Guiding Decisions</w:t>
      </w:r>
    </w:p>
    <w:p>
      <w:pPr>
        <w:pStyle w:val="Heading2"/>
      </w:pPr>
      <w:r>
        <w:t>1. Excellence</w:t>
      </w:r>
    </w:p>
    <w:p>
      <w:pPr>
        <w:pStyle w:val="ListBullet2"/>
        <w:numPr>
          <w:ilvl w:val="1"/>
          <w:numId w:val="90"/>
        </w:numPr>
        <w:ind w:left="652" w:hanging="142"/>
      </w:pPr>
      <w:r>
        <w:rPr>
          <w:b w:val="0"/>
          <w:i w:val="0"/>
        </w:rPr>
        <w:t>Commitment to the highest standards in teaching, research, and service.</w:t>
      </w:r>
    </w:p>
    <w:p>
      <w:pPr>
        <w:pStyle w:val="ListBullet2"/>
        <w:numPr>
          <w:ilvl w:val="1"/>
          <w:numId w:val="90"/>
        </w:numPr>
        <w:ind w:left="652" w:hanging="142"/>
      </w:pPr>
      <w:r>
        <w:rPr>
          <w:b w:val="0"/>
          <w:i w:val="0"/>
        </w:rPr>
        <w:t>Continuous improvement through innovation and quality assurance.</w:t>
      </w:r>
    </w:p>
    <w:p>
      <w:pPr>
        <w:pStyle w:val="Heading2"/>
      </w:pPr>
      <w:r>
        <w:t>2. Innovation</w:t>
      </w:r>
    </w:p>
    <w:p>
      <w:pPr>
        <w:pStyle w:val="ListBullet2"/>
        <w:numPr>
          <w:ilvl w:val="1"/>
          <w:numId w:val="90"/>
        </w:numPr>
        <w:ind w:left="652" w:hanging="142"/>
      </w:pPr>
      <w:r>
        <w:rPr>
          <w:b w:val="0"/>
          <w:i w:val="0"/>
        </w:rPr>
        <w:t>Encouraging creativity, entrepreneurship, and knowledge creation.</w:t>
      </w:r>
    </w:p>
    <w:p>
      <w:pPr>
        <w:pStyle w:val="ListBullet2"/>
        <w:numPr>
          <w:ilvl w:val="1"/>
          <w:numId w:val="90"/>
        </w:numPr>
        <w:ind w:left="652" w:hanging="142"/>
      </w:pPr>
      <w:r>
        <w:rPr>
          <w:b w:val="0"/>
          <w:i w:val="0"/>
        </w:rPr>
        <w:t>Adopting cutting-edge technologies and forward-looking practices.</w:t>
      </w:r>
    </w:p>
    <w:p>
      <w:pPr>
        <w:pStyle w:val="Heading2"/>
      </w:pPr>
      <w:r>
        <w:t>3. Sustainability</w:t>
      </w:r>
    </w:p>
    <w:p>
      <w:pPr>
        <w:pStyle w:val="ListBullet2"/>
        <w:numPr>
          <w:ilvl w:val="1"/>
          <w:numId w:val="90"/>
        </w:numPr>
        <w:ind w:left="652" w:hanging="142"/>
      </w:pPr>
      <w:r>
        <w:rPr>
          <w:b w:val="0"/>
          <w:i w:val="0"/>
        </w:rPr>
        <w:t>Embedding environmental responsibility in academic and operational decisions.</w:t>
      </w:r>
    </w:p>
    <w:p>
      <w:pPr>
        <w:pStyle w:val="ListBullet2"/>
        <w:numPr>
          <w:ilvl w:val="1"/>
          <w:numId w:val="90"/>
        </w:numPr>
        <w:ind w:left="652" w:hanging="142"/>
      </w:pPr>
      <w:r>
        <w:rPr>
          <w:b w:val="0"/>
          <w:i w:val="0"/>
        </w:rPr>
        <w:t>Commitment to achieving a carbon-neutral and eco-conscious campus.</w:t>
      </w:r>
    </w:p>
    <w:p>
      <w:pPr>
        <w:pStyle w:val="Heading2"/>
      </w:pPr>
      <w:r>
        <w:t>4. Inclusivity &amp; Equity</w:t>
      </w:r>
    </w:p>
    <w:p>
      <w:pPr>
        <w:pStyle w:val="ListBullet2"/>
        <w:numPr>
          <w:ilvl w:val="1"/>
          <w:numId w:val="90"/>
        </w:numPr>
        <w:ind w:left="652" w:hanging="142"/>
      </w:pPr>
      <w:r>
        <w:rPr>
          <w:b w:val="0"/>
          <w:i w:val="0"/>
        </w:rPr>
        <w:t>Ensuring access, fairness, and diversity across students, faculty, and staff.</w:t>
      </w:r>
    </w:p>
    <w:p>
      <w:pPr>
        <w:pStyle w:val="ListBullet2"/>
        <w:numPr>
          <w:ilvl w:val="1"/>
          <w:numId w:val="90"/>
        </w:numPr>
        <w:ind w:left="652" w:hanging="142"/>
      </w:pPr>
      <w:r>
        <w:rPr>
          <w:b w:val="0"/>
          <w:i w:val="0"/>
        </w:rPr>
        <w:t>Promoting gender equality and opportunities for disadvantaged groups.</w:t>
      </w:r>
    </w:p>
    <w:p>
      <w:pPr>
        <w:pStyle w:val="Heading2"/>
      </w:pPr>
      <w:r>
        <w:t>5. Global Engagement</w:t>
      </w:r>
    </w:p>
    <w:p>
      <w:pPr>
        <w:pStyle w:val="ListBullet2"/>
        <w:numPr>
          <w:ilvl w:val="1"/>
          <w:numId w:val="90"/>
        </w:numPr>
        <w:ind w:left="652" w:hanging="142"/>
      </w:pPr>
      <w:r>
        <w:rPr>
          <w:b w:val="0"/>
          <w:i w:val="0"/>
        </w:rPr>
        <w:t>Building partnerships that transcend borders and cultures.</w:t>
      </w:r>
    </w:p>
    <w:p>
      <w:pPr>
        <w:pStyle w:val="ListBullet2"/>
        <w:numPr>
          <w:ilvl w:val="1"/>
          <w:numId w:val="90"/>
        </w:numPr>
        <w:ind w:left="652" w:hanging="142"/>
      </w:pPr>
      <w:r>
        <w:rPr>
          <w:b w:val="0"/>
          <w:i w:val="0"/>
        </w:rPr>
        <w:t>Preparing learners as responsible global citizens.</w:t>
      </w:r>
    </w:p>
    <w:p>
      <w:pPr>
        <w:pStyle w:val="Heading2"/>
      </w:pPr>
      <w:r>
        <w:t>6. Integrity &amp; Accountability</w:t>
      </w:r>
    </w:p>
    <w:p>
      <w:pPr>
        <w:pStyle w:val="ListBullet2"/>
        <w:numPr>
          <w:ilvl w:val="1"/>
          <w:numId w:val="90"/>
        </w:numPr>
        <w:ind w:left="652" w:hanging="142"/>
      </w:pPr>
      <w:r>
        <w:rPr>
          <w:b w:val="0"/>
          <w:i w:val="0"/>
        </w:rPr>
        <w:t>Ethical governance, transparency in operations, and data-driven decisions.</w:t>
      </w:r>
    </w:p>
    <w:p>
      <w:pPr>
        <w:pStyle w:val="ListBullet2"/>
        <w:numPr>
          <w:ilvl w:val="1"/>
          <w:numId w:val="90"/>
        </w:numPr>
        <w:ind w:left="652" w:hanging="142"/>
      </w:pPr>
      <w:r>
        <w:rPr>
          <w:b w:val="0"/>
          <w:i w:val="0"/>
        </w:rPr>
        <w:t>Holding ourselves accountable to stakeholders and society.</w:t>
      </w:r>
    </w:p>
    <w:p>
      <w:pPr>
        <w:pStyle w:val="Heading2"/>
      </w:pPr>
      <w:r>
        <w:t>7. Community Service</w:t>
      </w:r>
    </w:p>
    <w:p>
      <w:pPr>
        <w:pStyle w:val="ListBullet2"/>
        <w:numPr>
          <w:ilvl w:val="1"/>
          <w:numId w:val="90"/>
        </w:numPr>
        <w:ind w:left="652" w:hanging="142"/>
      </w:pPr>
      <w:r>
        <w:rPr>
          <w:b w:val="0"/>
          <w:i w:val="0"/>
        </w:rPr>
        <w:t>Embedding social responsibility and outreach into education and research.</w:t>
      </w:r>
    </w:p>
    <w:p>
      <w:pPr>
        <w:pStyle w:val="ListBullet2"/>
        <w:numPr>
          <w:ilvl w:val="1"/>
          <w:numId w:val="90"/>
        </w:numPr>
        <w:ind w:left="652" w:hanging="142"/>
      </w:pPr>
      <w:r>
        <w:rPr>
          <w:b w:val="0"/>
          <w:i w:val="0"/>
        </w:rPr>
        <w:t>Impacting local and global communities through service-learning and ISR projects.</w:t>
      </w:r>
    </w:p>
    <w:p>
      <w:pPr>
        <w:pStyle w:val="Heading2"/>
      </w:pPr>
      <w:r>
        <w:t>Core Value to Strategic Pillar &amp; Action Mapping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2324"/>
        <w:gridCol w:w="4082"/>
        <w:gridCol w:w="3005"/>
      </w:tblGrid>
      <w:tr>
        <w:trPr>
          <w:tblHeader/>
          <w:cantSplit/>
        </w:trPr>
        <w:tc>
          <w:tcPr>
            <w:tcW w:type="dxa" w:w="2324"/>
            <w:vAlign w:val="center"/>
            <w:shd w:fill="1F3A5F"/>
          </w:tcPr>
          <w:p>
            <w:pPr>
              <w:keepNext/>
              <w:spacing w:after="40" w:line="276" w:lineRule="auto"/>
              <w:jc w:val="left"/>
            </w:pPr>
            <w:r>
              <w:rPr>
                <w:b/>
                <w:i w:val="0"/>
                <w:color w:val="FFFFFF"/>
              </w:rPr>
              <w:t>Core Value</w:t>
            </w:r>
          </w:p>
        </w:tc>
        <w:tc>
          <w:tcPr>
            <w:tcW w:type="dxa" w:w="4082"/>
            <w:vAlign w:val="center"/>
            <w:shd w:fill="1F3A5F"/>
          </w:tcPr>
          <w:p>
            <w:pPr>
              <w:keepNext/>
              <w:spacing w:after="40" w:line="276" w:lineRule="auto"/>
              <w:jc w:val="left"/>
            </w:pPr>
            <w:r>
              <w:rPr>
                <w:b/>
                <w:i w:val="0"/>
                <w:color w:val="FFFFFF"/>
              </w:rPr>
              <w:t>Strategic Pillar</w:t>
            </w:r>
          </w:p>
        </w:tc>
        <w:tc>
          <w:tcPr>
            <w:tcW w:type="dxa" w:w="3005"/>
            <w:vAlign w:val="center"/>
            <w:shd w:fill="1F3A5F"/>
          </w:tcPr>
          <w:p>
            <w:pPr>
              <w:keepNext/>
              <w:spacing w:after="40" w:line="276" w:lineRule="auto"/>
              <w:jc w:val="left"/>
            </w:pPr>
            <w:r>
              <w:rPr>
                <w:b/>
                <w:i w:val="0"/>
                <w:color w:val="FFFFFF"/>
              </w:rPr>
              <w:t>Strategic Actions (Examples)</w:t>
            </w:r>
          </w:p>
        </w:tc>
      </w:tr>
      <w:tr>
        <w:trPr>
          <w:cantSplit/>
        </w:trPr>
        <w:tc>
          <w:tcPr>
            <w:tcW w:type="dxa" w:w="2324"/>
            <w:vAlign w:val="center"/>
            <w:shd w:fill="FFFFFF"/>
          </w:tcPr>
          <w:p>
            <w:pPr>
              <w:spacing w:after="40" w:line="276" w:lineRule="auto"/>
              <w:jc w:val="left"/>
            </w:pPr>
            <w:r>
              <w:rPr>
                <w:b w:val="0"/>
                <w:i w:val="0"/>
              </w:rPr>
              <w:t>Excellence</w:t>
            </w:r>
          </w:p>
        </w:tc>
        <w:tc>
          <w:tcPr>
            <w:tcW w:type="dxa" w:w="4082"/>
            <w:vAlign w:val="center"/>
            <w:shd w:fill="FFFFFF"/>
          </w:tcPr>
          <w:p>
            <w:pPr>
              <w:spacing w:after="40" w:line="276" w:lineRule="auto"/>
              <w:jc w:val="left"/>
            </w:pPr>
            <w:r>
              <w:rPr>
                <w:b w:val="0"/>
                <w:i w:val="0"/>
              </w:rPr>
              <w:t>Academic Excellence &amp; Quality Assurance</w:t>
            </w:r>
          </w:p>
        </w:tc>
        <w:tc>
          <w:tcPr>
            <w:tcW w:type="dxa" w:w="3005"/>
            <w:vAlign w:val="center"/>
            <w:shd w:fill="FFFFFF"/>
          </w:tcPr>
          <w:p>
            <w:pPr>
              <w:spacing w:after="40" w:line="276" w:lineRule="auto"/>
              <w:ind w:left="125" w:hanging="125"/>
              <w:jc w:val="left"/>
            </w:pPr>
            <w:r>
              <w:t xml:space="preserve">• </w:t>
            </w:r>
            <w:r>
              <w:rPr>
                <w:b w:val="0"/>
                <w:i w:val="0"/>
              </w:rPr>
              <w:t>Revise curricula to OBE &amp; NEP 2020 standards.</w:t>
            </w:r>
          </w:p>
          <w:p>
            <w:pPr>
              <w:spacing w:after="40" w:line="276" w:lineRule="auto"/>
              <w:ind w:left="125" w:hanging="125"/>
              <w:jc w:val="left"/>
            </w:pPr>
            <w:r>
              <w:t xml:space="preserve">• </w:t>
            </w:r>
            <w:r>
              <w:rPr>
                <w:b w:val="0"/>
                <w:i w:val="0"/>
              </w:rPr>
              <w:t>Train 100% faculty in digital pedagogy.</w:t>
            </w:r>
          </w:p>
          <w:p>
            <w:pPr>
              <w:spacing w:after="40" w:line="276" w:lineRule="auto"/>
              <w:ind w:left="125" w:hanging="125"/>
              <w:jc w:val="left"/>
            </w:pPr>
            <w:r>
              <w:t xml:space="preserve">• </w:t>
            </w:r>
            <w:r>
              <w:rPr>
                <w:b w:val="0"/>
                <w:i w:val="0"/>
              </w:rPr>
              <w:t>Achieve NAAC A++ &amp; global accreditations.</w:t>
            </w:r>
          </w:p>
          <w:p>
            <w:pPr>
              <w:spacing w:after="40" w:line="276" w:lineRule="auto"/>
              <w:ind w:left="125" w:hanging="125"/>
              <w:jc w:val="left"/>
            </w:pPr>
            <w:r>
              <w:t xml:space="preserve">• </w:t>
            </w:r>
            <w:r>
              <w:rPr>
                <w:b w:val="0"/>
                <w:i w:val="0"/>
              </w:rPr>
              <w:t>Set up regular academic audits.</w:t>
            </w:r>
          </w:p>
        </w:tc>
      </w:tr>
      <w:tr>
        <w:trPr>
          <w:cantSplit/>
        </w:trPr>
        <w:tc>
          <w:tcPr>
            <w:tcW w:type="dxa" w:w="2324"/>
            <w:vAlign w:val="center"/>
            <w:shd w:fill="EDF2F7"/>
          </w:tcPr>
          <w:p>
            <w:pPr>
              <w:spacing w:after="40" w:line="276" w:lineRule="auto"/>
              <w:jc w:val="left"/>
            </w:pPr>
            <w:r>
              <w:rPr>
                <w:b w:val="0"/>
                <w:i w:val="0"/>
              </w:rPr>
              <w:t>Innovation</w:t>
            </w:r>
          </w:p>
        </w:tc>
        <w:tc>
          <w:tcPr>
            <w:tcW w:type="dxa" w:w="4082"/>
            <w:vAlign w:val="center"/>
            <w:shd w:fill="EDF2F7"/>
          </w:tcPr>
          <w:p>
            <w:pPr>
              <w:spacing w:after="40" w:line="276" w:lineRule="auto"/>
              <w:jc w:val="left"/>
            </w:pPr>
            <w:r>
              <w:rPr>
                <w:b w:val="0"/>
                <w:i w:val="0"/>
              </w:rPr>
              <w:t>Research &amp; Knowledge Creation</w:t>
            </w:r>
          </w:p>
        </w:tc>
        <w:tc>
          <w:tcPr>
            <w:tcW w:type="dxa" w:w="3005"/>
            <w:vAlign w:val="center"/>
            <w:shd w:fill="EDF2F7"/>
          </w:tcPr>
          <w:p>
            <w:pPr>
              <w:spacing w:after="40" w:line="276" w:lineRule="auto"/>
              <w:ind w:left="125" w:hanging="125"/>
              <w:jc w:val="left"/>
            </w:pPr>
            <w:r>
              <w:t xml:space="preserve">• </w:t>
            </w:r>
            <w:r>
              <w:rPr>
                <w:b w:val="0"/>
                <w:i w:val="0"/>
              </w:rPr>
              <w:t>Establish Centers of Excellence (AI, Sustainability).</w:t>
            </w:r>
          </w:p>
          <w:p>
            <w:pPr>
              <w:spacing w:after="40" w:line="276" w:lineRule="auto"/>
              <w:ind w:left="125" w:hanging="125"/>
              <w:jc w:val="left"/>
            </w:pPr>
            <w:r>
              <w:t xml:space="preserve">• </w:t>
            </w:r>
            <w:r>
              <w:rPr>
                <w:b w:val="0"/>
                <w:i w:val="0"/>
              </w:rPr>
              <w:t>Launch incubation hubs and patent support cells.</w:t>
            </w:r>
          </w:p>
          <w:p>
            <w:pPr>
              <w:spacing w:after="40" w:line="276" w:lineRule="auto"/>
              <w:ind w:left="125" w:hanging="125"/>
              <w:jc w:val="left"/>
            </w:pPr>
            <w:r>
              <w:t xml:space="preserve">• </w:t>
            </w:r>
            <w:r>
              <w:rPr>
                <w:b w:val="0"/>
                <w:i w:val="0"/>
              </w:rPr>
              <w:t>Promote student/​faculty startups.</w:t>
            </w:r>
          </w:p>
          <w:p>
            <w:pPr>
              <w:spacing w:after="40" w:line="276" w:lineRule="auto"/>
              <w:ind w:left="125" w:hanging="125"/>
              <w:jc w:val="left"/>
            </w:pPr>
            <w:r>
              <w:t xml:space="preserve">• </w:t>
            </w:r>
            <w:r>
              <w:rPr>
                <w:b w:val="0"/>
                <w:i w:val="0"/>
              </w:rPr>
              <w:t>Secure national &amp; global research funding.</w:t>
            </w:r>
          </w:p>
        </w:tc>
      </w:tr>
      <w:tr>
        <w:trPr>
          <w:cantSplit/>
        </w:trPr>
        <w:tc>
          <w:tcPr>
            <w:tcW w:type="dxa" w:w="2324"/>
            <w:vAlign w:val="center"/>
            <w:shd w:fill="FFFFFF"/>
          </w:tcPr>
          <w:p>
            <w:pPr>
              <w:spacing w:after="40" w:line="276" w:lineRule="auto"/>
              <w:jc w:val="left"/>
            </w:pPr>
            <w:r>
              <w:rPr>
                <w:b w:val="0"/>
                <w:i w:val="0"/>
              </w:rPr>
              <w:t>Sustainability</w:t>
            </w:r>
          </w:p>
        </w:tc>
        <w:tc>
          <w:tcPr>
            <w:tcW w:type="dxa" w:w="4082"/>
            <w:vAlign w:val="center"/>
            <w:shd w:fill="FFFFFF"/>
          </w:tcPr>
          <w:p>
            <w:pPr>
              <w:spacing w:after="40" w:line="276" w:lineRule="auto"/>
              <w:jc w:val="left"/>
            </w:pPr>
            <w:r>
              <w:rPr>
                <w:b w:val="0"/>
                <w:i w:val="0"/>
              </w:rPr>
              <w:t>Green Campus &amp; Climate Leadership</w:t>
            </w:r>
          </w:p>
        </w:tc>
        <w:tc>
          <w:tcPr>
            <w:tcW w:type="dxa" w:w="3005"/>
            <w:vAlign w:val="center"/>
            <w:shd w:fill="FFFFFF"/>
          </w:tcPr>
          <w:p>
            <w:pPr>
              <w:spacing w:after="40" w:line="276" w:lineRule="auto"/>
              <w:ind w:left="125" w:hanging="125"/>
              <w:jc w:val="left"/>
            </w:pPr>
            <w:r>
              <w:t xml:space="preserve">• </w:t>
            </w:r>
            <w:r>
              <w:rPr>
                <w:b w:val="0"/>
                <w:i w:val="0"/>
              </w:rPr>
              <w:t>Convert 70%+ campus energy to renewables.</w:t>
            </w:r>
          </w:p>
          <w:p>
            <w:pPr>
              <w:spacing w:after="40" w:line="276" w:lineRule="auto"/>
              <w:ind w:left="125" w:hanging="125"/>
              <w:jc w:val="left"/>
            </w:pPr>
            <w:r>
              <w:t xml:space="preserve">• </w:t>
            </w:r>
            <w:r>
              <w:rPr>
                <w:b w:val="0"/>
                <w:i w:val="0"/>
              </w:rPr>
              <w:t>Achieve carbon-neutral status by 2040.</w:t>
            </w:r>
          </w:p>
          <w:p>
            <w:pPr>
              <w:spacing w:after="40" w:line="276" w:lineRule="auto"/>
              <w:ind w:left="125" w:hanging="125"/>
              <w:jc w:val="left"/>
            </w:pPr>
            <w:r>
              <w:t xml:space="preserve">• </w:t>
            </w:r>
            <w:r>
              <w:rPr>
                <w:b w:val="0"/>
                <w:i w:val="0"/>
              </w:rPr>
              <w:t>Build green-certified academic &amp; residential buildings.</w:t>
            </w:r>
          </w:p>
          <w:p>
            <w:pPr>
              <w:spacing w:after="40" w:line="276" w:lineRule="auto"/>
              <w:ind w:left="125" w:hanging="125"/>
              <w:jc w:val="left"/>
            </w:pPr>
            <w:r>
              <w:t xml:space="preserve">• </w:t>
            </w:r>
            <w:r>
              <w:rPr>
                <w:b w:val="0"/>
                <w:i w:val="0"/>
              </w:rPr>
              <w:t>Embed climate education in curriculum.</w:t>
            </w:r>
          </w:p>
        </w:tc>
      </w:tr>
      <w:tr>
        <w:trPr>
          <w:cantSplit/>
        </w:trPr>
        <w:tc>
          <w:tcPr>
            <w:tcW w:type="dxa" w:w="2324"/>
            <w:vAlign w:val="center"/>
            <w:shd w:fill="EDF2F7"/>
          </w:tcPr>
          <w:p>
            <w:pPr>
              <w:spacing w:after="40" w:line="276" w:lineRule="auto"/>
              <w:jc w:val="left"/>
            </w:pPr>
            <w:r>
              <w:rPr>
                <w:b w:val="0"/>
                <w:i w:val="0"/>
              </w:rPr>
              <w:t>Inclusivity &amp; Equity</w:t>
            </w:r>
          </w:p>
        </w:tc>
        <w:tc>
          <w:tcPr>
            <w:tcW w:type="dxa" w:w="4082"/>
            <w:vAlign w:val="center"/>
            <w:shd w:fill="EDF2F7"/>
          </w:tcPr>
          <w:p>
            <w:pPr>
              <w:spacing w:after="40" w:line="276" w:lineRule="auto"/>
              <w:jc w:val="left"/>
            </w:pPr>
            <w:r>
              <w:rPr>
                <w:b w:val="0"/>
                <w:i w:val="0"/>
              </w:rPr>
              <w:t>Inclusive Education &amp; Student Development</w:t>
            </w:r>
          </w:p>
        </w:tc>
        <w:tc>
          <w:tcPr>
            <w:tcW w:type="dxa" w:w="3005"/>
            <w:vAlign w:val="center"/>
            <w:shd w:fill="EDF2F7"/>
          </w:tcPr>
          <w:p>
            <w:pPr>
              <w:spacing w:after="40" w:line="276" w:lineRule="auto"/>
              <w:ind w:left="125" w:hanging="125"/>
              <w:jc w:val="left"/>
            </w:pPr>
            <w:r>
              <w:t xml:space="preserve">• </w:t>
            </w:r>
            <w:r>
              <w:rPr>
                <w:b w:val="0"/>
                <w:i w:val="0"/>
              </w:rPr>
              <w:t>Provide scholarships to ≥25% students.</w:t>
            </w:r>
          </w:p>
          <w:p>
            <w:pPr>
              <w:spacing w:after="40" w:line="276" w:lineRule="auto"/>
              <w:ind w:left="125" w:hanging="125"/>
              <w:jc w:val="left"/>
            </w:pPr>
            <w:r>
              <w:t xml:space="preserve">• </w:t>
            </w:r>
            <w:r>
              <w:rPr>
                <w:b w:val="0"/>
                <w:i w:val="0"/>
              </w:rPr>
              <w:t>Retain 95% students annually.</w:t>
            </w:r>
          </w:p>
          <w:p>
            <w:pPr>
              <w:spacing w:after="40" w:line="276" w:lineRule="auto"/>
              <w:ind w:left="125" w:hanging="125"/>
              <w:jc w:val="left"/>
            </w:pPr>
            <w:r>
              <w:t xml:space="preserve">• </w:t>
            </w:r>
            <w:r>
              <w:rPr>
                <w:b w:val="0"/>
                <w:i w:val="0"/>
              </w:rPr>
              <w:t>Promote gender equity and diversity hiring.</w:t>
            </w:r>
          </w:p>
          <w:p>
            <w:pPr>
              <w:spacing w:after="40" w:line="276" w:lineRule="auto"/>
              <w:ind w:left="125" w:hanging="125"/>
              <w:jc w:val="left"/>
            </w:pPr>
            <w:r>
              <w:t xml:space="preserve">• </w:t>
            </w:r>
            <w:r>
              <w:rPr>
                <w:b w:val="0"/>
                <w:i w:val="0"/>
              </w:rPr>
              <w:t>Establish counseling, wellness, and disability support centers.</w:t>
            </w:r>
          </w:p>
        </w:tc>
      </w:tr>
      <w:tr>
        <w:trPr>
          <w:cantSplit/>
        </w:trPr>
        <w:tc>
          <w:tcPr>
            <w:tcW w:type="dxa" w:w="2324"/>
            <w:vAlign w:val="center"/>
            <w:shd w:fill="FFFFFF"/>
          </w:tcPr>
          <w:p>
            <w:pPr>
              <w:spacing w:after="40" w:line="276" w:lineRule="auto"/>
              <w:jc w:val="left"/>
            </w:pPr>
            <w:r>
              <w:rPr>
                <w:b w:val="0"/>
                <w:i w:val="0"/>
              </w:rPr>
              <w:t>Global Engagement</w:t>
            </w:r>
          </w:p>
        </w:tc>
        <w:tc>
          <w:tcPr>
            <w:tcW w:type="dxa" w:w="4082"/>
            <w:vAlign w:val="center"/>
            <w:shd w:fill="FFFFFF"/>
          </w:tcPr>
          <w:p>
            <w:pPr>
              <w:spacing w:after="40" w:line="276" w:lineRule="auto"/>
              <w:jc w:val="left"/>
            </w:pPr>
            <w:r>
              <w:rPr>
                <w:b w:val="0"/>
                <w:i w:val="0"/>
              </w:rPr>
              <w:t>Internationalization &amp; Partnerships</w:t>
            </w:r>
          </w:p>
        </w:tc>
        <w:tc>
          <w:tcPr>
            <w:tcW w:type="dxa" w:w="3005"/>
            <w:vAlign w:val="center"/>
            <w:shd w:fill="FFFFFF"/>
          </w:tcPr>
          <w:p>
            <w:pPr>
              <w:spacing w:after="40" w:line="276" w:lineRule="auto"/>
              <w:ind w:left="125" w:hanging="125"/>
              <w:jc w:val="left"/>
            </w:pPr>
            <w:r>
              <w:t xml:space="preserve">• </w:t>
            </w:r>
            <w:r>
              <w:rPr>
                <w:b w:val="0"/>
                <w:i w:val="0"/>
              </w:rPr>
              <w:t>Sign 20+ MoUs with leading universities.</w:t>
            </w:r>
          </w:p>
          <w:p>
            <w:pPr>
              <w:spacing w:after="40" w:line="276" w:lineRule="auto"/>
              <w:ind w:left="125" w:hanging="125"/>
              <w:jc w:val="left"/>
            </w:pPr>
            <w:r>
              <w:t xml:space="preserve">• </w:t>
            </w:r>
            <w:r>
              <w:rPr>
                <w:b w:val="0"/>
                <w:i w:val="0"/>
              </w:rPr>
              <w:t>Host 3+ global conferences annually.</w:t>
            </w:r>
          </w:p>
          <w:p>
            <w:pPr>
              <w:spacing w:after="40" w:line="276" w:lineRule="auto"/>
              <w:ind w:left="125" w:hanging="125"/>
              <w:jc w:val="left"/>
            </w:pPr>
            <w:r>
              <w:t xml:space="preserve">• </w:t>
            </w:r>
            <w:r>
              <w:rPr>
                <w:b w:val="0"/>
                <w:i w:val="0"/>
              </w:rPr>
              <w:t>Launch dual-degree &amp; credit-transfer programs.</w:t>
            </w:r>
          </w:p>
          <w:p>
            <w:pPr>
              <w:spacing w:after="40" w:line="276" w:lineRule="auto"/>
              <w:ind w:left="125" w:hanging="125"/>
              <w:jc w:val="left"/>
            </w:pPr>
            <w:r>
              <w:t xml:space="preserve">• </w:t>
            </w:r>
            <w:r>
              <w:rPr>
                <w:b w:val="0"/>
                <w:i w:val="0"/>
              </w:rPr>
              <w:t>Facilitate 200 student/​faculty exchanges in 10 years.</w:t>
            </w:r>
          </w:p>
        </w:tc>
      </w:tr>
      <w:tr>
        <w:trPr>
          <w:cantSplit/>
        </w:trPr>
        <w:tc>
          <w:tcPr>
            <w:tcW w:type="dxa" w:w="2324"/>
            <w:vAlign w:val="center"/>
            <w:shd w:fill="EDF2F7"/>
          </w:tcPr>
          <w:p>
            <w:pPr>
              <w:spacing w:after="40" w:line="276" w:lineRule="auto"/>
              <w:jc w:val="left"/>
            </w:pPr>
            <w:r>
              <w:rPr>
                <w:b w:val="0"/>
                <w:i w:val="0"/>
              </w:rPr>
              <w:t>Integrity &amp; Accountability</w:t>
            </w:r>
          </w:p>
        </w:tc>
        <w:tc>
          <w:tcPr>
            <w:tcW w:type="dxa" w:w="4082"/>
            <w:vAlign w:val="center"/>
            <w:shd w:fill="EDF2F7"/>
          </w:tcPr>
          <w:p>
            <w:pPr>
              <w:spacing w:after="40" w:line="276" w:lineRule="auto"/>
              <w:jc w:val="left"/>
            </w:pPr>
            <w:r>
              <w:rPr>
                <w:b w:val="0"/>
                <w:i w:val="0"/>
              </w:rPr>
              <w:t>Governance &amp; Quality Systems</w:t>
            </w:r>
          </w:p>
        </w:tc>
        <w:tc>
          <w:tcPr>
            <w:tcW w:type="dxa" w:w="3005"/>
            <w:vAlign w:val="center"/>
            <w:shd w:fill="EDF2F7"/>
          </w:tcPr>
          <w:p>
            <w:pPr>
              <w:spacing w:after="40" w:line="276" w:lineRule="auto"/>
              <w:ind w:left="125" w:hanging="125"/>
              <w:jc w:val="left"/>
            </w:pPr>
            <w:r>
              <w:t xml:space="preserve">• </w:t>
            </w:r>
            <w:r>
              <w:rPr>
                <w:b w:val="0"/>
                <w:i w:val="0"/>
              </w:rPr>
              <w:t>Implement data-driven decision-making dashboards.</w:t>
            </w:r>
          </w:p>
          <w:p>
            <w:pPr>
              <w:spacing w:after="40" w:line="276" w:lineRule="auto"/>
              <w:ind w:left="125" w:hanging="125"/>
              <w:jc w:val="left"/>
            </w:pPr>
            <w:r>
              <w:t xml:space="preserve">• </w:t>
            </w:r>
            <w:r>
              <w:rPr>
                <w:b w:val="0"/>
                <w:i w:val="0"/>
              </w:rPr>
              <w:t>Conduct annual internal/​external audits.</w:t>
            </w:r>
          </w:p>
          <w:p>
            <w:pPr>
              <w:spacing w:after="40" w:line="276" w:lineRule="auto"/>
              <w:ind w:left="125" w:hanging="125"/>
              <w:jc w:val="left"/>
            </w:pPr>
            <w:r>
              <w:t xml:space="preserve">• </w:t>
            </w:r>
            <w:r>
              <w:rPr>
                <w:b w:val="0"/>
                <w:i w:val="0"/>
              </w:rPr>
              <w:t>Ensure transparent reporting (NAAC/​NIRF/​QS compliance).</w:t>
            </w:r>
          </w:p>
          <w:p>
            <w:pPr>
              <w:spacing w:after="40" w:line="276" w:lineRule="auto"/>
              <w:ind w:left="125" w:hanging="125"/>
              <w:jc w:val="left"/>
            </w:pPr>
            <w:r>
              <w:t xml:space="preserve">• </w:t>
            </w:r>
            <w:r>
              <w:rPr>
                <w:b w:val="0"/>
                <w:i w:val="0"/>
              </w:rPr>
              <w:t>Strengthen IQAC as a continuous monitoring body.</w:t>
            </w:r>
          </w:p>
        </w:tc>
      </w:tr>
      <w:tr>
        <w:trPr>
          <w:cantSplit/>
        </w:trPr>
        <w:tc>
          <w:tcPr>
            <w:tcW w:type="dxa" w:w="2324"/>
            <w:vAlign w:val="center"/>
            <w:shd w:fill="FFFFFF"/>
          </w:tcPr>
          <w:p>
            <w:pPr>
              <w:spacing w:after="40" w:line="276" w:lineRule="auto"/>
              <w:jc w:val="left"/>
            </w:pPr>
            <w:r>
              <w:rPr>
                <w:b w:val="0"/>
                <w:i w:val="0"/>
              </w:rPr>
              <w:t>Community Service</w:t>
            </w:r>
          </w:p>
        </w:tc>
        <w:tc>
          <w:tcPr>
            <w:tcW w:type="dxa" w:w="4082"/>
            <w:vAlign w:val="center"/>
            <w:shd w:fill="FFFFFF"/>
          </w:tcPr>
          <w:p>
            <w:pPr>
              <w:spacing w:after="40" w:line="276" w:lineRule="auto"/>
              <w:jc w:val="left"/>
            </w:pPr>
            <w:r>
              <w:rPr>
                <w:b w:val="0"/>
                <w:i w:val="0"/>
              </w:rPr>
              <w:t>Community Engagement &amp; ISR</w:t>
            </w:r>
          </w:p>
        </w:tc>
        <w:tc>
          <w:tcPr>
            <w:tcW w:type="dxa" w:w="3005"/>
            <w:vAlign w:val="center"/>
            <w:shd w:fill="FFFFFF"/>
          </w:tcPr>
          <w:p>
            <w:pPr>
              <w:spacing w:after="40" w:line="276" w:lineRule="auto"/>
              <w:ind w:left="125" w:hanging="125"/>
              <w:jc w:val="left"/>
            </w:pPr>
            <w:r>
              <w:t xml:space="preserve">• </w:t>
            </w:r>
            <w:r>
              <w:rPr>
                <w:b w:val="0"/>
                <w:i w:val="0"/>
              </w:rPr>
              <w:t>Launch ISR projects impacting 10,000+ beneficiaries.</w:t>
            </w:r>
          </w:p>
          <w:p>
            <w:pPr>
              <w:spacing w:after="40" w:line="276" w:lineRule="auto"/>
              <w:ind w:left="125" w:hanging="125"/>
              <w:jc w:val="left"/>
            </w:pPr>
            <w:r>
              <w:t xml:space="preserve">• </w:t>
            </w:r>
            <w:r>
              <w:rPr>
                <w:b w:val="0"/>
                <w:i w:val="0"/>
              </w:rPr>
              <w:t>Embed service-learning into curriculum.</w:t>
            </w:r>
          </w:p>
          <w:p>
            <w:pPr>
              <w:spacing w:after="40" w:line="276" w:lineRule="auto"/>
              <w:ind w:left="125" w:hanging="125"/>
              <w:jc w:val="left"/>
            </w:pPr>
            <w:r>
              <w:t xml:space="preserve">• </w:t>
            </w:r>
            <w:r>
              <w:rPr>
                <w:b w:val="0"/>
                <w:i w:val="0"/>
              </w:rPr>
              <w:t>Partner with local governments &amp; NGOs.</w:t>
            </w:r>
          </w:p>
          <w:p>
            <w:pPr>
              <w:spacing w:after="40" w:line="276" w:lineRule="auto"/>
              <w:ind w:left="125" w:hanging="125"/>
              <w:jc w:val="left"/>
            </w:pPr>
            <w:r>
              <w:t xml:space="preserve">• </w:t>
            </w:r>
            <w:r>
              <w:rPr>
                <w:b w:val="0"/>
                <w:i w:val="0"/>
              </w:rPr>
              <w:t>Expand health, literacy, and sustainability outreach.</w:t>
            </w:r>
          </w:p>
        </w:tc>
      </w:tr>
    </w:tbl>
    <w:p>
      <w:pPr>
        <w:spacing w:after="40"/>
      </w:pPr>
    </w:p>
    <w:p>
      <w:pPr>
        <w:pStyle w:val="Heading2"/>
      </w:pPr>
      <w:r>
        <w:t>Core Value Strategic Pillar Policy–Action–Outcome–KPI Mapping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191"/>
        <w:gridCol w:w="1701"/>
        <w:gridCol w:w="1701"/>
        <w:gridCol w:w="1814"/>
        <w:gridCol w:w="1474"/>
        <w:gridCol w:w="1531"/>
      </w:tblGrid>
      <w:tr>
        <w:trPr>
          <w:tblHeader/>
          <w:cantSplit/>
        </w:trPr>
        <w:tc>
          <w:tcPr>
            <w:tcW w:type="dxa" w:w="1191"/>
            <w:vAlign w:val="center"/>
            <w:shd w:fill="1F3A5F"/>
          </w:tcPr>
          <w:p>
            <w:pPr>
              <w:keepNext/>
              <w:spacing w:after="40" w:line="276" w:lineRule="auto"/>
              <w:jc w:val="left"/>
            </w:pPr>
            <w:r>
              <w:rPr>
                <w:b/>
                <w:i w:val="0"/>
                <w:color w:val="FFFFFF"/>
              </w:rPr>
              <w:t>Core Value</w:t>
            </w:r>
          </w:p>
        </w:tc>
        <w:tc>
          <w:tcPr>
            <w:tcW w:type="dxa" w:w="1701"/>
            <w:vAlign w:val="center"/>
            <w:shd w:fill="1F3A5F"/>
          </w:tcPr>
          <w:p>
            <w:pPr>
              <w:keepNext/>
              <w:spacing w:after="40" w:line="276" w:lineRule="auto"/>
              <w:jc w:val="left"/>
            </w:pPr>
            <w:r>
              <w:rPr>
                <w:b/>
                <w:i w:val="0"/>
                <w:color w:val="FFFFFF"/>
              </w:rPr>
              <w:t>Strategic Pillar</w:t>
            </w:r>
          </w:p>
        </w:tc>
        <w:tc>
          <w:tcPr>
            <w:tcW w:type="dxa" w:w="1701"/>
            <w:vAlign w:val="center"/>
            <w:shd w:fill="1F3A5F"/>
          </w:tcPr>
          <w:p>
            <w:pPr>
              <w:keepNext/>
              <w:spacing w:after="40" w:line="276" w:lineRule="auto"/>
              <w:jc w:val="left"/>
            </w:pPr>
            <w:r>
              <w:rPr>
                <w:b/>
                <w:i w:val="0"/>
                <w:color w:val="FFFFFF"/>
              </w:rPr>
              <w:t>Policy Direction</w:t>
            </w:r>
          </w:p>
        </w:tc>
        <w:tc>
          <w:tcPr>
            <w:tcW w:type="dxa" w:w="1814"/>
            <w:vAlign w:val="center"/>
            <w:shd w:fill="1F3A5F"/>
          </w:tcPr>
          <w:p>
            <w:pPr>
              <w:keepNext/>
              <w:spacing w:after="40" w:line="276" w:lineRule="auto"/>
              <w:jc w:val="left"/>
            </w:pPr>
            <w:r>
              <w:rPr>
                <w:b/>
                <w:i w:val="0"/>
                <w:color w:val="FFFFFF"/>
              </w:rPr>
              <w:t>Strategic Actions</w:t>
            </w:r>
          </w:p>
        </w:tc>
        <w:tc>
          <w:tcPr>
            <w:tcW w:type="dxa" w:w="1474"/>
            <w:vAlign w:val="center"/>
            <w:shd w:fill="1F3A5F"/>
          </w:tcPr>
          <w:p>
            <w:pPr>
              <w:keepNext/>
              <w:spacing w:after="40" w:line="276" w:lineRule="auto"/>
              <w:jc w:val="left"/>
            </w:pPr>
            <w:r>
              <w:rPr>
                <w:b/>
                <w:i w:val="0"/>
                <w:color w:val="FFFFFF"/>
              </w:rPr>
              <w:t>Expected Outcomes</w:t>
            </w:r>
          </w:p>
        </w:tc>
        <w:tc>
          <w:tcPr>
            <w:tcW w:type="dxa" w:w="1531"/>
            <w:vAlign w:val="center"/>
            <w:shd w:fill="1F3A5F"/>
          </w:tcPr>
          <w:p>
            <w:pPr>
              <w:keepNext/>
              <w:spacing w:after="40" w:line="276" w:lineRule="auto"/>
              <w:jc w:val="left"/>
            </w:pPr>
            <w:r>
              <w:rPr>
                <w:b/>
                <w:i w:val="0"/>
                <w:color w:val="FFFFFF"/>
              </w:rPr>
              <w:t>KPIs (Indicators)</w:t>
            </w:r>
          </w:p>
        </w:tc>
      </w:tr>
      <w:tr>
        <w:trPr>
          <w:cantSplit/>
        </w:trPr>
        <w:tc>
          <w:tcPr>
            <w:tcW w:type="dxa" w:w="1191"/>
            <w:vAlign w:val="center"/>
            <w:shd w:fill="FFFFFF"/>
          </w:tcPr>
          <w:p>
            <w:pPr>
              <w:spacing w:after="40" w:line="276" w:lineRule="auto"/>
              <w:jc w:val="left"/>
            </w:pPr>
            <w:r>
              <w:rPr>
                <w:b w:val="0"/>
                <w:i w:val="0"/>
              </w:rPr>
              <w:t>Excellence</w:t>
            </w:r>
          </w:p>
        </w:tc>
        <w:tc>
          <w:tcPr>
            <w:tcW w:type="dxa" w:w="1701"/>
            <w:vAlign w:val="center"/>
            <w:shd w:fill="FFFFFF"/>
          </w:tcPr>
          <w:p>
            <w:pPr>
              <w:spacing w:after="40" w:line="276" w:lineRule="auto"/>
              <w:jc w:val="left"/>
            </w:pPr>
            <w:r>
              <w:rPr>
                <w:b w:val="0"/>
                <w:i w:val="0"/>
              </w:rPr>
              <w:t>Academic Excellence &amp; Quality Assurance</w:t>
            </w:r>
          </w:p>
        </w:tc>
        <w:tc>
          <w:tcPr>
            <w:tcW w:type="dxa" w:w="1701"/>
            <w:vAlign w:val="center"/>
            <w:shd w:fill="FFFFFF"/>
          </w:tcPr>
          <w:p>
            <w:pPr>
              <w:spacing w:after="40" w:line="276" w:lineRule="auto"/>
              <w:jc w:val="left"/>
            </w:pPr>
            <w:r>
              <w:rPr>
                <w:b w:val="0"/>
                <w:i w:val="0"/>
              </w:rPr>
              <w:t>Ensure world-class teaching, learning, and academic standards</w:t>
            </w:r>
          </w:p>
        </w:tc>
        <w:tc>
          <w:tcPr>
            <w:tcW w:type="dxa" w:w="1814"/>
            <w:vAlign w:val="center"/>
            <w:shd w:fill="FFFFFF"/>
          </w:tcPr>
          <w:p>
            <w:pPr>
              <w:spacing w:after="40" w:line="276" w:lineRule="auto"/>
              <w:ind w:left="125" w:hanging="125"/>
              <w:jc w:val="left"/>
            </w:pPr>
            <w:r>
              <w:t xml:space="preserve">• </w:t>
            </w:r>
            <w:r>
              <w:rPr>
                <w:b w:val="0"/>
                <w:i w:val="0"/>
              </w:rPr>
              <w:t>Revise 100% curricula to OBE &amp; NEP 2020 standards.</w:t>
            </w:r>
          </w:p>
          <w:p>
            <w:pPr>
              <w:spacing w:after="40" w:line="276" w:lineRule="auto"/>
              <w:ind w:left="125" w:hanging="125"/>
              <w:jc w:val="left"/>
            </w:pPr>
            <w:r>
              <w:t xml:space="preserve">• </w:t>
            </w:r>
            <w:r>
              <w:rPr>
                <w:b w:val="0"/>
                <w:i w:val="0"/>
              </w:rPr>
              <w:t>Faculty training in pedagogy &amp; technology.</w:t>
            </w:r>
          </w:p>
          <w:p>
            <w:pPr>
              <w:spacing w:after="40" w:line="276" w:lineRule="auto"/>
              <w:ind w:left="125" w:hanging="125"/>
              <w:jc w:val="left"/>
            </w:pPr>
            <w:r>
              <w:t xml:space="preserve">• </w:t>
            </w:r>
            <w:r>
              <w:rPr>
                <w:b w:val="0"/>
                <w:i w:val="0"/>
              </w:rPr>
              <w:t>Periodic academic audits.</w:t>
            </w:r>
          </w:p>
        </w:tc>
        <w:tc>
          <w:tcPr>
            <w:tcW w:type="dxa" w:w="1474"/>
            <w:vAlign w:val="center"/>
            <w:shd w:fill="FFFFFF"/>
          </w:tcPr>
          <w:p>
            <w:pPr>
              <w:spacing w:after="40" w:line="276" w:lineRule="auto"/>
              <w:jc w:val="left"/>
            </w:pPr>
            <w:r>
              <w:rPr>
                <w:b w:val="0"/>
                <w:i w:val="0"/>
              </w:rPr>
              <w:t>Enhanced student learning, improved employability, global recognition.</w:t>
            </w:r>
          </w:p>
        </w:tc>
        <w:tc>
          <w:tcPr>
            <w:tcW w:type="dxa" w:w="1531"/>
            <w:vAlign w:val="center"/>
            <w:shd w:fill="FFFFFF"/>
          </w:tcPr>
          <w:p>
            <w:pPr>
              <w:spacing w:after="40" w:line="276" w:lineRule="auto"/>
              <w:ind w:left="125" w:hanging="125"/>
              <w:jc w:val="left"/>
            </w:pPr>
            <w:r>
              <w:t xml:space="preserve">• </w:t>
            </w:r>
            <w:r>
              <w:rPr>
                <w:b/>
                <w:i w:val="0"/>
              </w:rPr>
              <w:t>% curricula revised (Target:</w:t>
            </w:r>
            <w:r>
              <w:rPr>
                <w:b w:val="0"/>
                <w:i w:val="0"/>
              </w:rPr>
              <w:t xml:space="preserve"> 100% by 2027)</w:t>
            </w:r>
          </w:p>
          <w:p>
            <w:pPr>
              <w:spacing w:after="40" w:line="276" w:lineRule="auto"/>
              <w:ind w:left="125" w:hanging="125"/>
              <w:jc w:val="left"/>
            </w:pPr>
            <w:r>
              <w:t xml:space="preserve">• </w:t>
            </w:r>
            <w:r>
              <w:rPr>
                <w:b/>
                <w:i w:val="0"/>
              </w:rPr>
              <w:t>Faculty trained (Target:</w:t>
            </w:r>
            <w:r>
              <w:rPr>
                <w:b w:val="0"/>
                <w:i w:val="0"/>
              </w:rPr>
              <w:t xml:space="preserve"> 100%)</w:t>
            </w:r>
          </w:p>
          <w:p>
            <w:pPr>
              <w:spacing w:after="40" w:line="276" w:lineRule="auto"/>
              <w:ind w:left="125" w:hanging="125"/>
              <w:jc w:val="left"/>
            </w:pPr>
            <w:r>
              <w:t xml:space="preserve">• </w:t>
            </w:r>
            <w:r>
              <w:rPr>
                <w:b w:val="0"/>
                <w:i w:val="0"/>
              </w:rPr>
              <w:t>Student satisfaction index ≥85%</w:t>
            </w:r>
          </w:p>
        </w:tc>
      </w:tr>
      <w:tr>
        <w:trPr>
          <w:cantSplit/>
        </w:trPr>
        <w:tc>
          <w:tcPr>
            <w:tcW w:type="dxa" w:w="1191"/>
            <w:vAlign w:val="center"/>
            <w:shd w:fill="EDF2F7"/>
          </w:tcPr>
          <w:p>
            <w:pPr>
              <w:spacing w:after="40" w:line="276" w:lineRule="auto"/>
              <w:jc w:val="left"/>
            </w:pPr>
            <w:r>
              <w:rPr>
                <w:b w:val="0"/>
                <w:i w:val="0"/>
              </w:rPr>
              <w:t>Innovation</w:t>
            </w:r>
          </w:p>
        </w:tc>
        <w:tc>
          <w:tcPr>
            <w:tcW w:type="dxa" w:w="1701"/>
            <w:vAlign w:val="center"/>
            <w:shd w:fill="EDF2F7"/>
          </w:tcPr>
          <w:p>
            <w:pPr>
              <w:spacing w:after="40" w:line="276" w:lineRule="auto"/>
              <w:jc w:val="left"/>
            </w:pPr>
            <w:r>
              <w:rPr>
                <w:b w:val="0"/>
                <w:i w:val="0"/>
              </w:rPr>
              <w:t>Research &amp; Knowledge Creation</w:t>
            </w:r>
          </w:p>
        </w:tc>
        <w:tc>
          <w:tcPr>
            <w:tcW w:type="dxa" w:w="1701"/>
            <w:vAlign w:val="center"/>
            <w:shd w:fill="EDF2F7"/>
          </w:tcPr>
          <w:p>
            <w:pPr>
              <w:spacing w:after="40" w:line="276" w:lineRule="auto"/>
              <w:jc w:val="left"/>
            </w:pPr>
            <w:r>
              <w:rPr>
                <w:b w:val="0"/>
                <w:i w:val="0"/>
              </w:rPr>
              <w:t>Foster research, innovation, and entrepreneurship</w:t>
            </w:r>
          </w:p>
        </w:tc>
        <w:tc>
          <w:tcPr>
            <w:tcW w:type="dxa" w:w="1814"/>
            <w:vAlign w:val="center"/>
            <w:shd w:fill="EDF2F7"/>
          </w:tcPr>
          <w:p>
            <w:pPr>
              <w:spacing w:after="40" w:line="276" w:lineRule="auto"/>
              <w:ind w:left="125" w:hanging="125"/>
              <w:jc w:val="left"/>
            </w:pPr>
            <w:r>
              <w:t xml:space="preserve">• </w:t>
            </w:r>
            <w:r>
              <w:rPr>
                <w:b w:val="0"/>
                <w:i w:val="0"/>
              </w:rPr>
              <w:t>Establish Centers of Excellence.</w:t>
            </w:r>
          </w:p>
          <w:p>
            <w:pPr>
              <w:spacing w:after="40" w:line="276" w:lineRule="auto"/>
              <w:ind w:left="125" w:hanging="125"/>
              <w:jc w:val="left"/>
            </w:pPr>
            <w:r>
              <w:t xml:space="preserve">• </w:t>
            </w:r>
            <w:r>
              <w:rPr>
                <w:b w:val="0"/>
                <w:i w:val="0"/>
              </w:rPr>
              <w:t>Launch incubation hubs.</w:t>
            </w:r>
          </w:p>
          <w:p>
            <w:pPr>
              <w:spacing w:after="40" w:line="276" w:lineRule="auto"/>
              <w:ind w:left="125" w:hanging="125"/>
              <w:jc w:val="left"/>
            </w:pPr>
            <w:r>
              <w:t xml:space="preserve">• </w:t>
            </w:r>
            <w:r>
              <w:rPr>
                <w:b w:val="0"/>
                <w:i w:val="0"/>
              </w:rPr>
              <w:t>Promote patents &amp; startups.</w:t>
            </w:r>
          </w:p>
        </w:tc>
        <w:tc>
          <w:tcPr>
            <w:tcW w:type="dxa" w:w="1474"/>
            <w:vAlign w:val="center"/>
            <w:shd w:fill="EDF2F7"/>
          </w:tcPr>
          <w:p>
            <w:pPr>
              <w:spacing w:after="40" w:line="276" w:lineRule="auto"/>
              <w:jc w:val="left"/>
            </w:pPr>
            <w:r>
              <w:rPr>
                <w:b w:val="0"/>
                <w:i w:val="0"/>
              </w:rPr>
              <w:t>Increased knowledge creation, patents, and industry linkages.</w:t>
            </w:r>
          </w:p>
        </w:tc>
        <w:tc>
          <w:tcPr>
            <w:tcW w:type="dxa" w:w="1531"/>
            <w:vAlign w:val="center"/>
            <w:shd w:fill="EDF2F7"/>
          </w:tcPr>
          <w:p>
            <w:pPr>
              <w:spacing w:after="40" w:line="276" w:lineRule="auto"/>
              <w:ind w:left="125" w:hanging="125"/>
              <w:jc w:val="left"/>
            </w:pPr>
            <w:r>
              <w:t xml:space="preserve">• </w:t>
            </w:r>
            <w:r>
              <w:rPr>
                <w:b w:val="0"/>
                <w:i w:val="0"/>
              </w:rPr>
              <w:t>No. of patents filed (≥10/​year)</w:t>
            </w:r>
          </w:p>
          <w:p>
            <w:pPr>
              <w:spacing w:after="40" w:line="276" w:lineRule="auto"/>
              <w:ind w:left="125" w:hanging="125"/>
              <w:jc w:val="left"/>
            </w:pPr>
            <w:r>
              <w:t xml:space="preserve">• </w:t>
            </w:r>
            <w:r>
              <w:rPr>
                <w:b w:val="0"/>
                <w:i w:val="0"/>
              </w:rPr>
              <w:t>Research funding secured (₹/£)</w:t>
            </w:r>
          </w:p>
          <w:p>
            <w:pPr>
              <w:spacing w:after="40" w:line="276" w:lineRule="auto"/>
              <w:ind w:left="125" w:hanging="125"/>
              <w:jc w:val="left"/>
            </w:pPr>
            <w:r>
              <w:t xml:space="preserve">• </w:t>
            </w:r>
            <w:r>
              <w:rPr>
                <w:b w:val="0"/>
                <w:i w:val="0"/>
              </w:rPr>
              <w:t>Startups supported annually</w:t>
            </w:r>
          </w:p>
        </w:tc>
      </w:tr>
      <w:tr>
        <w:trPr>
          <w:cantSplit/>
        </w:trPr>
        <w:tc>
          <w:tcPr>
            <w:tcW w:type="dxa" w:w="1191"/>
            <w:vAlign w:val="center"/>
            <w:shd w:fill="FFFFFF"/>
          </w:tcPr>
          <w:p>
            <w:pPr>
              <w:spacing w:after="40" w:line="276" w:lineRule="auto"/>
              <w:jc w:val="left"/>
            </w:pPr>
            <w:r>
              <w:rPr>
                <w:b w:val="0"/>
                <w:i w:val="0"/>
              </w:rPr>
              <w:t>Sustainability</w:t>
            </w:r>
          </w:p>
        </w:tc>
        <w:tc>
          <w:tcPr>
            <w:tcW w:type="dxa" w:w="1701"/>
            <w:vAlign w:val="center"/>
            <w:shd w:fill="FFFFFF"/>
          </w:tcPr>
          <w:p>
            <w:pPr>
              <w:spacing w:after="40" w:line="276" w:lineRule="auto"/>
              <w:jc w:val="left"/>
            </w:pPr>
            <w:r>
              <w:rPr>
                <w:b w:val="0"/>
                <w:i w:val="0"/>
              </w:rPr>
              <w:t>Green Campus &amp; Climate Leadership</w:t>
            </w:r>
          </w:p>
        </w:tc>
        <w:tc>
          <w:tcPr>
            <w:tcW w:type="dxa" w:w="1701"/>
            <w:vAlign w:val="center"/>
            <w:shd w:fill="FFFFFF"/>
          </w:tcPr>
          <w:p>
            <w:pPr>
              <w:spacing w:after="40" w:line="276" w:lineRule="auto"/>
              <w:jc w:val="left"/>
            </w:pPr>
            <w:r>
              <w:rPr>
                <w:b w:val="0"/>
                <w:i w:val="0"/>
              </w:rPr>
              <w:t>Commit to eco-friendly campus operations and climate action</w:t>
            </w:r>
          </w:p>
        </w:tc>
        <w:tc>
          <w:tcPr>
            <w:tcW w:type="dxa" w:w="1814"/>
            <w:vAlign w:val="center"/>
            <w:shd w:fill="FFFFFF"/>
          </w:tcPr>
          <w:p>
            <w:pPr>
              <w:spacing w:after="40" w:line="276" w:lineRule="auto"/>
              <w:ind w:left="125" w:hanging="125"/>
              <w:jc w:val="left"/>
            </w:pPr>
            <w:r>
              <w:t xml:space="preserve">• </w:t>
            </w:r>
            <w:r>
              <w:rPr>
                <w:b w:val="0"/>
                <w:i w:val="0"/>
              </w:rPr>
              <w:t>Convert 70%+ energy to renewables.</w:t>
            </w:r>
          </w:p>
          <w:p>
            <w:pPr>
              <w:spacing w:after="40" w:line="276" w:lineRule="auto"/>
              <w:ind w:left="125" w:hanging="125"/>
              <w:jc w:val="left"/>
            </w:pPr>
            <w:r>
              <w:t xml:space="preserve">• </w:t>
            </w:r>
            <w:r>
              <w:rPr>
                <w:b w:val="0"/>
                <w:i w:val="0"/>
              </w:rPr>
              <w:t>Carbon-neutral roadmap.</w:t>
            </w:r>
          </w:p>
          <w:p>
            <w:pPr>
              <w:spacing w:after="40" w:line="276" w:lineRule="auto"/>
              <w:ind w:left="125" w:hanging="125"/>
              <w:jc w:val="left"/>
            </w:pPr>
            <w:r>
              <w:t xml:space="preserve">• </w:t>
            </w:r>
            <w:r>
              <w:rPr>
                <w:b w:val="0"/>
                <w:i w:val="0"/>
              </w:rPr>
              <w:t>Green-certified buildings.</w:t>
            </w:r>
          </w:p>
        </w:tc>
        <w:tc>
          <w:tcPr>
            <w:tcW w:type="dxa" w:w="1474"/>
            <w:vAlign w:val="center"/>
            <w:shd w:fill="FFFFFF"/>
          </w:tcPr>
          <w:p>
            <w:pPr>
              <w:spacing w:after="40" w:line="276" w:lineRule="auto"/>
              <w:jc w:val="left"/>
            </w:pPr>
            <w:r>
              <w:rPr>
                <w:b w:val="0"/>
                <w:i w:val="0"/>
              </w:rPr>
              <w:t>Carbon-neutral, eco-conscious institution.</w:t>
            </w:r>
          </w:p>
        </w:tc>
        <w:tc>
          <w:tcPr>
            <w:tcW w:type="dxa" w:w="1531"/>
            <w:vAlign w:val="center"/>
            <w:shd w:fill="FFFFFF"/>
          </w:tcPr>
          <w:p>
            <w:pPr>
              <w:spacing w:after="40" w:line="276" w:lineRule="auto"/>
              <w:ind w:left="125" w:hanging="125"/>
              <w:jc w:val="left"/>
            </w:pPr>
            <w:r>
              <w:t xml:space="preserve">• </w:t>
            </w:r>
            <w:r>
              <w:rPr>
                <w:b w:val="0"/>
                <w:i w:val="0"/>
              </w:rPr>
              <w:t>% renewable energy use (≥70% by 2030)</w:t>
            </w:r>
          </w:p>
          <w:p>
            <w:pPr>
              <w:spacing w:after="40" w:line="276" w:lineRule="auto"/>
              <w:ind w:left="125" w:hanging="125"/>
              <w:jc w:val="left"/>
            </w:pPr>
            <w:r>
              <w:t xml:space="preserve">• </w:t>
            </w:r>
            <w:r>
              <w:rPr>
                <w:b w:val="0"/>
                <w:i w:val="0"/>
              </w:rPr>
              <w:t>No. of green-certified buildings</w:t>
            </w:r>
          </w:p>
          <w:p>
            <w:pPr>
              <w:spacing w:after="40" w:line="276" w:lineRule="auto"/>
              <w:ind w:left="125" w:hanging="125"/>
              <w:jc w:val="left"/>
            </w:pPr>
            <w:r>
              <w:t xml:space="preserve">• </w:t>
            </w:r>
            <w:r>
              <w:rPr>
                <w:b w:val="0"/>
                <w:i w:val="0"/>
              </w:rPr>
              <w:t>Carbon footprint reduction per year</w:t>
            </w:r>
          </w:p>
        </w:tc>
      </w:tr>
      <w:tr>
        <w:trPr>
          <w:cantSplit/>
        </w:trPr>
        <w:tc>
          <w:tcPr>
            <w:tcW w:type="dxa" w:w="1191"/>
            <w:vAlign w:val="center"/>
            <w:shd w:fill="EDF2F7"/>
          </w:tcPr>
          <w:p>
            <w:pPr>
              <w:spacing w:after="40" w:line="276" w:lineRule="auto"/>
              <w:jc w:val="left"/>
            </w:pPr>
            <w:r>
              <w:rPr>
                <w:b w:val="0"/>
                <w:i w:val="0"/>
              </w:rPr>
              <w:t>Inclusivity &amp; Equity</w:t>
            </w:r>
          </w:p>
        </w:tc>
        <w:tc>
          <w:tcPr>
            <w:tcW w:type="dxa" w:w="1701"/>
            <w:vAlign w:val="center"/>
            <w:shd w:fill="EDF2F7"/>
          </w:tcPr>
          <w:p>
            <w:pPr>
              <w:spacing w:after="40" w:line="276" w:lineRule="auto"/>
              <w:jc w:val="left"/>
            </w:pPr>
            <w:r>
              <w:rPr>
                <w:b w:val="0"/>
                <w:i w:val="0"/>
              </w:rPr>
              <w:t>Inclusive Education &amp; Student Development</w:t>
            </w:r>
          </w:p>
        </w:tc>
        <w:tc>
          <w:tcPr>
            <w:tcW w:type="dxa" w:w="1701"/>
            <w:vAlign w:val="center"/>
            <w:shd w:fill="EDF2F7"/>
          </w:tcPr>
          <w:p>
            <w:pPr>
              <w:spacing w:after="40" w:line="276" w:lineRule="auto"/>
              <w:jc w:val="left"/>
            </w:pPr>
            <w:r>
              <w:rPr>
                <w:b w:val="0"/>
                <w:i w:val="0"/>
              </w:rPr>
              <w:t>Ensure access, diversity, and equitable opportunities</w:t>
            </w:r>
          </w:p>
        </w:tc>
        <w:tc>
          <w:tcPr>
            <w:tcW w:type="dxa" w:w="1814"/>
            <w:vAlign w:val="center"/>
            <w:shd w:fill="EDF2F7"/>
          </w:tcPr>
          <w:p>
            <w:pPr>
              <w:spacing w:after="40" w:line="276" w:lineRule="auto"/>
              <w:ind w:left="125" w:hanging="125"/>
              <w:jc w:val="left"/>
            </w:pPr>
            <w:r>
              <w:t xml:space="preserve">• </w:t>
            </w:r>
            <w:r>
              <w:rPr>
                <w:b w:val="0"/>
                <w:i w:val="0"/>
              </w:rPr>
              <w:t>Scholarships to ≥25% of students.</w:t>
            </w:r>
          </w:p>
          <w:p>
            <w:pPr>
              <w:spacing w:after="40" w:line="276" w:lineRule="auto"/>
              <w:ind w:left="125" w:hanging="125"/>
              <w:jc w:val="left"/>
            </w:pPr>
            <w:r>
              <w:t xml:space="preserve">• </w:t>
            </w:r>
            <w:r>
              <w:rPr>
                <w:b w:val="0"/>
                <w:i w:val="0"/>
              </w:rPr>
              <w:t>Gender equity &amp; diversity policies.</w:t>
            </w:r>
          </w:p>
          <w:p>
            <w:pPr>
              <w:spacing w:after="40" w:line="276" w:lineRule="auto"/>
              <w:ind w:left="125" w:hanging="125"/>
              <w:jc w:val="left"/>
            </w:pPr>
            <w:r>
              <w:t xml:space="preserve">• </w:t>
            </w:r>
            <w:r>
              <w:rPr>
                <w:b w:val="0"/>
                <w:i w:val="0"/>
              </w:rPr>
              <w:t>Retention &amp; counseling support.</w:t>
            </w:r>
          </w:p>
        </w:tc>
        <w:tc>
          <w:tcPr>
            <w:tcW w:type="dxa" w:w="1474"/>
            <w:vAlign w:val="center"/>
            <w:shd w:fill="EDF2F7"/>
          </w:tcPr>
          <w:p>
            <w:pPr>
              <w:spacing w:after="40" w:line="276" w:lineRule="auto"/>
              <w:jc w:val="left"/>
            </w:pPr>
            <w:r>
              <w:rPr>
                <w:b w:val="0"/>
                <w:i w:val="0"/>
              </w:rPr>
              <w:t>Inclusive, fair, and supportive learning environment.</w:t>
            </w:r>
          </w:p>
        </w:tc>
        <w:tc>
          <w:tcPr>
            <w:tcW w:type="dxa" w:w="1531"/>
            <w:vAlign w:val="center"/>
            <w:shd w:fill="EDF2F7"/>
          </w:tcPr>
          <w:p>
            <w:pPr>
              <w:spacing w:after="40" w:line="276" w:lineRule="auto"/>
              <w:ind w:left="125" w:hanging="125"/>
              <w:jc w:val="left"/>
            </w:pPr>
            <w:r>
              <w:t xml:space="preserve">• </w:t>
            </w:r>
            <w:r>
              <w:rPr>
                <w:b w:val="0"/>
                <w:i w:val="0"/>
              </w:rPr>
              <w:t>% students receiving scholarships</w:t>
            </w:r>
          </w:p>
          <w:p>
            <w:pPr>
              <w:spacing w:after="40" w:line="276" w:lineRule="auto"/>
              <w:ind w:left="125" w:hanging="125"/>
              <w:jc w:val="left"/>
            </w:pPr>
            <w:r>
              <w:t xml:space="preserve">• </w:t>
            </w:r>
            <w:r>
              <w:rPr>
                <w:b w:val="0"/>
                <w:i w:val="0"/>
              </w:rPr>
              <w:t>Retention rate (≥95%)</w:t>
            </w:r>
          </w:p>
          <w:p>
            <w:pPr>
              <w:spacing w:after="40" w:line="276" w:lineRule="auto"/>
              <w:ind w:left="125" w:hanging="125"/>
              <w:jc w:val="left"/>
            </w:pPr>
            <w:r>
              <w:t xml:space="preserve">• </w:t>
            </w:r>
            <w:r>
              <w:rPr>
                <w:b w:val="0"/>
                <w:i w:val="0"/>
              </w:rPr>
              <w:t>Diversity index (faculty &amp; students)</w:t>
            </w:r>
          </w:p>
        </w:tc>
      </w:tr>
      <w:tr>
        <w:trPr>
          <w:cantSplit/>
        </w:trPr>
        <w:tc>
          <w:tcPr>
            <w:tcW w:type="dxa" w:w="1191"/>
            <w:vAlign w:val="center"/>
            <w:shd w:fill="FFFFFF"/>
          </w:tcPr>
          <w:p>
            <w:pPr>
              <w:spacing w:after="40" w:line="276" w:lineRule="auto"/>
              <w:jc w:val="left"/>
            </w:pPr>
            <w:r>
              <w:rPr>
                <w:b w:val="0"/>
                <w:i w:val="0"/>
              </w:rPr>
              <w:t>Global Engagement</w:t>
            </w:r>
          </w:p>
        </w:tc>
        <w:tc>
          <w:tcPr>
            <w:tcW w:type="dxa" w:w="1701"/>
            <w:vAlign w:val="center"/>
            <w:shd w:fill="FFFFFF"/>
          </w:tcPr>
          <w:p>
            <w:pPr>
              <w:spacing w:after="40" w:line="276" w:lineRule="auto"/>
              <w:jc w:val="left"/>
            </w:pPr>
            <w:r>
              <w:rPr>
                <w:b w:val="0"/>
                <w:i w:val="0"/>
              </w:rPr>
              <w:t>Internationalization &amp; Partnerships</w:t>
            </w:r>
          </w:p>
        </w:tc>
        <w:tc>
          <w:tcPr>
            <w:tcW w:type="dxa" w:w="1701"/>
            <w:vAlign w:val="center"/>
            <w:shd w:fill="FFFFFF"/>
          </w:tcPr>
          <w:p>
            <w:pPr>
              <w:spacing w:after="40" w:line="276" w:lineRule="auto"/>
              <w:jc w:val="left"/>
            </w:pPr>
            <w:r>
              <w:rPr>
                <w:b w:val="0"/>
                <w:i w:val="0"/>
              </w:rPr>
              <w:t>Expand international networks and global reputation</w:t>
            </w:r>
          </w:p>
        </w:tc>
        <w:tc>
          <w:tcPr>
            <w:tcW w:type="dxa" w:w="1814"/>
            <w:vAlign w:val="center"/>
            <w:shd w:fill="FFFFFF"/>
          </w:tcPr>
          <w:p>
            <w:pPr>
              <w:spacing w:after="40" w:line="276" w:lineRule="auto"/>
              <w:ind w:left="125" w:hanging="125"/>
              <w:jc w:val="left"/>
            </w:pPr>
            <w:r>
              <w:t xml:space="preserve">• </w:t>
            </w:r>
            <w:r>
              <w:rPr>
                <w:b w:val="0"/>
                <w:i w:val="0"/>
              </w:rPr>
              <w:t>MoUs &amp; dual-degree programs.</w:t>
            </w:r>
          </w:p>
          <w:p>
            <w:pPr>
              <w:spacing w:after="40" w:line="276" w:lineRule="auto"/>
              <w:ind w:left="125" w:hanging="125"/>
              <w:jc w:val="left"/>
            </w:pPr>
            <w:r>
              <w:t xml:space="preserve">• </w:t>
            </w:r>
            <w:r>
              <w:rPr>
                <w:b w:val="0"/>
                <w:i w:val="0"/>
              </w:rPr>
              <w:t>Student/​faculty exchanges.</w:t>
            </w:r>
          </w:p>
          <w:p>
            <w:pPr>
              <w:spacing w:after="40" w:line="276" w:lineRule="auto"/>
              <w:ind w:left="125" w:hanging="125"/>
              <w:jc w:val="left"/>
            </w:pPr>
            <w:r>
              <w:t xml:space="preserve">• </w:t>
            </w:r>
            <w:r>
              <w:rPr>
                <w:b w:val="0"/>
                <w:i w:val="0"/>
              </w:rPr>
              <w:t>Host global conferences.</w:t>
            </w:r>
          </w:p>
        </w:tc>
        <w:tc>
          <w:tcPr>
            <w:tcW w:type="dxa" w:w="1474"/>
            <w:vAlign w:val="center"/>
            <w:shd w:fill="FFFFFF"/>
          </w:tcPr>
          <w:p>
            <w:pPr>
              <w:spacing w:after="40" w:line="276" w:lineRule="auto"/>
              <w:jc w:val="left"/>
            </w:pPr>
            <w:r>
              <w:rPr>
                <w:b w:val="0"/>
                <w:i w:val="0"/>
              </w:rPr>
              <w:t>Increased global presence and recognition.</w:t>
            </w:r>
          </w:p>
        </w:tc>
        <w:tc>
          <w:tcPr>
            <w:tcW w:type="dxa" w:w="1531"/>
            <w:vAlign w:val="center"/>
            <w:shd w:fill="FFFFFF"/>
          </w:tcPr>
          <w:p>
            <w:pPr>
              <w:spacing w:after="40" w:line="276" w:lineRule="auto"/>
              <w:ind w:left="125" w:hanging="125"/>
              <w:jc w:val="left"/>
            </w:pPr>
            <w:r>
              <w:t xml:space="preserve">• </w:t>
            </w:r>
            <w:r>
              <w:rPr>
                <w:b/>
                <w:i w:val="0"/>
              </w:rPr>
              <w:t>No. of MoUs signed (Target:</w:t>
            </w:r>
            <w:r>
              <w:rPr>
                <w:b w:val="0"/>
                <w:i w:val="0"/>
              </w:rPr>
              <w:t xml:space="preserve"> 20+)</w:t>
            </w:r>
          </w:p>
          <w:p>
            <w:pPr>
              <w:spacing w:after="40" w:line="276" w:lineRule="auto"/>
              <w:ind w:left="125" w:hanging="125"/>
              <w:jc w:val="left"/>
            </w:pPr>
            <w:r>
              <w:t xml:space="preserve">• </w:t>
            </w:r>
            <w:r>
              <w:rPr>
                <w:b w:val="0"/>
                <w:i w:val="0"/>
              </w:rPr>
              <w:t>No. of exchanges (≥200 in 10 years)</w:t>
            </w:r>
          </w:p>
          <w:p>
            <w:pPr>
              <w:spacing w:after="40" w:line="276" w:lineRule="auto"/>
              <w:ind w:left="125" w:hanging="125"/>
              <w:jc w:val="left"/>
            </w:pPr>
            <w:r>
              <w:t xml:space="preserve">• </w:t>
            </w:r>
            <w:r>
              <w:rPr>
                <w:b w:val="0"/>
                <w:i w:val="0"/>
              </w:rPr>
              <w:t>QS/​THE ranking improvement</w:t>
            </w:r>
          </w:p>
        </w:tc>
      </w:tr>
      <w:tr>
        <w:trPr>
          <w:cantSplit/>
        </w:trPr>
        <w:tc>
          <w:tcPr>
            <w:tcW w:type="dxa" w:w="1191"/>
            <w:vAlign w:val="center"/>
            <w:shd w:fill="EDF2F7"/>
          </w:tcPr>
          <w:p>
            <w:pPr>
              <w:spacing w:after="40" w:line="276" w:lineRule="auto"/>
              <w:jc w:val="left"/>
            </w:pPr>
            <w:r>
              <w:rPr>
                <w:b w:val="0"/>
                <w:i w:val="0"/>
              </w:rPr>
              <w:t>Integrity &amp; Accountability</w:t>
            </w:r>
          </w:p>
        </w:tc>
        <w:tc>
          <w:tcPr>
            <w:tcW w:type="dxa" w:w="1701"/>
            <w:vAlign w:val="center"/>
            <w:shd w:fill="EDF2F7"/>
          </w:tcPr>
          <w:p>
            <w:pPr>
              <w:spacing w:after="40" w:line="276" w:lineRule="auto"/>
              <w:jc w:val="left"/>
            </w:pPr>
            <w:r>
              <w:rPr>
                <w:b w:val="0"/>
                <w:i w:val="0"/>
              </w:rPr>
              <w:t>Governance &amp; Quality Systems</w:t>
            </w:r>
          </w:p>
        </w:tc>
        <w:tc>
          <w:tcPr>
            <w:tcW w:type="dxa" w:w="1701"/>
            <w:vAlign w:val="center"/>
            <w:shd w:fill="EDF2F7"/>
          </w:tcPr>
          <w:p>
            <w:pPr>
              <w:spacing w:after="40" w:line="276" w:lineRule="auto"/>
              <w:jc w:val="left"/>
            </w:pPr>
            <w:r>
              <w:rPr>
                <w:b w:val="0"/>
                <w:i w:val="0"/>
              </w:rPr>
              <w:t>Promote transparent, ethical, and data-driven governance</w:t>
            </w:r>
          </w:p>
        </w:tc>
        <w:tc>
          <w:tcPr>
            <w:tcW w:type="dxa" w:w="1814"/>
            <w:vAlign w:val="center"/>
            <w:shd w:fill="EDF2F7"/>
          </w:tcPr>
          <w:p>
            <w:pPr>
              <w:spacing w:after="40" w:line="276" w:lineRule="auto"/>
              <w:ind w:left="125" w:hanging="125"/>
              <w:jc w:val="left"/>
            </w:pPr>
            <w:r>
              <w:t xml:space="preserve">• </w:t>
            </w:r>
            <w:r>
              <w:rPr>
                <w:b w:val="0"/>
                <w:i w:val="0"/>
              </w:rPr>
              <w:t>Strengthen IQAC.</w:t>
            </w:r>
          </w:p>
          <w:p>
            <w:pPr>
              <w:spacing w:after="40" w:line="276" w:lineRule="auto"/>
              <w:ind w:left="125" w:hanging="125"/>
              <w:jc w:val="left"/>
            </w:pPr>
            <w:r>
              <w:t xml:space="preserve">• </w:t>
            </w:r>
            <w:r>
              <w:rPr>
                <w:b w:val="0"/>
                <w:i w:val="0"/>
              </w:rPr>
              <w:t>Implement ERP &amp; dashboards.</w:t>
            </w:r>
          </w:p>
          <w:p>
            <w:pPr>
              <w:spacing w:after="40" w:line="276" w:lineRule="auto"/>
              <w:ind w:left="125" w:hanging="125"/>
              <w:jc w:val="left"/>
            </w:pPr>
            <w:r>
              <w:t xml:space="preserve">• </w:t>
            </w:r>
            <w:r>
              <w:rPr>
                <w:b w:val="0"/>
                <w:i w:val="0"/>
              </w:rPr>
              <w:t>Annual audits &amp; compliance reviews.</w:t>
            </w:r>
          </w:p>
        </w:tc>
        <w:tc>
          <w:tcPr>
            <w:tcW w:type="dxa" w:w="1474"/>
            <w:vAlign w:val="center"/>
            <w:shd w:fill="EDF2F7"/>
          </w:tcPr>
          <w:p>
            <w:pPr>
              <w:spacing w:after="40" w:line="276" w:lineRule="auto"/>
              <w:jc w:val="left"/>
            </w:pPr>
            <w:r>
              <w:rPr>
                <w:b w:val="0"/>
                <w:i w:val="0"/>
              </w:rPr>
              <w:t>Strong institutional credibility and accreditation success.</w:t>
            </w:r>
          </w:p>
        </w:tc>
        <w:tc>
          <w:tcPr>
            <w:tcW w:type="dxa" w:w="1531"/>
            <w:vAlign w:val="center"/>
            <w:shd w:fill="EDF2F7"/>
          </w:tcPr>
          <w:p>
            <w:pPr>
              <w:spacing w:after="40" w:line="276" w:lineRule="auto"/>
              <w:ind w:left="125" w:hanging="125"/>
              <w:jc w:val="left"/>
            </w:pPr>
            <w:r>
              <w:t xml:space="preserve">• </w:t>
            </w:r>
            <w:r>
              <w:rPr>
                <w:b w:val="0"/>
                <w:i w:val="0"/>
              </w:rPr>
              <w:t>NAAC/​NBA accreditation grades</w:t>
            </w:r>
          </w:p>
          <w:p>
            <w:pPr>
              <w:spacing w:after="40" w:line="276" w:lineRule="auto"/>
              <w:ind w:left="125" w:hanging="125"/>
              <w:jc w:val="left"/>
            </w:pPr>
            <w:r>
              <w:t xml:space="preserve">• </w:t>
            </w:r>
            <w:r>
              <w:rPr>
                <w:b w:val="0"/>
                <w:i w:val="0"/>
              </w:rPr>
              <w:t>Audit compliance rate (100%)</w:t>
            </w:r>
          </w:p>
          <w:p>
            <w:pPr>
              <w:spacing w:after="40" w:line="276" w:lineRule="auto"/>
              <w:ind w:left="125" w:hanging="125"/>
              <w:jc w:val="left"/>
            </w:pPr>
            <w:r>
              <w:t xml:space="preserve">• </w:t>
            </w:r>
            <w:r>
              <w:rPr>
                <w:b w:val="0"/>
                <w:i w:val="0"/>
              </w:rPr>
              <w:t>Decision-making turnaround time</w:t>
            </w:r>
          </w:p>
        </w:tc>
      </w:tr>
      <w:tr>
        <w:trPr>
          <w:cantSplit/>
        </w:trPr>
        <w:tc>
          <w:tcPr>
            <w:tcW w:type="dxa" w:w="1191"/>
            <w:vAlign w:val="center"/>
            <w:shd w:fill="FFFFFF"/>
          </w:tcPr>
          <w:p>
            <w:pPr>
              <w:spacing w:after="40" w:line="276" w:lineRule="auto"/>
              <w:jc w:val="left"/>
            </w:pPr>
            <w:r>
              <w:rPr>
                <w:b w:val="0"/>
                <w:i w:val="0"/>
              </w:rPr>
              <w:t>Community Service</w:t>
            </w:r>
          </w:p>
        </w:tc>
        <w:tc>
          <w:tcPr>
            <w:tcW w:type="dxa" w:w="1701"/>
            <w:vAlign w:val="center"/>
            <w:shd w:fill="FFFFFF"/>
          </w:tcPr>
          <w:p>
            <w:pPr>
              <w:spacing w:after="40" w:line="276" w:lineRule="auto"/>
              <w:jc w:val="left"/>
            </w:pPr>
            <w:r>
              <w:rPr>
                <w:b w:val="0"/>
                <w:i w:val="0"/>
              </w:rPr>
              <w:t>Community Engagement &amp; ISR</w:t>
            </w:r>
          </w:p>
        </w:tc>
        <w:tc>
          <w:tcPr>
            <w:tcW w:type="dxa" w:w="1701"/>
            <w:vAlign w:val="center"/>
            <w:shd w:fill="FFFFFF"/>
          </w:tcPr>
          <w:p>
            <w:pPr>
              <w:spacing w:after="40" w:line="276" w:lineRule="auto"/>
              <w:jc w:val="left"/>
            </w:pPr>
            <w:r>
              <w:rPr>
                <w:b w:val="0"/>
                <w:i w:val="0"/>
              </w:rPr>
              <w:t>Embed social responsibility and outreach in academics</w:t>
            </w:r>
          </w:p>
        </w:tc>
        <w:tc>
          <w:tcPr>
            <w:tcW w:type="dxa" w:w="1814"/>
            <w:vAlign w:val="center"/>
            <w:shd w:fill="FFFFFF"/>
          </w:tcPr>
          <w:p>
            <w:pPr>
              <w:spacing w:after="40" w:line="276" w:lineRule="auto"/>
              <w:ind w:left="125" w:hanging="125"/>
              <w:jc w:val="left"/>
            </w:pPr>
            <w:r>
              <w:t xml:space="preserve">• </w:t>
            </w:r>
            <w:r>
              <w:rPr>
                <w:b w:val="0"/>
                <w:i w:val="0"/>
              </w:rPr>
              <w:t>Launch ISR projects.</w:t>
            </w:r>
          </w:p>
          <w:p>
            <w:pPr>
              <w:spacing w:after="40" w:line="276" w:lineRule="auto"/>
              <w:ind w:left="125" w:hanging="125"/>
              <w:jc w:val="left"/>
            </w:pPr>
            <w:r>
              <w:t xml:space="preserve">• </w:t>
            </w:r>
            <w:r>
              <w:rPr>
                <w:b w:val="0"/>
                <w:i w:val="0"/>
              </w:rPr>
              <w:t>Service-learning integration.</w:t>
            </w:r>
          </w:p>
          <w:p>
            <w:pPr>
              <w:spacing w:after="40" w:line="276" w:lineRule="auto"/>
              <w:ind w:left="125" w:hanging="125"/>
              <w:jc w:val="left"/>
            </w:pPr>
            <w:r>
              <w:t xml:space="preserve">• </w:t>
            </w:r>
            <w:r>
              <w:rPr>
                <w:b w:val="0"/>
                <w:i w:val="0"/>
              </w:rPr>
              <w:t>NGO &amp; government partnerships.</w:t>
            </w:r>
          </w:p>
        </w:tc>
        <w:tc>
          <w:tcPr>
            <w:tcW w:type="dxa" w:w="1474"/>
            <w:vAlign w:val="center"/>
            <w:shd w:fill="FFFFFF"/>
          </w:tcPr>
          <w:p>
            <w:pPr>
              <w:spacing w:after="40" w:line="276" w:lineRule="auto"/>
              <w:jc w:val="left"/>
            </w:pPr>
            <w:r>
              <w:rPr>
                <w:b w:val="0"/>
                <w:i w:val="0"/>
              </w:rPr>
              <w:t>Socially responsible graduates and community impact.</w:t>
            </w:r>
          </w:p>
        </w:tc>
        <w:tc>
          <w:tcPr>
            <w:tcW w:type="dxa" w:w="1531"/>
            <w:vAlign w:val="center"/>
            <w:shd w:fill="FFFFFF"/>
          </w:tcPr>
          <w:p>
            <w:pPr>
              <w:spacing w:after="40" w:line="276" w:lineRule="auto"/>
              <w:ind w:left="125" w:hanging="125"/>
              <w:jc w:val="left"/>
            </w:pPr>
            <w:r>
              <w:t xml:space="preserve">• </w:t>
            </w:r>
            <w:r>
              <w:rPr>
                <w:b w:val="0"/>
                <w:i w:val="0"/>
              </w:rPr>
              <w:t>% students in ISR projects (≥80%)</w:t>
            </w:r>
          </w:p>
          <w:p>
            <w:pPr>
              <w:spacing w:after="40" w:line="276" w:lineRule="auto"/>
              <w:ind w:left="125" w:hanging="125"/>
              <w:jc w:val="left"/>
            </w:pPr>
            <w:r>
              <w:t xml:space="preserve">• </w:t>
            </w:r>
            <w:r>
              <w:rPr>
                <w:b w:val="0"/>
                <w:i w:val="0"/>
              </w:rPr>
              <w:t>No. of beneficiaries (≥10,000 annually)</w:t>
            </w:r>
          </w:p>
          <w:p>
            <w:pPr>
              <w:spacing w:after="40" w:line="276" w:lineRule="auto"/>
              <w:ind w:left="125" w:hanging="125"/>
              <w:jc w:val="left"/>
            </w:pPr>
            <w:r>
              <w:t xml:space="preserve">• </w:t>
            </w:r>
            <w:r>
              <w:rPr>
                <w:b w:val="0"/>
                <w:i w:val="0"/>
              </w:rPr>
              <w:t>No. of ISR projects launched/​year</w:t>
            </w:r>
          </w:p>
        </w:tc>
      </w:tr>
    </w:tbl>
    <w:p>
      <w:pPr>
        <w:spacing w:after="40"/>
      </w:pPr>
    </w:p>
    <w:p>
      <w:pPr>
        <w:pStyle w:val="Heading2"/>
      </w:pPr>
      <w:r>
        <w:t>Strategic Pillars (Operational Anchors for Implementation)</w:t>
      </w:r>
    </w:p>
    <w:p>
      <w:pPr>
        <w:pStyle w:val="Heading2"/>
      </w:pPr>
      <w:r>
        <w:t>1. Academic Excellence &amp; Quality</w:t>
      </w:r>
    </w:p>
    <w:p>
      <w:pPr>
        <w:pStyle w:val="ListBullet2"/>
        <w:numPr>
          <w:ilvl w:val="1"/>
          <w:numId w:val="90"/>
        </w:numPr>
        <w:ind w:left="369" w:hanging="142" w:right="227"/>
      </w:pPr>
      <w:r>
        <w:rPr>
          <w:b w:val="0"/>
          <w:i/>
        </w:rPr>
        <w:t>Anchor for teaching and learning reforms.</w:t>
      </w:r>
    </w:p>
    <w:p>
      <w:pPr>
        <w:pStyle w:val="ListBullet2"/>
        <w:numPr>
          <w:ilvl w:val="1"/>
          <w:numId w:val="90"/>
        </w:numPr>
        <w:ind w:left="652" w:hanging="142"/>
      </w:pPr>
      <w:r>
        <w:rPr>
          <w:b/>
          <w:i w:val="0"/>
        </w:rPr>
        <w:t>Focus:</w:t>
      </w:r>
      <w:r>
        <w:rPr>
          <w:b w:val="0"/>
          <w:i w:val="0"/>
        </w:rPr>
        <w:t xml:space="preserve"> OBE, NEP 2020 alignment, faculty development, student-centered learning.</w:t>
      </w:r>
    </w:p>
    <w:p>
      <w:pPr>
        <w:pStyle w:val="Heading2"/>
      </w:pPr>
      <w:r>
        <w:t>2. Research, Innovation &amp; Entrepreneurship</w:t>
      </w:r>
    </w:p>
    <w:p>
      <w:pPr>
        <w:pStyle w:val="ListBullet2"/>
        <w:numPr>
          <w:ilvl w:val="1"/>
          <w:numId w:val="90"/>
        </w:numPr>
        <w:ind w:left="369" w:hanging="142" w:right="227"/>
      </w:pPr>
      <w:r>
        <w:rPr>
          <w:b w:val="0"/>
          <w:i/>
        </w:rPr>
        <w:t>Anchor for knowledge creation and patents.</w:t>
      </w:r>
    </w:p>
    <w:p>
      <w:pPr>
        <w:pStyle w:val="ListBullet2"/>
        <w:numPr>
          <w:ilvl w:val="1"/>
          <w:numId w:val="90"/>
        </w:numPr>
        <w:ind w:left="652" w:hanging="142"/>
      </w:pPr>
      <w:r>
        <w:rPr>
          <w:b/>
          <w:i w:val="0"/>
        </w:rPr>
        <w:t>Focus:</w:t>
      </w:r>
      <w:r>
        <w:rPr>
          <w:b w:val="0"/>
          <w:i w:val="0"/>
        </w:rPr>
        <w:t xml:space="preserve"> Centers of Excellence, industry partnerships, innovation hubs, startups.</w:t>
      </w:r>
    </w:p>
    <w:p>
      <w:pPr>
        <w:pStyle w:val="Heading2"/>
      </w:pPr>
      <w:r>
        <w:t>3. Sustainability &amp; Green Development</w:t>
      </w:r>
    </w:p>
    <w:p>
      <w:pPr>
        <w:pStyle w:val="ListBullet2"/>
        <w:numPr>
          <w:ilvl w:val="1"/>
          <w:numId w:val="90"/>
        </w:numPr>
        <w:ind w:left="369" w:hanging="142" w:right="227"/>
      </w:pPr>
      <w:r>
        <w:rPr>
          <w:b w:val="0"/>
          <w:i/>
        </w:rPr>
        <w:t>Anchor for environmental leadership.</w:t>
      </w:r>
    </w:p>
    <w:p>
      <w:pPr>
        <w:pStyle w:val="ListBullet2"/>
        <w:numPr>
          <w:ilvl w:val="1"/>
          <w:numId w:val="90"/>
        </w:numPr>
        <w:ind w:left="652" w:hanging="142"/>
      </w:pPr>
      <w:r>
        <w:rPr>
          <w:b/>
          <w:i w:val="0"/>
        </w:rPr>
        <w:t>Focus:</w:t>
      </w:r>
      <w:r>
        <w:rPr>
          <w:b w:val="0"/>
          <w:i w:val="0"/>
        </w:rPr>
        <w:t xml:space="preserve"> Renewable energy, carbon neutrality, green-certified infrastructure.</w:t>
      </w:r>
    </w:p>
    <w:p>
      <w:pPr>
        <w:pStyle w:val="Heading2"/>
      </w:pPr>
      <w:r>
        <w:t>4. Inclusivity, Equity &amp; Student Development</w:t>
      </w:r>
    </w:p>
    <w:p>
      <w:pPr>
        <w:pStyle w:val="ListBullet2"/>
        <w:numPr>
          <w:ilvl w:val="1"/>
          <w:numId w:val="90"/>
        </w:numPr>
        <w:ind w:left="369" w:hanging="142" w:right="227"/>
      </w:pPr>
      <w:r>
        <w:rPr>
          <w:b w:val="0"/>
          <w:i/>
        </w:rPr>
        <w:t>Anchor for access and holistic growth.</w:t>
      </w:r>
    </w:p>
    <w:p>
      <w:pPr>
        <w:pStyle w:val="ListBullet2"/>
        <w:numPr>
          <w:ilvl w:val="1"/>
          <w:numId w:val="90"/>
        </w:numPr>
        <w:ind w:left="652" w:hanging="142"/>
      </w:pPr>
      <w:r>
        <w:rPr>
          <w:b/>
          <w:i w:val="0"/>
        </w:rPr>
        <w:t>Focus:</w:t>
      </w:r>
      <w:r>
        <w:rPr>
          <w:b w:val="0"/>
          <w:i w:val="0"/>
        </w:rPr>
        <w:t xml:space="preserve"> Scholarships, counseling, retention, diversity and gender equity.</w:t>
      </w:r>
    </w:p>
    <w:p>
      <w:pPr>
        <w:pStyle w:val="Heading2"/>
      </w:pPr>
      <w:r>
        <w:t>5. Global Engagement &amp; Internationalization</w:t>
      </w:r>
    </w:p>
    <w:p>
      <w:pPr>
        <w:pStyle w:val="ListBullet2"/>
        <w:numPr>
          <w:ilvl w:val="1"/>
          <w:numId w:val="90"/>
        </w:numPr>
        <w:ind w:left="369" w:hanging="142" w:right="227"/>
      </w:pPr>
      <w:r>
        <w:rPr>
          <w:b w:val="0"/>
          <w:i/>
        </w:rPr>
        <w:t>Anchor for worldwide collaborations and rankings.</w:t>
      </w:r>
    </w:p>
    <w:p>
      <w:pPr>
        <w:pStyle w:val="ListBullet2"/>
        <w:numPr>
          <w:ilvl w:val="1"/>
          <w:numId w:val="90"/>
        </w:numPr>
        <w:ind w:left="652" w:hanging="142"/>
      </w:pPr>
      <w:r>
        <w:rPr>
          <w:b/>
          <w:i w:val="0"/>
        </w:rPr>
        <w:t>Focus:</w:t>
      </w:r>
      <w:r>
        <w:rPr>
          <w:b w:val="0"/>
          <w:i w:val="0"/>
        </w:rPr>
        <w:t xml:space="preserve"> MoUs, dual-degree programs, exchanges, global benchmarking.</w:t>
      </w:r>
    </w:p>
    <w:p>
      <w:pPr>
        <w:pStyle w:val="Heading2"/>
      </w:pPr>
      <w:r>
        <w:t>6. Governance, Leadership &amp; Quality Assurance</w:t>
      </w:r>
    </w:p>
    <w:p>
      <w:pPr>
        <w:pStyle w:val="ListBullet2"/>
        <w:numPr>
          <w:ilvl w:val="1"/>
          <w:numId w:val="90"/>
        </w:numPr>
        <w:ind w:left="369" w:hanging="142" w:right="227"/>
      </w:pPr>
      <w:r>
        <w:rPr>
          <w:b w:val="0"/>
          <w:i/>
        </w:rPr>
        <w:t>Anchor for accountability and excellence.</w:t>
      </w:r>
    </w:p>
    <w:p>
      <w:pPr>
        <w:pStyle w:val="ListBullet2"/>
        <w:numPr>
          <w:ilvl w:val="1"/>
          <w:numId w:val="90"/>
        </w:numPr>
        <w:ind w:left="652" w:hanging="142"/>
      </w:pPr>
      <w:r>
        <w:rPr>
          <w:b/>
          <w:i w:val="0"/>
        </w:rPr>
        <w:t>Focus:</w:t>
      </w:r>
      <w:r>
        <w:rPr>
          <w:b w:val="0"/>
          <w:i w:val="0"/>
        </w:rPr>
        <w:t xml:space="preserve"> IQAC, NAAC/NBA/NIRF/QS compliance, ERP systems, transparent decision-making.</w:t>
      </w:r>
    </w:p>
    <w:p>
      <w:pPr>
        <w:pStyle w:val="Heading2"/>
      </w:pPr>
      <w:r>
        <w:t>7. Community Engagement &amp; Institutional Social Responsibility (ISR)</w:t>
      </w:r>
    </w:p>
    <w:p>
      <w:pPr>
        <w:pStyle w:val="ListBullet2"/>
        <w:numPr>
          <w:ilvl w:val="1"/>
          <w:numId w:val="90"/>
        </w:numPr>
        <w:ind w:left="369" w:hanging="142" w:right="227"/>
      </w:pPr>
      <w:r>
        <w:rPr>
          <w:b w:val="0"/>
          <w:i/>
        </w:rPr>
        <w:t>Anchor for social transformation.</w:t>
      </w:r>
    </w:p>
    <w:p>
      <w:pPr>
        <w:pStyle w:val="ListBullet2"/>
        <w:numPr>
          <w:ilvl w:val="1"/>
          <w:numId w:val="90"/>
        </w:numPr>
        <w:ind w:left="652" w:hanging="142"/>
      </w:pPr>
      <w:r>
        <w:rPr>
          <w:b/>
          <w:i w:val="0"/>
        </w:rPr>
        <w:t>Focus:</w:t>
      </w:r>
      <w:r>
        <w:rPr>
          <w:b w:val="0"/>
          <w:i w:val="0"/>
        </w:rPr>
        <w:t xml:space="preserve"> Service-learning, extension activities, partnerships with NGOs and government.</w:t>
      </w:r>
    </w:p>
    <w:p>
      <w:pPr>
        <w:pStyle w:val="Heading2"/>
      </w:pPr>
      <w:r>
        <w:t>8. Financial Sustainability &amp; Resource Mobilization</w:t>
      </w:r>
    </w:p>
    <w:p>
      <w:pPr>
        <w:pStyle w:val="ListBullet2"/>
        <w:numPr>
          <w:ilvl w:val="1"/>
          <w:numId w:val="90"/>
        </w:numPr>
        <w:ind w:left="369" w:hanging="142" w:right="227"/>
      </w:pPr>
      <w:r>
        <w:rPr>
          <w:b w:val="0"/>
          <w:i/>
        </w:rPr>
        <w:t>Anchor for long-term viability.</w:t>
      </w:r>
    </w:p>
    <w:p>
      <w:pPr>
        <w:pStyle w:val="ListBullet2"/>
        <w:numPr>
          <w:ilvl w:val="1"/>
          <w:numId w:val="90"/>
        </w:numPr>
        <w:ind w:left="652" w:hanging="142"/>
      </w:pPr>
      <w:r>
        <w:rPr>
          <w:b/>
          <w:i w:val="0"/>
        </w:rPr>
        <w:t>Focus:</w:t>
      </w:r>
      <w:r>
        <w:rPr>
          <w:b w:val="0"/>
          <w:i w:val="0"/>
        </w:rPr>
        <w:t xml:space="preserve"> Alumni funding, CSR, consultancy, PPP models, endowment funds.</w:t>
      </w:r>
    </w:p>
    <w:p>
      <w:pPr>
        <w:pStyle w:val="Heading2"/>
      </w:pPr>
      <w:r>
        <w:t>9. Technology &amp; Digital Transformation</w:t>
      </w:r>
    </w:p>
    <w:p>
      <w:pPr>
        <w:pStyle w:val="ListBullet2"/>
        <w:numPr>
          <w:ilvl w:val="1"/>
          <w:numId w:val="90"/>
        </w:numPr>
        <w:ind w:left="369" w:hanging="142" w:right="227"/>
      </w:pPr>
      <w:r>
        <w:rPr>
          <w:b w:val="0"/>
          <w:i/>
        </w:rPr>
        <w:t>Anchor for future-ready operations.</w:t>
      </w:r>
    </w:p>
    <w:p>
      <w:pPr>
        <w:pStyle w:val="ListBullet2"/>
        <w:numPr>
          <w:ilvl w:val="1"/>
          <w:numId w:val="90"/>
        </w:numPr>
        <w:ind w:left="652" w:hanging="142"/>
      </w:pPr>
      <w:r>
        <w:rPr>
          <w:b/>
          <w:i w:val="0"/>
        </w:rPr>
        <w:t>Focus:</w:t>
      </w:r>
      <w:r>
        <w:rPr>
          <w:b w:val="0"/>
          <w:i w:val="0"/>
        </w:rPr>
        <w:t xml:space="preserve"> Smart classrooms, digital learning platforms, AI/ICT integration, cybersecurity.</w:t>
      </w:r>
    </w:p>
    <w:p>
      <w:pPr>
        <w:pStyle w:val="Heading2"/>
      </w:pPr>
      <w:r>
        <w:t>20-Year Strategic Roadmap by Pillars</w:t>
      </w:r>
    </w:p>
    <w:p>
      <w:pPr>
        <w:pStyle w:val="Heading2"/>
      </w:pPr>
      <w:r>
        <w:t>1. Academic Excellence &amp; Quality</w:t>
      </w:r>
    </w:p>
    <w:p>
      <w:pPr>
        <w:pStyle w:val="ListBullet"/>
        <w:numPr>
          <w:ilvl w:val="0"/>
          <w:numId w:val="90"/>
        </w:numPr>
        <w:ind w:left="340" w:hanging="142"/>
      </w:pPr>
      <w:r>
        <w:rPr>
          <w:b/>
          <w:i w:val="0"/>
        </w:rPr>
        <w:t>Short-Term (0–5 years):</w:t>
      </w:r>
    </w:p>
    <w:p>
      <w:pPr>
        <w:pStyle w:val="ListBullet2"/>
        <w:numPr>
          <w:ilvl w:val="1"/>
          <w:numId w:val="90"/>
        </w:numPr>
        <w:ind w:left="652" w:hanging="142"/>
      </w:pPr>
      <w:r>
        <w:rPr>
          <w:b w:val="0"/>
          <w:i w:val="0"/>
        </w:rPr>
        <w:t>Revise 100% curricula to NEP 2020 &amp; OBE standards.</w:t>
      </w:r>
    </w:p>
    <w:p>
      <w:pPr>
        <w:pStyle w:val="ListBullet2"/>
        <w:numPr>
          <w:ilvl w:val="1"/>
          <w:numId w:val="90"/>
        </w:numPr>
        <w:ind w:left="652" w:hanging="142"/>
      </w:pPr>
      <w:r>
        <w:rPr>
          <w:b w:val="0"/>
          <w:i w:val="0"/>
        </w:rPr>
        <w:t>Train 100% faculty in digital pedagogy.</w:t>
      </w:r>
    </w:p>
    <w:p>
      <w:pPr>
        <w:pStyle w:val="ListBullet2"/>
        <w:numPr>
          <w:ilvl w:val="1"/>
          <w:numId w:val="90"/>
        </w:numPr>
        <w:ind w:left="652" w:hanging="142"/>
      </w:pPr>
      <w:r>
        <w:rPr>
          <w:b w:val="0"/>
          <w:i w:val="0"/>
        </w:rPr>
        <w:t>Convert 70% classrooms into smart classrooms.</w:t>
      </w:r>
    </w:p>
    <w:p>
      <w:pPr>
        <w:pStyle w:val="ListBullet"/>
        <w:numPr>
          <w:ilvl w:val="0"/>
          <w:numId w:val="90"/>
        </w:numPr>
        <w:ind w:left="340" w:hanging="142"/>
      </w:pPr>
      <w:r>
        <w:rPr>
          <w:b/>
          <w:i w:val="0"/>
        </w:rPr>
        <w:t>Medium-Term (6–10 years):</w:t>
      </w:r>
    </w:p>
    <w:p>
      <w:pPr>
        <w:pStyle w:val="ListBullet2"/>
        <w:numPr>
          <w:ilvl w:val="1"/>
          <w:numId w:val="90"/>
        </w:numPr>
        <w:ind w:left="652" w:hanging="142"/>
      </w:pPr>
      <w:r>
        <w:rPr>
          <w:b w:val="0"/>
          <w:i w:val="0"/>
        </w:rPr>
        <w:t>Introduce 5+ interdisciplinary &amp; dual-degree programs.</w:t>
      </w:r>
    </w:p>
    <w:p>
      <w:pPr>
        <w:pStyle w:val="ListBullet2"/>
        <w:numPr>
          <w:ilvl w:val="1"/>
          <w:numId w:val="90"/>
        </w:numPr>
        <w:ind w:left="652" w:hanging="142"/>
      </w:pPr>
      <w:r>
        <w:rPr>
          <w:b w:val="0"/>
          <w:i w:val="0"/>
        </w:rPr>
        <w:t>Launch lifelong learning hubs with credit transfer.</w:t>
      </w:r>
    </w:p>
    <w:p>
      <w:pPr>
        <w:pStyle w:val="ListBullet2"/>
        <w:numPr>
          <w:ilvl w:val="1"/>
          <w:numId w:val="90"/>
        </w:numPr>
        <w:ind w:left="652" w:hanging="142"/>
      </w:pPr>
      <w:r>
        <w:rPr>
          <w:b w:val="0"/>
          <w:i w:val="0"/>
        </w:rPr>
        <w:t>Achieve ≥90% student satisfaction index.</w:t>
      </w:r>
    </w:p>
    <w:p>
      <w:pPr>
        <w:pStyle w:val="ListBullet"/>
        <w:numPr>
          <w:ilvl w:val="0"/>
          <w:numId w:val="90"/>
        </w:numPr>
        <w:ind w:left="340" w:hanging="142"/>
      </w:pPr>
      <w:r>
        <w:rPr>
          <w:b/>
          <w:i w:val="0"/>
        </w:rPr>
        <w:t>Long-Term (11–20 years):</w:t>
      </w:r>
    </w:p>
    <w:p>
      <w:pPr>
        <w:pStyle w:val="ListBullet2"/>
        <w:numPr>
          <w:ilvl w:val="1"/>
          <w:numId w:val="90"/>
        </w:numPr>
        <w:ind w:left="652" w:hanging="142"/>
      </w:pPr>
      <w:r>
        <w:rPr>
          <w:b w:val="0"/>
          <w:i w:val="0"/>
        </w:rPr>
        <w:t>Institution recognized as a world-class teaching hub.</w:t>
      </w:r>
    </w:p>
    <w:p>
      <w:pPr>
        <w:pStyle w:val="ListBullet2"/>
        <w:numPr>
          <w:ilvl w:val="1"/>
          <w:numId w:val="90"/>
        </w:numPr>
        <w:ind w:left="652" w:hanging="142"/>
      </w:pPr>
      <w:r>
        <w:rPr>
          <w:b w:val="0"/>
          <w:i w:val="0"/>
        </w:rPr>
        <w:t>Graduate employability ≥95%.</w:t>
      </w:r>
    </w:p>
    <w:p>
      <w:pPr>
        <w:pStyle w:val="Heading2"/>
      </w:pPr>
      <w:r>
        <w:t>2. Research, Innovation &amp; Entrepreneurship</w:t>
      </w:r>
    </w:p>
    <w:p>
      <w:pPr>
        <w:pStyle w:val="ListBullet"/>
        <w:numPr>
          <w:ilvl w:val="0"/>
          <w:numId w:val="90"/>
        </w:numPr>
        <w:ind w:left="340" w:hanging="142"/>
      </w:pPr>
      <w:r>
        <w:rPr>
          <w:b/>
          <w:i w:val="0"/>
        </w:rPr>
        <w:t>Short-Term (0–5 years):</w:t>
      </w:r>
    </w:p>
    <w:p>
      <w:pPr>
        <w:pStyle w:val="ListBullet2"/>
        <w:numPr>
          <w:ilvl w:val="1"/>
          <w:numId w:val="90"/>
        </w:numPr>
        <w:ind w:left="652" w:hanging="142"/>
      </w:pPr>
      <w:r>
        <w:rPr>
          <w:b w:val="0"/>
          <w:i w:val="0"/>
        </w:rPr>
        <w:t>Establish 2–3 Centers of Excellence.</w:t>
      </w:r>
    </w:p>
    <w:p>
      <w:pPr>
        <w:pStyle w:val="ListBullet2"/>
        <w:numPr>
          <w:ilvl w:val="1"/>
          <w:numId w:val="90"/>
        </w:numPr>
        <w:ind w:left="652" w:hanging="142"/>
      </w:pPr>
      <w:r>
        <w:rPr>
          <w:b w:val="0"/>
          <w:i w:val="0"/>
        </w:rPr>
        <w:t>File ≥10 patents annually.</w:t>
      </w:r>
    </w:p>
    <w:p>
      <w:pPr>
        <w:pStyle w:val="ListBullet2"/>
        <w:numPr>
          <w:ilvl w:val="1"/>
          <w:numId w:val="90"/>
        </w:numPr>
        <w:ind w:left="652" w:hanging="142"/>
      </w:pPr>
      <w:r>
        <w:rPr>
          <w:b w:val="0"/>
          <w:i w:val="0"/>
        </w:rPr>
        <w:t>Launch innovation &amp; incubation hubs.</w:t>
      </w:r>
    </w:p>
    <w:p>
      <w:pPr>
        <w:pStyle w:val="ListBullet"/>
        <w:numPr>
          <w:ilvl w:val="0"/>
          <w:numId w:val="90"/>
        </w:numPr>
        <w:ind w:left="340" w:hanging="142"/>
      </w:pPr>
      <w:r>
        <w:rPr>
          <w:b/>
          <w:i w:val="0"/>
        </w:rPr>
        <w:t>Medium-Term (6–10 years):</w:t>
      </w:r>
    </w:p>
    <w:p>
      <w:pPr>
        <w:pStyle w:val="ListBullet2"/>
        <w:numPr>
          <w:ilvl w:val="1"/>
          <w:numId w:val="90"/>
        </w:numPr>
        <w:ind w:left="652" w:hanging="142"/>
      </w:pPr>
      <w:r>
        <w:rPr>
          <w:b w:val="0"/>
          <w:i w:val="0"/>
        </w:rPr>
        <w:t>Research funding ≥₹50 crore/£5m.</w:t>
      </w:r>
    </w:p>
    <w:p>
      <w:pPr>
        <w:pStyle w:val="ListBullet2"/>
        <w:numPr>
          <w:ilvl w:val="1"/>
          <w:numId w:val="90"/>
        </w:numPr>
        <w:ind w:left="652" w:hanging="142"/>
      </w:pPr>
      <w:r>
        <w:rPr>
          <w:b w:val="0"/>
          <w:i w:val="0"/>
        </w:rPr>
        <w:t>Build global joint research labs.</w:t>
      </w:r>
    </w:p>
    <w:p>
      <w:pPr>
        <w:pStyle w:val="ListBullet2"/>
        <w:numPr>
          <w:ilvl w:val="1"/>
          <w:numId w:val="90"/>
        </w:numPr>
        <w:ind w:left="652" w:hanging="142"/>
      </w:pPr>
      <w:r>
        <w:rPr>
          <w:b w:val="0"/>
          <w:i w:val="0"/>
        </w:rPr>
        <w:t>At least 5 industry-funded projects annually.</w:t>
      </w:r>
    </w:p>
    <w:p>
      <w:pPr>
        <w:pStyle w:val="ListBullet"/>
        <w:numPr>
          <w:ilvl w:val="0"/>
          <w:numId w:val="90"/>
        </w:numPr>
        <w:ind w:left="340" w:hanging="142"/>
      </w:pPr>
      <w:r>
        <w:rPr>
          <w:b/>
          <w:i w:val="0"/>
        </w:rPr>
        <w:t>Long-Term (11–20 years):</w:t>
      </w:r>
    </w:p>
    <w:p>
      <w:pPr>
        <w:pStyle w:val="ListBullet2"/>
        <w:numPr>
          <w:ilvl w:val="1"/>
          <w:numId w:val="90"/>
        </w:numPr>
        <w:ind w:left="652" w:hanging="142"/>
      </w:pPr>
      <w:r>
        <w:rPr>
          <w:b w:val="0"/>
          <w:i w:val="0"/>
        </w:rPr>
        <w:t>File ≥50 patents annually.</w:t>
      </w:r>
    </w:p>
    <w:p>
      <w:pPr>
        <w:pStyle w:val="ListBullet2"/>
        <w:numPr>
          <w:ilvl w:val="1"/>
          <w:numId w:val="90"/>
        </w:numPr>
        <w:ind w:left="652" w:hanging="142"/>
      </w:pPr>
      <w:r>
        <w:rPr>
          <w:b w:val="0"/>
          <w:i w:val="0"/>
        </w:rPr>
        <w:t>Recognized as a global leader in SDG-driven research.</w:t>
      </w:r>
    </w:p>
    <w:p>
      <w:pPr>
        <w:pStyle w:val="Heading2"/>
      </w:pPr>
      <w:r>
        <w:t>3. Sustainability &amp; Green Development</w:t>
      </w:r>
    </w:p>
    <w:p>
      <w:pPr>
        <w:pStyle w:val="ListBullet"/>
        <w:numPr>
          <w:ilvl w:val="0"/>
          <w:numId w:val="90"/>
        </w:numPr>
        <w:ind w:left="340" w:hanging="142"/>
      </w:pPr>
      <w:r>
        <w:rPr>
          <w:b/>
          <w:i w:val="0"/>
        </w:rPr>
        <w:t>Short-Term (0–5 years):</w:t>
      </w:r>
    </w:p>
    <w:p>
      <w:pPr>
        <w:pStyle w:val="ListBullet2"/>
        <w:numPr>
          <w:ilvl w:val="1"/>
          <w:numId w:val="90"/>
        </w:numPr>
        <w:ind w:left="652" w:hanging="142"/>
      </w:pPr>
      <w:r>
        <w:rPr>
          <w:b w:val="0"/>
          <w:i w:val="0"/>
        </w:rPr>
        <w:t>40% campus energy from renewables.</w:t>
      </w:r>
    </w:p>
    <w:p>
      <w:pPr>
        <w:pStyle w:val="ListBullet2"/>
        <w:numPr>
          <w:ilvl w:val="1"/>
          <w:numId w:val="90"/>
        </w:numPr>
        <w:ind w:left="652" w:hanging="142"/>
      </w:pPr>
      <w:r>
        <w:rPr>
          <w:b w:val="0"/>
          <w:i w:val="0"/>
        </w:rPr>
        <w:t>Green certification for at least 3 buildings.</w:t>
      </w:r>
    </w:p>
    <w:p>
      <w:pPr>
        <w:pStyle w:val="ListBullet"/>
        <w:numPr>
          <w:ilvl w:val="0"/>
          <w:numId w:val="90"/>
        </w:numPr>
        <w:ind w:left="340" w:hanging="142"/>
      </w:pPr>
      <w:r>
        <w:rPr>
          <w:b/>
          <w:i w:val="0"/>
        </w:rPr>
        <w:t>Medium-Term (6–10 years):</w:t>
      </w:r>
    </w:p>
    <w:p>
      <w:pPr>
        <w:pStyle w:val="ListBullet2"/>
        <w:numPr>
          <w:ilvl w:val="1"/>
          <w:numId w:val="90"/>
        </w:numPr>
        <w:ind w:left="652" w:hanging="142"/>
      </w:pPr>
      <w:r>
        <w:rPr>
          <w:b w:val="0"/>
          <w:i w:val="0"/>
        </w:rPr>
        <w:t>70% renewable energy coverage.</w:t>
      </w:r>
    </w:p>
    <w:p>
      <w:pPr>
        <w:pStyle w:val="ListBullet2"/>
        <w:numPr>
          <w:ilvl w:val="1"/>
          <w:numId w:val="90"/>
        </w:numPr>
        <w:ind w:left="652" w:hanging="142"/>
      </w:pPr>
      <w:r>
        <w:rPr>
          <w:b w:val="0"/>
          <w:i w:val="0"/>
        </w:rPr>
        <w:t>Sustainability-focused programs launched.</w:t>
      </w:r>
    </w:p>
    <w:p>
      <w:pPr>
        <w:pStyle w:val="ListBullet"/>
        <w:numPr>
          <w:ilvl w:val="0"/>
          <w:numId w:val="90"/>
        </w:numPr>
        <w:ind w:left="340" w:hanging="142"/>
      </w:pPr>
      <w:r>
        <w:rPr>
          <w:b/>
          <w:i w:val="0"/>
        </w:rPr>
        <w:t>Long-Term (11–20 years):</w:t>
      </w:r>
    </w:p>
    <w:p>
      <w:pPr>
        <w:pStyle w:val="ListBullet2"/>
        <w:numPr>
          <w:ilvl w:val="1"/>
          <w:numId w:val="90"/>
        </w:numPr>
        <w:ind w:left="652" w:hanging="142"/>
      </w:pPr>
      <w:r>
        <w:rPr>
          <w:b w:val="0"/>
          <w:i w:val="0"/>
        </w:rPr>
        <w:t>Carbon-neutral campus achieved.</w:t>
      </w:r>
    </w:p>
    <w:p>
      <w:pPr>
        <w:pStyle w:val="ListBullet2"/>
        <w:numPr>
          <w:ilvl w:val="1"/>
          <w:numId w:val="90"/>
        </w:numPr>
        <w:ind w:left="652" w:hanging="142"/>
      </w:pPr>
      <w:r>
        <w:rPr>
          <w:b w:val="0"/>
          <w:i w:val="0"/>
        </w:rPr>
        <w:t>Institution recognized globally as a Green University model.</w:t>
      </w:r>
    </w:p>
    <w:p>
      <w:pPr>
        <w:pStyle w:val="Heading2"/>
      </w:pPr>
      <w:r>
        <w:t>4. Inclusivity, Equity &amp; Student Development</w:t>
      </w:r>
    </w:p>
    <w:p>
      <w:pPr>
        <w:pStyle w:val="ListBullet"/>
        <w:numPr>
          <w:ilvl w:val="0"/>
          <w:numId w:val="90"/>
        </w:numPr>
        <w:ind w:left="340" w:hanging="142"/>
      </w:pPr>
      <w:r>
        <w:rPr>
          <w:b/>
          <w:i w:val="0"/>
        </w:rPr>
        <w:t>Short-Term (0–5 years):</w:t>
      </w:r>
    </w:p>
    <w:p>
      <w:pPr>
        <w:pStyle w:val="ListBullet2"/>
        <w:numPr>
          <w:ilvl w:val="1"/>
          <w:numId w:val="90"/>
        </w:numPr>
        <w:ind w:left="652" w:hanging="142"/>
      </w:pPr>
      <w:r>
        <w:rPr>
          <w:b w:val="0"/>
          <w:i w:val="0"/>
        </w:rPr>
        <w:t>Scholarships for ≥25% of students.</w:t>
      </w:r>
    </w:p>
    <w:p>
      <w:pPr>
        <w:pStyle w:val="ListBullet2"/>
        <w:numPr>
          <w:ilvl w:val="1"/>
          <w:numId w:val="90"/>
        </w:numPr>
        <w:ind w:left="652" w:hanging="142"/>
      </w:pPr>
      <w:r>
        <w:rPr>
          <w:b w:val="0"/>
          <w:i w:val="0"/>
        </w:rPr>
        <w:t>Student retention ≥90%.</w:t>
      </w:r>
    </w:p>
    <w:p>
      <w:pPr>
        <w:pStyle w:val="ListBullet2"/>
        <w:numPr>
          <w:ilvl w:val="1"/>
          <w:numId w:val="90"/>
        </w:numPr>
        <w:ind w:left="652" w:hanging="142"/>
      </w:pPr>
      <w:r>
        <w:rPr>
          <w:b w:val="0"/>
          <w:i w:val="0"/>
        </w:rPr>
        <w:t>Establish career services and counseling centers.</w:t>
      </w:r>
    </w:p>
    <w:p>
      <w:pPr>
        <w:pStyle w:val="ListBullet"/>
        <w:numPr>
          <w:ilvl w:val="0"/>
          <w:numId w:val="90"/>
        </w:numPr>
        <w:ind w:left="340" w:hanging="142"/>
      </w:pPr>
      <w:r>
        <w:rPr>
          <w:b/>
          <w:i w:val="0"/>
        </w:rPr>
        <w:t>Medium-Term (6–10 years):</w:t>
      </w:r>
    </w:p>
    <w:p>
      <w:pPr>
        <w:pStyle w:val="ListBullet2"/>
        <w:numPr>
          <w:ilvl w:val="1"/>
          <w:numId w:val="90"/>
        </w:numPr>
        <w:ind w:left="652" w:hanging="142"/>
      </w:pPr>
      <w:r>
        <w:rPr>
          <w:b w:val="0"/>
          <w:i w:val="0"/>
        </w:rPr>
        <w:t>Retention ≥95%.</w:t>
      </w:r>
    </w:p>
    <w:p>
      <w:pPr>
        <w:pStyle w:val="ListBullet2"/>
        <w:numPr>
          <w:ilvl w:val="1"/>
          <w:numId w:val="90"/>
        </w:numPr>
        <w:ind w:left="652" w:hanging="142"/>
      </w:pPr>
      <w:r>
        <w:rPr>
          <w:b w:val="0"/>
          <w:i w:val="0"/>
        </w:rPr>
        <w:t>90% graduate placement rate.</w:t>
      </w:r>
    </w:p>
    <w:p>
      <w:pPr>
        <w:pStyle w:val="ListBullet2"/>
        <w:numPr>
          <w:ilvl w:val="1"/>
          <w:numId w:val="90"/>
        </w:numPr>
        <w:ind w:left="652" w:hanging="142"/>
      </w:pPr>
      <w:r>
        <w:rPr>
          <w:b w:val="0"/>
          <w:i w:val="0"/>
        </w:rPr>
        <w:t>Increase diversity index by 30%.</w:t>
      </w:r>
    </w:p>
    <w:p>
      <w:pPr>
        <w:pStyle w:val="ListBullet"/>
        <w:numPr>
          <w:ilvl w:val="0"/>
          <w:numId w:val="90"/>
        </w:numPr>
        <w:ind w:left="340" w:hanging="142"/>
      </w:pPr>
      <w:r>
        <w:rPr>
          <w:b/>
          <w:i w:val="0"/>
        </w:rPr>
        <w:t>Long-Term (11–20 years):</w:t>
      </w:r>
    </w:p>
    <w:p>
      <w:pPr>
        <w:pStyle w:val="ListBullet2"/>
        <w:numPr>
          <w:ilvl w:val="1"/>
          <w:numId w:val="90"/>
        </w:numPr>
        <w:ind w:left="652" w:hanging="142"/>
      </w:pPr>
      <w:r>
        <w:rPr>
          <w:b w:val="0"/>
          <w:i w:val="0"/>
        </w:rPr>
        <w:t>Institution as a global benchmark for inclusive education.</w:t>
      </w:r>
    </w:p>
    <w:p>
      <w:pPr>
        <w:pStyle w:val="ListBullet2"/>
        <w:numPr>
          <w:ilvl w:val="1"/>
          <w:numId w:val="90"/>
        </w:numPr>
        <w:ind w:left="652" w:hanging="142"/>
      </w:pPr>
      <w:r>
        <w:rPr>
          <w:b w:val="0"/>
          <w:i w:val="0"/>
        </w:rPr>
        <w:t>Diversity index ≥50%.</w:t>
      </w:r>
    </w:p>
    <w:p>
      <w:pPr>
        <w:pStyle w:val="Heading2"/>
      </w:pPr>
      <w:r>
        <w:t>5. Global Engagement &amp; Internationalization</w:t>
      </w:r>
    </w:p>
    <w:p>
      <w:pPr>
        <w:pStyle w:val="ListBullet"/>
        <w:numPr>
          <w:ilvl w:val="0"/>
          <w:numId w:val="90"/>
        </w:numPr>
        <w:ind w:left="340" w:hanging="142"/>
      </w:pPr>
      <w:r>
        <w:rPr>
          <w:b/>
          <w:i w:val="0"/>
        </w:rPr>
        <w:t>Short-Term (0–5 years):</w:t>
      </w:r>
    </w:p>
    <w:p>
      <w:pPr>
        <w:pStyle w:val="ListBullet2"/>
        <w:numPr>
          <w:ilvl w:val="1"/>
          <w:numId w:val="90"/>
        </w:numPr>
        <w:ind w:left="652" w:hanging="142"/>
      </w:pPr>
      <w:r>
        <w:rPr>
          <w:b w:val="0"/>
          <w:i w:val="0"/>
        </w:rPr>
        <w:t>Sign ≥20 MoUs globally.</w:t>
      </w:r>
    </w:p>
    <w:p>
      <w:pPr>
        <w:pStyle w:val="ListBullet2"/>
        <w:numPr>
          <w:ilvl w:val="1"/>
          <w:numId w:val="90"/>
        </w:numPr>
        <w:ind w:left="652" w:hanging="142"/>
      </w:pPr>
      <w:r>
        <w:rPr>
          <w:b w:val="0"/>
          <w:i w:val="0"/>
        </w:rPr>
        <w:t>Host 3 international conferences annually.</w:t>
      </w:r>
    </w:p>
    <w:p>
      <w:pPr>
        <w:pStyle w:val="ListBullet2"/>
        <w:numPr>
          <w:ilvl w:val="1"/>
          <w:numId w:val="90"/>
        </w:numPr>
        <w:ind w:left="652" w:hanging="142"/>
      </w:pPr>
      <w:r>
        <w:rPr>
          <w:b w:val="0"/>
          <w:i w:val="0"/>
        </w:rPr>
        <w:t>Facilitate ≥50 student/faculty exchanges per year.</w:t>
      </w:r>
    </w:p>
    <w:p>
      <w:pPr>
        <w:pStyle w:val="ListBullet"/>
        <w:numPr>
          <w:ilvl w:val="0"/>
          <w:numId w:val="90"/>
        </w:numPr>
        <w:ind w:left="340" w:hanging="142"/>
      </w:pPr>
      <w:r>
        <w:rPr>
          <w:b/>
          <w:i w:val="0"/>
        </w:rPr>
        <w:t>Medium-Term (6–10 years):</w:t>
      </w:r>
    </w:p>
    <w:p>
      <w:pPr>
        <w:pStyle w:val="ListBullet2"/>
        <w:numPr>
          <w:ilvl w:val="1"/>
          <w:numId w:val="90"/>
        </w:numPr>
        <w:ind w:left="652" w:hanging="142"/>
      </w:pPr>
      <w:r>
        <w:rPr>
          <w:b w:val="0"/>
          <w:i w:val="0"/>
        </w:rPr>
        <w:t>Launch dual-degree programs with ≥5 universities.</w:t>
      </w:r>
    </w:p>
    <w:p>
      <w:pPr>
        <w:pStyle w:val="ListBullet2"/>
        <w:numPr>
          <w:ilvl w:val="1"/>
          <w:numId w:val="90"/>
        </w:numPr>
        <w:ind w:left="652" w:hanging="142"/>
      </w:pPr>
      <w:r>
        <w:rPr>
          <w:b w:val="0"/>
          <w:i w:val="0"/>
        </w:rPr>
        <w:t>Achieve Top 100 Asian ranking.</w:t>
      </w:r>
    </w:p>
    <w:p>
      <w:pPr>
        <w:pStyle w:val="ListBullet"/>
        <w:numPr>
          <w:ilvl w:val="0"/>
          <w:numId w:val="90"/>
        </w:numPr>
        <w:ind w:left="340" w:hanging="142"/>
      </w:pPr>
      <w:r>
        <w:rPr>
          <w:b/>
          <w:i w:val="0"/>
        </w:rPr>
        <w:t>Long-Term (11–20 years):</w:t>
      </w:r>
    </w:p>
    <w:p>
      <w:pPr>
        <w:pStyle w:val="ListBullet2"/>
        <w:numPr>
          <w:ilvl w:val="1"/>
          <w:numId w:val="90"/>
        </w:numPr>
        <w:ind w:left="652" w:hanging="142"/>
      </w:pPr>
      <w:r>
        <w:rPr>
          <w:b w:val="0"/>
          <w:i w:val="0"/>
        </w:rPr>
        <w:t>Reach Top 500 QS/THE Global Ranking.</w:t>
      </w:r>
    </w:p>
    <w:p>
      <w:pPr>
        <w:pStyle w:val="ListBullet2"/>
        <w:numPr>
          <w:ilvl w:val="1"/>
          <w:numId w:val="90"/>
        </w:numPr>
        <w:ind w:left="652" w:hanging="142"/>
      </w:pPr>
      <w:r>
        <w:rPr>
          <w:b w:val="0"/>
          <w:i w:val="0"/>
        </w:rPr>
        <w:t>200+ student/faculty exchanges annually.</w:t>
      </w:r>
    </w:p>
    <w:p>
      <w:pPr>
        <w:pStyle w:val="Heading2"/>
      </w:pPr>
      <w:r>
        <w:t>6. Governance, Leadership &amp; Quality Assurance</w:t>
      </w:r>
    </w:p>
    <w:p>
      <w:pPr>
        <w:pStyle w:val="ListBullet"/>
        <w:numPr>
          <w:ilvl w:val="0"/>
          <w:numId w:val="90"/>
        </w:numPr>
        <w:ind w:left="340" w:hanging="142"/>
      </w:pPr>
      <w:r>
        <w:rPr>
          <w:b/>
          <w:i w:val="0"/>
        </w:rPr>
        <w:t>Short-Term (0–5 years):</w:t>
      </w:r>
    </w:p>
    <w:p>
      <w:pPr>
        <w:pStyle w:val="ListBullet2"/>
        <w:numPr>
          <w:ilvl w:val="1"/>
          <w:numId w:val="90"/>
        </w:numPr>
        <w:ind w:left="652" w:hanging="142"/>
      </w:pPr>
      <w:r>
        <w:rPr>
          <w:b w:val="0"/>
          <w:i w:val="0"/>
        </w:rPr>
        <w:t>Strengthen IQAC &amp; ERP dashboards.</w:t>
      </w:r>
    </w:p>
    <w:p>
      <w:pPr>
        <w:pStyle w:val="ListBullet2"/>
        <w:numPr>
          <w:ilvl w:val="1"/>
          <w:numId w:val="90"/>
        </w:numPr>
        <w:ind w:left="652" w:hanging="142"/>
      </w:pPr>
      <w:r>
        <w:rPr>
          <w:b w:val="0"/>
          <w:i w:val="0"/>
        </w:rPr>
        <w:t>Achieve NAAC A++ accreditation.</w:t>
      </w:r>
    </w:p>
    <w:p>
      <w:pPr>
        <w:pStyle w:val="ListBullet"/>
        <w:numPr>
          <w:ilvl w:val="0"/>
          <w:numId w:val="90"/>
        </w:numPr>
        <w:ind w:left="340" w:hanging="142"/>
      </w:pPr>
      <w:r>
        <w:rPr>
          <w:b/>
          <w:i w:val="0"/>
        </w:rPr>
        <w:t>Medium-Term (6–10 years):</w:t>
      </w:r>
    </w:p>
    <w:p>
      <w:pPr>
        <w:pStyle w:val="ListBullet2"/>
        <w:numPr>
          <w:ilvl w:val="1"/>
          <w:numId w:val="90"/>
        </w:numPr>
        <w:ind w:left="652" w:hanging="142"/>
      </w:pPr>
      <w:r>
        <w:rPr>
          <w:b w:val="0"/>
          <w:i w:val="0"/>
        </w:rPr>
        <w:t>Secure NBA Tier-I accreditations.</w:t>
      </w:r>
    </w:p>
    <w:p>
      <w:pPr>
        <w:pStyle w:val="ListBullet2"/>
        <w:numPr>
          <w:ilvl w:val="1"/>
          <w:numId w:val="90"/>
        </w:numPr>
        <w:ind w:left="652" w:hanging="142"/>
      </w:pPr>
      <w:r>
        <w:rPr>
          <w:b w:val="0"/>
          <w:i w:val="0"/>
        </w:rPr>
        <w:t>Achieve Top 50 NIRF ranking.</w:t>
      </w:r>
    </w:p>
    <w:p>
      <w:pPr>
        <w:pStyle w:val="ListBullet"/>
        <w:numPr>
          <w:ilvl w:val="0"/>
          <w:numId w:val="90"/>
        </w:numPr>
        <w:ind w:left="340" w:hanging="142"/>
      </w:pPr>
      <w:r>
        <w:rPr>
          <w:b/>
          <w:i w:val="0"/>
        </w:rPr>
        <w:t>Long-Term (11–20 years):</w:t>
      </w:r>
    </w:p>
    <w:p>
      <w:pPr>
        <w:pStyle w:val="ListBullet2"/>
        <w:numPr>
          <w:ilvl w:val="1"/>
          <w:numId w:val="90"/>
        </w:numPr>
        <w:ind w:left="652" w:hanging="142"/>
      </w:pPr>
      <w:r>
        <w:rPr>
          <w:b w:val="0"/>
          <w:i w:val="0"/>
        </w:rPr>
        <w:t>Benchmark as a global leader in governance &amp; QA.</w:t>
      </w:r>
    </w:p>
    <w:p>
      <w:pPr>
        <w:pStyle w:val="Heading2"/>
      </w:pPr>
      <w:r>
        <w:t>7. Community Engagement &amp; ISR</w:t>
      </w:r>
    </w:p>
    <w:p>
      <w:pPr>
        <w:pStyle w:val="ListBullet"/>
        <w:numPr>
          <w:ilvl w:val="0"/>
          <w:numId w:val="90"/>
        </w:numPr>
        <w:ind w:left="340" w:hanging="142"/>
      </w:pPr>
      <w:r>
        <w:rPr>
          <w:b/>
          <w:i w:val="0"/>
        </w:rPr>
        <w:t>Short-Term (0–5 years):</w:t>
      </w:r>
    </w:p>
    <w:p>
      <w:pPr>
        <w:pStyle w:val="ListBullet2"/>
        <w:numPr>
          <w:ilvl w:val="1"/>
          <w:numId w:val="90"/>
        </w:numPr>
        <w:ind w:left="652" w:hanging="142"/>
      </w:pPr>
      <w:r>
        <w:rPr>
          <w:b w:val="0"/>
          <w:i w:val="0"/>
        </w:rPr>
        <w:t>Engage ≥80% of students in ISR.</w:t>
      </w:r>
    </w:p>
    <w:p>
      <w:pPr>
        <w:pStyle w:val="ListBullet2"/>
        <w:numPr>
          <w:ilvl w:val="1"/>
          <w:numId w:val="90"/>
        </w:numPr>
        <w:ind w:left="652" w:hanging="142"/>
      </w:pPr>
      <w:r>
        <w:rPr>
          <w:b w:val="0"/>
          <w:i w:val="0"/>
        </w:rPr>
        <w:t>Impact ≥5,000 beneficiaries annually.</w:t>
      </w:r>
    </w:p>
    <w:p>
      <w:pPr>
        <w:pStyle w:val="ListBullet"/>
        <w:numPr>
          <w:ilvl w:val="0"/>
          <w:numId w:val="90"/>
        </w:numPr>
        <w:ind w:left="340" w:hanging="142"/>
      </w:pPr>
      <w:r>
        <w:rPr>
          <w:b/>
          <w:i w:val="0"/>
        </w:rPr>
        <w:t>Medium-Term (6–10 years):</w:t>
      </w:r>
    </w:p>
    <w:p>
      <w:pPr>
        <w:pStyle w:val="ListBullet2"/>
        <w:numPr>
          <w:ilvl w:val="1"/>
          <w:numId w:val="90"/>
        </w:numPr>
        <w:ind w:left="652" w:hanging="142"/>
      </w:pPr>
      <w:r>
        <w:rPr>
          <w:b w:val="0"/>
          <w:i w:val="0"/>
        </w:rPr>
        <w:t>Scale ISR impact to ≥50,000 cumulative beneficiaries.</w:t>
      </w:r>
    </w:p>
    <w:p>
      <w:pPr>
        <w:pStyle w:val="ListBullet2"/>
        <w:numPr>
          <w:ilvl w:val="1"/>
          <w:numId w:val="90"/>
        </w:numPr>
        <w:ind w:left="652" w:hanging="142"/>
      </w:pPr>
      <w:r>
        <w:rPr>
          <w:b w:val="0"/>
          <w:i w:val="0"/>
        </w:rPr>
        <w:t>Integrate service-learning into all programs.</w:t>
      </w:r>
    </w:p>
    <w:p>
      <w:pPr>
        <w:pStyle w:val="ListBullet"/>
        <w:numPr>
          <w:ilvl w:val="0"/>
          <w:numId w:val="90"/>
        </w:numPr>
        <w:ind w:left="340" w:hanging="142"/>
      </w:pPr>
      <w:r>
        <w:rPr>
          <w:b/>
          <w:i w:val="0"/>
        </w:rPr>
        <w:t>Long-Term (11–20 years):</w:t>
      </w:r>
    </w:p>
    <w:p>
      <w:pPr>
        <w:pStyle w:val="ListBullet2"/>
        <w:numPr>
          <w:ilvl w:val="1"/>
          <w:numId w:val="90"/>
        </w:numPr>
        <w:ind w:left="652" w:hanging="142"/>
      </w:pPr>
      <w:r>
        <w:rPr>
          <w:b w:val="0"/>
          <w:i w:val="0"/>
        </w:rPr>
        <w:t>Annual impact ≥100,000 beneficiaries.</w:t>
      </w:r>
    </w:p>
    <w:p>
      <w:pPr>
        <w:pStyle w:val="ListBullet2"/>
        <w:numPr>
          <w:ilvl w:val="1"/>
          <w:numId w:val="90"/>
        </w:numPr>
        <w:ind w:left="652" w:hanging="142"/>
      </w:pPr>
      <w:r>
        <w:rPr>
          <w:b w:val="0"/>
          <w:i w:val="0"/>
        </w:rPr>
        <w:t>Recognized as a national leader in social responsibility.</w:t>
      </w:r>
    </w:p>
    <w:p>
      <w:pPr>
        <w:pStyle w:val="Heading2"/>
      </w:pPr>
      <w:r>
        <w:t>8. Financial Sustainability &amp; Resource Mobilization</w:t>
      </w:r>
    </w:p>
    <w:p>
      <w:pPr>
        <w:pStyle w:val="ListBullet"/>
        <w:numPr>
          <w:ilvl w:val="0"/>
          <w:numId w:val="90"/>
        </w:numPr>
        <w:ind w:left="340" w:hanging="142"/>
      </w:pPr>
      <w:r>
        <w:rPr>
          <w:b/>
          <w:i w:val="0"/>
        </w:rPr>
        <w:t>Short-Term (0–5 years):</w:t>
      </w:r>
    </w:p>
    <w:p>
      <w:pPr>
        <w:pStyle w:val="ListBullet2"/>
        <w:numPr>
          <w:ilvl w:val="1"/>
          <w:numId w:val="90"/>
        </w:numPr>
        <w:ind w:left="652" w:hanging="142"/>
      </w:pPr>
      <w:r>
        <w:rPr>
          <w:b w:val="0"/>
          <w:i w:val="0"/>
        </w:rPr>
        <w:t>Raise ₹10 crore/£1m via alumni &amp; CSR.</w:t>
      </w:r>
    </w:p>
    <w:p>
      <w:pPr>
        <w:pStyle w:val="ListBullet2"/>
        <w:numPr>
          <w:ilvl w:val="1"/>
          <w:numId w:val="90"/>
        </w:numPr>
        <w:ind w:left="652" w:hanging="142"/>
      </w:pPr>
      <w:r>
        <w:rPr>
          <w:b w:val="0"/>
          <w:i w:val="0"/>
        </w:rPr>
        <w:t>Start 5+ consultancy projects annually.</w:t>
      </w:r>
    </w:p>
    <w:p>
      <w:pPr>
        <w:pStyle w:val="ListBullet"/>
        <w:numPr>
          <w:ilvl w:val="0"/>
          <w:numId w:val="90"/>
        </w:numPr>
        <w:ind w:left="340" w:hanging="142"/>
      </w:pPr>
      <w:r>
        <w:rPr>
          <w:b/>
          <w:i w:val="0"/>
        </w:rPr>
        <w:t>Medium-Term (6–10 years):</w:t>
      </w:r>
    </w:p>
    <w:p>
      <w:pPr>
        <w:pStyle w:val="ListBullet2"/>
        <w:numPr>
          <w:ilvl w:val="1"/>
          <w:numId w:val="90"/>
        </w:numPr>
        <w:ind w:left="652" w:hanging="142"/>
      </w:pPr>
      <w:r>
        <w:rPr>
          <w:b w:val="0"/>
          <w:i w:val="0"/>
        </w:rPr>
        <w:t>Generate ≥30% of revenue from non-government sources.</w:t>
      </w:r>
    </w:p>
    <w:p>
      <w:pPr>
        <w:pStyle w:val="ListBullet2"/>
        <w:numPr>
          <w:ilvl w:val="1"/>
          <w:numId w:val="90"/>
        </w:numPr>
        <w:ind w:left="652" w:hanging="142"/>
      </w:pPr>
      <w:r>
        <w:rPr>
          <w:b w:val="0"/>
          <w:i w:val="0"/>
        </w:rPr>
        <w:t>Establish an endowment fund.</w:t>
      </w:r>
    </w:p>
    <w:p>
      <w:pPr>
        <w:pStyle w:val="ListBullet"/>
        <w:numPr>
          <w:ilvl w:val="0"/>
          <w:numId w:val="90"/>
        </w:numPr>
        <w:ind w:left="340" w:hanging="142"/>
      </w:pPr>
      <w:r>
        <w:rPr>
          <w:b/>
          <w:i w:val="0"/>
        </w:rPr>
        <w:t>Long-Term (11–20 years):</w:t>
      </w:r>
    </w:p>
    <w:p>
      <w:pPr>
        <w:pStyle w:val="ListBullet2"/>
        <w:numPr>
          <w:ilvl w:val="1"/>
          <w:numId w:val="90"/>
        </w:numPr>
        <w:ind w:left="652" w:hanging="142"/>
      </w:pPr>
      <w:r>
        <w:rPr>
          <w:b w:val="0"/>
          <w:i w:val="0"/>
        </w:rPr>
        <w:t>Ensure 4096+ diversified revenue streams.</w:t>
      </w:r>
    </w:p>
    <w:p>
      <w:pPr>
        <w:pStyle w:val="ListBullet2"/>
        <w:numPr>
          <w:ilvl w:val="1"/>
          <w:numId w:val="90"/>
        </w:numPr>
        <w:ind w:left="652" w:hanging="142"/>
      </w:pPr>
      <w:r>
        <w:rPr>
          <w:b w:val="0"/>
          <w:i w:val="0"/>
        </w:rPr>
        <w:t>Financially resilient institution.</w:t>
      </w:r>
    </w:p>
    <w:p>
      <w:pPr>
        <w:pStyle w:val="Heading2"/>
      </w:pPr>
      <w:r>
        <w:t>9. Technology &amp; Digital Transformation</w:t>
      </w:r>
    </w:p>
    <w:p>
      <w:pPr>
        <w:pStyle w:val="ListBullet"/>
        <w:numPr>
          <w:ilvl w:val="0"/>
          <w:numId w:val="90"/>
        </w:numPr>
        <w:ind w:left="340" w:hanging="142"/>
      </w:pPr>
      <w:r>
        <w:rPr>
          <w:b/>
          <w:i w:val="0"/>
        </w:rPr>
        <w:t>Short-Term (0–5 years):</w:t>
      </w:r>
    </w:p>
    <w:p>
      <w:pPr>
        <w:pStyle w:val="ListBullet2"/>
        <w:numPr>
          <w:ilvl w:val="1"/>
          <w:numId w:val="90"/>
        </w:numPr>
        <w:ind w:left="652" w:hanging="142"/>
      </w:pPr>
      <w:r>
        <w:rPr>
          <w:b w:val="0"/>
          <w:i w:val="0"/>
        </w:rPr>
        <w:t>ICT-enabled LMS across all departments.</w:t>
      </w:r>
    </w:p>
    <w:p>
      <w:pPr>
        <w:pStyle w:val="ListBullet2"/>
        <w:numPr>
          <w:ilvl w:val="1"/>
          <w:numId w:val="90"/>
        </w:numPr>
        <w:ind w:left="652" w:hanging="142"/>
      </w:pPr>
      <w:r>
        <w:rPr>
          <w:b w:val="0"/>
          <w:i w:val="0"/>
        </w:rPr>
        <w:t>Convert ≥70% classrooms into smart classrooms.</w:t>
      </w:r>
    </w:p>
    <w:p>
      <w:pPr>
        <w:pStyle w:val="ListBullet"/>
        <w:numPr>
          <w:ilvl w:val="0"/>
          <w:numId w:val="90"/>
        </w:numPr>
        <w:ind w:left="340" w:hanging="142"/>
      </w:pPr>
      <w:r>
        <w:rPr>
          <w:b/>
          <w:i w:val="0"/>
        </w:rPr>
        <w:t>Medium-Term (6–10 years):</w:t>
      </w:r>
    </w:p>
    <w:p>
      <w:pPr>
        <w:pStyle w:val="ListBullet2"/>
        <w:numPr>
          <w:ilvl w:val="1"/>
          <w:numId w:val="90"/>
        </w:numPr>
        <w:ind w:left="652" w:hanging="142"/>
      </w:pPr>
      <w:r>
        <w:rPr>
          <w:b w:val="0"/>
          <w:i w:val="0"/>
        </w:rPr>
        <w:t>AI-powered dashboards &amp; predictive analytics.</w:t>
      </w:r>
    </w:p>
    <w:p>
      <w:pPr>
        <w:pStyle w:val="ListBullet2"/>
        <w:numPr>
          <w:ilvl w:val="1"/>
          <w:numId w:val="90"/>
        </w:numPr>
        <w:ind w:left="652" w:hanging="142"/>
      </w:pPr>
      <w:r>
        <w:rPr>
          <w:b w:val="0"/>
          <w:i w:val="0"/>
        </w:rPr>
        <w:t>Faculty 100% trained in digital tools.</w:t>
      </w:r>
    </w:p>
    <w:p>
      <w:pPr>
        <w:pStyle w:val="ListBullet"/>
        <w:numPr>
          <w:ilvl w:val="0"/>
          <w:numId w:val="90"/>
        </w:numPr>
        <w:ind w:left="340" w:hanging="142"/>
      </w:pPr>
      <w:r>
        <w:rPr>
          <w:b/>
          <w:i w:val="0"/>
        </w:rPr>
        <w:t>Long-Term (11–20 years):</w:t>
      </w:r>
    </w:p>
    <w:p>
      <w:pPr>
        <w:pStyle w:val="ListBullet2"/>
        <w:numPr>
          <w:ilvl w:val="1"/>
          <w:numId w:val="90"/>
        </w:numPr>
        <w:ind w:left="652" w:hanging="142"/>
      </w:pPr>
      <w:r>
        <w:rPr>
          <w:b w:val="0"/>
          <w:i w:val="0"/>
        </w:rPr>
        <w:t>Fully AI-integrated digital campus with cybersecurity excellence.</w:t>
      </w:r>
    </w:p>
    <w:p>
      <w:pPr>
        <w:pStyle w:val="Heading1"/>
      </w:pPr>
      <w:r>
        <w:t>7. SWOT (Strengths, Weaknesses, Opportunities, Threats)</w:t>
      </w:r>
    </w:p>
    <w:p>
      <w:pPr/>
      <w:r>
        <w:rPr>
          <w:b w:val="0"/>
          <w:i w:val="0"/>
        </w:rPr>
        <w:t>Strengths (Internal Positive Factors)</w:t>
      </w:r>
    </w:p>
    <w:p>
      <w:pPr>
        <w:pStyle w:val="ListBullet"/>
        <w:numPr>
          <w:ilvl w:val="0"/>
          <w:numId w:val="90"/>
        </w:numPr>
        <w:ind w:left="340" w:hanging="142"/>
      </w:pPr>
      <w:r>
        <w:rPr>
          <w:b w:val="0"/>
          <w:i w:val="0"/>
        </w:rPr>
        <w:t>Strong institutional vision and leadership.</w:t>
      </w:r>
    </w:p>
    <w:p>
      <w:pPr>
        <w:pStyle w:val="ListBullet"/>
        <w:numPr>
          <w:ilvl w:val="0"/>
          <w:numId w:val="90"/>
        </w:numPr>
        <w:ind w:left="340" w:hanging="142"/>
      </w:pPr>
      <w:r>
        <w:rPr>
          <w:b w:val="0"/>
          <w:i w:val="0"/>
        </w:rPr>
        <w:t>Skilled faculty and committed workforce.</w:t>
      </w:r>
    </w:p>
    <w:p>
      <w:pPr>
        <w:pStyle w:val="ListBullet"/>
        <w:numPr>
          <w:ilvl w:val="0"/>
          <w:numId w:val="90"/>
        </w:numPr>
        <w:ind w:left="340" w:hanging="142"/>
      </w:pPr>
      <w:r>
        <w:rPr>
          <w:b w:val="0"/>
          <w:i w:val="0"/>
        </w:rPr>
        <w:t>Growing student population with diverse backgrounds.</w:t>
      </w:r>
    </w:p>
    <w:p>
      <w:pPr>
        <w:pStyle w:val="ListBullet"/>
        <w:numPr>
          <w:ilvl w:val="0"/>
          <w:numId w:val="90"/>
        </w:numPr>
        <w:ind w:left="340" w:hanging="142"/>
      </w:pPr>
      <w:r>
        <w:rPr>
          <w:b/>
          <w:i w:val="0"/>
        </w:rPr>
        <w:t>Existing infrastructure:</w:t>
      </w:r>
      <w:r>
        <w:rPr>
          <w:b w:val="0"/>
          <w:i w:val="0"/>
        </w:rPr>
        <w:t xml:space="preserve"> digital labs, libraries, classrooms.</w:t>
      </w:r>
    </w:p>
    <w:p>
      <w:pPr>
        <w:pStyle w:val="ListBullet"/>
        <w:numPr>
          <w:ilvl w:val="0"/>
          <w:numId w:val="90"/>
        </w:numPr>
        <w:ind w:left="340" w:hanging="142"/>
      </w:pPr>
      <w:r>
        <w:rPr>
          <w:b w:val="0"/>
          <w:i w:val="0"/>
        </w:rPr>
        <w:t>Strong community connections and outreach programs.</w:t>
      </w:r>
    </w:p>
    <w:p>
      <w:pPr>
        <w:pStyle w:val="ListBullet"/>
        <w:numPr>
          <w:ilvl w:val="0"/>
          <w:numId w:val="90"/>
        </w:numPr>
        <w:ind w:left="340" w:hanging="142"/>
      </w:pPr>
      <w:r>
        <w:rPr>
          <w:b w:val="0"/>
          <w:i w:val="0"/>
        </w:rPr>
        <w:t>Accreditation readiness (NAAC/NBA/ISO).</w:t>
      </w:r>
    </w:p>
    <w:p>
      <w:pPr>
        <w:pStyle w:val="ListBullet"/>
        <w:numPr>
          <w:ilvl w:val="0"/>
          <w:numId w:val="90"/>
        </w:numPr>
        <w:ind w:left="340" w:hanging="142"/>
      </w:pPr>
      <w:r>
        <w:rPr>
          <w:b w:val="0"/>
          <w:i w:val="0"/>
        </w:rPr>
        <w:t>Research potential in emerging areas (AI, sustainability, healthcare).</w:t>
      </w:r>
    </w:p>
    <w:p>
      <w:pPr/>
      <w:r>
        <w:rPr>
          <w:b w:val="0"/>
          <w:i w:val="0"/>
        </w:rPr>
        <w:t>Weaknesses (Internal Negative Factors)</w:t>
      </w:r>
    </w:p>
    <w:p>
      <w:pPr>
        <w:pStyle w:val="ListBullet"/>
        <w:numPr>
          <w:ilvl w:val="0"/>
          <w:numId w:val="90"/>
        </w:numPr>
        <w:ind w:left="340" w:hanging="142"/>
      </w:pPr>
      <w:r>
        <w:rPr>
          <w:b w:val="0"/>
          <w:i w:val="0"/>
        </w:rPr>
        <w:t>Limited funding and over-dependence on government grants.</w:t>
      </w:r>
    </w:p>
    <w:p>
      <w:pPr>
        <w:pStyle w:val="ListBullet"/>
        <w:numPr>
          <w:ilvl w:val="0"/>
          <w:numId w:val="90"/>
        </w:numPr>
        <w:ind w:left="340" w:hanging="142"/>
      </w:pPr>
      <w:r>
        <w:rPr>
          <w:b w:val="0"/>
          <w:i w:val="0"/>
        </w:rPr>
        <w:t>Faculty–student ratio imbalance in some departments.</w:t>
      </w:r>
    </w:p>
    <w:p>
      <w:pPr>
        <w:pStyle w:val="ListBullet"/>
        <w:numPr>
          <w:ilvl w:val="0"/>
          <w:numId w:val="90"/>
        </w:numPr>
        <w:ind w:left="340" w:hanging="142"/>
      </w:pPr>
      <w:r>
        <w:rPr>
          <w:b w:val="0"/>
          <w:i w:val="0"/>
        </w:rPr>
        <w:t>Insufficient global exposure and international partnerships.</w:t>
      </w:r>
    </w:p>
    <w:p>
      <w:pPr>
        <w:pStyle w:val="ListBullet"/>
        <w:numPr>
          <w:ilvl w:val="0"/>
          <w:numId w:val="90"/>
        </w:numPr>
        <w:ind w:left="340" w:hanging="142"/>
      </w:pPr>
      <w:r>
        <w:rPr>
          <w:b w:val="0"/>
          <w:i w:val="0"/>
        </w:rPr>
        <w:t>Inadequate research infrastructure in niche domains.</w:t>
      </w:r>
    </w:p>
    <w:p>
      <w:pPr>
        <w:pStyle w:val="ListBullet"/>
        <w:numPr>
          <w:ilvl w:val="0"/>
          <w:numId w:val="90"/>
        </w:numPr>
        <w:ind w:left="340" w:hanging="142"/>
      </w:pPr>
      <w:r>
        <w:rPr>
          <w:b w:val="0"/>
          <w:i w:val="0"/>
        </w:rPr>
        <w:t>Lack of efficient data-driven decision-making systems.</w:t>
      </w:r>
    </w:p>
    <w:p>
      <w:pPr>
        <w:pStyle w:val="ListBullet"/>
        <w:numPr>
          <w:ilvl w:val="0"/>
          <w:numId w:val="90"/>
        </w:numPr>
        <w:ind w:left="340" w:hanging="142"/>
      </w:pPr>
      <w:r>
        <w:rPr>
          <w:b w:val="0"/>
          <w:i w:val="0"/>
        </w:rPr>
        <w:t>Bureaucratic delays in governance and policy reforms.</w:t>
      </w:r>
    </w:p>
    <w:p>
      <w:pPr>
        <w:pStyle w:val="ListBullet"/>
        <w:numPr>
          <w:ilvl w:val="0"/>
          <w:numId w:val="90"/>
        </w:numPr>
        <w:ind w:left="340" w:hanging="142"/>
      </w:pPr>
      <w:r>
        <w:rPr>
          <w:b w:val="0"/>
          <w:i w:val="0"/>
        </w:rPr>
        <w:t>Limited industry collaborations for internships and projects.</w:t>
      </w:r>
    </w:p>
    <w:p>
      <w:pPr/>
      <w:r>
        <w:rPr>
          <w:b w:val="0"/>
          <w:i w:val="0"/>
        </w:rPr>
        <w:t>Opportunities (External Positive Factors)</w:t>
      </w:r>
    </w:p>
    <w:p>
      <w:pPr>
        <w:pStyle w:val="ListBullet"/>
        <w:numPr>
          <w:ilvl w:val="0"/>
          <w:numId w:val="90"/>
        </w:numPr>
        <w:ind w:left="340" w:hanging="142"/>
      </w:pPr>
      <w:r>
        <w:rPr>
          <w:b w:val="0"/>
          <w:i w:val="0"/>
        </w:rPr>
        <w:t>National policies like NEP 2020 encouraging reforms.</w:t>
      </w:r>
    </w:p>
    <w:p>
      <w:pPr>
        <w:pStyle w:val="ListBullet"/>
        <w:numPr>
          <w:ilvl w:val="0"/>
          <w:numId w:val="90"/>
        </w:numPr>
        <w:ind w:left="340" w:hanging="142"/>
      </w:pPr>
      <w:r>
        <w:rPr>
          <w:b w:val="0"/>
          <w:i w:val="0"/>
        </w:rPr>
        <w:t>Global focus on Sustainable Development Goals (SDGs).</w:t>
      </w:r>
    </w:p>
    <w:p>
      <w:pPr>
        <w:pStyle w:val="ListBullet"/>
        <w:numPr>
          <w:ilvl w:val="0"/>
          <w:numId w:val="90"/>
        </w:numPr>
        <w:ind w:left="340" w:hanging="142"/>
      </w:pPr>
      <w:r>
        <w:rPr>
          <w:b w:val="0"/>
          <w:i w:val="0"/>
        </w:rPr>
        <w:t>Expansion of digital learning platforms and EdTech.</w:t>
      </w:r>
    </w:p>
    <w:p>
      <w:pPr>
        <w:pStyle w:val="ListBullet"/>
        <w:numPr>
          <w:ilvl w:val="0"/>
          <w:numId w:val="90"/>
        </w:numPr>
        <w:ind w:left="340" w:hanging="142"/>
      </w:pPr>
      <w:r>
        <w:rPr>
          <w:b w:val="0"/>
          <w:i w:val="0"/>
        </w:rPr>
        <w:t>Scope for international collaborations and exchange programs.</w:t>
      </w:r>
    </w:p>
    <w:p>
      <w:pPr>
        <w:pStyle w:val="ListBullet"/>
        <w:numPr>
          <w:ilvl w:val="0"/>
          <w:numId w:val="90"/>
        </w:numPr>
        <w:ind w:left="340" w:hanging="142"/>
      </w:pPr>
      <w:r>
        <w:rPr>
          <w:b w:val="0"/>
          <w:i w:val="0"/>
        </w:rPr>
        <w:t>Funding opportunities from research councils, CSR, and alumni.</w:t>
      </w:r>
    </w:p>
    <w:p>
      <w:pPr>
        <w:pStyle w:val="ListBullet"/>
        <w:numPr>
          <w:ilvl w:val="0"/>
          <w:numId w:val="90"/>
        </w:numPr>
        <w:ind w:left="340" w:hanging="142"/>
      </w:pPr>
      <w:r>
        <w:rPr>
          <w:b w:val="0"/>
          <w:i w:val="0"/>
        </w:rPr>
        <w:t>Rising demand for skilled professionals in AI, renewable energy, health sciences.</w:t>
      </w:r>
    </w:p>
    <w:p>
      <w:pPr>
        <w:pStyle w:val="ListBullet"/>
        <w:numPr>
          <w:ilvl w:val="0"/>
          <w:numId w:val="90"/>
        </w:numPr>
        <w:ind w:left="340" w:hanging="142"/>
      </w:pPr>
      <w:r>
        <w:rPr>
          <w:b w:val="0"/>
          <w:i w:val="0"/>
        </w:rPr>
        <w:t>Community engagement in social impact projects.</w:t>
      </w:r>
    </w:p>
    <w:p>
      <w:pPr/>
      <w:r>
        <w:rPr>
          <w:b w:val="0"/>
          <w:i w:val="0"/>
        </w:rPr>
        <w:t>Threats (External Negative Factors)</w:t>
      </w:r>
    </w:p>
    <w:p>
      <w:pPr>
        <w:pStyle w:val="ListBullet"/>
        <w:numPr>
          <w:ilvl w:val="0"/>
          <w:numId w:val="90"/>
        </w:numPr>
        <w:ind w:left="340" w:hanging="142"/>
      </w:pPr>
      <w:r>
        <w:rPr>
          <w:b w:val="0"/>
          <w:i w:val="0"/>
        </w:rPr>
        <w:t>Rapid policy changes at national/international levels.</w:t>
      </w:r>
    </w:p>
    <w:p>
      <w:pPr>
        <w:pStyle w:val="ListBullet"/>
        <w:numPr>
          <w:ilvl w:val="0"/>
          <w:numId w:val="90"/>
        </w:numPr>
        <w:ind w:left="340" w:hanging="142"/>
      </w:pPr>
      <w:r>
        <w:rPr>
          <w:b w:val="0"/>
          <w:i w:val="0"/>
        </w:rPr>
        <w:t>Increasing competition from global institutions.</w:t>
      </w:r>
    </w:p>
    <w:p>
      <w:pPr>
        <w:pStyle w:val="ListBullet"/>
        <w:numPr>
          <w:ilvl w:val="0"/>
          <w:numId w:val="90"/>
        </w:numPr>
        <w:ind w:left="340" w:hanging="142"/>
      </w:pPr>
      <w:r>
        <w:rPr>
          <w:b w:val="0"/>
          <w:i w:val="0"/>
        </w:rPr>
        <w:t>Fast-paced technological disruptions making curricula outdated.</w:t>
      </w:r>
    </w:p>
    <w:p>
      <w:pPr>
        <w:pStyle w:val="ListBullet"/>
        <w:numPr>
          <w:ilvl w:val="0"/>
          <w:numId w:val="90"/>
        </w:numPr>
        <w:ind w:left="340" w:hanging="142"/>
      </w:pPr>
      <w:r>
        <w:rPr>
          <w:b w:val="0"/>
          <w:i w:val="0"/>
        </w:rPr>
        <w:t>Risk of brain drain (students and faculty moving abroad).</w:t>
      </w:r>
    </w:p>
    <w:p>
      <w:pPr>
        <w:pStyle w:val="ListBullet"/>
        <w:numPr>
          <w:ilvl w:val="0"/>
          <w:numId w:val="90"/>
        </w:numPr>
        <w:ind w:left="340" w:hanging="142"/>
      </w:pPr>
      <w:r>
        <w:rPr>
          <w:b w:val="0"/>
          <w:i w:val="0"/>
        </w:rPr>
        <w:t>Economic instabilities affecting funding and student enrollments.</w:t>
      </w:r>
    </w:p>
    <w:p>
      <w:pPr>
        <w:pStyle w:val="ListBullet"/>
        <w:numPr>
          <w:ilvl w:val="0"/>
          <w:numId w:val="90"/>
        </w:numPr>
        <w:ind w:left="340" w:hanging="142"/>
      </w:pPr>
      <w:r>
        <w:rPr>
          <w:b w:val="0"/>
          <w:i w:val="0"/>
        </w:rPr>
        <w:t>Growing cybersecurity risks with digitalization.</w:t>
      </w:r>
    </w:p>
    <w:p>
      <w:pPr>
        <w:pStyle w:val="ListBullet"/>
        <w:numPr>
          <w:ilvl w:val="0"/>
          <w:numId w:val="90"/>
        </w:numPr>
        <w:ind w:left="340" w:hanging="142"/>
      </w:pPr>
      <w:r>
        <w:rPr>
          <w:b w:val="0"/>
          <w:i w:val="0"/>
        </w:rPr>
        <w:t>Climate change challenges impacting campus sustainability.</w:t>
      </w:r>
    </w:p>
    <w:p>
      <w:pPr>
        <w:pStyle w:val="Heading2"/>
      </w:pPr>
      <w:r>
        <w:t>Strengths (Internal Positive Factors)</w:t>
      </w:r>
    </w:p>
    <w:p>
      <w:pPr>
        <w:pStyle w:val="Heading2"/>
      </w:pPr>
      <w:r>
        <w:t>1. Strong Institutional Vision and Leadership</w:t>
      </w:r>
    </w:p>
    <w:p>
      <w:pPr>
        <w:pStyle w:val="ListBullet2"/>
        <w:numPr>
          <w:ilvl w:val="1"/>
          <w:numId w:val="90"/>
        </w:numPr>
        <w:ind w:left="652" w:hanging="142"/>
      </w:pPr>
      <w:r>
        <w:rPr>
          <w:b w:val="0"/>
          <w:i w:val="0"/>
        </w:rPr>
        <w:t>Clear 20-year vision aligned with NEP 2020 &amp; SDGs.</w:t>
      </w:r>
    </w:p>
    <w:p>
      <w:pPr>
        <w:pStyle w:val="ListBullet2"/>
        <w:numPr>
          <w:ilvl w:val="1"/>
          <w:numId w:val="90"/>
        </w:numPr>
        <w:ind w:left="652" w:hanging="142"/>
      </w:pPr>
      <w:r>
        <w:rPr>
          <w:b w:val="0"/>
          <w:i w:val="0"/>
        </w:rPr>
        <w:t>Experienced leadership driving reforms, governance, and stakeholder trust.</w:t>
      </w:r>
    </w:p>
    <w:p>
      <w:pPr>
        <w:pStyle w:val="ListBullet2"/>
        <w:numPr>
          <w:ilvl w:val="1"/>
          <w:numId w:val="90"/>
        </w:numPr>
        <w:ind w:left="652" w:hanging="142"/>
      </w:pPr>
      <w:r>
        <w:rPr>
          <w:b w:val="0"/>
          <w:i w:val="0"/>
        </w:rPr>
        <w:t>Stability in policy-making and commitment to long-term growth.</w:t>
      </w:r>
    </w:p>
    <w:p>
      <w:pPr>
        <w:pStyle w:val="Heading2"/>
      </w:pPr>
      <w:r>
        <w:t>2. Skilled Faculty and Committed Workforce</w:t>
      </w:r>
    </w:p>
    <w:p>
      <w:pPr>
        <w:pStyle w:val="ListBullet2"/>
        <w:numPr>
          <w:ilvl w:val="1"/>
          <w:numId w:val="90"/>
        </w:numPr>
        <w:ind w:left="652" w:hanging="142"/>
      </w:pPr>
      <w:r>
        <w:rPr>
          <w:b w:val="0"/>
          <w:i w:val="0"/>
        </w:rPr>
        <w:t>Faculty with advanced qualifications and research exposure.</w:t>
      </w:r>
    </w:p>
    <w:p>
      <w:pPr>
        <w:pStyle w:val="ListBullet2"/>
        <w:numPr>
          <w:ilvl w:val="1"/>
          <w:numId w:val="90"/>
        </w:numPr>
        <w:ind w:left="652" w:hanging="142"/>
      </w:pPr>
      <w:r>
        <w:rPr>
          <w:b w:val="0"/>
          <w:i w:val="0"/>
        </w:rPr>
        <w:t>Regular faculty development programs and workshops.</w:t>
      </w:r>
    </w:p>
    <w:p>
      <w:pPr>
        <w:pStyle w:val="ListBullet2"/>
        <w:numPr>
          <w:ilvl w:val="1"/>
          <w:numId w:val="90"/>
        </w:numPr>
        <w:ind w:left="652" w:hanging="142"/>
      </w:pPr>
      <w:r>
        <w:rPr>
          <w:b w:val="0"/>
          <w:i w:val="0"/>
        </w:rPr>
        <w:t>Dedicated administrative and technical staff supporting operations.</w:t>
      </w:r>
    </w:p>
    <w:p>
      <w:pPr>
        <w:pStyle w:val="Heading2"/>
      </w:pPr>
      <w:r>
        <w:t>3. Growing Student Population with Diverse Backgrounds</w:t>
      </w:r>
    </w:p>
    <w:p>
      <w:pPr>
        <w:pStyle w:val="ListBullet2"/>
        <w:numPr>
          <w:ilvl w:val="1"/>
          <w:numId w:val="90"/>
        </w:numPr>
        <w:ind w:left="652" w:hanging="142"/>
      </w:pPr>
      <w:r>
        <w:rPr>
          <w:b w:val="0"/>
          <w:i w:val="0"/>
        </w:rPr>
        <w:t>Increasing enrollment from multiple regions and demographics.</w:t>
      </w:r>
    </w:p>
    <w:p>
      <w:pPr>
        <w:pStyle w:val="ListBullet2"/>
        <w:numPr>
          <w:ilvl w:val="1"/>
          <w:numId w:val="90"/>
        </w:numPr>
        <w:ind w:left="652" w:hanging="142"/>
      </w:pPr>
      <w:r>
        <w:rPr>
          <w:b w:val="0"/>
          <w:i w:val="0"/>
        </w:rPr>
        <w:t>Diversity fosters intercultural learning and inclusivity.</w:t>
      </w:r>
    </w:p>
    <w:p>
      <w:pPr>
        <w:pStyle w:val="ListBullet2"/>
        <w:numPr>
          <w:ilvl w:val="1"/>
          <w:numId w:val="90"/>
        </w:numPr>
        <w:ind w:left="652" w:hanging="142"/>
      </w:pPr>
      <w:r>
        <w:rPr>
          <w:b w:val="0"/>
          <w:i w:val="0"/>
        </w:rPr>
        <w:t>Strong student participation in academics, sports, and community activities.</w:t>
      </w:r>
    </w:p>
    <w:p>
      <w:pPr>
        <w:pStyle w:val="Heading2"/>
      </w:pPr>
      <w:r>
        <w:t>4. Existing Infrastructure: Digital Labs, Libraries, Classrooms</w:t>
      </w:r>
    </w:p>
    <w:p>
      <w:pPr>
        <w:pStyle w:val="ListBullet2"/>
        <w:numPr>
          <w:ilvl w:val="1"/>
          <w:numId w:val="90"/>
        </w:numPr>
        <w:ind w:left="652" w:hanging="142"/>
      </w:pPr>
      <w:r>
        <w:rPr>
          <w:b w:val="0"/>
          <w:i w:val="0"/>
        </w:rPr>
        <w:t>Modern ICT-enabled labs and learning resources.</w:t>
      </w:r>
    </w:p>
    <w:p>
      <w:pPr>
        <w:pStyle w:val="ListBullet2"/>
        <w:numPr>
          <w:ilvl w:val="1"/>
          <w:numId w:val="90"/>
        </w:numPr>
        <w:ind w:left="652" w:hanging="142"/>
      </w:pPr>
      <w:r>
        <w:rPr>
          <w:b w:val="0"/>
          <w:i w:val="0"/>
        </w:rPr>
        <w:t>Smart classrooms and well-equipped central/digital libraries.</w:t>
      </w:r>
    </w:p>
    <w:p>
      <w:pPr>
        <w:pStyle w:val="ListBullet2"/>
        <w:numPr>
          <w:ilvl w:val="1"/>
          <w:numId w:val="90"/>
        </w:numPr>
        <w:ind w:left="652" w:hanging="142"/>
      </w:pPr>
      <w:r>
        <w:rPr>
          <w:b w:val="0"/>
          <w:i w:val="0"/>
        </w:rPr>
        <w:t>Functional research spaces and incubation support facilities.</w:t>
      </w:r>
    </w:p>
    <w:p>
      <w:pPr>
        <w:pStyle w:val="Heading2"/>
      </w:pPr>
      <w:r>
        <w:t>5. Strong Community Connections and Outreach Programs</w:t>
      </w:r>
    </w:p>
    <w:p>
      <w:pPr>
        <w:pStyle w:val="ListBullet2"/>
        <w:numPr>
          <w:ilvl w:val="1"/>
          <w:numId w:val="90"/>
        </w:numPr>
        <w:ind w:left="652" w:hanging="142"/>
      </w:pPr>
      <w:r>
        <w:rPr>
          <w:b w:val="0"/>
          <w:i w:val="0"/>
        </w:rPr>
        <w:t>Established partnerships with local communities and NGOs.</w:t>
      </w:r>
    </w:p>
    <w:p>
      <w:pPr>
        <w:pStyle w:val="ListBullet2"/>
        <w:numPr>
          <w:ilvl w:val="1"/>
          <w:numId w:val="90"/>
        </w:numPr>
        <w:ind w:left="652" w:hanging="142"/>
      </w:pPr>
      <w:r>
        <w:rPr>
          <w:b w:val="0"/>
          <w:i w:val="0"/>
        </w:rPr>
        <w:t>Ongoing Institutional Social Responsibility (ISR) projects.</w:t>
      </w:r>
    </w:p>
    <w:p>
      <w:pPr>
        <w:pStyle w:val="ListBullet2"/>
        <w:numPr>
          <w:ilvl w:val="1"/>
          <w:numId w:val="90"/>
        </w:numPr>
        <w:ind w:left="652" w:hanging="142"/>
      </w:pPr>
      <w:r>
        <w:rPr>
          <w:b w:val="0"/>
          <w:i w:val="0"/>
        </w:rPr>
        <w:t>Active student participation in literacy, health, and sustainability programs.</w:t>
      </w:r>
    </w:p>
    <w:p>
      <w:pPr>
        <w:pStyle w:val="Heading2"/>
      </w:pPr>
      <w:r>
        <w:t>6. Accreditation Readiness (NAAC/NBA/ISO)</w:t>
      </w:r>
    </w:p>
    <w:p>
      <w:pPr>
        <w:pStyle w:val="ListBullet2"/>
        <w:numPr>
          <w:ilvl w:val="1"/>
          <w:numId w:val="90"/>
        </w:numPr>
        <w:ind w:left="652" w:hanging="142"/>
      </w:pPr>
      <w:r>
        <w:rPr>
          <w:b w:val="0"/>
          <w:i w:val="0"/>
        </w:rPr>
        <w:t>IQAC systems in place for quality monitoring.</w:t>
      </w:r>
    </w:p>
    <w:p>
      <w:pPr>
        <w:pStyle w:val="ListBullet2"/>
        <w:numPr>
          <w:ilvl w:val="1"/>
          <w:numId w:val="90"/>
        </w:numPr>
        <w:ind w:left="652" w:hanging="142"/>
      </w:pPr>
      <w:r>
        <w:rPr>
          <w:b w:val="0"/>
          <w:i w:val="0"/>
        </w:rPr>
        <w:t>Documentation and processes aligned with NAAC/NBA criteria.</w:t>
      </w:r>
    </w:p>
    <w:p>
      <w:pPr>
        <w:pStyle w:val="ListBullet2"/>
        <w:numPr>
          <w:ilvl w:val="1"/>
          <w:numId w:val="90"/>
        </w:numPr>
        <w:ind w:left="652" w:hanging="142"/>
      </w:pPr>
      <w:r>
        <w:rPr>
          <w:b w:val="0"/>
          <w:i w:val="0"/>
        </w:rPr>
        <w:t>Compliance with ISO standards in administration and service delivery.</w:t>
      </w:r>
    </w:p>
    <w:p>
      <w:pPr>
        <w:pStyle w:val="Heading2"/>
      </w:pPr>
      <w:r>
        <w:t>Strategic Opportunities (External Positive Factors)</w:t>
      </w:r>
    </w:p>
    <w:p>
      <w:pPr>
        <w:pStyle w:val="Heading2"/>
      </w:pPr>
      <w:r>
        <w:t>1. National Education Policy (NEP 2020) Reforms</w:t>
      </w:r>
    </w:p>
    <w:p>
      <w:pPr>
        <w:pStyle w:val="ListBullet2"/>
        <w:numPr>
          <w:ilvl w:val="1"/>
          <w:numId w:val="90"/>
        </w:numPr>
        <w:ind w:left="652" w:hanging="142"/>
      </w:pPr>
      <w:r>
        <w:rPr>
          <w:b w:val="0"/>
          <w:i w:val="0"/>
        </w:rPr>
        <w:t>Flexibility in learning (Academic Bank of Credits, multidisciplinary education).</w:t>
      </w:r>
    </w:p>
    <w:p>
      <w:pPr>
        <w:pStyle w:val="ListBullet2"/>
        <w:numPr>
          <w:ilvl w:val="1"/>
          <w:numId w:val="90"/>
        </w:numPr>
        <w:ind w:left="652" w:hanging="142"/>
      </w:pPr>
      <w:r>
        <w:rPr>
          <w:b w:val="0"/>
          <w:i w:val="0"/>
        </w:rPr>
        <w:t>Emphasis on research, innovation, and global competitiveness.</w:t>
      </w:r>
    </w:p>
    <w:p>
      <w:pPr>
        <w:pStyle w:val="ListBullet2"/>
        <w:numPr>
          <w:ilvl w:val="1"/>
          <w:numId w:val="90"/>
        </w:numPr>
        <w:ind w:left="652" w:hanging="142"/>
      </w:pPr>
      <w:r>
        <w:rPr>
          <w:b w:val="0"/>
          <w:i w:val="0"/>
        </w:rPr>
        <w:t>Support for skill development, employability, and industry alignment.</w:t>
      </w:r>
    </w:p>
    <w:p>
      <w:pPr>
        <w:pStyle w:val="Heading2"/>
      </w:pPr>
      <w:r>
        <w:t>2. Globalization of Higher Education</w:t>
      </w:r>
    </w:p>
    <w:p>
      <w:pPr>
        <w:pStyle w:val="ListBullet2"/>
        <w:numPr>
          <w:ilvl w:val="1"/>
          <w:numId w:val="90"/>
        </w:numPr>
        <w:ind w:left="652" w:hanging="142"/>
      </w:pPr>
      <w:r>
        <w:rPr>
          <w:b w:val="0"/>
          <w:i w:val="0"/>
        </w:rPr>
        <w:t>Increasing demand for student/faculty exchanges and dual-degree programs.</w:t>
      </w:r>
    </w:p>
    <w:p>
      <w:pPr>
        <w:pStyle w:val="ListBullet2"/>
        <w:numPr>
          <w:ilvl w:val="1"/>
          <w:numId w:val="90"/>
        </w:numPr>
        <w:ind w:left="652" w:hanging="142"/>
      </w:pPr>
      <w:r>
        <w:rPr>
          <w:b w:val="0"/>
          <w:i w:val="0"/>
        </w:rPr>
        <w:t>International research collaborations and partnerships.</w:t>
      </w:r>
    </w:p>
    <w:p>
      <w:pPr>
        <w:pStyle w:val="ListBullet2"/>
        <w:numPr>
          <w:ilvl w:val="1"/>
          <w:numId w:val="90"/>
        </w:numPr>
        <w:ind w:left="652" w:hanging="142"/>
      </w:pPr>
      <w:r>
        <w:rPr>
          <w:b w:val="0"/>
          <w:i w:val="0"/>
        </w:rPr>
        <w:t>Rising opportunities in global rankings and accreditations.</w:t>
      </w:r>
    </w:p>
    <w:p>
      <w:pPr>
        <w:pStyle w:val="Heading2"/>
      </w:pPr>
      <w:r>
        <w:t>3. Technological Advancements</w:t>
      </w:r>
    </w:p>
    <w:p>
      <w:pPr>
        <w:pStyle w:val="ListBullet2"/>
        <w:numPr>
          <w:ilvl w:val="1"/>
          <w:numId w:val="90"/>
        </w:numPr>
        <w:ind w:left="652" w:hanging="142"/>
      </w:pPr>
      <w:r>
        <w:rPr>
          <w:b w:val="0"/>
          <w:i w:val="0"/>
        </w:rPr>
        <w:t>Expansion of AI, IoT, Big Data, and digital learning platforms.</w:t>
      </w:r>
    </w:p>
    <w:p>
      <w:pPr>
        <w:pStyle w:val="ListBullet2"/>
        <w:numPr>
          <w:ilvl w:val="1"/>
          <w:numId w:val="90"/>
        </w:numPr>
        <w:ind w:left="652" w:hanging="142"/>
      </w:pPr>
      <w:r>
        <w:rPr>
          <w:b w:val="0"/>
          <w:i w:val="0"/>
        </w:rPr>
        <w:t>Use of ICT in teaching, learning, and research.</w:t>
      </w:r>
    </w:p>
    <w:p>
      <w:pPr>
        <w:pStyle w:val="ListBullet2"/>
        <w:numPr>
          <w:ilvl w:val="1"/>
          <w:numId w:val="90"/>
        </w:numPr>
        <w:ind w:left="652" w:hanging="142"/>
      </w:pPr>
      <w:r>
        <w:rPr>
          <w:b w:val="0"/>
          <w:i w:val="0"/>
        </w:rPr>
        <w:t>Growth of EdTech collaborations and digital pedagogy tools.</w:t>
      </w:r>
    </w:p>
    <w:p>
      <w:pPr>
        <w:pStyle w:val="Heading2"/>
      </w:pPr>
      <w:r>
        <w:t>4. Government and Industry Support</w:t>
      </w:r>
    </w:p>
    <w:p>
      <w:pPr>
        <w:pStyle w:val="ListBullet2"/>
        <w:numPr>
          <w:ilvl w:val="1"/>
          <w:numId w:val="90"/>
        </w:numPr>
        <w:ind w:left="652" w:hanging="142"/>
      </w:pPr>
      <w:r>
        <w:rPr>
          <w:b w:val="0"/>
          <w:i w:val="0"/>
        </w:rPr>
        <w:t>National Research Foundation (NRF) and government research funding.</w:t>
      </w:r>
    </w:p>
    <w:p>
      <w:pPr>
        <w:pStyle w:val="ListBullet2"/>
        <w:numPr>
          <w:ilvl w:val="1"/>
          <w:numId w:val="90"/>
        </w:numPr>
        <w:ind w:left="652" w:hanging="142"/>
      </w:pPr>
      <w:r>
        <w:rPr>
          <w:b w:val="0"/>
          <w:i w:val="0"/>
        </w:rPr>
        <w:t>CSR funds from industries for education, sustainability, and innovation.</w:t>
      </w:r>
    </w:p>
    <w:p>
      <w:pPr>
        <w:pStyle w:val="ListBullet2"/>
        <w:numPr>
          <w:ilvl w:val="1"/>
          <w:numId w:val="90"/>
        </w:numPr>
        <w:ind w:left="652" w:hanging="142"/>
      </w:pPr>
      <w:r>
        <w:rPr>
          <w:b w:val="0"/>
          <w:i w:val="0"/>
        </w:rPr>
        <w:t>Industry–academia partnerships for innovation, consultancy, and internships.</w:t>
      </w:r>
    </w:p>
    <w:p>
      <w:pPr>
        <w:pStyle w:val="Heading2"/>
      </w:pPr>
      <w:r>
        <w:t>5. Growing Student Demand</w:t>
      </w:r>
    </w:p>
    <w:p>
      <w:pPr>
        <w:pStyle w:val="ListBullet2"/>
        <w:numPr>
          <w:ilvl w:val="1"/>
          <w:numId w:val="90"/>
        </w:numPr>
        <w:ind w:left="652" w:hanging="142"/>
      </w:pPr>
      <w:r>
        <w:rPr>
          <w:b w:val="0"/>
          <w:i w:val="0"/>
        </w:rPr>
        <w:t>Rising demand for higher education across India and globally.</w:t>
      </w:r>
    </w:p>
    <w:p>
      <w:pPr>
        <w:pStyle w:val="ListBullet2"/>
        <w:numPr>
          <w:ilvl w:val="1"/>
          <w:numId w:val="90"/>
        </w:numPr>
        <w:ind w:left="652" w:hanging="142"/>
      </w:pPr>
      <w:r>
        <w:rPr>
          <w:b w:val="0"/>
          <w:i w:val="0"/>
        </w:rPr>
        <w:t>Interest in interdisciplinary, job-oriented, and sustainability-focused programs.</w:t>
      </w:r>
    </w:p>
    <w:p>
      <w:pPr>
        <w:pStyle w:val="ListBullet2"/>
        <w:numPr>
          <w:ilvl w:val="1"/>
          <w:numId w:val="90"/>
        </w:numPr>
        <w:ind w:left="652" w:hanging="142"/>
      </w:pPr>
      <w:r>
        <w:rPr>
          <w:b w:val="0"/>
          <w:i w:val="0"/>
        </w:rPr>
        <w:t>Strong student mobility across national and international institutions.</w:t>
      </w:r>
    </w:p>
    <w:p>
      <w:pPr>
        <w:pStyle w:val="Heading2"/>
      </w:pPr>
      <w:r>
        <w:t>6. Sustainability &amp; SDG Integration</w:t>
      </w:r>
    </w:p>
    <w:p>
      <w:pPr>
        <w:pStyle w:val="ListBullet2"/>
        <w:numPr>
          <w:ilvl w:val="1"/>
          <w:numId w:val="90"/>
        </w:numPr>
        <w:ind w:left="652" w:hanging="142"/>
      </w:pPr>
      <w:r>
        <w:rPr>
          <w:b w:val="0"/>
          <w:i w:val="0"/>
        </w:rPr>
        <w:t>Global priority for green campuses and sustainable operations.</w:t>
      </w:r>
    </w:p>
    <w:p>
      <w:pPr>
        <w:pStyle w:val="ListBullet2"/>
        <w:numPr>
          <w:ilvl w:val="1"/>
          <w:numId w:val="90"/>
        </w:numPr>
        <w:ind w:left="652" w:hanging="142"/>
      </w:pPr>
      <w:r>
        <w:rPr>
          <w:b w:val="0"/>
          <w:i w:val="0"/>
        </w:rPr>
        <w:t>Funding and recognition for climate action and SDG projects.</w:t>
      </w:r>
    </w:p>
    <w:p>
      <w:pPr>
        <w:pStyle w:val="ListBullet2"/>
        <w:numPr>
          <w:ilvl w:val="1"/>
          <w:numId w:val="90"/>
        </w:numPr>
        <w:ind w:left="652" w:hanging="142"/>
      </w:pPr>
      <w:r>
        <w:rPr>
          <w:b w:val="0"/>
          <w:i w:val="0"/>
        </w:rPr>
        <w:t>Scope to position as a leader in sustainability education.</w:t>
      </w:r>
    </w:p>
    <w:p>
      <w:pPr>
        <w:pStyle w:val="Heading2"/>
      </w:pPr>
      <w:r>
        <w:t>7. Accreditation &amp; Ranking Opportunities</w:t>
      </w:r>
    </w:p>
    <w:p>
      <w:pPr>
        <w:pStyle w:val="ListBullet2"/>
        <w:numPr>
          <w:ilvl w:val="1"/>
          <w:numId w:val="90"/>
        </w:numPr>
        <w:ind w:left="652" w:hanging="142"/>
      </w:pPr>
      <w:r>
        <w:rPr>
          <w:b w:val="0"/>
          <w:i w:val="0"/>
        </w:rPr>
        <w:t>Increasing weightage of sustainability, research, and global collaboration in rankings.</w:t>
      </w:r>
    </w:p>
    <w:p>
      <w:pPr>
        <w:pStyle w:val="ListBullet2"/>
        <w:numPr>
          <w:ilvl w:val="1"/>
          <w:numId w:val="90"/>
        </w:numPr>
        <w:ind w:left="652" w:hanging="142"/>
      </w:pPr>
      <w:r>
        <w:rPr>
          <w:b w:val="0"/>
          <w:i w:val="0"/>
        </w:rPr>
        <w:t>National incentives for higher-ranked and accredited institutions.</w:t>
      </w:r>
    </w:p>
    <w:p>
      <w:pPr>
        <w:pStyle w:val="ListBullet2"/>
        <w:numPr>
          <w:ilvl w:val="1"/>
          <w:numId w:val="90"/>
        </w:numPr>
        <w:ind w:left="652" w:hanging="142"/>
      </w:pPr>
      <w:r>
        <w:rPr>
          <w:b w:val="0"/>
          <w:i w:val="0"/>
        </w:rPr>
        <w:t>Visibility and recognition through NAAC/NBA/ISO/QS/THE frameworks.</w:t>
      </w:r>
    </w:p>
    <w:p>
      <w:pPr>
        <w:pStyle w:val="Heading2"/>
      </w:pPr>
      <w:r>
        <w:t>Opportunities (External Positive Factors)</w:t>
      </w:r>
    </w:p>
    <w:p>
      <w:pPr>
        <w:pStyle w:val="Heading2"/>
      </w:pPr>
      <w:r>
        <w:t>1. Policy &amp; Reforms</w:t>
      </w:r>
    </w:p>
    <w:p>
      <w:pPr>
        <w:pStyle w:val="ListBullet2"/>
        <w:numPr>
          <w:ilvl w:val="1"/>
          <w:numId w:val="90"/>
        </w:numPr>
        <w:ind w:left="652" w:hanging="142"/>
      </w:pPr>
      <w:r>
        <w:rPr>
          <w:b w:val="0"/>
          <w:i w:val="0"/>
        </w:rPr>
        <w:t>Implementation of NEP 2020 promoting flexibility, multidisciplinary learning, and outcome-based education.</w:t>
      </w:r>
    </w:p>
    <w:p>
      <w:pPr>
        <w:pStyle w:val="ListBullet2"/>
        <w:numPr>
          <w:ilvl w:val="1"/>
          <w:numId w:val="90"/>
        </w:numPr>
        <w:ind w:left="652" w:hanging="142"/>
      </w:pPr>
      <w:r>
        <w:rPr>
          <w:b w:val="0"/>
          <w:i w:val="0"/>
        </w:rPr>
        <w:t>National Research Foundation (NRF) and government initiatives providing new research funding.</w:t>
      </w:r>
    </w:p>
    <w:p>
      <w:pPr>
        <w:pStyle w:val="ListBullet2"/>
        <w:numPr>
          <w:ilvl w:val="1"/>
          <w:numId w:val="90"/>
        </w:numPr>
        <w:ind w:left="652" w:hanging="142"/>
      </w:pPr>
      <w:r>
        <w:rPr>
          <w:b w:val="0"/>
          <w:i w:val="0"/>
        </w:rPr>
        <w:t>Incentives for internationalization and global collaborations.</w:t>
      </w:r>
    </w:p>
    <w:p>
      <w:pPr>
        <w:pStyle w:val="Heading2"/>
      </w:pPr>
      <w:r>
        <w:t>2. Globalization of Education</w:t>
      </w:r>
    </w:p>
    <w:p>
      <w:pPr>
        <w:pStyle w:val="ListBullet2"/>
        <w:numPr>
          <w:ilvl w:val="1"/>
          <w:numId w:val="90"/>
        </w:numPr>
        <w:ind w:left="652" w:hanging="142"/>
      </w:pPr>
      <w:r>
        <w:rPr>
          <w:b w:val="0"/>
          <w:i w:val="0"/>
        </w:rPr>
        <w:t>Rising demand for student and faculty mobility across borders.</w:t>
      </w:r>
    </w:p>
    <w:p>
      <w:pPr>
        <w:pStyle w:val="ListBullet2"/>
        <w:numPr>
          <w:ilvl w:val="1"/>
          <w:numId w:val="90"/>
        </w:numPr>
        <w:ind w:left="652" w:hanging="142"/>
      </w:pPr>
      <w:r>
        <w:rPr>
          <w:b w:val="0"/>
          <w:i w:val="0"/>
        </w:rPr>
        <w:t>Opportunities for dual degrees, joint research, and global accreditations.</w:t>
      </w:r>
    </w:p>
    <w:p>
      <w:pPr>
        <w:pStyle w:val="ListBullet2"/>
        <w:numPr>
          <w:ilvl w:val="1"/>
          <w:numId w:val="90"/>
        </w:numPr>
        <w:ind w:left="652" w:hanging="142"/>
      </w:pPr>
      <w:r>
        <w:rPr>
          <w:b w:val="0"/>
          <w:i w:val="0"/>
        </w:rPr>
        <w:t>Expanding global recognition through QS/THE/ARWU rankings.</w:t>
      </w:r>
    </w:p>
    <w:p>
      <w:pPr>
        <w:pStyle w:val="Heading2"/>
      </w:pPr>
      <w:r>
        <w:t>3. Technological Advancements</w:t>
      </w:r>
    </w:p>
    <w:p>
      <w:pPr>
        <w:pStyle w:val="ListBullet2"/>
        <w:numPr>
          <w:ilvl w:val="1"/>
          <w:numId w:val="90"/>
        </w:numPr>
        <w:ind w:left="652" w:hanging="142"/>
      </w:pPr>
      <w:r>
        <w:rPr>
          <w:b w:val="0"/>
          <w:i w:val="0"/>
        </w:rPr>
        <w:t>Growth of AI, big data, IoT, VR/AR in education and research.</w:t>
      </w:r>
    </w:p>
    <w:p>
      <w:pPr>
        <w:pStyle w:val="ListBullet2"/>
        <w:numPr>
          <w:ilvl w:val="1"/>
          <w:numId w:val="90"/>
        </w:numPr>
        <w:ind w:left="652" w:hanging="142"/>
      </w:pPr>
      <w:r>
        <w:rPr>
          <w:b w:val="0"/>
          <w:i w:val="0"/>
        </w:rPr>
        <w:t>Expansion of EdTech platforms for blended and digital learning.</w:t>
      </w:r>
    </w:p>
    <w:p>
      <w:pPr>
        <w:pStyle w:val="ListBullet2"/>
        <w:numPr>
          <w:ilvl w:val="1"/>
          <w:numId w:val="90"/>
        </w:numPr>
        <w:ind w:left="652" w:hanging="142"/>
      </w:pPr>
      <w:r>
        <w:rPr>
          <w:b w:val="0"/>
          <w:i w:val="0"/>
        </w:rPr>
        <w:t>Increasing use of ICT for governance, monitoring, and innovation.</w:t>
      </w:r>
    </w:p>
    <w:p>
      <w:pPr>
        <w:pStyle w:val="Heading2"/>
      </w:pPr>
      <w:r>
        <w:t>4. Industry &amp; Government Collaboration</w:t>
      </w:r>
    </w:p>
    <w:p>
      <w:pPr>
        <w:pStyle w:val="ListBullet2"/>
        <w:numPr>
          <w:ilvl w:val="1"/>
          <w:numId w:val="90"/>
        </w:numPr>
        <w:ind w:left="652" w:hanging="142"/>
      </w:pPr>
      <w:r>
        <w:rPr>
          <w:b w:val="0"/>
          <w:i w:val="0"/>
        </w:rPr>
        <w:t>Strong push for industry-academia partnerships (internships, consultancy, skill training).</w:t>
      </w:r>
    </w:p>
    <w:p>
      <w:pPr>
        <w:pStyle w:val="ListBullet2"/>
        <w:numPr>
          <w:ilvl w:val="1"/>
          <w:numId w:val="90"/>
        </w:numPr>
        <w:ind w:left="652" w:hanging="142"/>
      </w:pPr>
      <w:r>
        <w:rPr>
          <w:b w:val="0"/>
          <w:i w:val="0"/>
        </w:rPr>
        <w:t>CSR funding and public–private partnerships (PPP) for research and infrastructure.</w:t>
      </w:r>
    </w:p>
    <w:p>
      <w:pPr>
        <w:pStyle w:val="ListBullet2"/>
        <w:numPr>
          <w:ilvl w:val="1"/>
          <w:numId w:val="90"/>
        </w:numPr>
        <w:ind w:left="652" w:hanging="142"/>
      </w:pPr>
      <w:r>
        <w:rPr>
          <w:b w:val="0"/>
          <w:i w:val="0"/>
        </w:rPr>
        <w:t>Employment-focused programs bridging skill gaps.</w:t>
      </w:r>
    </w:p>
    <w:p>
      <w:pPr>
        <w:pStyle w:val="Heading2"/>
      </w:pPr>
      <w:r>
        <w:t>5. Sustainability &amp; SDGs</w:t>
      </w:r>
    </w:p>
    <w:p>
      <w:pPr>
        <w:pStyle w:val="ListBullet2"/>
        <w:numPr>
          <w:ilvl w:val="1"/>
          <w:numId w:val="90"/>
        </w:numPr>
        <w:ind w:left="652" w:hanging="142"/>
      </w:pPr>
      <w:r>
        <w:rPr>
          <w:b w:val="0"/>
          <w:i w:val="0"/>
        </w:rPr>
        <w:t>Increasing global priority for green campuses and climate action.</w:t>
      </w:r>
    </w:p>
    <w:p>
      <w:pPr>
        <w:pStyle w:val="ListBullet2"/>
        <w:numPr>
          <w:ilvl w:val="1"/>
          <w:numId w:val="90"/>
        </w:numPr>
        <w:ind w:left="652" w:hanging="142"/>
      </w:pPr>
      <w:r>
        <w:rPr>
          <w:b w:val="0"/>
          <w:i w:val="0"/>
        </w:rPr>
        <w:t>Funding and recognition for SDG-driven initiatives.</w:t>
      </w:r>
    </w:p>
    <w:p>
      <w:pPr>
        <w:pStyle w:val="ListBullet2"/>
        <w:numPr>
          <w:ilvl w:val="1"/>
          <w:numId w:val="90"/>
        </w:numPr>
        <w:ind w:left="652" w:hanging="142"/>
      </w:pPr>
      <w:r>
        <w:rPr>
          <w:b w:val="0"/>
          <w:i w:val="0"/>
        </w:rPr>
        <w:t>Growing interest in sustainability-focused academic programs.</w:t>
      </w:r>
    </w:p>
    <w:p>
      <w:pPr>
        <w:pStyle w:val="Heading2"/>
      </w:pPr>
      <w:r>
        <w:t>6. Demographic &amp; Social Trends</w:t>
      </w:r>
    </w:p>
    <w:p>
      <w:pPr>
        <w:pStyle w:val="ListBullet2"/>
        <w:numPr>
          <w:ilvl w:val="1"/>
          <w:numId w:val="90"/>
        </w:numPr>
        <w:ind w:left="652" w:hanging="142"/>
      </w:pPr>
      <w:r>
        <w:rPr>
          <w:b w:val="0"/>
          <w:i w:val="0"/>
        </w:rPr>
        <w:t>Expanding youth population seeking higher education.</w:t>
      </w:r>
    </w:p>
    <w:p>
      <w:pPr>
        <w:pStyle w:val="ListBullet2"/>
        <w:numPr>
          <w:ilvl w:val="1"/>
          <w:numId w:val="90"/>
        </w:numPr>
        <w:ind w:left="652" w:hanging="142"/>
      </w:pPr>
      <w:r>
        <w:rPr>
          <w:b w:val="0"/>
          <w:i w:val="0"/>
        </w:rPr>
        <w:t>Demand for interdisciplinary and job-oriented programs.</w:t>
      </w:r>
    </w:p>
    <w:p>
      <w:pPr>
        <w:pStyle w:val="ListBullet2"/>
        <w:numPr>
          <w:ilvl w:val="1"/>
          <w:numId w:val="90"/>
        </w:numPr>
        <w:ind w:left="652" w:hanging="142"/>
      </w:pPr>
      <w:r>
        <w:rPr>
          <w:b w:val="0"/>
          <w:i w:val="0"/>
        </w:rPr>
        <w:t>Increasing acceptance of lifelong learning and professional certifications.</w:t>
      </w:r>
    </w:p>
    <w:p>
      <w:pPr>
        <w:pStyle w:val="Heading2"/>
      </w:pPr>
      <w:r>
        <w:t>7. Accreditation &amp; Quality Recognition</w:t>
      </w:r>
    </w:p>
    <w:p>
      <w:pPr>
        <w:pStyle w:val="ListBullet2"/>
        <w:numPr>
          <w:ilvl w:val="1"/>
          <w:numId w:val="90"/>
        </w:numPr>
        <w:ind w:left="652" w:hanging="142"/>
      </w:pPr>
      <w:r>
        <w:rPr>
          <w:b w:val="0"/>
          <w:i w:val="0"/>
        </w:rPr>
        <w:t>Scope to achieve NAAC A++, NBA Tier-I, QS Stars, and ISO certifications.</w:t>
      </w:r>
    </w:p>
    <w:p>
      <w:pPr>
        <w:pStyle w:val="ListBullet2"/>
        <w:numPr>
          <w:ilvl w:val="1"/>
          <w:numId w:val="90"/>
        </w:numPr>
        <w:ind w:left="652" w:hanging="142"/>
      </w:pPr>
      <w:r>
        <w:rPr>
          <w:b w:val="0"/>
          <w:i w:val="0"/>
        </w:rPr>
        <w:t>High value attached to global benchmarking and continuous quality assurance.</w:t>
      </w:r>
    </w:p>
    <w:p>
      <w:pPr>
        <w:pStyle w:val="ListBullet2"/>
        <w:numPr>
          <w:ilvl w:val="1"/>
          <w:numId w:val="90"/>
        </w:numPr>
        <w:ind w:left="652" w:hanging="142"/>
      </w:pPr>
      <w:r>
        <w:rPr>
          <w:b w:val="0"/>
          <w:i w:val="0"/>
        </w:rPr>
        <w:t>Opportunity to strengthen institutional brand and visibility.</w:t>
      </w:r>
    </w:p>
    <w:p>
      <w:pPr>
        <w:pStyle w:val="Heading2"/>
      </w:pPr>
      <w:r>
        <w:t>Weaknesses (Internal Negative Factors)</w:t>
      </w:r>
    </w:p>
    <w:p>
      <w:pPr>
        <w:pStyle w:val="Heading2"/>
      </w:pPr>
      <w:r>
        <w:t>1. Limited Funding and Over-Dependence on Government Grants</w:t>
      </w:r>
    </w:p>
    <w:p>
      <w:pPr>
        <w:pStyle w:val="ListBullet2"/>
        <w:numPr>
          <w:ilvl w:val="1"/>
          <w:numId w:val="90"/>
        </w:numPr>
        <w:ind w:left="652" w:hanging="142"/>
      </w:pPr>
      <w:r>
        <w:rPr>
          <w:b w:val="0"/>
          <w:i w:val="0"/>
        </w:rPr>
        <w:t>Lack of diversified revenue sources (CSR, alumni, PPP).</w:t>
      </w:r>
    </w:p>
    <w:p>
      <w:pPr>
        <w:pStyle w:val="ListBullet2"/>
        <w:numPr>
          <w:ilvl w:val="1"/>
          <w:numId w:val="90"/>
        </w:numPr>
        <w:ind w:left="652" w:hanging="142"/>
      </w:pPr>
      <w:r>
        <w:rPr>
          <w:b w:val="0"/>
          <w:i w:val="0"/>
        </w:rPr>
        <w:t>Constraints on research, infrastructure, and expansion.</w:t>
      </w:r>
    </w:p>
    <w:p>
      <w:pPr>
        <w:pStyle w:val="ListBullet2"/>
        <w:numPr>
          <w:ilvl w:val="1"/>
          <w:numId w:val="90"/>
        </w:numPr>
        <w:ind w:left="652" w:hanging="142"/>
      </w:pPr>
      <w:r>
        <w:rPr>
          <w:b w:val="0"/>
          <w:i w:val="0"/>
        </w:rPr>
        <w:t>Vulnerability to policy changes and funding cuts.</w:t>
      </w:r>
    </w:p>
    <w:p>
      <w:pPr>
        <w:pStyle w:val="Heading2"/>
      </w:pPr>
      <w:r>
        <w:t>2. Faculty–Student Ratio Imbalance in Some Departments</w:t>
      </w:r>
    </w:p>
    <w:p>
      <w:pPr>
        <w:pStyle w:val="ListBullet2"/>
        <w:numPr>
          <w:ilvl w:val="1"/>
          <w:numId w:val="90"/>
        </w:numPr>
        <w:ind w:left="652" w:hanging="142"/>
      </w:pPr>
      <w:r>
        <w:rPr>
          <w:b w:val="0"/>
          <w:i w:val="0"/>
        </w:rPr>
        <w:t>Shortage of qualified faculty in specialized/niche domains.</w:t>
      </w:r>
    </w:p>
    <w:p>
      <w:pPr>
        <w:pStyle w:val="ListBullet2"/>
        <w:numPr>
          <w:ilvl w:val="1"/>
          <w:numId w:val="90"/>
        </w:numPr>
        <w:ind w:left="652" w:hanging="142"/>
      </w:pPr>
      <w:r>
        <w:rPr>
          <w:b w:val="0"/>
          <w:i w:val="0"/>
        </w:rPr>
        <w:t>Increased teaching loads affecting research productivity.</w:t>
      </w:r>
    </w:p>
    <w:p>
      <w:pPr>
        <w:pStyle w:val="ListBullet2"/>
        <w:numPr>
          <w:ilvl w:val="1"/>
          <w:numId w:val="90"/>
        </w:numPr>
        <w:ind w:left="652" w:hanging="142"/>
      </w:pPr>
      <w:r>
        <w:rPr>
          <w:b w:val="0"/>
          <w:i w:val="0"/>
        </w:rPr>
        <w:t>Possible decline in personalized learning and mentoring.</w:t>
      </w:r>
    </w:p>
    <w:p>
      <w:pPr>
        <w:pStyle w:val="Heading2"/>
      </w:pPr>
      <w:r>
        <w:t>3. Insufficient Global Exposure and International Partnerships</w:t>
      </w:r>
    </w:p>
    <w:p>
      <w:pPr>
        <w:pStyle w:val="ListBullet2"/>
        <w:numPr>
          <w:ilvl w:val="1"/>
          <w:numId w:val="90"/>
        </w:numPr>
        <w:ind w:left="652" w:hanging="142"/>
      </w:pPr>
      <w:r>
        <w:rPr>
          <w:b w:val="0"/>
          <w:i w:val="0"/>
        </w:rPr>
        <w:t>Limited international MoUs and student/faculty exchange programs.</w:t>
      </w:r>
    </w:p>
    <w:p>
      <w:pPr>
        <w:pStyle w:val="ListBullet2"/>
        <w:numPr>
          <w:ilvl w:val="1"/>
          <w:numId w:val="90"/>
        </w:numPr>
        <w:ind w:left="652" w:hanging="142"/>
      </w:pPr>
      <w:r>
        <w:rPr>
          <w:b w:val="0"/>
          <w:i w:val="0"/>
        </w:rPr>
        <w:t>Low visibility in global rankings (QS, THE).</w:t>
      </w:r>
    </w:p>
    <w:p>
      <w:pPr>
        <w:pStyle w:val="ListBullet2"/>
        <w:numPr>
          <w:ilvl w:val="1"/>
          <w:numId w:val="90"/>
        </w:numPr>
        <w:ind w:left="652" w:hanging="142"/>
      </w:pPr>
      <w:r>
        <w:rPr>
          <w:b w:val="0"/>
          <w:i w:val="0"/>
        </w:rPr>
        <w:t>Inadequate dual-degree or global credit transfer pathways.</w:t>
      </w:r>
    </w:p>
    <w:p>
      <w:pPr>
        <w:pStyle w:val="Heading2"/>
      </w:pPr>
      <w:r>
        <w:t>4. Inadequate Research Infrastructure in Niche Domains</w:t>
      </w:r>
    </w:p>
    <w:p>
      <w:pPr>
        <w:pStyle w:val="ListBullet2"/>
        <w:numPr>
          <w:ilvl w:val="1"/>
          <w:numId w:val="90"/>
        </w:numPr>
        <w:ind w:left="652" w:hanging="142"/>
      </w:pPr>
      <w:r>
        <w:rPr>
          <w:b w:val="0"/>
          <w:i w:val="0"/>
        </w:rPr>
        <w:t>Limited advanced labs for AI, biotechnology, clean energy, etc.</w:t>
      </w:r>
    </w:p>
    <w:p>
      <w:pPr>
        <w:pStyle w:val="ListBullet2"/>
        <w:numPr>
          <w:ilvl w:val="1"/>
          <w:numId w:val="90"/>
        </w:numPr>
        <w:ind w:left="652" w:hanging="142"/>
      </w:pPr>
      <w:r>
        <w:rPr>
          <w:b w:val="0"/>
          <w:i w:val="0"/>
        </w:rPr>
        <w:t>Heavy reliance on basic facilities.</w:t>
      </w:r>
    </w:p>
    <w:p>
      <w:pPr>
        <w:pStyle w:val="ListBullet2"/>
        <w:numPr>
          <w:ilvl w:val="1"/>
          <w:numId w:val="90"/>
        </w:numPr>
        <w:ind w:left="652" w:hanging="142"/>
      </w:pPr>
      <w:r>
        <w:rPr>
          <w:b w:val="0"/>
          <w:i w:val="0"/>
        </w:rPr>
        <w:t>Lack of cutting-edge resources restricting high-impact publications.</w:t>
      </w:r>
    </w:p>
    <w:p>
      <w:pPr>
        <w:pStyle w:val="Heading2"/>
      </w:pPr>
      <w:r>
        <w:t>5. Lack of Efficient Data-Driven Decision-Making Systems</w:t>
      </w:r>
    </w:p>
    <w:p>
      <w:pPr>
        <w:pStyle w:val="ListBullet2"/>
        <w:numPr>
          <w:ilvl w:val="1"/>
          <w:numId w:val="90"/>
        </w:numPr>
        <w:ind w:left="652" w:hanging="142"/>
      </w:pPr>
      <w:r>
        <w:rPr>
          <w:b w:val="0"/>
          <w:i w:val="0"/>
        </w:rPr>
        <w:t>Absence of integrated ERP/AI dashboards.</w:t>
      </w:r>
    </w:p>
    <w:p>
      <w:pPr>
        <w:pStyle w:val="ListBullet2"/>
        <w:numPr>
          <w:ilvl w:val="1"/>
          <w:numId w:val="90"/>
        </w:numPr>
        <w:ind w:left="652" w:hanging="142"/>
      </w:pPr>
      <w:r>
        <w:rPr>
          <w:b w:val="0"/>
          <w:i w:val="0"/>
        </w:rPr>
        <w:t>Manual processes delay governance and monitoring.</w:t>
      </w:r>
    </w:p>
    <w:p>
      <w:pPr>
        <w:pStyle w:val="ListBullet2"/>
        <w:numPr>
          <w:ilvl w:val="1"/>
          <w:numId w:val="90"/>
        </w:numPr>
        <w:ind w:left="652" w:hanging="142"/>
      </w:pPr>
      <w:r>
        <w:rPr>
          <w:b w:val="0"/>
          <w:i w:val="0"/>
        </w:rPr>
        <w:t>Weak evidence-based planning and performance tracking.</w:t>
      </w:r>
    </w:p>
    <w:p>
      <w:pPr>
        <w:pStyle w:val="Heading2"/>
      </w:pPr>
      <w:r>
        <w:t>6. Bureaucratic Delays in Governance and Policy Reforms</w:t>
      </w:r>
    </w:p>
    <w:p>
      <w:pPr>
        <w:pStyle w:val="ListBullet2"/>
        <w:numPr>
          <w:ilvl w:val="1"/>
          <w:numId w:val="90"/>
        </w:numPr>
        <w:ind w:left="652" w:hanging="142"/>
      </w:pPr>
      <w:r>
        <w:rPr>
          <w:b w:val="0"/>
          <w:i w:val="0"/>
        </w:rPr>
        <w:t>Slow decision-making due to hierarchical bottlenecks.</w:t>
      </w:r>
    </w:p>
    <w:p>
      <w:pPr>
        <w:pStyle w:val="ListBullet2"/>
        <w:numPr>
          <w:ilvl w:val="1"/>
          <w:numId w:val="90"/>
        </w:numPr>
        <w:ind w:left="652" w:hanging="142"/>
      </w:pPr>
      <w:r>
        <w:rPr>
          <w:b w:val="0"/>
          <w:i w:val="0"/>
        </w:rPr>
        <w:t>Resistance to change and lack of agility.</w:t>
      </w:r>
    </w:p>
    <w:p>
      <w:pPr>
        <w:pStyle w:val="ListBullet2"/>
        <w:numPr>
          <w:ilvl w:val="1"/>
          <w:numId w:val="90"/>
        </w:numPr>
        <w:ind w:left="652" w:hanging="142"/>
      </w:pPr>
      <w:r>
        <w:rPr>
          <w:b w:val="0"/>
          <w:i w:val="0"/>
        </w:rPr>
        <w:t>Delayed compliance with accreditation/reporting requirements.</w:t>
      </w:r>
    </w:p>
    <w:p>
      <w:pPr>
        <w:pStyle w:val="Heading2"/>
      </w:pPr>
      <w:r>
        <w:t>7. Limited Industry Collaborations for Internships and Projects</w:t>
      </w:r>
    </w:p>
    <w:p>
      <w:pPr>
        <w:pStyle w:val="ListBullet2"/>
        <w:numPr>
          <w:ilvl w:val="1"/>
          <w:numId w:val="90"/>
        </w:numPr>
        <w:ind w:left="652" w:hanging="142"/>
      </w:pPr>
      <w:r>
        <w:rPr>
          <w:b w:val="0"/>
          <w:i w:val="0"/>
        </w:rPr>
        <w:t>Insufficient industry-academia linkages.</w:t>
      </w:r>
    </w:p>
    <w:p>
      <w:pPr>
        <w:pStyle w:val="ListBullet2"/>
        <w:numPr>
          <w:ilvl w:val="1"/>
          <w:numId w:val="90"/>
        </w:numPr>
        <w:ind w:left="652" w:hanging="142"/>
      </w:pPr>
      <w:r>
        <w:rPr>
          <w:b w:val="0"/>
          <w:i w:val="0"/>
        </w:rPr>
        <w:t>Low participation in consultancy and live projects.</w:t>
      </w:r>
    </w:p>
    <w:p>
      <w:pPr>
        <w:pStyle w:val="ListBullet2"/>
        <w:numPr>
          <w:ilvl w:val="1"/>
          <w:numId w:val="90"/>
        </w:numPr>
        <w:ind w:left="652" w:hanging="142"/>
      </w:pPr>
      <w:r>
        <w:rPr>
          <w:b w:val="0"/>
          <w:i w:val="0"/>
        </w:rPr>
        <w:t>Weak pipeline for student employability and skill development.</w:t>
      </w:r>
    </w:p>
    <w:p>
      <w:pPr/>
      <w:r>
        <w:rPr>
          <w:b/>
          <w:i w:val="0"/>
        </w:rPr>
        <w:t>These weaknesses highlight areas requiring priority interventions:</w:t>
      </w:r>
    </w:p>
    <w:p>
      <w:pPr>
        <w:pStyle w:val="ListBullet"/>
        <w:numPr>
          <w:ilvl w:val="0"/>
          <w:numId w:val="90"/>
        </w:numPr>
        <w:ind w:left="340" w:hanging="142"/>
      </w:pPr>
      <w:r>
        <w:rPr>
          <w:b w:val="0"/>
          <w:i w:val="0"/>
        </w:rPr>
        <w:t>Financial diversification → alumni, CSR, PPP models.</w:t>
      </w:r>
    </w:p>
    <w:p>
      <w:pPr>
        <w:pStyle w:val="ListBullet"/>
        <w:numPr>
          <w:ilvl w:val="0"/>
          <w:numId w:val="90"/>
        </w:numPr>
        <w:ind w:left="340" w:hanging="142"/>
      </w:pPr>
      <w:r>
        <w:rPr>
          <w:b w:val="0"/>
          <w:i w:val="0"/>
        </w:rPr>
        <w:t>Faculty recruitment and retention → balance teaching and research.</w:t>
      </w:r>
    </w:p>
    <w:p>
      <w:pPr>
        <w:pStyle w:val="ListBullet"/>
        <w:numPr>
          <w:ilvl w:val="0"/>
          <w:numId w:val="90"/>
        </w:numPr>
        <w:ind w:left="340" w:hanging="142"/>
      </w:pPr>
      <w:r>
        <w:rPr>
          <w:b w:val="0"/>
          <w:i w:val="0"/>
        </w:rPr>
        <w:t>. Global partnerships → enhance reputation and opportunities.</w:t>
      </w:r>
    </w:p>
    <w:p>
      <w:pPr>
        <w:pStyle w:val="ListBullet"/>
        <w:numPr>
          <w:ilvl w:val="0"/>
          <w:numId w:val="90"/>
        </w:numPr>
        <w:ind w:left="340" w:hanging="142"/>
      </w:pPr>
      <w:r>
        <w:rPr>
          <w:b w:val="0"/>
          <w:i w:val="0"/>
        </w:rPr>
        <w:t>Research infrastructure → niche labs for cutting-edge work.</w:t>
      </w:r>
    </w:p>
    <w:p>
      <w:pPr>
        <w:pStyle w:val="ListBullet"/>
        <w:numPr>
          <w:ilvl w:val="0"/>
          <w:numId w:val="90"/>
        </w:numPr>
        <w:ind w:left="340" w:hanging="142"/>
      </w:pPr>
      <w:r>
        <w:rPr>
          <w:b w:val="0"/>
          <w:i w:val="0"/>
        </w:rPr>
        <w:t>. Governance systems → ERP, AI dashboards, and agile reforms.</w:t>
      </w:r>
    </w:p>
    <w:p>
      <w:pPr>
        <w:pStyle w:val="ListBullet"/>
        <w:numPr>
          <w:ilvl w:val="0"/>
          <w:numId w:val="90"/>
        </w:numPr>
        <w:ind w:left="340" w:hanging="142"/>
      </w:pPr>
      <w:r>
        <w:rPr>
          <w:b w:val="0"/>
          <w:i w:val="0"/>
        </w:rPr>
        <w:t>Industry linkages → internships, consultancy, employability pathways.</w:t>
      </w:r>
    </w:p>
    <w:p>
      <w:pPr>
        <w:pStyle w:val="Heading2"/>
      </w:pPr>
      <w:r>
        <w:t>WO (Weakness–Opportunity) Strategies</w:t>
      </w:r>
    </w:p>
    <w:p>
      <w:pPr>
        <w:pStyle w:val="Heading2"/>
      </w:pPr>
      <w:r>
        <w:t>1. Weakness: Limited funding &amp; over-dependence on government grants</w:t>
      </w:r>
    </w:p>
    <w:p>
      <w:pPr/>
      <w:r>
        <w:rPr>
          <w:b/>
          <w:i w:val="0"/>
        </w:rPr>
        <w:t>Opportunity:</w:t>
      </w:r>
      <w:r>
        <w:rPr>
          <w:b w:val="0"/>
          <w:i w:val="0"/>
        </w:rPr>
        <w:t xml:space="preserve"> CSR, PPP models, alumni funding, NRF grants</w:t>
      </w:r>
    </w:p>
    <w:p>
      <w:pPr>
        <w:pStyle w:val="ListBullet2"/>
        <w:numPr>
          <w:ilvl w:val="1"/>
          <w:numId w:val="90"/>
        </w:numPr>
        <w:ind w:left="652" w:hanging="142"/>
      </w:pPr>
      <w:r>
        <w:rPr>
          <w:b/>
          <w:i w:val="0"/>
        </w:rPr>
        <w:t>Strategy:</w:t>
      </w:r>
      <w:r>
        <w:rPr>
          <w:b w:val="0"/>
          <w:i w:val="0"/>
        </w:rPr>
        <w:t xml:space="preserve"> Build diversified financial models by mobilizing CSR funds, alumni contributions, and public–private partnerships (PPP) while actively applying for National Research Foundation (NRF) and international grants.</w:t>
      </w:r>
    </w:p>
    <w:p>
      <w:pPr>
        <w:pStyle w:val="Heading2"/>
      </w:pPr>
      <w:r>
        <w:t>2. Weakness: Faculty–student ratio imbalance</w:t>
      </w:r>
    </w:p>
    <w:p>
      <w:pPr/>
      <w:r>
        <w:rPr>
          <w:b/>
          <w:i w:val="0"/>
        </w:rPr>
        <w:t>Opportunity:</w:t>
      </w:r>
      <w:r>
        <w:rPr>
          <w:b w:val="0"/>
          <w:i w:val="0"/>
        </w:rPr>
        <w:t xml:space="preserve"> NEP 2020 reforms supporting recruitment &amp; global collaboration</w:t>
      </w:r>
    </w:p>
    <w:p>
      <w:pPr>
        <w:pStyle w:val="ListBullet2"/>
        <w:numPr>
          <w:ilvl w:val="1"/>
          <w:numId w:val="90"/>
        </w:numPr>
        <w:ind w:left="652" w:hanging="142"/>
      </w:pPr>
      <w:r>
        <w:rPr>
          <w:b/>
          <w:i w:val="0"/>
        </w:rPr>
        <w:t>Strategy:</w:t>
      </w:r>
      <w:r>
        <w:rPr>
          <w:b w:val="0"/>
          <w:i w:val="0"/>
        </w:rPr>
        <w:t xml:space="preserve"> Recruit additional faculty under NEP 2020 provisions and leverage international visiting faculty through global MoUs and exchange programs.</w:t>
      </w:r>
    </w:p>
    <w:p>
      <w:pPr>
        <w:pStyle w:val="Heading2"/>
      </w:pPr>
      <w:r>
        <w:t>3. Weakness: Insufficient global exposure &amp; partnerships</w:t>
      </w:r>
    </w:p>
    <w:p>
      <w:pPr/>
      <w:r>
        <w:rPr>
          <w:b/>
          <w:i w:val="0"/>
        </w:rPr>
        <w:t>Opportunity:</w:t>
      </w:r>
      <w:r>
        <w:rPr>
          <w:b w:val="0"/>
          <w:i w:val="0"/>
        </w:rPr>
        <w:t xml:space="preserve"> Global demand for dual degrees &amp; international collaborations</w:t>
      </w:r>
    </w:p>
    <w:p>
      <w:pPr>
        <w:pStyle w:val="ListBullet2"/>
        <w:numPr>
          <w:ilvl w:val="1"/>
          <w:numId w:val="90"/>
        </w:numPr>
        <w:ind w:left="652" w:hanging="142"/>
      </w:pPr>
      <w:r>
        <w:rPr>
          <w:b/>
          <w:i w:val="0"/>
        </w:rPr>
        <w:t>Strategy:</w:t>
      </w:r>
      <w:r>
        <w:rPr>
          <w:b w:val="0"/>
          <w:i w:val="0"/>
        </w:rPr>
        <w:t xml:space="preserve"> Establish dual-degree programs, credit transfer pathways, and joint research labs with leading international universities to expand visibility and partnerships.</w:t>
      </w:r>
    </w:p>
    <w:p>
      <w:pPr>
        <w:pStyle w:val="Heading2"/>
      </w:pPr>
      <w:r>
        <w:t>4. Weakness: Inadequate research infrastructure in niche domains</w:t>
      </w:r>
    </w:p>
    <w:p>
      <w:pPr/>
      <w:r>
        <w:rPr>
          <w:b/>
          <w:i w:val="0"/>
        </w:rPr>
        <w:t>Opportunity:</w:t>
      </w:r>
      <w:r>
        <w:rPr>
          <w:b w:val="0"/>
          <w:i w:val="0"/>
        </w:rPr>
        <w:t xml:space="preserve"> Government &amp; industry research funding</w:t>
      </w:r>
    </w:p>
    <w:p>
      <w:pPr>
        <w:pStyle w:val="ListBullet2"/>
        <w:numPr>
          <w:ilvl w:val="1"/>
          <w:numId w:val="90"/>
        </w:numPr>
        <w:ind w:left="652" w:hanging="142"/>
      </w:pPr>
      <w:r>
        <w:rPr>
          <w:b/>
          <w:i w:val="0"/>
        </w:rPr>
        <w:t>Strategy:</w:t>
      </w:r>
      <w:r>
        <w:rPr>
          <w:b w:val="0"/>
          <w:i w:val="0"/>
        </w:rPr>
        <w:t xml:space="preserve"> Upgrade labs in AI, biotechnology, clean energy, and IoT using government funding (DST, NRF) and industry collaborations (consultancy and joint projects).</w:t>
      </w:r>
    </w:p>
    <w:p>
      <w:pPr>
        <w:pStyle w:val="Heading2"/>
      </w:pPr>
      <w:r>
        <w:t>5. Weakness: Lack of data-driven decision-making systems</w:t>
      </w:r>
    </w:p>
    <w:p>
      <w:pPr/>
      <w:r>
        <w:rPr>
          <w:b/>
          <w:i w:val="0"/>
        </w:rPr>
        <w:t>Opportunity:</w:t>
      </w:r>
      <w:r>
        <w:rPr>
          <w:b w:val="0"/>
          <w:i w:val="0"/>
        </w:rPr>
        <w:t xml:space="preserve"> Technological advancements (AI, ERP, big data, dashboards)</w:t>
      </w:r>
    </w:p>
    <w:p>
      <w:pPr>
        <w:pStyle w:val="ListBullet2"/>
        <w:numPr>
          <w:ilvl w:val="1"/>
          <w:numId w:val="90"/>
        </w:numPr>
        <w:ind w:left="652" w:hanging="142"/>
      </w:pPr>
      <w:r>
        <w:rPr>
          <w:b/>
          <w:i w:val="0"/>
        </w:rPr>
        <w:t>Strategy:</w:t>
      </w:r>
      <w:r>
        <w:rPr>
          <w:b w:val="0"/>
          <w:i w:val="0"/>
        </w:rPr>
        <w:t xml:space="preserve"> Implement ERP and AI-driven dashboards for real-time monitoring of academics, finance, and accreditation compliance.</w:t>
      </w:r>
    </w:p>
    <w:p>
      <w:pPr>
        <w:pStyle w:val="Heading2"/>
      </w:pPr>
      <w:r>
        <w:t>6. Weakness: Bureaucratic delays in governance &amp; policy reforms</w:t>
      </w:r>
    </w:p>
    <w:p>
      <w:pPr/>
      <w:r>
        <w:rPr>
          <w:b/>
          <w:i w:val="0"/>
        </w:rPr>
        <w:t>Opportunity:</w:t>
      </w:r>
      <w:r>
        <w:rPr>
          <w:b w:val="0"/>
          <w:i w:val="0"/>
        </w:rPr>
        <w:t xml:space="preserve"> Accreditation &amp; ranking frameworks emphasizing efficiency</w:t>
      </w:r>
    </w:p>
    <w:p>
      <w:pPr>
        <w:pStyle w:val="ListBullet2"/>
        <w:numPr>
          <w:ilvl w:val="1"/>
          <w:numId w:val="90"/>
        </w:numPr>
        <w:ind w:left="652" w:hanging="142"/>
      </w:pPr>
      <w:r>
        <w:rPr>
          <w:b/>
          <w:i w:val="0"/>
        </w:rPr>
        <w:t>Strategy:</w:t>
      </w:r>
      <w:r>
        <w:rPr>
          <w:b w:val="0"/>
          <w:i w:val="0"/>
        </w:rPr>
        <w:t xml:space="preserve"> Adopt lean governance models, empower IQAC with autonomy, and digitize approval workflows to reduce bottlenecks and speed up reforms.</w:t>
      </w:r>
    </w:p>
    <w:p>
      <w:pPr>
        <w:pStyle w:val="Heading2"/>
      </w:pPr>
      <w:r>
        <w:t>7. Weakness: Limited industry collaborations for internships &amp; projects</w:t>
      </w:r>
    </w:p>
    <w:p>
      <w:pPr/>
      <w:r>
        <w:rPr>
          <w:b/>
          <w:i w:val="0"/>
        </w:rPr>
        <w:t>Opportunity:</w:t>
      </w:r>
      <w:r>
        <w:rPr>
          <w:b w:val="0"/>
          <w:i w:val="0"/>
        </w:rPr>
        <w:t xml:space="preserve"> Expanding industry–academia partnerships &amp; skill-based programs</w:t>
      </w:r>
    </w:p>
    <w:p>
      <w:pPr>
        <w:pStyle w:val="ListBullet2"/>
        <w:numPr>
          <w:ilvl w:val="1"/>
          <w:numId w:val="90"/>
        </w:numPr>
        <w:ind w:left="652" w:hanging="142"/>
      </w:pPr>
      <w:r>
        <w:rPr>
          <w:b/>
          <w:i w:val="0"/>
        </w:rPr>
        <w:t>Strategy:</w:t>
      </w:r>
      <w:r>
        <w:rPr>
          <w:b w:val="0"/>
          <w:i w:val="0"/>
        </w:rPr>
        <w:t xml:space="preserve"> Develop structured internship pipelines, skill training programs, and consultancy projects in collaboration with local and global industries.</w:t>
      </w:r>
    </w:p>
    <w:p>
      <w:pPr>
        <w:pStyle w:val="Heading2"/>
      </w:pPr>
      <w:r>
        <w:t>WO Strategies Policy–Action–Outcome–KPI Table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984"/>
        <w:gridCol w:w="3061"/>
        <w:gridCol w:w="2211"/>
        <w:gridCol w:w="2154"/>
      </w:tblGrid>
      <w:tr>
        <w:trPr>
          <w:tblHeader/>
          <w:cantSplit/>
        </w:trPr>
        <w:tc>
          <w:tcPr>
            <w:tcW w:type="dxa" w:w="1984"/>
            <w:vAlign w:val="center"/>
            <w:shd w:fill="1F3A5F"/>
          </w:tcPr>
          <w:p>
            <w:pPr>
              <w:keepNext/>
              <w:spacing w:after="40" w:line="276" w:lineRule="auto"/>
              <w:jc w:val="left"/>
            </w:pPr>
            <w:r>
              <w:rPr>
                <w:b/>
                <w:i w:val="0"/>
                <w:color w:val="FFFFFF"/>
              </w:rPr>
              <w:t>Policy Direction</w:t>
            </w:r>
          </w:p>
        </w:tc>
        <w:tc>
          <w:tcPr>
            <w:tcW w:type="dxa" w:w="3061"/>
            <w:vAlign w:val="center"/>
            <w:shd w:fill="1F3A5F"/>
          </w:tcPr>
          <w:p>
            <w:pPr>
              <w:keepNext/>
              <w:spacing w:after="40" w:line="276" w:lineRule="auto"/>
              <w:jc w:val="left"/>
            </w:pPr>
            <w:r>
              <w:rPr>
                <w:b/>
                <w:i w:val="0"/>
                <w:color w:val="FFFFFF"/>
              </w:rPr>
              <w:t>Strategic Actions</w:t>
            </w:r>
          </w:p>
        </w:tc>
        <w:tc>
          <w:tcPr>
            <w:tcW w:type="dxa" w:w="2211"/>
            <w:vAlign w:val="center"/>
            <w:shd w:fill="1F3A5F"/>
          </w:tcPr>
          <w:p>
            <w:pPr>
              <w:keepNext/>
              <w:spacing w:after="40" w:line="276" w:lineRule="auto"/>
              <w:jc w:val="left"/>
            </w:pPr>
            <w:r>
              <w:rPr>
                <w:b/>
                <w:i w:val="0"/>
                <w:color w:val="FFFFFF"/>
              </w:rPr>
              <w:t>Expected Outcomes</w:t>
            </w:r>
          </w:p>
        </w:tc>
        <w:tc>
          <w:tcPr>
            <w:tcW w:type="dxa" w:w="2154"/>
            <w:vAlign w:val="center"/>
            <w:shd w:fill="1F3A5F"/>
          </w:tcPr>
          <w:p>
            <w:pPr>
              <w:keepNext/>
              <w:spacing w:after="40" w:line="276" w:lineRule="auto"/>
              <w:jc w:val="left"/>
            </w:pPr>
            <w:r>
              <w:rPr>
                <w:b/>
                <w:i w:val="0"/>
                <w:color w:val="FFFFFF"/>
              </w:rPr>
              <w:t>KPIs (Indicators)</w:t>
            </w:r>
          </w:p>
        </w:tc>
      </w:tr>
      <w:tr>
        <w:trPr>
          <w:cantSplit/>
        </w:trPr>
        <w:tc>
          <w:tcPr>
            <w:tcW w:type="dxa" w:w="1984"/>
            <w:vAlign w:val="center"/>
            <w:shd w:fill="FFFFFF"/>
          </w:tcPr>
          <w:p>
            <w:pPr>
              <w:spacing w:after="40" w:line="276" w:lineRule="auto"/>
              <w:jc w:val="left"/>
            </w:pPr>
            <w:r>
              <w:rPr>
                <w:b w:val="0"/>
                <w:i w:val="0"/>
              </w:rPr>
              <w:t>Diversify funding beyond government grants</w:t>
            </w:r>
          </w:p>
        </w:tc>
        <w:tc>
          <w:tcPr>
            <w:tcW w:type="dxa" w:w="3061"/>
            <w:vAlign w:val="center"/>
            <w:shd w:fill="FFFFFF"/>
          </w:tcPr>
          <w:p>
            <w:pPr>
              <w:spacing w:after="40" w:line="276" w:lineRule="auto"/>
              <w:ind w:left="125" w:hanging="125"/>
              <w:jc w:val="left"/>
            </w:pPr>
            <w:r>
              <w:t xml:space="preserve">• </w:t>
            </w:r>
            <w:r>
              <w:rPr>
                <w:b w:val="0"/>
                <w:i w:val="0"/>
              </w:rPr>
              <w:t>Launch alumni fundraising campaigns.</w:t>
            </w:r>
          </w:p>
          <w:p>
            <w:pPr>
              <w:spacing w:after="40" w:line="276" w:lineRule="auto"/>
              <w:ind w:left="125" w:hanging="125"/>
              <w:jc w:val="left"/>
            </w:pPr>
            <w:r>
              <w:t xml:space="preserve">• </w:t>
            </w:r>
            <w:r>
              <w:rPr>
                <w:b w:val="0"/>
                <w:i w:val="0"/>
              </w:rPr>
              <w:t>Establish CSR and PPP partnerships.</w:t>
            </w:r>
          </w:p>
          <w:p>
            <w:pPr>
              <w:spacing w:after="40" w:line="276" w:lineRule="auto"/>
              <w:ind w:left="125" w:hanging="125"/>
              <w:jc w:val="left"/>
            </w:pPr>
            <w:r>
              <w:t xml:space="preserve">• </w:t>
            </w:r>
            <w:r>
              <w:rPr>
                <w:b w:val="0"/>
                <w:i w:val="0"/>
              </w:rPr>
              <w:t>Apply for NRF and international grants.</w:t>
            </w:r>
          </w:p>
        </w:tc>
        <w:tc>
          <w:tcPr>
            <w:tcW w:type="dxa" w:w="2211"/>
            <w:vAlign w:val="center"/>
            <w:shd w:fill="FFFFFF"/>
          </w:tcPr>
          <w:p>
            <w:pPr>
              <w:spacing w:after="40" w:line="276" w:lineRule="auto"/>
              <w:jc w:val="left"/>
            </w:pPr>
            <w:r>
              <w:rPr>
                <w:b w:val="0"/>
                <w:i w:val="0"/>
              </w:rPr>
              <w:t>Sustainable multi-source funding; reduced dependence on government.</w:t>
            </w:r>
          </w:p>
        </w:tc>
        <w:tc>
          <w:tcPr>
            <w:tcW w:type="dxa" w:w="2154"/>
            <w:vAlign w:val="center"/>
            <w:shd w:fill="FFFFFF"/>
          </w:tcPr>
          <w:p>
            <w:pPr>
              <w:spacing w:after="40" w:line="276" w:lineRule="auto"/>
              <w:ind w:left="125" w:hanging="125"/>
              <w:jc w:val="left"/>
            </w:pPr>
            <w:r>
              <w:t xml:space="preserve">• </w:t>
            </w:r>
            <w:r>
              <w:rPr>
                <w:b/>
                <w:i w:val="0"/>
              </w:rPr>
              <w:t>% of non-government revenue (Target:</w:t>
            </w:r>
            <w:r>
              <w:rPr>
                <w:b w:val="0"/>
                <w:i w:val="0"/>
              </w:rPr>
              <w:t xml:space="preserve"> ≥30% by 2030).</w:t>
            </w:r>
          </w:p>
          <w:p>
            <w:pPr>
              <w:spacing w:after="40" w:line="276" w:lineRule="auto"/>
              <w:ind w:left="125" w:hanging="125"/>
              <w:jc w:val="left"/>
            </w:pPr>
            <w:r>
              <w:t xml:space="preserve">• </w:t>
            </w:r>
            <w:r>
              <w:rPr>
                <w:b w:val="0"/>
                <w:i w:val="0"/>
              </w:rPr>
              <w:t>CSR/​Alumni funds raised(£).</w:t>
            </w:r>
          </w:p>
          <w:p>
            <w:pPr>
              <w:spacing w:after="40" w:line="276" w:lineRule="auto"/>
              <w:ind w:left="125" w:hanging="125"/>
              <w:jc w:val="left"/>
            </w:pPr>
            <w:r>
              <w:t xml:space="preserve">• </w:t>
            </w:r>
            <w:r>
              <w:rPr>
                <w:b w:val="0"/>
                <w:i w:val="0"/>
              </w:rPr>
              <w:t>No. of PPP projects initiated.</w:t>
            </w:r>
          </w:p>
        </w:tc>
      </w:tr>
      <w:tr>
        <w:trPr>
          <w:cantSplit/>
        </w:trPr>
        <w:tc>
          <w:tcPr>
            <w:tcW w:type="dxa" w:w="1984"/>
            <w:vAlign w:val="center"/>
            <w:shd w:fill="EDF2F7"/>
          </w:tcPr>
          <w:p>
            <w:pPr>
              <w:spacing w:after="40" w:line="276" w:lineRule="auto"/>
              <w:jc w:val="left"/>
            </w:pPr>
            <w:r>
              <w:rPr>
                <w:b w:val="0"/>
                <w:i w:val="0"/>
              </w:rPr>
              <w:t>Improve faculty–student ratio</w:t>
            </w:r>
          </w:p>
        </w:tc>
        <w:tc>
          <w:tcPr>
            <w:tcW w:type="dxa" w:w="3061"/>
            <w:vAlign w:val="center"/>
            <w:shd w:fill="EDF2F7"/>
          </w:tcPr>
          <w:p>
            <w:pPr>
              <w:spacing w:after="40" w:line="276" w:lineRule="auto"/>
              <w:ind w:left="125" w:hanging="125"/>
              <w:jc w:val="left"/>
            </w:pPr>
            <w:r>
              <w:t xml:space="preserve">• </w:t>
            </w:r>
            <w:r>
              <w:rPr>
                <w:b w:val="0"/>
                <w:i w:val="0"/>
              </w:rPr>
              <w:t>Recruit faculty under NEP 2020 reforms.</w:t>
            </w:r>
          </w:p>
          <w:p>
            <w:pPr>
              <w:spacing w:after="40" w:line="276" w:lineRule="auto"/>
              <w:ind w:left="125" w:hanging="125"/>
              <w:jc w:val="left"/>
            </w:pPr>
            <w:r>
              <w:t xml:space="preserve">• </w:t>
            </w:r>
            <w:r>
              <w:rPr>
                <w:b w:val="0"/>
                <w:i w:val="0"/>
              </w:rPr>
              <w:t>Invite international visiting professors.</w:t>
            </w:r>
          </w:p>
          <w:p>
            <w:pPr>
              <w:spacing w:after="40" w:line="276" w:lineRule="auto"/>
              <w:ind w:left="125" w:hanging="125"/>
              <w:jc w:val="left"/>
            </w:pPr>
            <w:r>
              <w:t xml:space="preserve">• </w:t>
            </w:r>
            <w:r>
              <w:rPr>
                <w:b w:val="0"/>
                <w:i w:val="0"/>
              </w:rPr>
              <w:t>Strengthen faculty development programs.</w:t>
            </w:r>
          </w:p>
        </w:tc>
        <w:tc>
          <w:tcPr>
            <w:tcW w:type="dxa" w:w="2211"/>
            <w:vAlign w:val="center"/>
            <w:shd w:fill="EDF2F7"/>
          </w:tcPr>
          <w:p>
            <w:pPr>
              <w:spacing w:after="40" w:line="276" w:lineRule="auto"/>
              <w:jc w:val="left"/>
            </w:pPr>
            <w:r>
              <w:rPr>
                <w:b w:val="0"/>
                <w:i w:val="0"/>
              </w:rPr>
              <w:t>Balanced faculty–student ratio, improved teaching quality.</w:t>
            </w:r>
          </w:p>
        </w:tc>
        <w:tc>
          <w:tcPr>
            <w:tcW w:type="dxa" w:w="2154"/>
            <w:vAlign w:val="center"/>
            <w:shd w:fill="EDF2F7"/>
          </w:tcPr>
          <w:p>
            <w:pPr>
              <w:spacing w:after="40" w:line="276" w:lineRule="auto"/>
              <w:ind w:left="125" w:hanging="125"/>
              <w:jc w:val="left"/>
            </w:pPr>
            <w:r>
              <w:t xml:space="preserve">• </w:t>
            </w:r>
            <w:r>
              <w:rPr>
                <w:b/>
                <w:i w:val="0"/>
              </w:rPr>
              <w:t>Faculty–student ratio (Target:</w:t>
            </w:r>
            <w:r>
              <w:rPr>
                <w:b w:val="0"/>
                <w:i w:val="0"/>
              </w:rPr>
              <w:t xml:space="preserve"> 1:15).</w:t>
            </w:r>
          </w:p>
          <w:p>
            <w:pPr>
              <w:spacing w:after="40" w:line="276" w:lineRule="auto"/>
              <w:ind w:left="125" w:hanging="125"/>
              <w:jc w:val="left"/>
            </w:pPr>
            <w:r>
              <w:t xml:space="preserve">• </w:t>
            </w:r>
            <w:r>
              <w:rPr>
                <w:b w:val="0"/>
                <w:i w:val="0"/>
              </w:rPr>
              <w:t>% faculty with FDP certifications.</w:t>
            </w:r>
          </w:p>
          <w:p>
            <w:pPr>
              <w:spacing w:after="40" w:line="276" w:lineRule="auto"/>
              <w:ind w:left="125" w:hanging="125"/>
              <w:jc w:val="left"/>
            </w:pPr>
            <w:r>
              <w:t xml:space="preserve">• </w:t>
            </w:r>
            <w:r>
              <w:rPr>
                <w:b w:val="0"/>
                <w:i w:val="0"/>
              </w:rPr>
              <w:t>No. of international visiting faculty per year.</w:t>
            </w:r>
          </w:p>
        </w:tc>
      </w:tr>
      <w:tr>
        <w:trPr>
          <w:cantSplit/>
        </w:trPr>
        <w:tc>
          <w:tcPr>
            <w:tcW w:type="dxa" w:w="1984"/>
            <w:vAlign w:val="center"/>
            <w:shd w:fill="FFFFFF"/>
          </w:tcPr>
          <w:p>
            <w:pPr>
              <w:spacing w:after="40" w:line="276" w:lineRule="auto"/>
              <w:jc w:val="left"/>
            </w:pPr>
            <w:r>
              <w:rPr>
                <w:b w:val="0"/>
                <w:i w:val="0"/>
              </w:rPr>
              <w:t>Expand global exposure &amp; partnerships</w:t>
            </w:r>
          </w:p>
        </w:tc>
        <w:tc>
          <w:tcPr>
            <w:tcW w:type="dxa" w:w="3061"/>
            <w:vAlign w:val="center"/>
            <w:shd w:fill="FFFFFF"/>
          </w:tcPr>
          <w:p>
            <w:pPr>
              <w:spacing w:after="40" w:line="276" w:lineRule="auto"/>
              <w:ind w:left="125" w:hanging="125"/>
              <w:jc w:val="left"/>
            </w:pPr>
            <w:r>
              <w:t xml:space="preserve">• </w:t>
            </w:r>
            <w:r>
              <w:rPr>
                <w:b w:val="0"/>
                <w:i w:val="0"/>
              </w:rPr>
              <w:t>Sign dual-degree MoUs with leading universities.</w:t>
            </w:r>
          </w:p>
          <w:p>
            <w:pPr>
              <w:spacing w:after="40" w:line="276" w:lineRule="auto"/>
              <w:ind w:left="125" w:hanging="125"/>
              <w:jc w:val="left"/>
            </w:pPr>
            <w:r>
              <w:t xml:space="preserve">• </w:t>
            </w:r>
            <w:r>
              <w:rPr>
                <w:b w:val="0"/>
                <w:i w:val="0"/>
              </w:rPr>
              <w:t>Launch student/​faculty exchange programs.</w:t>
            </w:r>
          </w:p>
          <w:p>
            <w:pPr>
              <w:spacing w:after="40" w:line="276" w:lineRule="auto"/>
              <w:ind w:left="125" w:hanging="125"/>
              <w:jc w:val="left"/>
            </w:pPr>
            <w:r>
              <w:t xml:space="preserve">• </w:t>
            </w:r>
            <w:r>
              <w:rPr>
                <w:b w:val="0"/>
                <w:i w:val="0"/>
              </w:rPr>
              <w:t>Host global conferences.</w:t>
            </w:r>
          </w:p>
        </w:tc>
        <w:tc>
          <w:tcPr>
            <w:tcW w:type="dxa" w:w="2211"/>
            <w:vAlign w:val="center"/>
            <w:shd w:fill="FFFFFF"/>
          </w:tcPr>
          <w:p>
            <w:pPr>
              <w:spacing w:after="40" w:line="276" w:lineRule="auto"/>
              <w:jc w:val="left"/>
            </w:pPr>
            <w:r>
              <w:rPr>
                <w:b w:val="0"/>
                <w:i w:val="0"/>
              </w:rPr>
              <w:t>Increased global visibility, collaborative research, and credit transfer opportunities.</w:t>
            </w:r>
          </w:p>
        </w:tc>
        <w:tc>
          <w:tcPr>
            <w:tcW w:type="dxa" w:w="2154"/>
            <w:vAlign w:val="center"/>
            <w:shd w:fill="FFFFFF"/>
          </w:tcPr>
          <w:p>
            <w:pPr>
              <w:spacing w:after="40" w:line="276" w:lineRule="auto"/>
              <w:ind w:left="125" w:hanging="125"/>
              <w:jc w:val="left"/>
            </w:pPr>
            <w:r>
              <w:t xml:space="preserve">• </w:t>
            </w:r>
            <w:r>
              <w:rPr>
                <w:b/>
                <w:i w:val="0"/>
              </w:rPr>
              <w:t>No. of active international MoUs (Target:</w:t>
            </w:r>
            <w:r>
              <w:rPr>
                <w:b w:val="0"/>
                <w:i w:val="0"/>
              </w:rPr>
              <w:t xml:space="preserve"> 20+).</w:t>
            </w:r>
          </w:p>
          <w:p>
            <w:pPr>
              <w:spacing w:after="40" w:line="276" w:lineRule="auto"/>
              <w:ind w:left="125" w:hanging="125"/>
              <w:jc w:val="left"/>
            </w:pPr>
            <w:r>
              <w:t xml:space="preserve">• </w:t>
            </w:r>
            <w:r>
              <w:rPr>
                <w:b/>
                <w:i w:val="0"/>
              </w:rPr>
              <w:t>No. of exchanges per year (Target:</w:t>
            </w:r>
            <w:r>
              <w:rPr>
                <w:b w:val="0"/>
                <w:i w:val="0"/>
              </w:rPr>
              <w:t xml:space="preserve"> ≥50).</w:t>
            </w:r>
          </w:p>
          <w:p>
            <w:pPr>
              <w:spacing w:after="40" w:line="276" w:lineRule="auto"/>
              <w:ind w:left="125" w:hanging="125"/>
              <w:jc w:val="left"/>
            </w:pPr>
            <w:r>
              <w:t xml:space="preserve">• </w:t>
            </w:r>
            <w:r>
              <w:rPr>
                <w:b w:val="0"/>
                <w:i w:val="0"/>
              </w:rPr>
              <w:t>International student/​faculty ratio.</w:t>
            </w:r>
          </w:p>
        </w:tc>
      </w:tr>
      <w:tr>
        <w:trPr>
          <w:cantSplit/>
        </w:trPr>
        <w:tc>
          <w:tcPr>
            <w:tcW w:type="dxa" w:w="1984"/>
            <w:vAlign w:val="center"/>
            <w:shd w:fill="EDF2F7"/>
          </w:tcPr>
          <w:p>
            <w:pPr>
              <w:spacing w:after="40" w:line="276" w:lineRule="auto"/>
              <w:jc w:val="left"/>
            </w:pPr>
            <w:r>
              <w:rPr>
                <w:b w:val="0"/>
                <w:i w:val="0"/>
              </w:rPr>
              <w:t>Upgrade research infrastructure in niche domains</w:t>
            </w:r>
          </w:p>
        </w:tc>
        <w:tc>
          <w:tcPr>
            <w:tcW w:type="dxa" w:w="3061"/>
            <w:vAlign w:val="center"/>
            <w:shd w:fill="EDF2F7"/>
          </w:tcPr>
          <w:p>
            <w:pPr>
              <w:spacing w:after="40" w:line="276" w:lineRule="auto"/>
              <w:ind w:left="125" w:hanging="125"/>
              <w:jc w:val="left"/>
            </w:pPr>
            <w:r>
              <w:t xml:space="preserve">• </w:t>
            </w:r>
            <w:r>
              <w:rPr>
                <w:b w:val="0"/>
                <w:i w:val="0"/>
              </w:rPr>
              <w:t>Establish labs in AI, biotech, clean energy, IoT.</w:t>
            </w:r>
          </w:p>
          <w:p>
            <w:pPr>
              <w:spacing w:after="40" w:line="276" w:lineRule="auto"/>
              <w:ind w:left="125" w:hanging="125"/>
              <w:jc w:val="left"/>
            </w:pPr>
            <w:r>
              <w:t xml:space="preserve">• </w:t>
            </w:r>
            <w:r>
              <w:rPr>
                <w:b w:val="0"/>
                <w:i w:val="0"/>
              </w:rPr>
              <w:t>Partner with industries for joint projects.</w:t>
            </w:r>
          </w:p>
          <w:p>
            <w:pPr>
              <w:spacing w:after="40" w:line="276" w:lineRule="auto"/>
              <w:ind w:left="125" w:hanging="125"/>
              <w:jc w:val="left"/>
            </w:pPr>
            <w:r>
              <w:t xml:space="preserve">• </w:t>
            </w:r>
            <w:r>
              <w:rPr>
                <w:b w:val="0"/>
                <w:i w:val="0"/>
              </w:rPr>
              <w:t>Secure DST/​NRF/​CSR research grants.</w:t>
            </w:r>
          </w:p>
        </w:tc>
        <w:tc>
          <w:tcPr>
            <w:tcW w:type="dxa" w:w="2211"/>
            <w:vAlign w:val="center"/>
            <w:shd w:fill="EDF2F7"/>
          </w:tcPr>
          <w:p>
            <w:pPr>
              <w:spacing w:after="40" w:line="276" w:lineRule="auto"/>
              <w:jc w:val="left"/>
            </w:pPr>
            <w:r>
              <w:rPr>
                <w:b w:val="0"/>
                <w:i w:val="0"/>
              </w:rPr>
              <w:t>Advanced labs enabling high-impact publications and patents.</w:t>
            </w:r>
          </w:p>
        </w:tc>
        <w:tc>
          <w:tcPr>
            <w:tcW w:type="dxa" w:w="2154"/>
            <w:vAlign w:val="center"/>
            <w:shd w:fill="EDF2F7"/>
          </w:tcPr>
          <w:p>
            <w:pPr>
              <w:spacing w:after="40" w:line="276" w:lineRule="auto"/>
              <w:ind w:left="125" w:hanging="125"/>
              <w:jc w:val="left"/>
            </w:pPr>
            <w:r>
              <w:t xml:space="preserve">• </w:t>
            </w:r>
            <w:r>
              <w:rPr>
                <w:b w:val="0"/>
                <w:i w:val="0"/>
              </w:rPr>
              <w:t>No. of advanced labs established.</w:t>
            </w:r>
          </w:p>
          <w:p>
            <w:pPr>
              <w:spacing w:after="40" w:line="276" w:lineRule="auto"/>
              <w:ind w:left="125" w:hanging="125"/>
              <w:jc w:val="left"/>
            </w:pPr>
            <w:r>
              <w:t xml:space="preserve">• </w:t>
            </w:r>
            <w:r>
              <w:rPr>
                <w:b w:val="0"/>
                <w:i w:val="0"/>
              </w:rPr>
              <w:t>No. of funded projects per year.</w:t>
            </w:r>
          </w:p>
          <w:p>
            <w:pPr>
              <w:spacing w:after="40" w:line="276" w:lineRule="auto"/>
              <w:ind w:left="125" w:hanging="125"/>
              <w:jc w:val="left"/>
            </w:pPr>
            <w:r>
              <w:t xml:space="preserve">• </w:t>
            </w:r>
            <w:r>
              <w:rPr>
                <w:b w:val="0"/>
                <w:i w:val="0"/>
              </w:rPr>
              <w:t>No. of Scopus/​SCl publications.</w:t>
            </w:r>
          </w:p>
        </w:tc>
      </w:tr>
      <w:tr>
        <w:trPr>
          <w:cantSplit/>
        </w:trPr>
        <w:tc>
          <w:tcPr>
            <w:tcW w:type="dxa" w:w="1984"/>
            <w:vAlign w:val="center"/>
            <w:shd w:fill="FFFFFF"/>
          </w:tcPr>
          <w:p>
            <w:pPr>
              <w:spacing w:after="40" w:line="276" w:lineRule="auto"/>
              <w:jc w:val="left"/>
            </w:pPr>
            <w:r>
              <w:rPr>
                <w:b w:val="0"/>
                <w:i w:val="0"/>
              </w:rPr>
              <w:t>Adopt data-driven governance systems</w:t>
            </w:r>
          </w:p>
        </w:tc>
        <w:tc>
          <w:tcPr>
            <w:tcW w:type="dxa" w:w="3061"/>
            <w:vAlign w:val="center"/>
            <w:shd w:fill="FFFFFF"/>
          </w:tcPr>
          <w:p>
            <w:pPr>
              <w:spacing w:after="40" w:line="276" w:lineRule="auto"/>
              <w:ind w:left="125" w:hanging="125"/>
              <w:jc w:val="left"/>
            </w:pPr>
            <w:r>
              <w:t xml:space="preserve">• </w:t>
            </w:r>
            <w:r>
              <w:rPr>
                <w:b w:val="0"/>
                <w:i w:val="0"/>
              </w:rPr>
              <w:t>Implement ERP dashboards for academics &amp; finance.</w:t>
            </w:r>
          </w:p>
          <w:p>
            <w:pPr>
              <w:spacing w:after="40" w:line="276" w:lineRule="auto"/>
              <w:ind w:left="125" w:hanging="125"/>
              <w:jc w:val="left"/>
            </w:pPr>
            <w:r>
              <w:t xml:space="preserve">• </w:t>
            </w:r>
            <w:r>
              <w:rPr>
                <w:b w:val="0"/>
                <w:i w:val="0"/>
              </w:rPr>
              <w:t>Deploy AI-driven accreditation tracking.</w:t>
            </w:r>
          </w:p>
          <w:p>
            <w:pPr>
              <w:spacing w:after="40" w:line="276" w:lineRule="auto"/>
              <w:ind w:left="125" w:hanging="125"/>
              <w:jc w:val="left"/>
            </w:pPr>
            <w:r>
              <w:t xml:space="preserve">• </w:t>
            </w:r>
            <w:r>
              <w:rPr>
                <w:b w:val="0"/>
                <w:i w:val="0"/>
              </w:rPr>
              <w:t>Train staff in data analytics for decision-making.</w:t>
            </w:r>
          </w:p>
        </w:tc>
        <w:tc>
          <w:tcPr>
            <w:tcW w:type="dxa" w:w="2211"/>
            <w:vAlign w:val="center"/>
            <w:shd w:fill="FFFFFF"/>
          </w:tcPr>
          <w:p>
            <w:pPr>
              <w:spacing w:after="40" w:line="276" w:lineRule="auto"/>
              <w:jc w:val="left"/>
            </w:pPr>
            <w:r>
              <w:rPr>
                <w:b w:val="0"/>
                <w:i w:val="0"/>
              </w:rPr>
              <w:t>Faster decision-making, improved transparency, real-time monitoring.</w:t>
            </w:r>
          </w:p>
        </w:tc>
        <w:tc>
          <w:tcPr>
            <w:tcW w:type="dxa" w:w="2154"/>
            <w:vAlign w:val="center"/>
            <w:shd w:fill="FFFFFF"/>
          </w:tcPr>
          <w:p>
            <w:pPr>
              <w:spacing w:after="40" w:line="276" w:lineRule="auto"/>
              <w:ind w:left="125" w:hanging="125"/>
              <w:jc w:val="left"/>
            </w:pPr>
            <w:r>
              <w:t xml:space="preserve">• </w:t>
            </w:r>
            <w:r>
              <w:rPr>
                <w:b/>
                <w:i w:val="0"/>
              </w:rPr>
              <w:t>% processes digitized (Target:</w:t>
            </w:r>
            <w:r>
              <w:rPr>
                <w:b w:val="0"/>
                <w:i w:val="0"/>
              </w:rPr>
              <w:t xml:space="preserve"> ≥80%).</w:t>
            </w:r>
          </w:p>
          <w:p>
            <w:pPr>
              <w:spacing w:after="40" w:line="276" w:lineRule="auto"/>
              <w:ind w:left="125" w:hanging="125"/>
              <w:jc w:val="left"/>
            </w:pPr>
            <w:r>
              <w:t xml:space="preserve">• </w:t>
            </w:r>
            <w:r>
              <w:rPr>
                <w:b w:val="0"/>
                <w:i w:val="0"/>
              </w:rPr>
              <w:t>Decision-making turnaround time.</w:t>
            </w:r>
          </w:p>
          <w:p>
            <w:pPr>
              <w:spacing w:after="40" w:line="276" w:lineRule="auto"/>
              <w:ind w:left="125" w:hanging="125"/>
              <w:jc w:val="left"/>
            </w:pPr>
            <w:r>
              <w:t xml:space="preserve">• </w:t>
            </w:r>
            <w:r>
              <w:rPr>
                <w:b w:val="0"/>
                <w:i w:val="0"/>
              </w:rPr>
              <w:t>Accreditation compliance score.</w:t>
            </w:r>
          </w:p>
        </w:tc>
      </w:tr>
      <w:tr>
        <w:trPr>
          <w:cantSplit/>
        </w:trPr>
        <w:tc>
          <w:tcPr>
            <w:tcW w:type="dxa" w:w="1984"/>
            <w:vAlign w:val="center"/>
            <w:shd w:fill="EDF2F7"/>
          </w:tcPr>
          <w:p>
            <w:pPr>
              <w:spacing w:after="40" w:line="276" w:lineRule="auto"/>
              <w:jc w:val="left"/>
            </w:pPr>
            <w:r>
              <w:rPr>
                <w:b w:val="0"/>
                <w:i w:val="0"/>
              </w:rPr>
              <w:t>Accelerate governance reforms</w:t>
            </w:r>
          </w:p>
        </w:tc>
        <w:tc>
          <w:tcPr>
            <w:tcW w:type="dxa" w:w="3061"/>
            <w:vAlign w:val="center"/>
            <w:shd w:fill="EDF2F7"/>
          </w:tcPr>
          <w:p>
            <w:pPr>
              <w:spacing w:after="40" w:line="276" w:lineRule="auto"/>
              <w:ind w:left="125" w:hanging="125"/>
              <w:jc w:val="left"/>
            </w:pPr>
            <w:r>
              <w:t xml:space="preserve">• </w:t>
            </w:r>
            <w:r>
              <w:rPr>
                <w:b w:val="0"/>
                <w:i w:val="0"/>
              </w:rPr>
              <w:t>Empower IQAC with greater autonomy.</w:t>
            </w:r>
          </w:p>
          <w:p>
            <w:pPr>
              <w:spacing w:after="40" w:line="276" w:lineRule="auto"/>
              <w:ind w:left="125" w:hanging="125"/>
              <w:jc w:val="left"/>
            </w:pPr>
            <w:r>
              <w:t xml:space="preserve">• </w:t>
            </w:r>
            <w:r>
              <w:rPr>
                <w:b w:val="0"/>
                <w:i w:val="0"/>
              </w:rPr>
              <w:t>Digitize approval workflows.</w:t>
            </w:r>
          </w:p>
          <w:p>
            <w:pPr>
              <w:spacing w:after="40" w:line="276" w:lineRule="auto"/>
              <w:ind w:left="125" w:hanging="125"/>
              <w:jc w:val="left"/>
            </w:pPr>
            <w:r>
              <w:t xml:space="preserve">• </w:t>
            </w:r>
            <w:r>
              <w:rPr>
                <w:b w:val="0"/>
                <w:i w:val="0"/>
              </w:rPr>
              <w:t>Introduce lean governance structures.</w:t>
            </w:r>
          </w:p>
        </w:tc>
        <w:tc>
          <w:tcPr>
            <w:tcW w:type="dxa" w:w="2211"/>
            <w:vAlign w:val="center"/>
            <w:shd w:fill="EDF2F7"/>
          </w:tcPr>
          <w:p>
            <w:pPr>
              <w:spacing w:after="40" w:line="276" w:lineRule="auto"/>
              <w:jc w:val="left"/>
            </w:pPr>
            <w:r>
              <w:rPr>
                <w:b w:val="0"/>
                <w:i w:val="0"/>
              </w:rPr>
              <w:t>Agile and efficient institutional governance.</w:t>
            </w:r>
          </w:p>
        </w:tc>
        <w:tc>
          <w:tcPr>
            <w:tcW w:type="dxa" w:w="2154"/>
            <w:vAlign w:val="center"/>
            <w:shd w:fill="EDF2F7"/>
          </w:tcPr>
          <w:p>
            <w:pPr>
              <w:spacing w:after="40" w:line="276" w:lineRule="auto"/>
              <w:ind w:left="125" w:hanging="125"/>
              <w:jc w:val="left"/>
            </w:pPr>
            <w:r>
              <w:t xml:space="preserve">• </w:t>
            </w:r>
            <w:r>
              <w:rPr>
                <w:b w:val="0"/>
                <w:i w:val="0"/>
              </w:rPr>
              <w:t>Policy approval turnaround (days).</w:t>
            </w:r>
          </w:p>
          <w:p>
            <w:pPr>
              <w:spacing w:after="40" w:line="276" w:lineRule="auto"/>
              <w:ind w:left="125" w:hanging="125"/>
              <w:jc w:val="left"/>
            </w:pPr>
            <w:r>
              <w:t xml:space="preserve">• </w:t>
            </w:r>
            <w:r>
              <w:rPr>
                <w:b w:val="0"/>
                <w:i w:val="0"/>
              </w:rPr>
              <w:t>% compliance with timelines.</w:t>
            </w:r>
          </w:p>
          <w:p>
            <w:pPr>
              <w:spacing w:after="40" w:line="276" w:lineRule="auto"/>
              <w:ind w:left="125" w:hanging="125"/>
              <w:jc w:val="left"/>
            </w:pPr>
            <w:r>
              <w:t xml:space="preserve">• </w:t>
            </w:r>
            <w:r>
              <w:rPr>
                <w:b w:val="0"/>
                <w:i w:val="0"/>
              </w:rPr>
              <w:t>Stakeholder satisfaction score in governance.</w:t>
            </w:r>
          </w:p>
        </w:tc>
      </w:tr>
      <w:tr>
        <w:trPr>
          <w:cantSplit/>
        </w:trPr>
        <w:tc>
          <w:tcPr>
            <w:tcW w:type="dxa" w:w="1984"/>
            <w:vAlign w:val="center"/>
            <w:shd w:fill="FFFFFF"/>
          </w:tcPr>
          <w:p>
            <w:pPr>
              <w:spacing w:after="40" w:line="276" w:lineRule="auto"/>
              <w:jc w:val="left"/>
            </w:pPr>
            <w:r>
              <w:rPr>
                <w:b w:val="0"/>
                <w:i w:val="0"/>
              </w:rPr>
              <w:t>Strengthen industry collaborations</w:t>
            </w:r>
          </w:p>
        </w:tc>
        <w:tc>
          <w:tcPr>
            <w:tcW w:type="dxa" w:w="3061"/>
            <w:vAlign w:val="center"/>
            <w:shd w:fill="FFFFFF"/>
          </w:tcPr>
          <w:p>
            <w:pPr>
              <w:spacing w:after="40" w:line="276" w:lineRule="auto"/>
              <w:ind w:left="125" w:hanging="125"/>
              <w:jc w:val="left"/>
            </w:pPr>
            <w:r>
              <w:t xml:space="preserve">• </w:t>
            </w:r>
            <w:r>
              <w:rPr>
                <w:b w:val="0"/>
                <w:i w:val="0"/>
              </w:rPr>
              <w:t>Formalize internship pipelines with industries.</w:t>
            </w:r>
          </w:p>
          <w:p>
            <w:pPr>
              <w:spacing w:after="40" w:line="276" w:lineRule="auto"/>
              <w:ind w:left="125" w:hanging="125"/>
              <w:jc w:val="left"/>
            </w:pPr>
            <w:r>
              <w:t xml:space="preserve">• </w:t>
            </w:r>
            <w:r>
              <w:rPr>
                <w:b w:val="0"/>
                <w:i w:val="0"/>
              </w:rPr>
              <w:t>Establish consultancy &amp; skill training centers.</w:t>
            </w:r>
          </w:p>
          <w:p>
            <w:pPr>
              <w:spacing w:after="40" w:line="276" w:lineRule="auto"/>
              <w:ind w:left="125" w:hanging="125"/>
              <w:jc w:val="left"/>
            </w:pPr>
            <w:r>
              <w:t xml:space="preserve">• </w:t>
            </w:r>
            <w:r>
              <w:rPr>
                <w:b w:val="0"/>
                <w:i w:val="0"/>
              </w:rPr>
              <w:t>Joint research and innovation projects.</w:t>
            </w:r>
          </w:p>
        </w:tc>
        <w:tc>
          <w:tcPr>
            <w:tcW w:type="dxa" w:w="2211"/>
            <w:vAlign w:val="center"/>
            <w:shd w:fill="FFFFFF"/>
          </w:tcPr>
          <w:p>
            <w:pPr>
              <w:spacing w:after="40" w:line="276" w:lineRule="auto"/>
              <w:jc w:val="left"/>
            </w:pPr>
            <w:r>
              <w:rPr>
                <w:b w:val="0"/>
                <w:i w:val="0"/>
              </w:rPr>
              <w:t>Stronger employability, improved industry-academia linkages.</w:t>
            </w:r>
          </w:p>
        </w:tc>
        <w:tc>
          <w:tcPr>
            <w:tcW w:type="dxa" w:w="2154"/>
            <w:vAlign w:val="center"/>
            <w:shd w:fill="FFFFFF"/>
          </w:tcPr>
          <w:p>
            <w:pPr>
              <w:spacing w:after="40" w:line="276" w:lineRule="auto"/>
              <w:ind w:left="125" w:hanging="125"/>
              <w:jc w:val="left"/>
            </w:pPr>
            <w:r>
              <w:t xml:space="preserve">• </w:t>
            </w:r>
            <w:r>
              <w:rPr>
                <w:b w:val="0"/>
                <w:i w:val="0"/>
              </w:rPr>
              <w:t>No. of active industry MoUs.</w:t>
            </w:r>
          </w:p>
          <w:p>
            <w:pPr>
              <w:spacing w:after="40" w:line="276" w:lineRule="auto"/>
              <w:ind w:left="125" w:hanging="125"/>
              <w:jc w:val="left"/>
            </w:pPr>
            <w:r>
              <w:t xml:space="preserve">• </w:t>
            </w:r>
            <w:r>
              <w:rPr>
                <w:b w:val="0"/>
                <w:i w:val="0"/>
              </w:rPr>
              <w:t>Internship coverage (% of students).</w:t>
            </w:r>
          </w:p>
          <w:p>
            <w:pPr>
              <w:spacing w:after="40" w:line="276" w:lineRule="auto"/>
              <w:ind w:left="125" w:hanging="125"/>
              <w:jc w:val="left"/>
            </w:pPr>
            <w:r>
              <w:t xml:space="preserve">• </w:t>
            </w:r>
            <w:r>
              <w:rPr>
                <w:b w:val="0"/>
                <w:i w:val="0"/>
              </w:rPr>
              <w:t>No. of consultancy projects/​year.</w:t>
            </w:r>
          </w:p>
        </w:tc>
      </w:tr>
    </w:tbl>
    <w:p>
      <w:pPr>
        <w:spacing w:after="40"/>
      </w:pPr>
    </w:p>
    <w:p>
      <w:pPr>
        <w:pStyle w:val="Heading2"/>
      </w:pPr>
      <w:r>
        <w:t>ST (Strength–Threat) Strategies</w:t>
      </w:r>
    </w:p>
    <w:p>
      <w:pPr>
        <w:pStyle w:val="Heading2"/>
      </w:pPr>
      <w:r>
        <w:t>1. Strength: Strong institutional vision and leadership</w:t>
      </w:r>
    </w:p>
    <w:p>
      <w:pPr/>
      <w:r>
        <w:rPr>
          <w:b/>
          <w:i w:val="0"/>
        </w:rPr>
        <w:t>Threat:</w:t>
      </w:r>
      <w:r>
        <w:rPr>
          <w:b w:val="0"/>
          <w:i w:val="0"/>
        </w:rPr>
        <w:t xml:space="preserve"> Rapid policy shifts and regulatory uncertainties</w:t>
      </w:r>
    </w:p>
    <w:p>
      <w:pPr>
        <w:pStyle w:val="ListBullet2"/>
        <w:numPr>
          <w:ilvl w:val="1"/>
          <w:numId w:val="90"/>
        </w:numPr>
        <w:ind w:left="652" w:hanging="142"/>
      </w:pPr>
      <w:r>
        <w:rPr>
          <w:b/>
          <w:i w:val="0"/>
        </w:rPr>
        <w:t>Strategy:</w:t>
      </w:r>
      <w:r>
        <w:rPr>
          <w:b w:val="0"/>
          <w:i w:val="0"/>
        </w:rPr>
        <w:t xml:space="preserve"> Use strong leadership to build adaptive governance models and create a policy monitoring cell to anticipate and respond to reforms quickly.</w:t>
      </w:r>
    </w:p>
    <w:p>
      <w:pPr>
        <w:pStyle w:val="Heading2"/>
      </w:pPr>
      <w:r>
        <w:t>2. Strength: Skilled faculty and committed workforce</w:t>
      </w:r>
    </w:p>
    <w:p>
      <w:pPr/>
      <w:r>
        <w:rPr>
          <w:b/>
          <w:i w:val="0"/>
        </w:rPr>
        <w:t>Threat:</w:t>
      </w:r>
      <w:r>
        <w:rPr>
          <w:b w:val="0"/>
          <w:i w:val="0"/>
        </w:rPr>
        <w:t xml:space="preserve"> Brain drain and faculty attrition</w:t>
      </w:r>
    </w:p>
    <w:p>
      <w:pPr>
        <w:pStyle w:val="ListBullet2"/>
        <w:numPr>
          <w:ilvl w:val="1"/>
          <w:numId w:val="90"/>
        </w:numPr>
        <w:ind w:left="652" w:hanging="142"/>
      </w:pPr>
      <w:r>
        <w:rPr>
          <w:b/>
          <w:i w:val="0"/>
        </w:rPr>
        <w:t>Strategy:</w:t>
      </w:r>
      <w:r>
        <w:rPr>
          <w:b w:val="0"/>
          <w:i w:val="0"/>
        </w:rPr>
        <w:t xml:space="preserve"> Implement faculty retention and career development programs (research incentives, sabbaticals, global exposure) to retain talent.</w:t>
      </w:r>
    </w:p>
    <w:p>
      <w:pPr>
        <w:pStyle w:val="Heading2"/>
      </w:pPr>
      <w:r>
        <w:t>3. Strength: Growing student population with diverse backgrounds</w:t>
      </w:r>
    </w:p>
    <w:p>
      <w:pPr/>
      <w:r>
        <w:rPr>
          <w:b/>
          <w:i w:val="0"/>
        </w:rPr>
        <w:t>Threat:</w:t>
      </w:r>
      <w:r>
        <w:rPr>
          <w:b w:val="0"/>
          <w:i w:val="0"/>
        </w:rPr>
        <w:t xml:space="preserve"> Rising competition from global universities and EdTech platforms</w:t>
      </w:r>
    </w:p>
    <w:p>
      <w:pPr>
        <w:pStyle w:val="ListBullet2"/>
        <w:numPr>
          <w:ilvl w:val="1"/>
          <w:numId w:val="90"/>
        </w:numPr>
        <w:ind w:left="652" w:hanging="142"/>
      </w:pPr>
      <w:r>
        <w:rPr>
          <w:b/>
          <w:i w:val="0"/>
        </w:rPr>
        <w:t>Strategy:</w:t>
      </w:r>
      <w:r>
        <w:rPr>
          <w:b w:val="0"/>
          <w:i w:val="0"/>
        </w:rPr>
        <w:t xml:space="preserve"> Enhance student experience through blended learning, flexible curricula, and employability-focused programs to remain competitive.</w:t>
      </w:r>
    </w:p>
    <w:p>
      <w:pPr>
        <w:pStyle w:val="Heading2"/>
      </w:pPr>
      <w:r>
        <w:t>4. Strength: Existing infrastructure (digital labs, libraries, classrooms)</w:t>
      </w:r>
    </w:p>
    <w:p>
      <w:pPr/>
      <w:r>
        <w:rPr>
          <w:b/>
          <w:i w:val="0"/>
        </w:rPr>
        <w:t>Threat:</w:t>
      </w:r>
      <w:r>
        <w:rPr>
          <w:b w:val="0"/>
          <w:i w:val="0"/>
        </w:rPr>
        <w:t xml:space="preserve"> Rapid technological obsolescence</w:t>
      </w:r>
    </w:p>
    <w:p>
      <w:pPr>
        <w:pStyle w:val="ListBullet2"/>
        <w:numPr>
          <w:ilvl w:val="1"/>
          <w:numId w:val="90"/>
        </w:numPr>
        <w:ind w:left="652" w:hanging="142"/>
      </w:pPr>
      <w:r>
        <w:rPr>
          <w:b/>
          <w:i w:val="0"/>
        </w:rPr>
        <w:t>Strategy:</w:t>
      </w:r>
      <w:r>
        <w:rPr>
          <w:b w:val="0"/>
          <w:i w:val="0"/>
        </w:rPr>
        <w:t xml:space="preserve"> Continuously upgrade ICT and labs with AI, VR/AR, IoT to maintain relevance and stay ahead of EdTech disruption.</w:t>
      </w:r>
    </w:p>
    <w:p>
      <w:pPr>
        <w:pStyle w:val="Heading2"/>
      </w:pPr>
      <w:r>
        <w:t>5. Strength: Strong community connections and outreach programs</w:t>
      </w:r>
    </w:p>
    <w:p>
      <w:pPr/>
      <w:r>
        <w:rPr>
          <w:b/>
          <w:i w:val="0"/>
        </w:rPr>
        <w:t>Threat:</w:t>
      </w:r>
      <w:r>
        <w:rPr>
          <w:b w:val="0"/>
          <w:i w:val="0"/>
        </w:rPr>
        <w:t xml:space="preserve"> Social and environmental challenges (climate change, inequality, pandemics)</w:t>
      </w:r>
    </w:p>
    <w:p>
      <w:pPr>
        <w:pStyle w:val="ListBullet2"/>
        <w:numPr>
          <w:ilvl w:val="1"/>
          <w:numId w:val="90"/>
        </w:numPr>
        <w:ind w:left="652" w:hanging="142"/>
      </w:pPr>
      <w:r>
        <w:rPr>
          <w:b/>
          <w:i w:val="0"/>
        </w:rPr>
        <w:t>Strategy:</w:t>
      </w:r>
      <w:r>
        <w:rPr>
          <w:b w:val="0"/>
          <w:i w:val="0"/>
        </w:rPr>
        <w:t xml:space="preserve"> Expand community partnerships and SDG-driven ISR projects to address societal challenges and strengthen institutional reputation.</w:t>
      </w:r>
    </w:p>
    <w:p>
      <w:pPr>
        <w:pStyle w:val="Heading2"/>
      </w:pPr>
      <w:r>
        <w:t>6. Strength: Accreditation readiness (NAAC/NBA/ISO)</w:t>
      </w:r>
    </w:p>
    <w:p>
      <w:pPr/>
      <w:r>
        <w:rPr>
          <w:b/>
          <w:i w:val="0"/>
        </w:rPr>
        <w:t>Threat:</w:t>
      </w:r>
      <w:r>
        <w:rPr>
          <w:b w:val="0"/>
          <w:i w:val="0"/>
        </w:rPr>
        <w:t xml:space="preserve"> Intensified global benchmarking and ranking pressure</w:t>
      </w:r>
    </w:p>
    <w:p>
      <w:pPr>
        <w:pStyle w:val="ListBullet2"/>
        <w:numPr>
          <w:ilvl w:val="1"/>
          <w:numId w:val="90"/>
        </w:numPr>
        <w:ind w:left="652" w:hanging="142"/>
      </w:pPr>
      <w:r>
        <w:rPr>
          <w:b/>
          <w:i w:val="0"/>
        </w:rPr>
        <w:t>Strategy:</w:t>
      </w:r>
      <w:r>
        <w:rPr>
          <w:b w:val="0"/>
          <w:i w:val="0"/>
        </w:rPr>
        <w:t xml:space="preserve"> Leverage accreditation frameworks to benchmark performance globally, strengthen research visibility, and improve NIRF/QS/THE rankings.</w:t>
      </w:r>
    </w:p>
    <w:p>
      <w:pPr>
        <w:pStyle w:val="Heading2"/>
      </w:pPr>
      <w:r>
        <w:t>ST Strategies → Policy–Action–Outcome–KPI Table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984"/>
        <w:gridCol w:w="3061"/>
        <w:gridCol w:w="2211"/>
        <w:gridCol w:w="2154"/>
      </w:tblGrid>
      <w:tr>
        <w:trPr>
          <w:tblHeader/>
          <w:cantSplit/>
        </w:trPr>
        <w:tc>
          <w:tcPr>
            <w:tcW w:type="dxa" w:w="1984"/>
            <w:vAlign w:val="center"/>
            <w:shd w:fill="1F3A5F"/>
          </w:tcPr>
          <w:p>
            <w:pPr>
              <w:keepNext/>
              <w:spacing w:after="40" w:line="276" w:lineRule="auto"/>
              <w:jc w:val="left"/>
            </w:pPr>
            <w:r>
              <w:rPr>
                <w:b/>
                <w:i w:val="0"/>
                <w:color w:val="FFFFFF"/>
              </w:rPr>
              <w:t>Policy Direction</w:t>
            </w:r>
          </w:p>
        </w:tc>
        <w:tc>
          <w:tcPr>
            <w:tcW w:type="dxa" w:w="3061"/>
            <w:vAlign w:val="center"/>
            <w:shd w:fill="1F3A5F"/>
          </w:tcPr>
          <w:p>
            <w:pPr>
              <w:keepNext/>
              <w:spacing w:after="40" w:line="276" w:lineRule="auto"/>
              <w:jc w:val="left"/>
            </w:pPr>
            <w:r>
              <w:rPr>
                <w:b/>
                <w:i w:val="0"/>
                <w:color w:val="FFFFFF"/>
              </w:rPr>
              <w:t>Strategic Actions</w:t>
            </w:r>
          </w:p>
        </w:tc>
        <w:tc>
          <w:tcPr>
            <w:tcW w:type="dxa" w:w="2211"/>
            <w:vAlign w:val="center"/>
            <w:shd w:fill="1F3A5F"/>
          </w:tcPr>
          <w:p>
            <w:pPr>
              <w:keepNext/>
              <w:spacing w:after="40" w:line="276" w:lineRule="auto"/>
              <w:jc w:val="left"/>
            </w:pPr>
            <w:r>
              <w:rPr>
                <w:b/>
                <w:i w:val="0"/>
                <w:color w:val="FFFFFF"/>
              </w:rPr>
              <w:t>Expected Outcomes</w:t>
            </w:r>
          </w:p>
        </w:tc>
        <w:tc>
          <w:tcPr>
            <w:tcW w:type="dxa" w:w="2154"/>
            <w:vAlign w:val="center"/>
            <w:shd w:fill="1F3A5F"/>
          </w:tcPr>
          <w:p>
            <w:pPr>
              <w:keepNext/>
              <w:spacing w:after="40" w:line="276" w:lineRule="auto"/>
              <w:jc w:val="left"/>
            </w:pPr>
            <w:r>
              <w:rPr>
                <w:b/>
                <w:i w:val="0"/>
                <w:color w:val="FFFFFF"/>
              </w:rPr>
              <w:t>KPIs (Indicators)</w:t>
            </w:r>
          </w:p>
        </w:tc>
      </w:tr>
      <w:tr>
        <w:trPr>
          <w:cantSplit/>
        </w:trPr>
        <w:tc>
          <w:tcPr>
            <w:tcW w:type="dxa" w:w="1984"/>
            <w:vAlign w:val="center"/>
            <w:shd w:fill="FFFFFF"/>
          </w:tcPr>
          <w:p>
            <w:pPr>
              <w:spacing w:after="40" w:line="276" w:lineRule="auto"/>
              <w:jc w:val="left"/>
            </w:pPr>
            <w:r>
              <w:rPr>
                <w:b w:val="0"/>
                <w:i w:val="0"/>
              </w:rPr>
              <w:t>Adaptive governance for policy shifts</w:t>
            </w:r>
          </w:p>
        </w:tc>
        <w:tc>
          <w:tcPr>
            <w:tcW w:type="dxa" w:w="3061"/>
            <w:vAlign w:val="center"/>
            <w:shd w:fill="FFFFFF"/>
          </w:tcPr>
          <w:p>
            <w:pPr>
              <w:spacing w:after="40" w:line="276" w:lineRule="auto"/>
              <w:ind w:left="125" w:hanging="125"/>
              <w:jc w:val="left"/>
            </w:pPr>
            <w:r>
              <w:t xml:space="preserve">• </w:t>
            </w:r>
            <w:r>
              <w:rPr>
                <w:b w:val="0"/>
                <w:i w:val="0"/>
              </w:rPr>
              <w:t>Establish a policy monitoring &amp; compliance cell.</w:t>
            </w:r>
          </w:p>
          <w:p>
            <w:pPr>
              <w:spacing w:after="40" w:line="276" w:lineRule="auto"/>
              <w:ind w:left="125" w:hanging="125"/>
              <w:jc w:val="left"/>
            </w:pPr>
            <w:r>
              <w:t xml:space="preserve">• </w:t>
            </w:r>
            <w:r>
              <w:rPr>
                <w:b w:val="0"/>
                <w:i w:val="0"/>
              </w:rPr>
              <w:t>Conduct quarterly reviews of national/​international education reforms.</w:t>
            </w:r>
          </w:p>
          <w:p>
            <w:pPr>
              <w:spacing w:after="40" w:line="276" w:lineRule="auto"/>
              <w:ind w:left="125" w:hanging="125"/>
              <w:jc w:val="left"/>
            </w:pPr>
            <w:r>
              <w:t xml:space="preserve">• </w:t>
            </w:r>
            <w:r>
              <w:rPr>
                <w:b w:val="0"/>
                <w:i w:val="0"/>
              </w:rPr>
              <w:t>Develop contingency plans for regulatory changes.</w:t>
            </w:r>
          </w:p>
        </w:tc>
        <w:tc>
          <w:tcPr>
            <w:tcW w:type="dxa" w:w="2211"/>
            <w:vAlign w:val="center"/>
            <w:shd w:fill="FFFFFF"/>
          </w:tcPr>
          <w:p>
            <w:pPr>
              <w:spacing w:after="40" w:line="276" w:lineRule="auto"/>
              <w:jc w:val="left"/>
            </w:pPr>
            <w:r>
              <w:rPr>
                <w:b w:val="0"/>
                <w:i w:val="0"/>
              </w:rPr>
              <w:t>Resilient and future-ready governance system.</w:t>
            </w:r>
          </w:p>
        </w:tc>
        <w:tc>
          <w:tcPr>
            <w:tcW w:type="dxa" w:w="2154"/>
            <w:vAlign w:val="center"/>
            <w:shd w:fill="FFFFFF"/>
          </w:tcPr>
          <w:p>
            <w:pPr>
              <w:spacing w:after="40" w:line="276" w:lineRule="auto"/>
              <w:ind w:left="125" w:hanging="125"/>
              <w:jc w:val="left"/>
            </w:pPr>
            <w:r>
              <w:t xml:space="preserve">• </w:t>
            </w:r>
            <w:r>
              <w:rPr>
                <w:b w:val="0"/>
                <w:i w:val="0"/>
              </w:rPr>
              <w:t>Time taken to align with new policies (days).</w:t>
            </w:r>
          </w:p>
          <w:p>
            <w:pPr>
              <w:spacing w:after="40" w:line="276" w:lineRule="auto"/>
              <w:ind w:left="125" w:hanging="125"/>
              <w:jc w:val="left"/>
            </w:pPr>
            <w:r>
              <w:t xml:space="preserve">• </w:t>
            </w:r>
            <w:r>
              <w:rPr>
                <w:b w:val="0"/>
                <w:i w:val="0"/>
              </w:rPr>
              <w:t>No. of policy compliance reports submitted on time.</w:t>
            </w:r>
          </w:p>
          <w:p>
            <w:pPr>
              <w:spacing w:after="40" w:line="276" w:lineRule="auto"/>
              <w:ind w:left="125" w:hanging="125"/>
              <w:jc w:val="left"/>
            </w:pPr>
            <w:r>
              <w:t xml:space="preserve">• </w:t>
            </w:r>
            <w:r>
              <w:rPr>
                <w:b w:val="0"/>
                <w:i w:val="0"/>
              </w:rPr>
              <w:t>Accreditation/​approval success rate.</w:t>
            </w:r>
          </w:p>
        </w:tc>
      </w:tr>
      <w:tr>
        <w:trPr>
          <w:cantSplit/>
        </w:trPr>
        <w:tc>
          <w:tcPr>
            <w:tcW w:type="dxa" w:w="1984"/>
            <w:vAlign w:val="center"/>
            <w:shd w:fill="EDF2F7"/>
          </w:tcPr>
          <w:p>
            <w:pPr>
              <w:spacing w:after="40" w:line="276" w:lineRule="auto"/>
              <w:jc w:val="left"/>
            </w:pPr>
            <w:r>
              <w:rPr>
                <w:b w:val="0"/>
                <w:i w:val="0"/>
              </w:rPr>
              <w:t>Faculty retention &amp; development</w:t>
            </w:r>
          </w:p>
        </w:tc>
        <w:tc>
          <w:tcPr>
            <w:tcW w:type="dxa" w:w="3061"/>
            <w:vAlign w:val="center"/>
            <w:shd w:fill="EDF2F7"/>
          </w:tcPr>
          <w:p>
            <w:pPr>
              <w:spacing w:after="40" w:line="276" w:lineRule="auto"/>
              <w:ind w:left="125" w:hanging="125"/>
              <w:jc w:val="left"/>
            </w:pPr>
            <w:r>
              <w:t xml:space="preserve">• </w:t>
            </w:r>
            <w:r>
              <w:rPr>
                <w:b w:val="0"/>
                <w:i w:val="0"/>
              </w:rPr>
              <w:t>Launch structured career pathways.</w:t>
            </w:r>
          </w:p>
          <w:p>
            <w:pPr>
              <w:spacing w:after="40" w:line="276" w:lineRule="auto"/>
              <w:ind w:left="125" w:hanging="125"/>
              <w:jc w:val="left"/>
            </w:pPr>
            <w:r>
              <w:t xml:space="preserve">• </w:t>
            </w:r>
            <w:r>
              <w:rPr>
                <w:b w:val="0"/>
                <w:i w:val="0"/>
              </w:rPr>
              <w:t>Offer research incentives, sabbaticals, and international collaborations.</w:t>
            </w:r>
          </w:p>
          <w:p>
            <w:pPr>
              <w:spacing w:after="40" w:line="276" w:lineRule="auto"/>
              <w:ind w:left="125" w:hanging="125"/>
              <w:jc w:val="left"/>
            </w:pPr>
            <w:r>
              <w:t xml:space="preserve">• </w:t>
            </w:r>
            <w:r>
              <w:rPr>
                <w:b w:val="0"/>
                <w:i w:val="0"/>
              </w:rPr>
              <w:t>Implement faculty welfare &amp; recognition programs.</w:t>
            </w:r>
          </w:p>
        </w:tc>
        <w:tc>
          <w:tcPr>
            <w:tcW w:type="dxa" w:w="2211"/>
            <w:vAlign w:val="center"/>
            <w:shd w:fill="EDF2F7"/>
          </w:tcPr>
          <w:p>
            <w:pPr>
              <w:spacing w:after="40" w:line="276" w:lineRule="auto"/>
              <w:jc w:val="left"/>
            </w:pPr>
            <w:r>
              <w:rPr>
                <w:b w:val="0"/>
                <w:i w:val="0"/>
              </w:rPr>
              <w:t>Reduced attrition; motivated, high-performing faculty.</w:t>
            </w:r>
          </w:p>
        </w:tc>
        <w:tc>
          <w:tcPr>
            <w:tcW w:type="dxa" w:w="2154"/>
            <w:vAlign w:val="center"/>
            <w:shd w:fill="EDF2F7"/>
          </w:tcPr>
          <w:p>
            <w:pPr>
              <w:spacing w:after="40" w:line="276" w:lineRule="auto"/>
              <w:ind w:left="125" w:hanging="125"/>
              <w:jc w:val="left"/>
            </w:pPr>
            <w:r>
              <w:t xml:space="preserve">• </w:t>
            </w:r>
            <w:r>
              <w:rPr>
                <w:b w:val="0"/>
                <w:i w:val="0"/>
              </w:rPr>
              <w:t>Faculty attrition rate (%).</w:t>
            </w:r>
          </w:p>
          <w:p>
            <w:pPr>
              <w:spacing w:after="40" w:line="276" w:lineRule="auto"/>
              <w:ind w:left="125" w:hanging="125"/>
              <w:jc w:val="left"/>
            </w:pPr>
            <w:r>
              <w:t xml:space="preserve">• </w:t>
            </w:r>
            <w:r>
              <w:rPr>
                <w:b w:val="0"/>
                <w:i w:val="0"/>
              </w:rPr>
              <w:t>No. of faculty availing research grants/​sabbaticals.</w:t>
            </w:r>
          </w:p>
          <w:p>
            <w:pPr>
              <w:spacing w:after="40" w:line="276" w:lineRule="auto"/>
              <w:ind w:left="125" w:hanging="125"/>
              <w:jc w:val="left"/>
            </w:pPr>
            <w:r>
              <w:t xml:space="preserve">• </w:t>
            </w:r>
            <w:r>
              <w:rPr>
                <w:b w:val="0"/>
                <w:i w:val="0"/>
              </w:rPr>
              <w:t>Faculty satisfaction index (survey-based).</w:t>
            </w:r>
          </w:p>
        </w:tc>
      </w:tr>
      <w:tr>
        <w:trPr>
          <w:cantSplit/>
        </w:trPr>
        <w:tc>
          <w:tcPr>
            <w:tcW w:type="dxa" w:w="1984"/>
            <w:vAlign w:val="center"/>
            <w:shd w:fill="FFFFFF"/>
          </w:tcPr>
          <w:p>
            <w:pPr>
              <w:spacing w:after="40" w:line="276" w:lineRule="auto"/>
              <w:jc w:val="left"/>
            </w:pPr>
            <w:r>
              <w:rPr>
                <w:b w:val="0"/>
                <w:i w:val="0"/>
              </w:rPr>
              <w:t>Enhance student experience to counter competition</w:t>
            </w:r>
          </w:p>
        </w:tc>
        <w:tc>
          <w:tcPr>
            <w:tcW w:type="dxa" w:w="3061"/>
            <w:vAlign w:val="center"/>
            <w:shd w:fill="FFFFFF"/>
          </w:tcPr>
          <w:p>
            <w:pPr>
              <w:spacing w:after="40" w:line="276" w:lineRule="auto"/>
              <w:ind w:left="125" w:hanging="125"/>
              <w:jc w:val="left"/>
            </w:pPr>
            <w:r>
              <w:t xml:space="preserve">• </w:t>
            </w:r>
            <w:r>
              <w:rPr>
                <w:b w:val="0"/>
                <w:i w:val="0"/>
              </w:rPr>
              <w:t>Introduce flexible, employability-focused curricula.</w:t>
            </w:r>
          </w:p>
          <w:p>
            <w:pPr>
              <w:spacing w:after="40" w:line="276" w:lineRule="auto"/>
              <w:ind w:left="125" w:hanging="125"/>
              <w:jc w:val="left"/>
            </w:pPr>
            <w:r>
              <w:t xml:space="preserve">• </w:t>
            </w:r>
            <w:r>
              <w:rPr>
                <w:b w:val="0"/>
                <w:i w:val="0"/>
              </w:rPr>
              <w:t>Expand blended and online learning programs.</w:t>
            </w:r>
          </w:p>
          <w:p>
            <w:pPr>
              <w:spacing w:after="40" w:line="276" w:lineRule="auto"/>
              <w:ind w:left="125" w:hanging="125"/>
              <w:jc w:val="left"/>
            </w:pPr>
            <w:r>
              <w:t xml:space="preserve">• </w:t>
            </w:r>
            <w:r>
              <w:rPr>
                <w:b w:val="0"/>
                <w:i w:val="0"/>
              </w:rPr>
              <w:t>Strengthen placement and internship pipelines.</w:t>
            </w:r>
          </w:p>
        </w:tc>
        <w:tc>
          <w:tcPr>
            <w:tcW w:type="dxa" w:w="2211"/>
            <w:vAlign w:val="center"/>
            <w:shd w:fill="FFFFFF"/>
          </w:tcPr>
          <w:p>
            <w:pPr>
              <w:spacing w:after="40" w:line="276" w:lineRule="auto"/>
              <w:jc w:val="left"/>
            </w:pPr>
            <w:r>
              <w:rPr>
                <w:b w:val="0"/>
                <w:i w:val="0"/>
              </w:rPr>
              <w:t>Competitive edge in student recruitment and retention.</w:t>
            </w:r>
          </w:p>
        </w:tc>
        <w:tc>
          <w:tcPr>
            <w:tcW w:type="dxa" w:w="2154"/>
            <w:vAlign w:val="center"/>
            <w:shd w:fill="FFFFFF"/>
          </w:tcPr>
          <w:p>
            <w:pPr>
              <w:spacing w:after="40" w:line="276" w:lineRule="auto"/>
              <w:ind w:left="125" w:hanging="125"/>
              <w:jc w:val="left"/>
            </w:pPr>
            <w:r>
              <w:t xml:space="preserve">• </w:t>
            </w:r>
            <w:r>
              <w:rPr>
                <w:b w:val="0"/>
                <w:i w:val="0"/>
              </w:rPr>
              <w:t>Student enrollment growth rate.</w:t>
            </w:r>
          </w:p>
          <w:p>
            <w:pPr>
              <w:spacing w:after="40" w:line="276" w:lineRule="auto"/>
              <w:ind w:left="125" w:hanging="125"/>
              <w:jc w:val="left"/>
            </w:pPr>
            <w:r>
              <w:t xml:space="preserve">• </w:t>
            </w:r>
            <w:r>
              <w:rPr>
                <w:b w:val="0"/>
                <w:i w:val="0"/>
              </w:rPr>
              <w:t>Placement rate (≥90%).</w:t>
            </w:r>
          </w:p>
          <w:p>
            <w:pPr>
              <w:spacing w:after="40" w:line="276" w:lineRule="auto"/>
              <w:ind w:left="125" w:hanging="125"/>
              <w:jc w:val="left"/>
            </w:pPr>
            <w:r>
              <w:t xml:space="preserve">• </w:t>
            </w:r>
            <w:r>
              <w:rPr>
                <w:b w:val="0"/>
                <w:i w:val="0"/>
              </w:rPr>
              <w:t>% of programs with blended/​online components.</w:t>
            </w:r>
          </w:p>
        </w:tc>
      </w:tr>
      <w:tr>
        <w:trPr>
          <w:cantSplit/>
        </w:trPr>
        <w:tc>
          <w:tcPr>
            <w:tcW w:type="dxa" w:w="1984"/>
            <w:vAlign w:val="center"/>
            <w:shd w:fill="EDF2F7"/>
          </w:tcPr>
          <w:p>
            <w:pPr>
              <w:spacing w:after="40" w:line="276" w:lineRule="auto"/>
              <w:jc w:val="left"/>
            </w:pPr>
            <w:r>
              <w:rPr>
                <w:b w:val="0"/>
                <w:i w:val="0"/>
              </w:rPr>
              <w:t>Continuous technology upgradation</w:t>
            </w:r>
          </w:p>
        </w:tc>
        <w:tc>
          <w:tcPr>
            <w:tcW w:type="dxa" w:w="3061"/>
            <w:vAlign w:val="center"/>
            <w:shd w:fill="EDF2F7"/>
          </w:tcPr>
          <w:p>
            <w:pPr>
              <w:spacing w:after="40" w:line="276" w:lineRule="auto"/>
              <w:ind w:left="125" w:hanging="125"/>
              <w:jc w:val="left"/>
            </w:pPr>
            <w:r>
              <w:t xml:space="preserve">• </w:t>
            </w:r>
            <w:r>
              <w:rPr>
                <w:b w:val="0"/>
                <w:i w:val="0"/>
              </w:rPr>
              <w:t>Upgrade labs with AI, VR/​AR, IoT-enabled systems.</w:t>
            </w:r>
          </w:p>
          <w:p>
            <w:pPr>
              <w:spacing w:after="40" w:line="276" w:lineRule="auto"/>
              <w:ind w:left="125" w:hanging="125"/>
              <w:jc w:val="left"/>
            </w:pPr>
            <w:r>
              <w:t xml:space="preserve">• </w:t>
            </w:r>
            <w:r>
              <w:rPr>
                <w:b w:val="0"/>
                <w:i w:val="0"/>
              </w:rPr>
              <w:t>Regular ICT audits for modernization.</w:t>
            </w:r>
          </w:p>
          <w:p>
            <w:pPr>
              <w:spacing w:after="40" w:line="276" w:lineRule="auto"/>
              <w:ind w:left="125" w:hanging="125"/>
              <w:jc w:val="left"/>
            </w:pPr>
            <w:r>
              <w:t xml:space="preserve">• </w:t>
            </w:r>
            <w:r>
              <w:rPr>
                <w:b w:val="0"/>
                <w:i w:val="0"/>
              </w:rPr>
              <w:t>Partner with EdTech firms for innovation.</w:t>
            </w:r>
          </w:p>
        </w:tc>
        <w:tc>
          <w:tcPr>
            <w:tcW w:type="dxa" w:w="2211"/>
            <w:vAlign w:val="center"/>
            <w:shd w:fill="EDF2F7"/>
          </w:tcPr>
          <w:p>
            <w:pPr>
              <w:spacing w:after="40" w:line="276" w:lineRule="auto"/>
              <w:jc w:val="left"/>
            </w:pPr>
            <w:r>
              <w:rPr>
                <w:b w:val="0"/>
                <w:i w:val="0"/>
              </w:rPr>
              <w:t>Cutting-edge infrastructure and digital readiness.</w:t>
            </w:r>
          </w:p>
        </w:tc>
        <w:tc>
          <w:tcPr>
            <w:tcW w:type="dxa" w:w="2154"/>
            <w:vAlign w:val="center"/>
            <w:shd w:fill="EDF2F7"/>
          </w:tcPr>
          <w:p>
            <w:pPr>
              <w:spacing w:after="40" w:line="276" w:lineRule="auto"/>
              <w:ind w:left="125" w:hanging="125"/>
              <w:jc w:val="left"/>
            </w:pPr>
            <w:r>
              <w:t xml:space="preserve">• </w:t>
            </w:r>
            <w:r>
              <w:rPr>
                <w:b/>
                <w:i w:val="0"/>
              </w:rPr>
              <w:t>% of smart classrooms (Target:</w:t>
            </w:r>
            <w:r>
              <w:rPr>
                <w:b w:val="0"/>
                <w:i w:val="0"/>
              </w:rPr>
              <w:t xml:space="preserve"> 100%).</w:t>
            </w:r>
          </w:p>
          <w:p>
            <w:pPr>
              <w:spacing w:after="40" w:line="276" w:lineRule="auto"/>
              <w:ind w:left="125" w:hanging="125"/>
              <w:jc w:val="left"/>
            </w:pPr>
            <w:r>
              <w:t xml:space="preserve">• </w:t>
            </w:r>
            <w:r>
              <w:rPr>
                <w:b w:val="0"/>
                <w:i w:val="0"/>
              </w:rPr>
              <w:t>No. of advanced labs upgraded every 3 years.</w:t>
            </w:r>
          </w:p>
          <w:p>
            <w:pPr>
              <w:spacing w:after="40" w:line="276" w:lineRule="auto"/>
              <w:ind w:left="125" w:hanging="125"/>
              <w:jc w:val="left"/>
            </w:pPr>
            <w:r>
              <w:t xml:space="preserve">• </w:t>
            </w:r>
            <w:r>
              <w:rPr>
                <w:b w:val="0"/>
                <w:i w:val="0"/>
              </w:rPr>
              <w:t>ICT investment as % of budget.</w:t>
            </w:r>
          </w:p>
        </w:tc>
      </w:tr>
      <w:tr>
        <w:trPr>
          <w:cantSplit/>
        </w:trPr>
        <w:tc>
          <w:tcPr>
            <w:tcW w:type="dxa" w:w="1984"/>
            <w:vAlign w:val="center"/>
            <w:shd w:fill="FFFFFF"/>
          </w:tcPr>
          <w:p>
            <w:pPr>
              <w:spacing w:after="40" w:line="276" w:lineRule="auto"/>
              <w:jc w:val="left"/>
            </w:pPr>
            <w:r>
              <w:rPr>
                <w:b w:val="0"/>
                <w:i w:val="0"/>
              </w:rPr>
              <w:t>SDG-driven community engagement</w:t>
            </w:r>
          </w:p>
        </w:tc>
        <w:tc>
          <w:tcPr>
            <w:tcW w:type="dxa" w:w="3061"/>
            <w:vAlign w:val="center"/>
            <w:shd w:fill="FFFFFF"/>
          </w:tcPr>
          <w:p>
            <w:pPr>
              <w:spacing w:after="40" w:line="276" w:lineRule="auto"/>
              <w:ind w:left="125" w:hanging="125"/>
              <w:jc w:val="left"/>
            </w:pPr>
            <w:r>
              <w:t xml:space="preserve">• </w:t>
            </w:r>
            <w:r>
              <w:rPr>
                <w:b w:val="0"/>
                <w:i w:val="0"/>
              </w:rPr>
              <w:t>Expand ISR programs addressing climate change, health, literacy.</w:t>
            </w:r>
          </w:p>
          <w:p>
            <w:pPr>
              <w:spacing w:after="40" w:line="276" w:lineRule="auto"/>
              <w:ind w:left="125" w:hanging="125"/>
              <w:jc w:val="left"/>
            </w:pPr>
            <w:r>
              <w:t xml:space="preserve">• </w:t>
            </w:r>
            <w:r>
              <w:rPr>
                <w:b w:val="0"/>
                <w:i w:val="0"/>
              </w:rPr>
              <w:t>Partner with NGOs/​local bodies on sustainability projects.</w:t>
            </w:r>
          </w:p>
          <w:p>
            <w:pPr>
              <w:spacing w:after="40" w:line="276" w:lineRule="auto"/>
              <w:ind w:left="125" w:hanging="125"/>
              <w:jc w:val="left"/>
            </w:pPr>
            <w:r>
              <w:t xml:space="preserve">• </w:t>
            </w:r>
            <w:r>
              <w:rPr>
                <w:b w:val="0"/>
                <w:i w:val="0"/>
              </w:rPr>
              <w:t>Embed service-learning into curriculum.</w:t>
            </w:r>
          </w:p>
        </w:tc>
        <w:tc>
          <w:tcPr>
            <w:tcW w:type="dxa" w:w="2211"/>
            <w:vAlign w:val="center"/>
            <w:shd w:fill="FFFFFF"/>
          </w:tcPr>
          <w:p>
            <w:pPr>
              <w:spacing w:after="40" w:line="276" w:lineRule="auto"/>
              <w:jc w:val="left"/>
            </w:pPr>
            <w:r>
              <w:rPr>
                <w:b w:val="0"/>
                <w:i w:val="0"/>
              </w:rPr>
              <w:t>Strong social impact and resilience against environmental/​social risks.</w:t>
            </w:r>
          </w:p>
        </w:tc>
        <w:tc>
          <w:tcPr>
            <w:tcW w:type="dxa" w:w="2154"/>
            <w:vAlign w:val="center"/>
            <w:shd w:fill="FFFFFF"/>
          </w:tcPr>
          <w:p>
            <w:pPr>
              <w:spacing w:after="40" w:line="276" w:lineRule="auto"/>
              <w:ind w:left="125" w:hanging="125"/>
              <w:jc w:val="left"/>
            </w:pPr>
            <w:r>
              <w:t xml:space="preserve">• </w:t>
            </w:r>
            <w:r>
              <w:rPr>
                <w:b w:val="0"/>
                <w:i w:val="0"/>
              </w:rPr>
              <w:t>No. of ISR projects annually.</w:t>
            </w:r>
          </w:p>
          <w:p>
            <w:pPr>
              <w:spacing w:after="40" w:line="276" w:lineRule="auto"/>
              <w:ind w:left="125" w:hanging="125"/>
              <w:jc w:val="left"/>
            </w:pPr>
            <w:r>
              <w:t xml:space="preserve">• </w:t>
            </w:r>
            <w:r>
              <w:rPr>
                <w:b/>
                <w:i w:val="0"/>
              </w:rPr>
              <w:t>Beneficiaries impacted (Target:</w:t>
            </w:r>
            <w:r>
              <w:rPr>
                <w:b w:val="0"/>
                <w:i w:val="0"/>
              </w:rPr>
              <w:t xml:space="preserve"> ≥10,000/​year).</w:t>
            </w:r>
          </w:p>
          <w:p>
            <w:pPr>
              <w:spacing w:after="40" w:line="276" w:lineRule="auto"/>
              <w:ind w:left="125" w:hanging="125"/>
              <w:jc w:val="left"/>
            </w:pPr>
            <w:r>
              <w:t xml:space="preserve">• </w:t>
            </w:r>
            <w:r>
              <w:rPr>
                <w:b w:val="0"/>
                <w:i w:val="0"/>
              </w:rPr>
              <w:t>% of students engaged in outreach (≥80%).</w:t>
            </w:r>
          </w:p>
        </w:tc>
      </w:tr>
      <w:tr>
        <w:trPr>
          <w:cantSplit/>
        </w:trPr>
        <w:tc>
          <w:tcPr>
            <w:tcW w:type="dxa" w:w="1984"/>
            <w:vAlign w:val="center"/>
            <w:shd w:fill="EDF2F7"/>
          </w:tcPr>
          <w:p>
            <w:pPr>
              <w:spacing w:after="40" w:line="276" w:lineRule="auto"/>
              <w:jc w:val="left"/>
            </w:pPr>
            <w:r>
              <w:rPr>
                <w:b w:val="0"/>
                <w:i w:val="0"/>
              </w:rPr>
              <w:t>Global benchmarking through accreditation</w:t>
            </w:r>
          </w:p>
        </w:tc>
        <w:tc>
          <w:tcPr>
            <w:tcW w:type="dxa" w:w="3061"/>
            <w:vAlign w:val="center"/>
            <w:shd w:fill="EDF2F7"/>
          </w:tcPr>
          <w:p>
            <w:pPr>
              <w:spacing w:after="40" w:line="276" w:lineRule="auto"/>
              <w:ind w:left="125" w:hanging="125"/>
              <w:jc w:val="left"/>
            </w:pPr>
            <w:r>
              <w:t xml:space="preserve">• </w:t>
            </w:r>
            <w:r>
              <w:rPr>
                <w:b w:val="0"/>
                <w:i w:val="0"/>
              </w:rPr>
              <w:t>Strengthen IQAC and ranking cells.</w:t>
            </w:r>
          </w:p>
          <w:p>
            <w:pPr>
              <w:spacing w:after="40" w:line="276" w:lineRule="auto"/>
              <w:ind w:left="125" w:hanging="125"/>
              <w:jc w:val="left"/>
            </w:pPr>
            <w:r>
              <w:t xml:space="preserve">• </w:t>
            </w:r>
            <w:r>
              <w:rPr>
                <w:b w:val="0"/>
                <w:i w:val="0"/>
              </w:rPr>
              <w:t>Use NAAC/​NBA/​ISO readiness for QS/​THE submissions.</w:t>
            </w:r>
          </w:p>
          <w:p>
            <w:pPr>
              <w:spacing w:after="40" w:line="276" w:lineRule="auto"/>
              <w:ind w:left="125" w:hanging="125"/>
              <w:jc w:val="left"/>
            </w:pPr>
            <w:r>
              <w:t xml:space="preserve">• </w:t>
            </w:r>
            <w:r>
              <w:rPr>
                <w:b w:val="0"/>
                <w:i w:val="0"/>
              </w:rPr>
              <w:t>Regular benchmarking against Top 500 global institutions.</w:t>
            </w:r>
          </w:p>
        </w:tc>
        <w:tc>
          <w:tcPr>
            <w:tcW w:type="dxa" w:w="2211"/>
            <w:vAlign w:val="center"/>
            <w:shd w:fill="EDF2F7"/>
          </w:tcPr>
          <w:p>
            <w:pPr>
              <w:spacing w:after="40" w:line="276" w:lineRule="auto"/>
              <w:jc w:val="left"/>
            </w:pPr>
            <w:r>
              <w:rPr>
                <w:b w:val="0"/>
                <w:i w:val="0"/>
              </w:rPr>
              <w:t>Improved global reputation and ranking performance.</w:t>
            </w:r>
          </w:p>
        </w:tc>
        <w:tc>
          <w:tcPr>
            <w:tcW w:type="dxa" w:w="2154"/>
            <w:vAlign w:val="center"/>
            <w:shd w:fill="EDF2F7"/>
          </w:tcPr>
          <w:p>
            <w:pPr>
              <w:spacing w:after="40" w:line="276" w:lineRule="auto"/>
              <w:ind w:left="125" w:hanging="125"/>
              <w:jc w:val="left"/>
            </w:pPr>
            <w:r>
              <w:t xml:space="preserve">• </w:t>
            </w:r>
            <w:r>
              <w:rPr>
                <w:b w:val="0"/>
                <w:i w:val="0"/>
              </w:rPr>
              <w:t>NIRF ranking improvement (Top 50).</w:t>
            </w:r>
          </w:p>
          <w:p>
            <w:pPr>
              <w:spacing w:after="40" w:line="276" w:lineRule="auto"/>
              <w:ind w:left="125" w:hanging="125"/>
              <w:jc w:val="left"/>
            </w:pPr>
            <w:r>
              <w:t xml:space="preserve">• </w:t>
            </w:r>
            <w:r>
              <w:rPr>
                <w:b w:val="0"/>
                <w:i w:val="0"/>
              </w:rPr>
              <w:t>QS/​THE rank progression.</w:t>
            </w:r>
          </w:p>
          <w:p>
            <w:pPr>
              <w:spacing w:after="40" w:line="276" w:lineRule="auto"/>
              <w:ind w:left="125" w:hanging="125"/>
              <w:jc w:val="left"/>
            </w:pPr>
            <w:r>
              <w:t xml:space="preserve">• </w:t>
            </w:r>
            <w:r>
              <w:rPr>
                <w:b w:val="0"/>
                <w:i w:val="0"/>
              </w:rPr>
              <w:t>No. of global accreditations obtained.</w:t>
            </w:r>
          </w:p>
        </w:tc>
      </w:tr>
    </w:tbl>
    <w:p>
      <w:pPr>
        <w:spacing w:after="40"/>
      </w:pPr>
    </w:p>
    <w:p>
      <w:pPr>
        <w:pStyle w:val="Heading2"/>
      </w:pPr>
      <w:r>
        <w:t>WT Strategies Policy–Action–Outcome–KPI Table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984"/>
        <w:gridCol w:w="3061"/>
        <w:gridCol w:w="2211"/>
        <w:gridCol w:w="2154"/>
      </w:tblGrid>
      <w:tr>
        <w:trPr>
          <w:tblHeader/>
          <w:cantSplit/>
        </w:trPr>
        <w:tc>
          <w:tcPr>
            <w:tcW w:type="dxa" w:w="1984"/>
            <w:vAlign w:val="center"/>
            <w:shd w:fill="1F3A5F"/>
          </w:tcPr>
          <w:p>
            <w:pPr>
              <w:keepNext/>
              <w:spacing w:after="40" w:line="276" w:lineRule="auto"/>
              <w:jc w:val="left"/>
            </w:pPr>
            <w:r>
              <w:rPr>
                <w:b/>
                <w:i w:val="0"/>
                <w:color w:val="FFFFFF"/>
              </w:rPr>
              <w:t>Policy Direction</w:t>
            </w:r>
          </w:p>
        </w:tc>
        <w:tc>
          <w:tcPr>
            <w:tcW w:type="dxa" w:w="3061"/>
            <w:vAlign w:val="center"/>
            <w:shd w:fill="1F3A5F"/>
          </w:tcPr>
          <w:p>
            <w:pPr>
              <w:keepNext/>
              <w:spacing w:after="40" w:line="276" w:lineRule="auto"/>
              <w:jc w:val="left"/>
            </w:pPr>
            <w:r>
              <w:rPr>
                <w:b/>
                <w:i w:val="0"/>
                <w:color w:val="FFFFFF"/>
              </w:rPr>
              <w:t>Strategic Actions</w:t>
            </w:r>
          </w:p>
        </w:tc>
        <w:tc>
          <w:tcPr>
            <w:tcW w:type="dxa" w:w="2211"/>
            <w:vAlign w:val="center"/>
            <w:shd w:fill="1F3A5F"/>
          </w:tcPr>
          <w:p>
            <w:pPr>
              <w:keepNext/>
              <w:spacing w:after="40" w:line="276" w:lineRule="auto"/>
              <w:jc w:val="left"/>
            </w:pPr>
            <w:r>
              <w:rPr>
                <w:b/>
                <w:i w:val="0"/>
                <w:color w:val="FFFFFF"/>
              </w:rPr>
              <w:t>Expected Outcomes</w:t>
            </w:r>
          </w:p>
        </w:tc>
        <w:tc>
          <w:tcPr>
            <w:tcW w:type="dxa" w:w="2154"/>
            <w:vAlign w:val="center"/>
            <w:shd w:fill="1F3A5F"/>
          </w:tcPr>
          <w:p>
            <w:pPr>
              <w:keepNext/>
              <w:spacing w:after="40" w:line="276" w:lineRule="auto"/>
              <w:jc w:val="left"/>
            </w:pPr>
            <w:r>
              <w:rPr>
                <w:b/>
                <w:i w:val="0"/>
                <w:color w:val="FFFFFF"/>
              </w:rPr>
              <w:t>KPIs (Indicators)</w:t>
            </w:r>
          </w:p>
        </w:tc>
      </w:tr>
      <w:tr>
        <w:trPr>
          <w:cantSplit/>
        </w:trPr>
        <w:tc>
          <w:tcPr>
            <w:tcW w:type="dxa" w:w="1984"/>
            <w:vAlign w:val="center"/>
            <w:shd w:fill="FFFFFF"/>
          </w:tcPr>
          <w:p>
            <w:pPr>
              <w:spacing w:after="40" w:line="276" w:lineRule="auto"/>
              <w:jc w:val="left"/>
            </w:pPr>
            <w:r>
              <w:rPr>
                <w:b w:val="0"/>
                <w:i w:val="0"/>
              </w:rPr>
              <w:t>Diversify revenue to reduce vulnerability to policy/​funding cuts</w:t>
            </w:r>
          </w:p>
        </w:tc>
        <w:tc>
          <w:tcPr>
            <w:tcW w:type="dxa" w:w="3061"/>
            <w:vAlign w:val="center"/>
            <w:shd w:fill="FFFFFF"/>
          </w:tcPr>
          <w:p>
            <w:pPr>
              <w:spacing w:after="40" w:line="276" w:lineRule="auto"/>
              <w:ind w:left="125" w:hanging="125"/>
              <w:jc w:val="left"/>
            </w:pPr>
            <w:r>
              <w:t xml:space="preserve">• </w:t>
            </w:r>
            <w:r>
              <w:rPr>
                <w:b w:val="0"/>
                <w:i w:val="0"/>
              </w:rPr>
              <w:t>Establish alumni endowment funds.</w:t>
            </w:r>
          </w:p>
          <w:p>
            <w:pPr>
              <w:spacing w:after="40" w:line="276" w:lineRule="auto"/>
              <w:ind w:left="125" w:hanging="125"/>
              <w:jc w:val="left"/>
            </w:pPr>
            <w:r>
              <w:t xml:space="preserve">• </w:t>
            </w:r>
            <w:r>
              <w:rPr>
                <w:b w:val="0"/>
                <w:i w:val="0"/>
              </w:rPr>
              <w:t>Launch consultancy and executive education programs.</w:t>
            </w:r>
          </w:p>
          <w:p>
            <w:pPr>
              <w:spacing w:after="40" w:line="276" w:lineRule="auto"/>
              <w:ind w:left="125" w:hanging="125"/>
              <w:jc w:val="left"/>
            </w:pPr>
            <w:r>
              <w:t xml:space="preserve">• </w:t>
            </w:r>
            <w:r>
              <w:rPr>
                <w:b w:val="0"/>
                <w:i w:val="0"/>
              </w:rPr>
              <w:t>Initiate PPP-based infrastructure projects.</w:t>
            </w:r>
          </w:p>
        </w:tc>
        <w:tc>
          <w:tcPr>
            <w:tcW w:type="dxa" w:w="2211"/>
            <w:vAlign w:val="center"/>
            <w:shd w:fill="FFFFFF"/>
          </w:tcPr>
          <w:p>
            <w:pPr>
              <w:spacing w:after="40" w:line="276" w:lineRule="auto"/>
              <w:jc w:val="left"/>
            </w:pPr>
            <w:r>
              <w:rPr>
                <w:b w:val="0"/>
                <w:i w:val="0"/>
              </w:rPr>
              <w:t>Reduced dependence on government grants; financial resilience.</w:t>
            </w:r>
          </w:p>
        </w:tc>
        <w:tc>
          <w:tcPr>
            <w:tcW w:type="dxa" w:w="2154"/>
            <w:vAlign w:val="center"/>
            <w:shd w:fill="FFFFFF"/>
          </w:tcPr>
          <w:p>
            <w:pPr>
              <w:spacing w:after="40" w:line="276" w:lineRule="auto"/>
              <w:ind w:left="125" w:hanging="125"/>
              <w:jc w:val="left"/>
            </w:pPr>
            <w:r>
              <w:t xml:space="preserve">• </w:t>
            </w:r>
            <w:r>
              <w:rPr>
                <w:b/>
                <w:i w:val="0"/>
              </w:rPr>
              <w:t>% of non-government revenue (Target:</w:t>
            </w:r>
            <w:r>
              <w:rPr>
                <w:b w:val="0"/>
                <w:i w:val="0"/>
              </w:rPr>
              <w:t xml:space="preserve"> ≥40% by 2035).</w:t>
            </w:r>
          </w:p>
          <w:p>
            <w:pPr>
              <w:spacing w:after="40" w:line="276" w:lineRule="auto"/>
              <w:ind w:left="125" w:hanging="125"/>
              <w:jc w:val="left"/>
            </w:pPr>
            <w:r>
              <w:t xml:space="preserve">• </w:t>
            </w:r>
            <w:r>
              <w:rPr>
                <w:b w:val="0"/>
                <w:i w:val="0"/>
              </w:rPr>
              <w:t>No. of PPP/​CSR projects initiated.</w:t>
            </w:r>
          </w:p>
          <w:p>
            <w:pPr>
              <w:spacing w:after="40" w:line="276" w:lineRule="auto"/>
              <w:ind w:left="125" w:hanging="125"/>
              <w:jc w:val="left"/>
            </w:pPr>
            <w:r>
              <w:t xml:space="preserve">• </w:t>
            </w:r>
            <w:r>
              <w:rPr>
                <w:b w:val="0"/>
                <w:i w:val="0"/>
              </w:rPr>
              <w:t>Annual alumni contributions raised.</w:t>
            </w:r>
          </w:p>
        </w:tc>
      </w:tr>
      <w:tr>
        <w:trPr>
          <w:cantSplit/>
        </w:trPr>
        <w:tc>
          <w:tcPr>
            <w:tcW w:type="dxa" w:w="1984"/>
            <w:vAlign w:val="center"/>
            <w:shd w:fill="EDF2F7"/>
          </w:tcPr>
          <w:p>
            <w:pPr>
              <w:spacing w:after="40" w:line="276" w:lineRule="auto"/>
              <w:jc w:val="left"/>
            </w:pPr>
            <w:r>
              <w:rPr>
                <w:b w:val="0"/>
                <w:i w:val="0"/>
              </w:rPr>
              <w:t>Strengthen faculty base to reduce academic vulnerabilities</w:t>
            </w:r>
          </w:p>
        </w:tc>
        <w:tc>
          <w:tcPr>
            <w:tcW w:type="dxa" w:w="3061"/>
            <w:vAlign w:val="center"/>
            <w:shd w:fill="EDF2F7"/>
          </w:tcPr>
          <w:p>
            <w:pPr>
              <w:spacing w:after="40" w:line="276" w:lineRule="auto"/>
              <w:ind w:left="125" w:hanging="125"/>
              <w:jc w:val="left"/>
            </w:pPr>
            <w:r>
              <w:t xml:space="preserve">• </w:t>
            </w:r>
            <w:r>
              <w:rPr>
                <w:b w:val="0"/>
                <w:i w:val="0"/>
              </w:rPr>
              <w:t>Recruit additional faculty in niche domains.</w:t>
            </w:r>
          </w:p>
          <w:p>
            <w:pPr>
              <w:spacing w:after="40" w:line="276" w:lineRule="auto"/>
              <w:ind w:left="125" w:hanging="125"/>
              <w:jc w:val="left"/>
            </w:pPr>
            <w:r>
              <w:t xml:space="preserve">• </w:t>
            </w:r>
            <w:r>
              <w:rPr>
                <w:b w:val="0"/>
                <w:i w:val="0"/>
              </w:rPr>
              <w:t>Balance workloads between teaching and research.</w:t>
            </w:r>
          </w:p>
          <w:p>
            <w:pPr>
              <w:spacing w:after="40" w:line="276" w:lineRule="auto"/>
              <w:ind w:left="125" w:hanging="125"/>
              <w:jc w:val="left"/>
            </w:pPr>
            <w:r>
              <w:t xml:space="preserve">• </w:t>
            </w:r>
            <w:r>
              <w:rPr>
                <w:b w:val="0"/>
                <w:i w:val="0"/>
              </w:rPr>
              <w:t>Provide retention bonuses and professional growth pathways.</w:t>
            </w:r>
          </w:p>
        </w:tc>
        <w:tc>
          <w:tcPr>
            <w:tcW w:type="dxa" w:w="2211"/>
            <w:vAlign w:val="center"/>
            <w:shd w:fill="EDF2F7"/>
          </w:tcPr>
          <w:p>
            <w:pPr>
              <w:spacing w:after="40" w:line="276" w:lineRule="auto"/>
              <w:jc w:val="left"/>
            </w:pPr>
            <w:r>
              <w:rPr>
                <w:b w:val="0"/>
                <w:i w:val="0"/>
              </w:rPr>
              <w:t>Improved faculty–student ratio; stronger academic capacity.</w:t>
            </w:r>
          </w:p>
        </w:tc>
        <w:tc>
          <w:tcPr>
            <w:tcW w:type="dxa" w:w="2154"/>
            <w:vAlign w:val="center"/>
            <w:shd w:fill="EDF2F7"/>
          </w:tcPr>
          <w:p>
            <w:pPr>
              <w:spacing w:after="40" w:line="276" w:lineRule="auto"/>
              <w:ind w:left="125" w:hanging="125"/>
              <w:jc w:val="left"/>
            </w:pPr>
            <w:r>
              <w:t xml:space="preserve">• </w:t>
            </w:r>
            <w:r>
              <w:rPr>
                <w:b/>
                <w:i w:val="0"/>
              </w:rPr>
              <w:t>Faculty–student ratio (Target:</w:t>
            </w:r>
            <w:r>
              <w:rPr>
                <w:b w:val="0"/>
                <w:i w:val="0"/>
              </w:rPr>
              <w:t xml:space="preserve"> 1:15).</w:t>
            </w:r>
          </w:p>
          <w:p>
            <w:pPr>
              <w:spacing w:after="40" w:line="276" w:lineRule="auto"/>
              <w:ind w:left="125" w:hanging="125"/>
              <w:jc w:val="left"/>
            </w:pPr>
            <w:r>
              <w:t xml:space="preserve">• </w:t>
            </w:r>
            <w:r>
              <w:rPr>
                <w:b w:val="0"/>
                <w:i w:val="0"/>
              </w:rPr>
              <w:t>Faculty retention rate (≥90%).</w:t>
            </w:r>
          </w:p>
          <w:p>
            <w:pPr>
              <w:spacing w:after="40" w:line="276" w:lineRule="auto"/>
              <w:ind w:left="125" w:hanging="125"/>
              <w:jc w:val="left"/>
            </w:pPr>
            <w:r>
              <w:t xml:space="preserve">• </w:t>
            </w:r>
            <w:r>
              <w:rPr>
                <w:b w:val="0"/>
                <w:i w:val="0"/>
              </w:rPr>
              <w:t>No. of FDP/​PhD-qualified faculty.</w:t>
            </w:r>
          </w:p>
        </w:tc>
      </w:tr>
      <w:tr>
        <w:trPr>
          <w:cantSplit/>
        </w:trPr>
        <w:tc>
          <w:tcPr>
            <w:tcW w:type="dxa" w:w="1984"/>
            <w:vAlign w:val="center"/>
            <w:shd w:fill="FFFFFF"/>
          </w:tcPr>
          <w:p>
            <w:pPr>
              <w:spacing w:after="40" w:line="276" w:lineRule="auto"/>
              <w:jc w:val="left"/>
            </w:pPr>
            <w:r>
              <w:rPr>
                <w:b w:val="0"/>
                <w:i w:val="0"/>
              </w:rPr>
              <w:t>Mitigate lack of international exposure against global competition</w:t>
            </w:r>
          </w:p>
        </w:tc>
        <w:tc>
          <w:tcPr>
            <w:tcW w:type="dxa" w:w="3061"/>
            <w:vAlign w:val="center"/>
            <w:shd w:fill="FFFFFF"/>
          </w:tcPr>
          <w:p>
            <w:pPr>
              <w:spacing w:after="40" w:line="276" w:lineRule="auto"/>
              <w:ind w:left="125" w:hanging="125"/>
              <w:jc w:val="left"/>
            </w:pPr>
            <w:r>
              <w:t xml:space="preserve">• </w:t>
            </w:r>
            <w:r>
              <w:rPr>
                <w:b w:val="0"/>
                <w:i w:val="0"/>
              </w:rPr>
              <w:t>Form strategic alliances with QS Top 500 universities.</w:t>
            </w:r>
          </w:p>
          <w:p>
            <w:pPr>
              <w:spacing w:after="40" w:line="276" w:lineRule="auto"/>
              <w:ind w:left="125" w:hanging="125"/>
              <w:jc w:val="left"/>
            </w:pPr>
            <w:r>
              <w:t xml:space="preserve">• </w:t>
            </w:r>
            <w:r>
              <w:rPr>
                <w:b w:val="0"/>
                <w:i w:val="0"/>
              </w:rPr>
              <w:t>Launch dual-degree and twinning programs.</w:t>
            </w:r>
          </w:p>
          <w:p>
            <w:pPr>
              <w:spacing w:after="40" w:line="276" w:lineRule="auto"/>
              <w:ind w:left="125" w:hanging="125"/>
              <w:jc w:val="left"/>
            </w:pPr>
            <w:r>
              <w:t xml:space="preserve">• </w:t>
            </w:r>
            <w:r>
              <w:rPr>
                <w:b w:val="0"/>
                <w:i w:val="0"/>
              </w:rPr>
              <w:t>create a global mobility fund for faculty/​students.</w:t>
            </w:r>
          </w:p>
        </w:tc>
        <w:tc>
          <w:tcPr>
            <w:tcW w:type="dxa" w:w="2211"/>
            <w:vAlign w:val="center"/>
            <w:shd w:fill="FFFFFF"/>
          </w:tcPr>
          <w:p>
            <w:pPr>
              <w:spacing w:after="40" w:line="276" w:lineRule="auto"/>
              <w:jc w:val="left"/>
            </w:pPr>
            <w:r>
              <w:rPr>
                <w:b w:val="0"/>
                <w:i w:val="0"/>
              </w:rPr>
              <w:t>Improved international visibility; more global-ready graduates.</w:t>
            </w:r>
          </w:p>
        </w:tc>
        <w:tc>
          <w:tcPr>
            <w:tcW w:type="dxa" w:w="2154"/>
            <w:vAlign w:val="center"/>
            <w:shd w:fill="FFFFFF"/>
          </w:tcPr>
          <w:p>
            <w:pPr>
              <w:spacing w:after="40" w:line="276" w:lineRule="auto"/>
              <w:ind w:left="125" w:hanging="125"/>
              <w:jc w:val="left"/>
            </w:pPr>
            <w:r>
              <w:t xml:space="preserve">• </w:t>
            </w:r>
            <w:r>
              <w:rPr>
                <w:b w:val="0"/>
                <w:i w:val="0"/>
              </w:rPr>
              <w:t>No. of active MoUs with Top 500 universities.</w:t>
            </w:r>
          </w:p>
          <w:p>
            <w:pPr>
              <w:spacing w:after="40" w:line="276" w:lineRule="auto"/>
              <w:ind w:left="125" w:hanging="125"/>
              <w:jc w:val="left"/>
            </w:pPr>
            <w:r>
              <w:t xml:space="preserve">• </w:t>
            </w:r>
            <w:r>
              <w:rPr>
                <w:b w:val="0"/>
                <w:i w:val="0"/>
              </w:rPr>
              <w:t>No. of exchange participants per year.</w:t>
            </w:r>
          </w:p>
          <w:p>
            <w:pPr>
              <w:spacing w:after="40" w:line="276" w:lineRule="auto"/>
              <w:ind w:left="125" w:hanging="125"/>
              <w:jc w:val="left"/>
            </w:pPr>
            <w:r>
              <w:t xml:space="preserve">• </w:t>
            </w:r>
            <w:r>
              <w:rPr>
                <w:b w:val="0"/>
                <w:i w:val="0"/>
              </w:rPr>
              <w:t>International student enrollment %.</w:t>
            </w:r>
          </w:p>
        </w:tc>
      </w:tr>
      <w:tr>
        <w:trPr>
          <w:cantSplit/>
        </w:trPr>
        <w:tc>
          <w:tcPr>
            <w:tcW w:type="dxa" w:w="1984"/>
            <w:vAlign w:val="center"/>
            <w:shd w:fill="EDF2F7"/>
          </w:tcPr>
          <w:p>
            <w:pPr>
              <w:spacing w:after="40" w:line="276" w:lineRule="auto"/>
              <w:jc w:val="left"/>
            </w:pPr>
            <w:r>
              <w:rPr>
                <w:b w:val="0"/>
                <w:i w:val="0"/>
              </w:rPr>
              <w:t>Upgrade research infrastructure to tackle rapid technological change</w:t>
            </w:r>
          </w:p>
        </w:tc>
        <w:tc>
          <w:tcPr>
            <w:tcW w:type="dxa" w:w="3061"/>
            <w:vAlign w:val="center"/>
            <w:shd w:fill="EDF2F7"/>
          </w:tcPr>
          <w:p>
            <w:pPr>
              <w:spacing w:after="40" w:line="276" w:lineRule="auto"/>
              <w:ind w:left="125" w:hanging="125"/>
              <w:jc w:val="left"/>
            </w:pPr>
            <w:r>
              <w:t xml:space="preserve">• </w:t>
            </w:r>
            <w:r>
              <w:rPr>
                <w:b w:val="0"/>
                <w:i w:val="0"/>
              </w:rPr>
              <w:t>Invest in AI, biotech, renewable energy, and smart labs.</w:t>
            </w:r>
          </w:p>
          <w:p>
            <w:pPr>
              <w:spacing w:after="40" w:line="276" w:lineRule="auto"/>
              <w:ind w:left="125" w:hanging="125"/>
              <w:jc w:val="left"/>
            </w:pPr>
            <w:r>
              <w:t xml:space="preserve">• </w:t>
            </w:r>
            <w:r>
              <w:rPr>
                <w:b w:val="0"/>
                <w:i w:val="0"/>
              </w:rPr>
              <w:t>Establish research clusters with industry partners.</w:t>
            </w:r>
          </w:p>
          <w:p>
            <w:pPr>
              <w:spacing w:after="40" w:line="276" w:lineRule="auto"/>
              <w:ind w:left="125" w:hanging="125"/>
              <w:jc w:val="left"/>
            </w:pPr>
            <w:r>
              <w:t xml:space="preserve">• </w:t>
            </w:r>
            <w:r>
              <w:rPr>
                <w:b w:val="0"/>
                <w:i w:val="0"/>
              </w:rPr>
              <w:t>Secure grants from NRF, DST, and global agencies.</w:t>
            </w:r>
          </w:p>
        </w:tc>
        <w:tc>
          <w:tcPr>
            <w:tcW w:type="dxa" w:w="2211"/>
            <w:vAlign w:val="center"/>
            <w:shd w:fill="EDF2F7"/>
          </w:tcPr>
          <w:p>
            <w:pPr>
              <w:spacing w:after="40" w:line="276" w:lineRule="auto"/>
              <w:jc w:val="left"/>
            </w:pPr>
            <w:r>
              <w:rPr>
                <w:b w:val="0"/>
                <w:i w:val="0"/>
              </w:rPr>
              <w:t>Enhanced research capacity; ability to respond to tech disruptions.</w:t>
            </w:r>
          </w:p>
        </w:tc>
        <w:tc>
          <w:tcPr>
            <w:tcW w:type="dxa" w:w="2154"/>
            <w:vAlign w:val="center"/>
            <w:shd w:fill="EDF2F7"/>
          </w:tcPr>
          <w:p>
            <w:pPr>
              <w:spacing w:after="40" w:line="276" w:lineRule="auto"/>
              <w:ind w:left="125" w:hanging="125"/>
              <w:jc w:val="left"/>
            </w:pPr>
            <w:r>
              <w:t xml:space="preserve">• </w:t>
            </w:r>
            <w:r>
              <w:rPr>
                <w:b w:val="0"/>
                <w:i w:val="0"/>
              </w:rPr>
              <w:t>No. of advanced labs commissioned.</w:t>
            </w:r>
          </w:p>
          <w:p>
            <w:pPr>
              <w:spacing w:after="40" w:line="276" w:lineRule="auto"/>
              <w:ind w:left="125" w:hanging="125"/>
              <w:jc w:val="left"/>
            </w:pPr>
            <w:r>
              <w:t xml:space="preserve">• </w:t>
            </w:r>
            <w:r>
              <w:rPr>
                <w:b w:val="0"/>
                <w:i w:val="0"/>
              </w:rPr>
              <w:t>Research funding secured annually(£).</w:t>
            </w:r>
          </w:p>
          <w:p>
            <w:pPr>
              <w:spacing w:after="40" w:line="276" w:lineRule="auto"/>
              <w:ind w:left="125" w:hanging="125"/>
              <w:jc w:val="left"/>
            </w:pPr>
            <w:r>
              <w:t xml:space="preserve">• </w:t>
            </w:r>
            <w:r>
              <w:rPr>
                <w:b w:val="0"/>
                <w:i w:val="0"/>
              </w:rPr>
              <w:t>No. of patents and high-impact publications.</w:t>
            </w:r>
          </w:p>
        </w:tc>
      </w:tr>
      <w:tr>
        <w:trPr>
          <w:cantSplit/>
        </w:trPr>
        <w:tc>
          <w:tcPr>
            <w:tcW w:type="dxa" w:w="1984"/>
            <w:vAlign w:val="center"/>
            <w:shd w:fill="FFFFFF"/>
          </w:tcPr>
          <w:p>
            <w:pPr>
              <w:spacing w:after="40" w:line="276" w:lineRule="auto"/>
              <w:jc w:val="left"/>
            </w:pPr>
            <w:r>
              <w:rPr>
                <w:b w:val="0"/>
                <w:i w:val="0"/>
              </w:rPr>
              <w:t>Implement agile governance to reduce bureaucratic bottlenecks</w:t>
            </w:r>
          </w:p>
        </w:tc>
        <w:tc>
          <w:tcPr>
            <w:tcW w:type="dxa" w:w="3061"/>
            <w:vAlign w:val="center"/>
            <w:shd w:fill="FFFFFF"/>
          </w:tcPr>
          <w:p>
            <w:pPr>
              <w:spacing w:after="40" w:line="276" w:lineRule="auto"/>
              <w:ind w:left="125" w:hanging="125"/>
              <w:jc w:val="left"/>
            </w:pPr>
            <w:r>
              <w:t xml:space="preserve">• </w:t>
            </w:r>
            <w:r>
              <w:rPr>
                <w:b w:val="0"/>
                <w:i w:val="0"/>
              </w:rPr>
              <w:t>Digitize workflows using ERP &amp; e-governance tools.</w:t>
            </w:r>
          </w:p>
          <w:p>
            <w:pPr>
              <w:spacing w:after="40" w:line="276" w:lineRule="auto"/>
              <w:ind w:left="125" w:hanging="125"/>
              <w:jc w:val="left"/>
            </w:pPr>
            <w:r>
              <w:t xml:space="preserve">• </w:t>
            </w:r>
            <w:r>
              <w:rPr>
                <w:b w:val="0"/>
                <w:i w:val="0"/>
              </w:rPr>
              <w:t>Empower IQAC with decision-making authority.</w:t>
            </w:r>
          </w:p>
          <w:p>
            <w:pPr>
              <w:spacing w:after="40" w:line="276" w:lineRule="auto"/>
              <w:ind w:left="125" w:hanging="125"/>
              <w:jc w:val="left"/>
            </w:pPr>
            <w:r>
              <w:t xml:space="preserve">• </w:t>
            </w:r>
            <w:r>
              <w:rPr>
                <w:b w:val="0"/>
                <w:i w:val="0"/>
              </w:rPr>
              <w:t>Adopt lean governance frameworks.</w:t>
            </w:r>
          </w:p>
        </w:tc>
        <w:tc>
          <w:tcPr>
            <w:tcW w:type="dxa" w:w="2211"/>
            <w:vAlign w:val="center"/>
            <w:shd w:fill="FFFFFF"/>
          </w:tcPr>
          <w:p>
            <w:pPr>
              <w:spacing w:after="40" w:line="276" w:lineRule="auto"/>
              <w:jc w:val="left"/>
            </w:pPr>
            <w:r>
              <w:rPr>
                <w:b w:val="0"/>
                <w:i w:val="0"/>
              </w:rPr>
              <w:t>Faster decision-making and improved compliance.</w:t>
            </w:r>
          </w:p>
        </w:tc>
        <w:tc>
          <w:tcPr>
            <w:tcW w:type="dxa" w:w="2154"/>
            <w:vAlign w:val="center"/>
            <w:shd w:fill="FFFFFF"/>
          </w:tcPr>
          <w:p>
            <w:pPr>
              <w:spacing w:after="40" w:line="276" w:lineRule="auto"/>
              <w:ind w:left="125" w:hanging="125"/>
              <w:jc w:val="left"/>
            </w:pPr>
            <w:r>
              <w:t xml:space="preserve">• </w:t>
            </w:r>
            <w:r>
              <w:rPr>
                <w:b w:val="0"/>
                <w:i w:val="0"/>
              </w:rPr>
              <w:t>Avg. approval turnaround time (days).</w:t>
            </w:r>
          </w:p>
          <w:p>
            <w:pPr>
              <w:spacing w:after="40" w:line="276" w:lineRule="auto"/>
              <w:ind w:left="125" w:hanging="125"/>
              <w:jc w:val="left"/>
            </w:pPr>
            <w:r>
              <w:t xml:space="preserve">• </w:t>
            </w:r>
            <w:r>
              <w:rPr>
                <w:b w:val="0"/>
                <w:i w:val="0"/>
              </w:rPr>
              <w:t>% processes digitized (≥80%).</w:t>
            </w:r>
          </w:p>
          <w:p>
            <w:pPr>
              <w:spacing w:after="40" w:line="276" w:lineRule="auto"/>
              <w:ind w:left="125" w:hanging="125"/>
              <w:jc w:val="left"/>
            </w:pPr>
            <w:r>
              <w:t xml:space="preserve">• </w:t>
            </w:r>
            <w:r>
              <w:rPr>
                <w:b w:val="0"/>
                <w:i w:val="0"/>
              </w:rPr>
              <w:t>Governance satisfaction index.</w:t>
            </w:r>
          </w:p>
        </w:tc>
      </w:tr>
      <w:tr>
        <w:trPr>
          <w:cantSplit/>
        </w:trPr>
        <w:tc>
          <w:tcPr>
            <w:tcW w:type="dxa" w:w="1984"/>
            <w:vAlign w:val="center"/>
            <w:shd w:fill="EDF2F7"/>
          </w:tcPr>
          <w:p>
            <w:pPr>
              <w:spacing w:after="40" w:line="276" w:lineRule="auto"/>
              <w:jc w:val="left"/>
            </w:pPr>
            <w:r>
              <w:rPr>
                <w:b w:val="0"/>
                <w:i w:val="0"/>
              </w:rPr>
              <w:t>Expand industry collaborations to reduce employability risks</w:t>
            </w:r>
          </w:p>
        </w:tc>
        <w:tc>
          <w:tcPr>
            <w:tcW w:type="dxa" w:w="3061"/>
            <w:vAlign w:val="center"/>
            <w:shd w:fill="EDF2F7"/>
          </w:tcPr>
          <w:p>
            <w:pPr>
              <w:spacing w:after="40" w:line="276" w:lineRule="auto"/>
              <w:ind w:left="125" w:hanging="125"/>
              <w:jc w:val="left"/>
            </w:pPr>
            <w:r>
              <w:t xml:space="preserve">• </w:t>
            </w:r>
            <w:r>
              <w:rPr>
                <w:b w:val="0"/>
                <w:i w:val="0"/>
              </w:rPr>
              <w:t>Establish sector-specific Centers for Industry Collaboration.</w:t>
            </w:r>
          </w:p>
          <w:p>
            <w:pPr>
              <w:spacing w:after="40" w:line="276" w:lineRule="auto"/>
              <w:ind w:left="125" w:hanging="125"/>
              <w:jc w:val="left"/>
            </w:pPr>
            <w:r>
              <w:t xml:space="preserve">• </w:t>
            </w:r>
            <w:r>
              <w:rPr>
                <w:b w:val="0"/>
                <w:i w:val="0"/>
              </w:rPr>
              <w:t>Co-develop curricula with industry experts.</w:t>
            </w:r>
          </w:p>
          <w:p>
            <w:pPr>
              <w:spacing w:after="40" w:line="276" w:lineRule="auto"/>
              <w:ind w:left="125" w:hanging="125"/>
              <w:jc w:val="left"/>
            </w:pPr>
            <w:r>
              <w:t xml:space="preserve">• </w:t>
            </w:r>
            <w:r>
              <w:rPr>
                <w:b w:val="0"/>
                <w:i w:val="0"/>
              </w:rPr>
              <w:t>Provide 100% internship coverage.</w:t>
            </w:r>
          </w:p>
        </w:tc>
        <w:tc>
          <w:tcPr>
            <w:tcW w:type="dxa" w:w="2211"/>
            <w:vAlign w:val="center"/>
            <w:shd w:fill="EDF2F7"/>
          </w:tcPr>
          <w:p>
            <w:pPr>
              <w:spacing w:after="40" w:line="276" w:lineRule="auto"/>
              <w:jc w:val="left"/>
            </w:pPr>
            <w:r>
              <w:rPr>
                <w:b w:val="0"/>
                <w:i w:val="0"/>
              </w:rPr>
              <w:t>Stronger employability pipeline; enhanced industry trust.</w:t>
            </w:r>
          </w:p>
        </w:tc>
        <w:tc>
          <w:tcPr>
            <w:tcW w:type="dxa" w:w="2154"/>
            <w:vAlign w:val="center"/>
            <w:shd w:fill="EDF2F7"/>
          </w:tcPr>
          <w:p>
            <w:pPr>
              <w:spacing w:after="40" w:line="276" w:lineRule="auto"/>
              <w:ind w:left="125" w:hanging="125"/>
              <w:jc w:val="left"/>
            </w:pPr>
            <w:r>
              <w:t xml:space="preserve">• </w:t>
            </w:r>
            <w:r>
              <w:rPr>
                <w:b/>
                <w:i w:val="0"/>
              </w:rPr>
              <w:t>Internship coverage (Target:</w:t>
            </w:r>
            <w:r>
              <w:rPr>
                <w:b w:val="0"/>
                <w:i w:val="0"/>
              </w:rPr>
              <w:t xml:space="preserve"> 100%).</w:t>
            </w:r>
          </w:p>
          <w:p>
            <w:pPr>
              <w:spacing w:after="40" w:line="276" w:lineRule="auto"/>
              <w:ind w:left="125" w:hanging="125"/>
              <w:jc w:val="left"/>
            </w:pPr>
            <w:r>
              <w:t xml:space="preserve">• </w:t>
            </w:r>
            <w:r>
              <w:rPr>
                <w:b w:val="0"/>
                <w:i w:val="0"/>
              </w:rPr>
              <w:t>% programs with industry co-designed curriculum.</w:t>
            </w:r>
          </w:p>
          <w:p>
            <w:pPr>
              <w:spacing w:after="40" w:line="276" w:lineRule="auto"/>
              <w:ind w:left="125" w:hanging="125"/>
              <w:jc w:val="left"/>
            </w:pPr>
            <w:r>
              <w:t xml:space="preserve">• </w:t>
            </w:r>
            <w:r>
              <w:rPr>
                <w:b w:val="0"/>
                <w:i w:val="0"/>
              </w:rPr>
              <w:t>Placement rate (≥90%).</w:t>
            </w:r>
          </w:p>
        </w:tc>
      </w:tr>
    </w:tbl>
    <w:p>
      <w:pPr>
        <w:spacing w:after="40"/>
      </w:pPr>
    </w:p>
    <w:p>
      <w:pPr>
        <w:pStyle w:val="Heading2"/>
      </w:pPr>
      <w:r>
        <w:t>Opportunities (External Positive Factors)</w:t>
      </w:r>
    </w:p>
    <w:p>
      <w:pPr>
        <w:pStyle w:val="Heading2"/>
      </w:pPr>
      <w:r>
        <w:t>1. National Policies like NEP 2020 Encouraging Reforms</w:t>
      </w:r>
    </w:p>
    <w:p>
      <w:pPr>
        <w:pStyle w:val="ListBullet2"/>
        <w:numPr>
          <w:ilvl w:val="1"/>
          <w:numId w:val="90"/>
        </w:numPr>
        <w:ind w:left="652" w:hanging="142"/>
      </w:pPr>
      <w:r>
        <w:rPr>
          <w:b w:val="0"/>
          <w:i w:val="0"/>
        </w:rPr>
        <w:t>Flexibility in curriculum and learning pathways (Academic Bank of Credits).</w:t>
      </w:r>
    </w:p>
    <w:p>
      <w:pPr>
        <w:pStyle w:val="ListBullet2"/>
        <w:numPr>
          <w:ilvl w:val="1"/>
          <w:numId w:val="90"/>
        </w:numPr>
        <w:ind w:left="652" w:hanging="142"/>
      </w:pPr>
      <w:r>
        <w:rPr>
          <w:b w:val="0"/>
          <w:i w:val="0"/>
        </w:rPr>
        <w:t>Emphasis on multidisciplinary education, research, and innovation.</w:t>
      </w:r>
    </w:p>
    <w:p>
      <w:pPr>
        <w:pStyle w:val="ListBullet2"/>
        <w:numPr>
          <w:ilvl w:val="1"/>
          <w:numId w:val="90"/>
        </w:numPr>
        <w:ind w:left="652" w:hanging="142"/>
      </w:pPr>
      <w:r>
        <w:rPr>
          <w:b w:val="0"/>
          <w:i w:val="0"/>
        </w:rPr>
        <w:t>Policy support for autonomy, accreditation, and global competitiveness.</w:t>
      </w:r>
    </w:p>
    <w:p>
      <w:pPr>
        <w:pStyle w:val="Heading2"/>
      </w:pPr>
      <w:r>
        <w:t>2. Global Focus on Sustainable Development Goals (SDGs)</w:t>
      </w:r>
    </w:p>
    <w:p>
      <w:pPr>
        <w:pStyle w:val="ListBullet2"/>
        <w:numPr>
          <w:ilvl w:val="1"/>
          <w:numId w:val="90"/>
        </w:numPr>
        <w:ind w:left="652" w:hanging="142"/>
      </w:pPr>
      <w:r>
        <w:rPr>
          <w:b w:val="0"/>
          <w:i w:val="0"/>
        </w:rPr>
        <w:t>International recognition for SDG-aligned teaching and research.</w:t>
      </w:r>
    </w:p>
    <w:p>
      <w:pPr>
        <w:pStyle w:val="ListBullet2"/>
        <w:numPr>
          <w:ilvl w:val="1"/>
          <w:numId w:val="90"/>
        </w:numPr>
        <w:ind w:left="652" w:hanging="142"/>
      </w:pPr>
      <w:r>
        <w:rPr>
          <w:b w:val="0"/>
          <w:i w:val="0"/>
        </w:rPr>
        <w:t>Grants and awards for green campus initiatives.</w:t>
      </w:r>
    </w:p>
    <w:p>
      <w:pPr>
        <w:pStyle w:val="ListBullet2"/>
        <w:numPr>
          <w:ilvl w:val="1"/>
          <w:numId w:val="90"/>
        </w:numPr>
        <w:ind w:left="652" w:hanging="142"/>
      </w:pPr>
      <w:r>
        <w:rPr>
          <w:b w:val="0"/>
          <w:i w:val="0"/>
        </w:rPr>
        <w:t>Collaboration opportunities with global agencies on sustainability.</w:t>
      </w:r>
    </w:p>
    <w:p>
      <w:pPr>
        <w:pStyle w:val="Heading2"/>
      </w:pPr>
      <w:r>
        <w:t>3. Expansion of Digital Learning Platforms and EdTech</w:t>
      </w:r>
    </w:p>
    <w:p>
      <w:pPr>
        <w:pStyle w:val="ListBullet2"/>
        <w:numPr>
          <w:ilvl w:val="1"/>
          <w:numId w:val="90"/>
        </w:numPr>
        <w:ind w:left="652" w:hanging="142"/>
      </w:pPr>
      <w:r>
        <w:rPr>
          <w:b w:val="0"/>
          <w:i w:val="0"/>
        </w:rPr>
        <w:t>Blended learning and MOOCs extending reach and inclusivity.</w:t>
      </w:r>
    </w:p>
    <w:p>
      <w:pPr>
        <w:pStyle w:val="ListBullet2"/>
        <w:numPr>
          <w:ilvl w:val="1"/>
          <w:numId w:val="90"/>
        </w:numPr>
        <w:ind w:left="652" w:hanging="142"/>
      </w:pPr>
      <w:r>
        <w:rPr>
          <w:b w:val="0"/>
          <w:i w:val="0"/>
        </w:rPr>
        <w:t>AI, AR/VR, and big data tools for pedagogy and assessment.</w:t>
      </w:r>
    </w:p>
    <w:p>
      <w:pPr>
        <w:pStyle w:val="ListBullet2"/>
        <w:numPr>
          <w:ilvl w:val="1"/>
          <w:numId w:val="90"/>
        </w:numPr>
        <w:ind w:left="652" w:hanging="142"/>
      </w:pPr>
      <w:r>
        <w:rPr>
          <w:b w:val="0"/>
          <w:i w:val="0"/>
        </w:rPr>
        <w:t>Partnerships with EdTech companies for curriculum innovation.</w:t>
      </w:r>
    </w:p>
    <w:p>
      <w:pPr>
        <w:pStyle w:val="Heading2"/>
      </w:pPr>
      <w:r>
        <w:t>4. Scope for International Collaborations and Exchange Programs</w:t>
      </w:r>
    </w:p>
    <w:p>
      <w:pPr>
        <w:pStyle w:val="ListBullet2"/>
        <w:numPr>
          <w:ilvl w:val="1"/>
          <w:numId w:val="90"/>
        </w:numPr>
        <w:ind w:left="652" w:hanging="142"/>
      </w:pPr>
      <w:r>
        <w:rPr>
          <w:b w:val="0"/>
          <w:i w:val="0"/>
        </w:rPr>
        <w:t>MoUs with global universities for dual-degree and credit transfers.</w:t>
      </w:r>
    </w:p>
    <w:p>
      <w:pPr>
        <w:pStyle w:val="ListBullet2"/>
        <w:numPr>
          <w:ilvl w:val="1"/>
          <w:numId w:val="90"/>
        </w:numPr>
        <w:ind w:left="652" w:hanging="142"/>
      </w:pPr>
      <w:r>
        <w:rPr>
          <w:b w:val="0"/>
          <w:i w:val="0"/>
        </w:rPr>
        <w:t>Research partnerships with QS/THE-ranked institutions.</w:t>
      </w:r>
    </w:p>
    <w:p>
      <w:pPr>
        <w:pStyle w:val="ListBullet2"/>
        <w:numPr>
          <w:ilvl w:val="1"/>
          <w:numId w:val="90"/>
        </w:numPr>
        <w:ind w:left="652" w:hanging="142"/>
      </w:pPr>
      <w:r>
        <w:rPr>
          <w:b w:val="0"/>
          <w:i w:val="0"/>
        </w:rPr>
        <w:t>Faculty and student exchange programs for cultural and academic exposure.</w:t>
      </w:r>
    </w:p>
    <w:p>
      <w:pPr>
        <w:pStyle w:val="Heading2"/>
      </w:pPr>
      <w:r>
        <w:t>5. Funding Opportunities from Research Councils, CSR, and Alumni</w:t>
      </w:r>
    </w:p>
    <w:p>
      <w:pPr>
        <w:pStyle w:val="ListBullet2"/>
        <w:numPr>
          <w:ilvl w:val="1"/>
          <w:numId w:val="90"/>
        </w:numPr>
        <w:ind w:left="652" w:hanging="142"/>
      </w:pPr>
      <w:r>
        <w:rPr>
          <w:b w:val="0"/>
          <w:i w:val="0"/>
        </w:rPr>
        <w:t>Government grants (DST, NRF, ICSSR, DBT, etc.) for research and innovation.</w:t>
      </w:r>
    </w:p>
    <w:p>
      <w:pPr>
        <w:pStyle w:val="ListBullet2"/>
        <w:numPr>
          <w:ilvl w:val="1"/>
          <w:numId w:val="90"/>
        </w:numPr>
        <w:ind w:left="652" w:hanging="142"/>
      </w:pPr>
      <w:r>
        <w:rPr>
          <w:b w:val="0"/>
          <w:i w:val="0"/>
        </w:rPr>
        <w:t>CSR support for infrastructure, sustainability, and skill development.</w:t>
      </w:r>
    </w:p>
    <w:p>
      <w:pPr>
        <w:pStyle w:val="ListBullet2"/>
        <w:numPr>
          <w:ilvl w:val="1"/>
          <w:numId w:val="90"/>
        </w:numPr>
        <w:ind w:left="652" w:hanging="142"/>
      </w:pPr>
      <w:r>
        <w:rPr>
          <w:b w:val="0"/>
          <w:i w:val="0"/>
        </w:rPr>
        <w:t>Alumni donations for scholarships, endowment, and infrastructure.</w:t>
      </w:r>
    </w:p>
    <w:p>
      <w:pPr>
        <w:pStyle w:val="Heading2"/>
      </w:pPr>
      <w:r>
        <w:t>6. Rising Demand for Skilled Professionals in AI, Renewable Energy, Health Sciences</w:t>
      </w:r>
    </w:p>
    <w:p>
      <w:pPr>
        <w:pStyle w:val="ListBullet2"/>
        <w:numPr>
          <w:ilvl w:val="1"/>
          <w:numId w:val="90"/>
        </w:numPr>
        <w:ind w:left="652" w:hanging="142"/>
      </w:pPr>
      <w:r>
        <w:rPr>
          <w:b w:val="0"/>
          <w:i w:val="0"/>
        </w:rPr>
        <w:t>Job-oriented programs aligned to industry needs.</w:t>
      </w:r>
    </w:p>
    <w:p>
      <w:pPr>
        <w:pStyle w:val="ListBullet2"/>
        <w:numPr>
          <w:ilvl w:val="1"/>
          <w:numId w:val="90"/>
        </w:numPr>
        <w:ind w:left="652" w:hanging="142"/>
      </w:pPr>
      <w:r>
        <w:rPr>
          <w:b w:val="0"/>
          <w:i w:val="0"/>
        </w:rPr>
        <w:t>Opportunity to launch new interdisciplinary courses.</w:t>
      </w:r>
    </w:p>
    <w:p>
      <w:pPr>
        <w:pStyle w:val="ListBullet2"/>
        <w:numPr>
          <w:ilvl w:val="1"/>
          <w:numId w:val="90"/>
        </w:numPr>
        <w:ind w:left="652" w:hanging="142"/>
      </w:pPr>
      <w:r>
        <w:rPr>
          <w:b w:val="0"/>
          <w:i w:val="0"/>
        </w:rPr>
        <w:t>Collaboration with industries for internships, projects, and placements.</w:t>
      </w:r>
    </w:p>
    <w:p>
      <w:pPr>
        <w:pStyle w:val="Heading2"/>
      </w:pPr>
      <w:r>
        <w:t>7. Community Engagement in Social Impact Projects</w:t>
      </w:r>
    </w:p>
    <w:p>
      <w:pPr>
        <w:pStyle w:val="ListBullet2"/>
        <w:numPr>
          <w:ilvl w:val="1"/>
          <w:numId w:val="90"/>
        </w:numPr>
        <w:ind w:left="652" w:hanging="142"/>
      </w:pPr>
      <w:r>
        <w:rPr>
          <w:b w:val="0"/>
          <w:i w:val="0"/>
        </w:rPr>
        <w:t>Partnerships with NGOs, local governments, and civic bodies.</w:t>
      </w:r>
    </w:p>
    <w:p>
      <w:pPr>
        <w:pStyle w:val="ListBullet2"/>
        <w:numPr>
          <w:ilvl w:val="1"/>
          <w:numId w:val="90"/>
        </w:numPr>
        <w:ind w:left="652" w:hanging="142"/>
      </w:pPr>
      <w:r>
        <w:rPr>
          <w:b w:val="0"/>
          <w:i w:val="0"/>
        </w:rPr>
        <w:t>ISR projects on health, literacy, and sustainability.</w:t>
      </w:r>
    </w:p>
    <w:p>
      <w:pPr>
        <w:pStyle w:val="ListBullet2"/>
        <w:numPr>
          <w:ilvl w:val="1"/>
          <w:numId w:val="90"/>
        </w:numPr>
        <w:ind w:left="652" w:hanging="142"/>
      </w:pPr>
      <w:r>
        <w:rPr>
          <w:b w:val="0"/>
          <w:i w:val="0"/>
        </w:rPr>
        <w:t>Recognition for social responsibility in accreditation and rankings.</w:t>
      </w:r>
    </w:p>
    <w:p>
      <w:pPr/>
      <w:r>
        <w:rPr>
          <w:b/>
          <w:i w:val="0"/>
        </w:rPr>
        <w:t>These opportunities create avenues for HEIs to:</w:t>
      </w:r>
    </w:p>
    <w:p>
      <w:pPr>
        <w:pStyle w:val="ListBullet"/>
        <w:numPr>
          <w:ilvl w:val="0"/>
          <w:numId w:val="90"/>
        </w:numPr>
        <w:ind w:left="340" w:hanging="142"/>
      </w:pPr>
      <w:r>
        <w:rPr>
          <w:b w:val="0"/>
          <w:i w:val="0"/>
        </w:rPr>
        <w:t>Align with national reforms (NEP 2020).</w:t>
      </w:r>
    </w:p>
    <w:p>
      <w:pPr>
        <w:pStyle w:val="ListBullet"/>
        <w:numPr>
          <w:ilvl w:val="0"/>
          <w:numId w:val="90"/>
        </w:numPr>
        <w:ind w:left="340" w:hanging="142"/>
      </w:pPr>
      <w:r>
        <w:rPr>
          <w:b w:val="0"/>
          <w:i w:val="0"/>
        </w:rPr>
        <w:t>Strengthen global standing through SDG projects &amp; collaborations.</w:t>
      </w:r>
    </w:p>
    <w:p>
      <w:pPr>
        <w:pStyle w:val="ListBullet"/>
        <w:numPr>
          <w:ilvl w:val="0"/>
          <w:numId w:val="90"/>
        </w:numPr>
        <w:ind w:left="340" w:hanging="142"/>
      </w:pPr>
      <w:r>
        <w:rPr>
          <w:b w:val="0"/>
          <w:i w:val="0"/>
        </w:rPr>
        <w:t>Leverage EdTech for scalability and inclusion.</w:t>
      </w:r>
    </w:p>
    <w:p>
      <w:pPr>
        <w:pStyle w:val="ListBullet"/>
        <w:numPr>
          <w:ilvl w:val="0"/>
          <w:numId w:val="90"/>
        </w:numPr>
        <w:ind w:left="340" w:hanging="142"/>
      </w:pPr>
      <w:r>
        <w:rPr>
          <w:b w:val="0"/>
          <w:i w:val="0"/>
        </w:rPr>
        <w:t>Secure multi-source funding (government, CSR, alumni).</w:t>
      </w:r>
    </w:p>
    <w:p>
      <w:pPr>
        <w:pStyle w:val="ListBullet"/>
        <w:numPr>
          <w:ilvl w:val="0"/>
          <w:numId w:val="90"/>
        </w:numPr>
        <w:ind w:left="340" w:hanging="142"/>
      </w:pPr>
      <w:r>
        <w:rPr>
          <w:b w:val="0"/>
          <w:i w:val="0"/>
        </w:rPr>
        <w:t>Meet workforce demand in emerging industries.</w:t>
      </w:r>
    </w:p>
    <w:p>
      <w:pPr>
        <w:pStyle w:val="ListBullet"/>
        <w:numPr>
          <w:ilvl w:val="0"/>
          <w:numId w:val="90"/>
        </w:numPr>
        <w:ind w:left="340" w:hanging="142"/>
      </w:pPr>
      <w:r>
        <w:rPr>
          <w:b w:val="0"/>
          <w:i w:val="0"/>
        </w:rPr>
        <w:t>Enhance social reputation through community engagement.</w:t>
      </w:r>
    </w:p>
    <w:p>
      <w:pPr>
        <w:pStyle w:val="Heading2"/>
      </w:pPr>
      <w:r>
        <w:t>SO (Strength–Opportunity) Strategies</w:t>
      </w:r>
    </w:p>
    <w:p>
      <w:pPr>
        <w:pStyle w:val="Heading2"/>
      </w:pPr>
      <w:r>
        <w:t>1. Strength: Strong institutional vision &amp; leadership</w:t>
      </w:r>
    </w:p>
    <w:p>
      <w:pPr/>
      <w:r>
        <w:rPr>
          <w:b/>
          <w:i w:val="0"/>
        </w:rPr>
        <w:t>Opportunity:</w:t>
      </w:r>
      <w:r>
        <w:rPr>
          <w:b w:val="0"/>
          <w:i w:val="0"/>
        </w:rPr>
        <w:t xml:space="preserve"> NEP 2020 reforms + global SDG focus</w:t>
      </w:r>
    </w:p>
    <w:p>
      <w:pPr>
        <w:pStyle w:val="ListBullet2"/>
        <w:numPr>
          <w:ilvl w:val="1"/>
          <w:numId w:val="90"/>
        </w:numPr>
        <w:ind w:left="652" w:hanging="142"/>
      </w:pPr>
      <w:r>
        <w:rPr>
          <w:b/>
          <w:i w:val="0"/>
        </w:rPr>
        <w:t>Strategy:</w:t>
      </w:r>
      <w:r>
        <w:rPr>
          <w:b w:val="0"/>
          <w:i w:val="0"/>
        </w:rPr>
        <w:t xml:space="preserve"> Position the institution as a national model HEI by embedding NEP 2020 priorities (multidisciplinary, skill-based learning) and aligning all academic/research programs with the SDGs.</w:t>
      </w:r>
    </w:p>
    <w:p>
      <w:pPr>
        <w:pStyle w:val="Heading2"/>
      </w:pPr>
      <w:r>
        <w:t>2. Strength: Skilled faculty &amp; committed workforce</w:t>
      </w:r>
    </w:p>
    <w:p>
      <w:pPr/>
      <w:r>
        <w:rPr>
          <w:b/>
          <w:i w:val="0"/>
        </w:rPr>
        <w:t>Opportunity:</w:t>
      </w:r>
      <w:r>
        <w:rPr>
          <w:b w:val="0"/>
          <w:i w:val="0"/>
        </w:rPr>
        <w:t xml:space="preserve"> Rising demand for skilled professionals in AI, renewable energy, and health sciences</w:t>
      </w:r>
    </w:p>
    <w:p>
      <w:pPr>
        <w:pStyle w:val="ListBullet2"/>
        <w:numPr>
          <w:ilvl w:val="1"/>
          <w:numId w:val="90"/>
        </w:numPr>
        <w:ind w:left="652" w:hanging="142"/>
      </w:pPr>
      <w:r>
        <w:rPr>
          <w:b/>
          <w:i w:val="0"/>
        </w:rPr>
        <w:t>Strategy:</w:t>
      </w:r>
      <w:r>
        <w:rPr>
          <w:b w:val="0"/>
          <w:i w:val="0"/>
        </w:rPr>
        <w:t xml:space="preserve"> Launch new interdisciplinary programs in AI, sustainability, and healthcare, leveraging faculty expertise to meet workforce needs.</w:t>
      </w:r>
    </w:p>
    <w:p>
      <w:pPr>
        <w:pStyle w:val="Heading2"/>
      </w:pPr>
      <w:r>
        <w:t>3. Strength: Growing student population with diverse backgrounds</w:t>
      </w:r>
    </w:p>
    <w:p>
      <w:pPr/>
      <w:r>
        <w:rPr>
          <w:b/>
          <w:i w:val="0"/>
        </w:rPr>
        <w:t>Opportunity:</w:t>
      </w:r>
      <w:r>
        <w:rPr>
          <w:b w:val="0"/>
          <w:i w:val="0"/>
        </w:rPr>
        <w:t xml:space="preserve"> Expansion of digital learning platforms &amp; EdTech</w:t>
      </w:r>
    </w:p>
    <w:p>
      <w:pPr>
        <w:pStyle w:val="ListBullet2"/>
        <w:numPr>
          <w:ilvl w:val="1"/>
          <w:numId w:val="90"/>
        </w:numPr>
        <w:ind w:left="652" w:hanging="142"/>
      </w:pPr>
      <w:r>
        <w:rPr>
          <w:b/>
          <w:i w:val="0"/>
        </w:rPr>
        <w:t>Strategy:</w:t>
      </w:r>
      <w:r>
        <w:rPr>
          <w:b w:val="0"/>
          <w:i w:val="0"/>
        </w:rPr>
        <w:t xml:space="preserve"> Scale up blended learning and EdTech-enabled pedagogy to provide flexible, inclusive, and global learning opportunities.</w:t>
      </w:r>
    </w:p>
    <w:p>
      <w:pPr>
        <w:pStyle w:val="Heading2"/>
      </w:pPr>
      <w:r>
        <w:t>4. Strength: Existing infrastructure (digital labs, libraries, classrooms)</w:t>
      </w:r>
    </w:p>
    <w:p>
      <w:pPr/>
      <w:r>
        <w:rPr>
          <w:b/>
          <w:i w:val="0"/>
        </w:rPr>
        <w:t>Opportunity:</w:t>
      </w:r>
      <w:r>
        <w:rPr>
          <w:b w:val="0"/>
          <w:i w:val="0"/>
        </w:rPr>
        <w:t xml:space="preserve"> Funding opportunities from CSR, research councils, and alumni</w:t>
      </w:r>
    </w:p>
    <w:p>
      <w:pPr>
        <w:pStyle w:val="ListBullet2"/>
        <w:numPr>
          <w:ilvl w:val="1"/>
          <w:numId w:val="90"/>
        </w:numPr>
        <w:ind w:left="652" w:hanging="142"/>
      </w:pPr>
      <w:r>
        <w:rPr>
          <w:b/>
          <w:i w:val="0"/>
        </w:rPr>
        <w:t>Strategy:</w:t>
      </w:r>
      <w:r>
        <w:rPr>
          <w:b w:val="0"/>
          <w:i w:val="0"/>
        </w:rPr>
        <w:t xml:space="preserve"> Upgrade labs and libraries into Centers of Excellence by channeling external funding for cutting-edge research and digital expansion.</w:t>
      </w:r>
    </w:p>
    <w:p>
      <w:pPr>
        <w:pStyle w:val="Heading2"/>
      </w:pPr>
      <w:r>
        <w:t>5. Strength: Strong community connections &amp; outreach programs</w:t>
      </w:r>
    </w:p>
    <w:p>
      <w:pPr/>
      <w:r>
        <w:rPr>
          <w:b/>
          <w:i w:val="0"/>
        </w:rPr>
        <w:t>Opportunity:</w:t>
      </w:r>
      <w:r>
        <w:rPr>
          <w:b w:val="0"/>
          <w:i w:val="0"/>
        </w:rPr>
        <w:t xml:space="preserve"> Community engagement in social impact projects</w:t>
      </w:r>
    </w:p>
    <w:p>
      <w:pPr>
        <w:pStyle w:val="ListBullet2"/>
        <w:numPr>
          <w:ilvl w:val="1"/>
          <w:numId w:val="90"/>
        </w:numPr>
        <w:ind w:left="652" w:hanging="142"/>
      </w:pPr>
      <w:r>
        <w:rPr>
          <w:b/>
          <w:i w:val="0"/>
        </w:rPr>
        <w:t>Strategy:</w:t>
      </w:r>
      <w:r>
        <w:rPr>
          <w:b w:val="0"/>
          <w:i w:val="0"/>
        </w:rPr>
        <w:t xml:space="preserve"> Expand ISR and sustainability-driven outreach to position the institution as a regional leader in social innovation and SDG action.</w:t>
      </w:r>
    </w:p>
    <w:p>
      <w:pPr>
        <w:pStyle w:val="Heading2"/>
      </w:pPr>
      <w:r>
        <w:t>6. Strength: Accreditation readiness (NAAC/NBA/ISO)</w:t>
      </w:r>
    </w:p>
    <w:p>
      <w:pPr/>
      <w:r>
        <w:rPr>
          <w:b/>
          <w:i w:val="0"/>
        </w:rPr>
        <w:t>Opportunity:</w:t>
      </w:r>
      <w:r>
        <w:rPr>
          <w:b w:val="0"/>
          <w:i w:val="0"/>
        </w:rPr>
        <w:t xml:space="preserve"> Scope for international collaborations and global rankings</w:t>
      </w:r>
    </w:p>
    <w:p>
      <w:pPr>
        <w:pStyle w:val="ListBullet2"/>
        <w:numPr>
          <w:ilvl w:val="1"/>
          <w:numId w:val="90"/>
        </w:numPr>
        <w:ind w:left="652" w:hanging="142"/>
      </w:pPr>
      <w:r>
        <w:rPr>
          <w:b/>
          <w:i w:val="0"/>
        </w:rPr>
        <w:t>Strategy:</w:t>
      </w:r>
      <w:r>
        <w:rPr>
          <w:b w:val="0"/>
          <w:i w:val="0"/>
        </w:rPr>
        <w:t xml:space="preserve"> Use accreditation strengths to build international partnerships, secure exchange programs, and achieve visibility in QS/THE rankings.</w:t>
      </w:r>
    </w:p>
    <w:p>
      <w:pPr>
        <w:pStyle w:val="Heading2"/>
      </w:pPr>
      <w:r>
        <w:t>SO Strategies → Policy–Action–Outcome–KPI Table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984"/>
        <w:gridCol w:w="3061"/>
        <w:gridCol w:w="2211"/>
        <w:gridCol w:w="2154"/>
      </w:tblGrid>
      <w:tr>
        <w:trPr>
          <w:tblHeader/>
          <w:cantSplit/>
        </w:trPr>
        <w:tc>
          <w:tcPr>
            <w:tcW w:type="dxa" w:w="1984"/>
            <w:vAlign w:val="center"/>
            <w:shd w:fill="1F3A5F"/>
          </w:tcPr>
          <w:p>
            <w:pPr>
              <w:keepNext/>
              <w:spacing w:after="40" w:line="276" w:lineRule="auto"/>
              <w:jc w:val="left"/>
            </w:pPr>
            <w:r>
              <w:rPr>
                <w:b/>
                <w:i w:val="0"/>
                <w:color w:val="FFFFFF"/>
              </w:rPr>
              <w:t>Policy Direction</w:t>
            </w:r>
          </w:p>
        </w:tc>
        <w:tc>
          <w:tcPr>
            <w:tcW w:type="dxa" w:w="3061"/>
            <w:vAlign w:val="center"/>
            <w:shd w:fill="1F3A5F"/>
          </w:tcPr>
          <w:p>
            <w:pPr>
              <w:keepNext/>
              <w:spacing w:after="40" w:line="276" w:lineRule="auto"/>
              <w:jc w:val="left"/>
            </w:pPr>
            <w:r>
              <w:rPr>
                <w:b/>
                <w:i w:val="0"/>
                <w:color w:val="FFFFFF"/>
              </w:rPr>
              <w:t>Strategic Actions</w:t>
            </w:r>
          </w:p>
        </w:tc>
        <w:tc>
          <w:tcPr>
            <w:tcW w:type="dxa" w:w="2211"/>
            <w:vAlign w:val="center"/>
            <w:shd w:fill="1F3A5F"/>
          </w:tcPr>
          <w:p>
            <w:pPr>
              <w:keepNext/>
              <w:spacing w:after="40" w:line="276" w:lineRule="auto"/>
              <w:jc w:val="left"/>
            </w:pPr>
            <w:r>
              <w:rPr>
                <w:b/>
                <w:i w:val="0"/>
                <w:color w:val="FFFFFF"/>
              </w:rPr>
              <w:t>Expected Outcomes</w:t>
            </w:r>
          </w:p>
        </w:tc>
        <w:tc>
          <w:tcPr>
            <w:tcW w:type="dxa" w:w="2154"/>
            <w:vAlign w:val="center"/>
            <w:shd w:fill="1F3A5F"/>
          </w:tcPr>
          <w:p>
            <w:pPr>
              <w:keepNext/>
              <w:spacing w:after="40" w:line="276" w:lineRule="auto"/>
              <w:jc w:val="left"/>
            </w:pPr>
            <w:r>
              <w:rPr>
                <w:b/>
                <w:i w:val="0"/>
                <w:color w:val="FFFFFF"/>
              </w:rPr>
              <w:t>KPIs (Indicators)</w:t>
            </w:r>
          </w:p>
        </w:tc>
      </w:tr>
      <w:tr>
        <w:trPr>
          <w:cantSplit/>
        </w:trPr>
        <w:tc>
          <w:tcPr>
            <w:tcW w:type="dxa" w:w="1984"/>
            <w:vAlign w:val="center"/>
            <w:shd w:fill="FFFFFF"/>
          </w:tcPr>
          <w:p>
            <w:pPr>
              <w:spacing w:after="40" w:line="276" w:lineRule="auto"/>
              <w:jc w:val="left"/>
            </w:pPr>
            <w:r>
              <w:rPr>
                <w:b w:val="0"/>
                <w:i w:val="0"/>
              </w:rPr>
              <w:t>Embed NEP 2020 reforms &amp; SDGs into academic framework</w:t>
            </w:r>
          </w:p>
        </w:tc>
        <w:tc>
          <w:tcPr>
            <w:tcW w:type="dxa" w:w="3061"/>
            <w:vAlign w:val="center"/>
            <w:shd w:fill="FFFFFF"/>
          </w:tcPr>
          <w:p>
            <w:pPr>
              <w:spacing w:after="40" w:line="276" w:lineRule="auto"/>
              <w:ind w:left="125" w:hanging="125"/>
              <w:jc w:val="left"/>
            </w:pPr>
            <w:r>
              <w:t xml:space="preserve">• </w:t>
            </w:r>
            <w:r>
              <w:rPr>
                <w:b w:val="0"/>
                <w:i w:val="0"/>
              </w:rPr>
              <w:t>Redesign curricula for multidisciplinary &amp; skill-based learning.</w:t>
            </w:r>
          </w:p>
          <w:p>
            <w:pPr>
              <w:spacing w:after="40" w:line="276" w:lineRule="auto"/>
              <w:ind w:left="125" w:hanging="125"/>
              <w:jc w:val="left"/>
            </w:pPr>
            <w:r>
              <w:t xml:space="preserve">• </w:t>
            </w:r>
            <w:r>
              <w:rPr>
                <w:b w:val="0"/>
                <w:i w:val="0"/>
              </w:rPr>
              <w:t>Align all courses and research with SDG themes.</w:t>
            </w:r>
          </w:p>
          <w:p>
            <w:pPr>
              <w:spacing w:after="40" w:line="276" w:lineRule="auto"/>
              <w:ind w:left="125" w:hanging="125"/>
              <w:jc w:val="left"/>
            </w:pPr>
            <w:r>
              <w:t xml:space="preserve">• </w:t>
            </w:r>
            <w:r>
              <w:rPr>
                <w:b w:val="0"/>
                <w:i w:val="0"/>
              </w:rPr>
              <w:t>Establish an SDG Cell within IQAC.</w:t>
            </w:r>
          </w:p>
        </w:tc>
        <w:tc>
          <w:tcPr>
            <w:tcW w:type="dxa" w:w="2211"/>
            <w:vAlign w:val="center"/>
            <w:shd w:fill="FFFFFF"/>
          </w:tcPr>
          <w:p>
            <w:pPr>
              <w:spacing w:after="40" w:line="276" w:lineRule="auto"/>
              <w:jc w:val="left"/>
            </w:pPr>
            <w:r>
              <w:rPr>
                <w:b w:val="0"/>
                <w:i w:val="0"/>
              </w:rPr>
              <w:t>Institution recognized as a national model HEI for NEP 2020 + SDG integration.</w:t>
            </w:r>
          </w:p>
        </w:tc>
        <w:tc>
          <w:tcPr>
            <w:tcW w:type="dxa" w:w="2154"/>
            <w:vAlign w:val="center"/>
            <w:shd w:fill="FFFFFF"/>
          </w:tcPr>
          <w:p>
            <w:pPr>
              <w:spacing w:after="40" w:line="276" w:lineRule="auto"/>
              <w:ind w:left="125" w:hanging="125"/>
              <w:jc w:val="left"/>
            </w:pPr>
            <w:r>
              <w:t xml:space="preserve">• </w:t>
            </w:r>
            <w:r>
              <w:rPr>
                <w:b/>
                <w:i w:val="0"/>
              </w:rPr>
              <w:t>% programs revised to NEP 2020 standards (Target:</w:t>
            </w:r>
            <w:r>
              <w:rPr>
                <w:b w:val="0"/>
                <w:i w:val="0"/>
              </w:rPr>
              <w:t xml:space="preserve"> 100% by 2027).</w:t>
            </w:r>
          </w:p>
          <w:p>
            <w:pPr>
              <w:spacing w:after="40" w:line="276" w:lineRule="auto"/>
              <w:ind w:left="125" w:hanging="125"/>
              <w:jc w:val="left"/>
            </w:pPr>
            <w:r>
              <w:t xml:space="preserve">• </w:t>
            </w:r>
            <w:r>
              <w:rPr>
                <w:b w:val="0"/>
                <w:i w:val="0"/>
              </w:rPr>
              <w:t>No. of SDG-aligned courses/​programs.</w:t>
            </w:r>
          </w:p>
          <w:p>
            <w:pPr>
              <w:spacing w:after="40" w:line="276" w:lineRule="auto"/>
              <w:ind w:left="125" w:hanging="125"/>
              <w:jc w:val="left"/>
            </w:pPr>
            <w:r>
              <w:t xml:space="preserve">• </w:t>
            </w:r>
            <w:r>
              <w:rPr>
                <w:b w:val="0"/>
                <w:i w:val="0"/>
              </w:rPr>
              <w:t>External recognition/​awards for NEP/​SDG compliance.</w:t>
            </w:r>
          </w:p>
        </w:tc>
      </w:tr>
      <w:tr>
        <w:trPr>
          <w:cantSplit/>
        </w:trPr>
        <w:tc>
          <w:tcPr>
            <w:tcW w:type="dxa" w:w="1984"/>
            <w:vAlign w:val="center"/>
            <w:shd w:fill="EDF2F7"/>
          </w:tcPr>
          <w:p>
            <w:pPr>
              <w:spacing w:after="40" w:line="276" w:lineRule="auto"/>
              <w:jc w:val="left"/>
            </w:pPr>
            <w:r>
              <w:rPr>
                <w:b w:val="0"/>
                <w:i w:val="0"/>
              </w:rPr>
              <w:t>Launch interdisciplinary programs in AI, sustainability, &amp; health sciences</w:t>
            </w:r>
          </w:p>
        </w:tc>
        <w:tc>
          <w:tcPr>
            <w:tcW w:type="dxa" w:w="3061"/>
            <w:vAlign w:val="center"/>
            <w:shd w:fill="EDF2F7"/>
          </w:tcPr>
          <w:p>
            <w:pPr>
              <w:spacing w:after="40" w:line="276" w:lineRule="auto"/>
              <w:ind w:left="125" w:hanging="125"/>
              <w:jc w:val="left"/>
            </w:pPr>
            <w:r>
              <w:t xml:space="preserve">• </w:t>
            </w:r>
            <w:r>
              <w:rPr>
                <w:b w:val="0"/>
                <w:i w:val="0"/>
              </w:rPr>
              <w:t>Develop new UG/​PG programs in AI, renewable energy, health tech.</w:t>
            </w:r>
          </w:p>
          <w:p>
            <w:pPr>
              <w:spacing w:after="40" w:line="276" w:lineRule="auto"/>
              <w:ind w:left="125" w:hanging="125"/>
              <w:jc w:val="left"/>
            </w:pPr>
            <w:r>
              <w:t xml:space="preserve">• </w:t>
            </w:r>
            <w:r>
              <w:rPr>
                <w:b w:val="0"/>
                <w:i w:val="0"/>
              </w:rPr>
              <w:t>Recruit experts in niche domains.</w:t>
            </w:r>
          </w:p>
          <w:p>
            <w:pPr>
              <w:spacing w:after="40" w:line="276" w:lineRule="auto"/>
              <w:ind w:left="125" w:hanging="125"/>
              <w:jc w:val="left"/>
            </w:pPr>
            <w:r>
              <w:t xml:space="preserve">• </w:t>
            </w:r>
            <w:r>
              <w:rPr>
                <w:b w:val="0"/>
                <w:i w:val="0"/>
              </w:rPr>
              <w:t>Partner with industry for curriculum co-design.</w:t>
            </w:r>
          </w:p>
        </w:tc>
        <w:tc>
          <w:tcPr>
            <w:tcW w:type="dxa" w:w="2211"/>
            <w:vAlign w:val="center"/>
            <w:shd w:fill="EDF2F7"/>
          </w:tcPr>
          <w:p>
            <w:pPr>
              <w:spacing w:after="40" w:line="276" w:lineRule="auto"/>
              <w:jc w:val="left"/>
            </w:pPr>
            <w:r>
              <w:rPr>
                <w:b w:val="0"/>
                <w:i w:val="0"/>
              </w:rPr>
              <w:t>Students equipped with future-ready skills; improved employability.</w:t>
            </w:r>
          </w:p>
        </w:tc>
        <w:tc>
          <w:tcPr>
            <w:tcW w:type="dxa" w:w="2154"/>
            <w:vAlign w:val="center"/>
            <w:shd w:fill="EDF2F7"/>
          </w:tcPr>
          <w:p>
            <w:pPr>
              <w:spacing w:after="40" w:line="276" w:lineRule="auto"/>
              <w:ind w:left="125" w:hanging="125"/>
              <w:jc w:val="left"/>
            </w:pPr>
            <w:r>
              <w:t xml:space="preserve">• </w:t>
            </w:r>
            <w:r>
              <w:rPr>
                <w:b w:val="0"/>
                <w:i w:val="0"/>
              </w:rPr>
              <w:t>No. of new interdisciplinary programs launched.</w:t>
            </w:r>
          </w:p>
          <w:p>
            <w:pPr>
              <w:spacing w:after="40" w:line="276" w:lineRule="auto"/>
              <w:ind w:left="125" w:hanging="125"/>
              <w:jc w:val="left"/>
            </w:pPr>
            <w:r>
              <w:t xml:space="preserve">• </w:t>
            </w:r>
            <w:r>
              <w:rPr>
                <w:b w:val="0"/>
                <w:i w:val="0"/>
              </w:rPr>
              <w:t>Graduate employability rate (≥90%).</w:t>
            </w:r>
          </w:p>
          <w:p>
            <w:pPr>
              <w:spacing w:after="40" w:line="276" w:lineRule="auto"/>
              <w:ind w:left="125" w:hanging="125"/>
              <w:jc w:val="left"/>
            </w:pPr>
            <w:r>
              <w:t xml:space="preserve">• </w:t>
            </w:r>
            <w:r>
              <w:rPr>
                <w:b w:val="0"/>
                <w:i w:val="0"/>
              </w:rPr>
              <w:t>% industry co-designed curricula.</w:t>
            </w:r>
          </w:p>
        </w:tc>
      </w:tr>
      <w:tr>
        <w:trPr>
          <w:cantSplit/>
        </w:trPr>
        <w:tc>
          <w:tcPr>
            <w:tcW w:type="dxa" w:w="1984"/>
            <w:vAlign w:val="center"/>
            <w:shd w:fill="FFFFFF"/>
          </w:tcPr>
          <w:p>
            <w:pPr>
              <w:spacing w:after="40" w:line="276" w:lineRule="auto"/>
              <w:jc w:val="left"/>
            </w:pPr>
            <w:r>
              <w:rPr>
                <w:b w:val="0"/>
                <w:i w:val="0"/>
              </w:rPr>
              <w:t>Expand blended learning &amp; EdTech integration</w:t>
            </w:r>
          </w:p>
        </w:tc>
        <w:tc>
          <w:tcPr>
            <w:tcW w:type="dxa" w:w="3061"/>
            <w:vAlign w:val="center"/>
            <w:shd w:fill="FFFFFF"/>
          </w:tcPr>
          <w:p>
            <w:pPr>
              <w:spacing w:after="40" w:line="276" w:lineRule="auto"/>
              <w:ind w:left="125" w:hanging="125"/>
              <w:jc w:val="left"/>
            </w:pPr>
            <w:r>
              <w:t xml:space="preserve">• </w:t>
            </w:r>
            <w:r>
              <w:rPr>
                <w:b w:val="0"/>
                <w:i w:val="0"/>
              </w:rPr>
              <w:t>Deploy MOOCs, LMS, and AI-based learning tools.</w:t>
            </w:r>
          </w:p>
          <w:p>
            <w:pPr>
              <w:spacing w:after="40" w:line="276" w:lineRule="auto"/>
              <w:ind w:left="125" w:hanging="125"/>
              <w:jc w:val="left"/>
            </w:pPr>
            <w:r>
              <w:t xml:space="preserve">• </w:t>
            </w:r>
            <w:r>
              <w:rPr>
                <w:b w:val="0"/>
                <w:i w:val="0"/>
              </w:rPr>
              <w:t>Train faculty in digital pedagogy.</w:t>
            </w:r>
          </w:p>
          <w:p>
            <w:pPr>
              <w:spacing w:after="40" w:line="276" w:lineRule="auto"/>
              <w:ind w:left="125" w:hanging="125"/>
              <w:jc w:val="left"/>
            </w:pPr>
            <w:r>
              <w:t xml:space="preserve">• </w:t>
            </w:r>
            <w:r>
              <w:rPr>
                <w:b w:val="0"/>
                <w:i w:val="0"/>
              </w:rPr>
              <w:t>Establish virtual learning hubs.</w:t>
            </w:r>
          </w:p>
        </w:tc>
        <w:tc>
          <w:tcPr>
            <w:tcW w:type="dxa" w:w="2211"/>
            <w:vAlign w:val="center"/>
            <w:shd w:fill="FFFFFF"/>
          </w:tcPr>
          <w:p>
            <w:pPr>
              <w:spacing w:after="40" w:line="276" w:lineRule="auto"/>
              <w:jc w:val="left"/>
            </w:pPr>
            <w:r>
              <w:rPr>
                <w:b w:val="0"/>
                <w:i w:val="0"/>
              </w:rPr>
              <w:t>Inclusive, flexible, and tech-enabled education model.</w:t>
            </w:r>
          </w:p>
        </w:tc>
        <w:tc>
          <w:tcPr>
            <w:tcW w:type="dxa" w:w="2154"/>
            <w:vAlign w:val="center"/>
            <w:shd w:fill="FFFFFF"/>
          </w:tcPr>
          <w:p>
            <w:pPr>
              <w:spacing w:after="40" w:line="276" w:lineRule="auto"/>
              <w:ind w:left="125" w:hanging="125"/>
              <w:jc w:val="left"/>
            </w:pPr>
            <w:r>
              <w:t xml:space="preserve">• </w:t>
            </w:r>
            <w:r>
              <w:rPr>
                <w:b w:val="0"/>
                <w:i w:val="0"/>
              </w:rPr>
              <w:t>% programs delivered in blended mode (≥70%).</w:t>
            </w:r>
          </w:p>
          <w:p>
            <w:pPr>
              <w:spacing w:after="40" w:line="276" w:lineRule="auto"/>
              <w:ind w:left="125" w:hanging="125"/>
              <w:jc w:val="left"/>
            </w:pPr>
            <w:r>
              <w:t xml:space="preserve">• </w:t>
            </w:r>
            <w:r>
              <w:rPr>
                <w:b w:val="0"/>
                <w:i w:val="0"/>
              </w:rPr>
              <w:t>Student satisfaction in digital learning (≥85%).</w:t>
            </w:r>
          </w:p>
          <w:p>
            <w:pPr>
              <w:spacing w:after="40" w:line="276" w:lineRule="auto"/>
              <w:ind w:left="125" w:hanging="125"/>
              <w:jc w:val="left"/>
            </w:pPr>
            <w:r>
              <w:t xml:space="preserve">• </w:t>
            </w:r>
            <w:r>
              <w:rPr>
                <w:b w:val="0"/>
                <w:i w:val="0"/>
              </w:rPr>
              <w:t>Faculty trained in EdTech (100%).</w:t>
            </w:r>
          </w:p>
        </w:tc>
      </w:tr>
      <w:tr>
        <w:trPr>
          <w:cantSplit/>
        </w:trPr>
        <w:tc>
          <w:tcPr>
            <w:tcW w:type="dxa" w:w="1984"/>
            <w:vAlign w:val="center"/>
            <w:shd w:fill="EDF2F7"/>
          </w:tcPr>
          <w:p>
            <w:pPr>
              <w:spacing w:after="40" w:line="276" w:lineRule="auto"/>
              <w:jc w:val="left"/>
            </w:pPr>
            <w:r>
              <w:rPr>
                <w:b w:val="0"/>
                <w:i w:val="0"/>
              </w:rPr>
              <w:t>Upgrade infrastructure into Centers of Excellence</w:t>
            </w:r>
          </w:p>
        </w:tc>
        <w:tc>
          <w:tcPr>
            <w:tcW w:type="dxa" w:w="3061"/>
            <w:vAlign w:val="center"/>
            <w:shd w:fill="EDF2F7"/>
          </w:tcPr>
          <w:p>
            <w:pPr>
              <w:spacing w:after="40" w:line="276" w:lineRule="auto"/>
              <w:ind w:left="125" w:hanging="125"/>
              <w:jc w:val="left"/>
            </w:pPr>
            <w:r>
              <w:t xml:space="preserve">• </w:t>
            </w:r>
            <w:r>
              <w:rPr>
                <w:b w:val="0"/>
                <w:i w:val="0"/>
              </w:rPr>
              <w:t>Channel CSR, alumni, and research council funds.</w:t>
            </w:r>
          </w:p>
          <w:p>
            <w:pPr>
              <w:spacing w:after="40" w:line="276" w:lineRule="auto"/>
              <w:ind w:left="125" w:hanging="125"/>
              <w:jc w:val="left"/>
            </w:pPr>
            <w:r>
              <w:t xml:space="preserve">• </w:t>
            </w:r>
            <w:r>
              <w:rPr>
                <w:b w:val="0"/>
                <w:i w:val="0"/>
              </w:rPr>
              <w:t>Modernize labs with AI/​VR/​loT-enabled equipment.</w:t>
            </w:r>
          </w:p>
          <w:p>
            <w:pPr>
              <w:spacing w:after="40" w:line="276" w:lineRule="auto"/>
              <w:ind w:left="125" w:hanging="125"/>
              <w:jc w:val="left"/>
            </w:pPr>
            <w:r>
              <w:t xml:space="preserve">• </w:t>
            </w:r>
            <w:r>
              <w:rPr>
                <w:b w:val="0"/>
                <w:i w:val="0"/>
              </w:rPr>
              <w:t>Create innovation hubs and advanced libraries.</w:t>
            </w:r>
          </w:p>
        </w:tc>
        <w:tc>
          <w:tcPr>
            <w:tcW w:type="dxa" w:w="2211"/>
            <w:vAlign w:val="center"/>
            <w:shd w:fill="EDF2F7"/>
          </w:tcPr>
          <w:p>
            <w:pPr>
              <w:spacing w:after="40" w:line="276" w:lineRule="auto"/>
              <w:jc w:val="left"/>
            </w:pPr>
            <w:r>
              <w:rPr>
                <w:b w:val="0"/>
                <w:i w:val="0"/>
              </w:rPr>
              <w:t>World-class infrastructure supporting cutting-edge research &amp; learning.</w:t>
            </w:r>
          </w:p>
        </w:tc>
        <w:tc>
          <w:tcPr>
            <w:tcW w:type="dxa" w:w="2154"/>
            <w:vAlign w:val="center"/>
            <w:shd w:fill="EDF2F7"/>
          </w:tcPr>
          <w:p>
            <w:pPr>
              <w:spacing w:after="40" w:line="276" w:lineRule="auto"/>
              <w:ind w:left="125" w:hanging="125"/>
              <w:jc w:val="left"/>
            </w:pPr>
            <w:r>
              <w:t xml:space="preserve">• </w:t>
            </w:r>
            <w:r>
              <w:rPr>
                <w:b w:val="0"/>
                <w:i w:val="0"/>
              </w:rPr>
              <w:t>No. of Centers of Excellence established.</w:t>
            </w:r>
          </w:p>
          <w:p>
            <w:pPr>
              <w:spacing w:after="40" w:line="276" w:lineRule="auto"/>
              <w:ind w:left="125" w:hanging="125"/>
              <w:jc w:val="left"/>
            </w:pPr>
            <w:r>
              <w:t xml:space="preserve">• </w:t>
            </w:r>
            <w:r>
              <w:rPr>
                <w:b w:val="0"/>
                <w:i w:val="0"/>
              </w:rPr>
              <w:t>Funding secured (₹/£ per year).</w:t>
            </w:r>
          </w:p>
          <w:p>
            <w:pPr>
              <w:spacing w:after="40" w:line="276" w:lineRule="auto"/>
              <w:ind w:left="125" w:hanging="125"/>
              <w:jc w:val="left"/>
            </w:pPr>
            <w:r>
              <w:t xml:space="preserve">• </w:t>
            </w:r>
            <w:r>
              <w:rPr>
                <w:b w:val="0"/>
                <w:i w:val="0"/>
              </w:rPr>
              <w:t>Research publications &amp; patents output.</w:t>
            </w:r>
          </w:p>
        </w:tc>
      </w:tr>
      <w:tr>
        <w:trPr>
          <w:cantSplit/>
        </w:trPr>
        <w:tc>
          <w:tcPr>
            <w:tcW w:type="dxa" w:w="1984"/>
            <w:vAlign w:val="center"/>
            <w:shd w:fill="FFFFFF"/>
          </w:tcPr>
          <w:p>
            <w:pPr>
              <w:spacing w:after="40" w:line="276" w:lineRule="auto"/>
              <w:jc w:val="left"/>
            </w:pPr>
            <w:r>
              <w:rPr>
                <w:b w:val="0"/>
                <w:i w:val="0"/>
              </w:rPr>
              <w:t>Scale ISR &amp; SDG-driven outreach</w:t>
            </w:r>
          </w:p>
        </w:tc>
        <w:tc>
          <w:tcPr>
            <w:tcW w:type="dxa" w:w="3061"/>
            <w:vAlign w:val="center"/>
            <w:shd w:fill="FFFFFF"/>
          </w:tcPr>
          <w:p>
            <w:pPr>
              <w:spacing w:after="40" w:line="276" w:lineRule="auto"/>
              <w:ind w:left="125" w:hanging="125"/>
              <w:jc w:val="left"/>
            </w:pPr>
            <w:r>
              <w:t xml:space="preserve">• </w:t>
            </w:r>
            <w:r>
              <w:rPr>
                <w:b w:val="0"/>
                <w:i w:val="0"/>
              </w:rPr>
              <w:t>Expand ISR projects in literacy, health, and sustainability.</w:t>
            </w:r>
          </w:p>
          <w:p>
            <w:pPr>
              <w:spacing w:after="40" w:line="276" w:lineRule="auto"/>
              <w:ind w:left="125" w:hanging="125"/>
              <w:jc w:val="left"/>
            </w:pPr>
            <w:r>
              <w:t xml:space="preserve">• </w:t>
            </w:r>
            <w:r>
              <w:rPr>
                <w:b w:val="0"/>
                <w:i w:val="0"/>
              </w:rPr>
              <w:t>Formalize NGO/​government partnerships.</w:t>
            </w:r>
          </w:p>
          <w:p>
            <w:pPr>
              <w:spacing w:after="40" w:line="276" w:lineRule="auto"/>
              <w:ind w:left="125" w:hanging="125"/>
              <w:jc w:val="left"/>
            </w:pPr>
            <w:r>
              <w:t xml:space="preserve">• </w:t>
            </w:r>
            <w:r>
              <w:rPr>
                <w:b w:val="0"/>
                <w:i w:val="0"/>
              </w:rPr>
              <w:t>Embed service-learning into all academic programs.</w:t>
            </w:r>
          </w:p>
        </w:tc>
        <w:tc>
          <w:tcPr>
            <w:tcW w:type="dxa" w:w="2211"/>
            <w:vAlign w:val="center"/>
            <w:shd w:fill="FFFFFF"/>
          </w:tcPr>
          <w:p>
            <w:pPr>
              <w:spacing w:after="40" w:line="276" w:lineRule="auto"/>
              <w:jc w:val="left"/>
            </w:pPr>
            <w:r>
              <w:rPr>
                <w:b w:val="0"/>
                <w:i w:val="0"/>
              </w:rPr>
              <w:t>Institution recognized as a regional leader in social innovation &amp; SDG action.</w:t>
            </w:r>
          </w:p>
        </w:tc>
        <w:tc>
          <w:tcPr>
            <w:tcW w:type="dxa" w:w="2154"/>
            <w:vAlign w:val="center"/>
            <w:shd w:fill="FFFFFF"/>
          </w:tcPr>
          <w:p>
            <w:pPr>
              <w:spacing w:after="40" w:line="276" w:lineRule="auto"/>
              <w:ind w:left="125" w:hanging="125"/>
              <w:jc w:val="left"/>
            </w:pPr>
            <w:r>
              <w:t xml:space="preserve">• </w:t>
            </w:r>
            <w:r>
              <w:rPr>
                <w:b w:val="0"/>
                <w:i w:val="0"/>
              </w:rPr>
              <w:t>% students in ISR projects (≥80%)</w:t>
            </w:r>
          </w:p>
          <w:p>
            <w:pPr>
              <w:spacing w:after="40" w:line="276" w:lineRule="auto"/>
              <w:ind w:left="125" w:hanging="125"/>
              <w:jc w:val="left"/>
            </w:pPr>
            <w:r>
              <w:t xml:space="preserve">• </w:t>
            </w:r>
            <w:r>
              <w:rPr>
                <w:b w:val="0"/>
                <w:i w:val="0"/>
              </w:rPr>
              <w:t>Beneficiaries reached annually (≥10,000).</w:t>
            </w:r>
          </w:p>
          <w:p>
            <w:pPr>
              <w:spacing w:after="40" w:line="276" w:lineRule="auto"/>
              <w:ind w:left="125" w:hanging="125"/>
              <w:jc w:val="left"/>
            </w:pPr>
            <w:r>
              <w:t xml:space="preserve">• </w:t>
            </w:r>
            <w:r>
              <w:rPr>
                <w:b w:val="0"/>
                <w:i w:val="0"/>
              </w:rPr>
              <w:t>No. of ISR/​SDG projects launched per year.</w:t>
            </w:r>
          </w:p>
        </w:tc>
      </w:tr>
      <w:tr>
        <w:trPr>
          <w:cantSplit/>
        </w:trPr>
        <w:tc>
          <w:tcPr>
            <w:tcW w:type="dxa" w:w="1984"/>
            <w:vAlign w:val="center"/>
            <w:shd w:fill="EDF2F7"/>
          </w:tcPr>
          <w:p>
            <w:pPr>
              <w:spacing w:after="40" w:line="276" w:lineRule="auto"/>
              <w:jc w:val="left"/>
            </w:pPr>
            <w:r>
              <w:rPr>
                <w:b w:val="0"/>
                <w:i w:val="0"/>
              </w:rPr>
              <w:t>Leverage accreditation readiness for global partnerships &amp; rankings</w:t>
            </w:r>
          </w:p>
        </w:tc>
        <w:tc>
          <w:tcPr>
            <w:tcW w:type="dxa" w:w="3061"/>
            <w:vAlign w:val="center"/>
            <w:shd w:fill="EDF2F7"/>
          </w:tcPr>
          <w:p>
            <w:pPr>
              <w:spacing w:after="40" w:line="276" w:lineRule="auto"/>
              <w:ind w:left="125" w:hanging="125"/>
              <w:jc w:val="left"/>
            </w:pPr>
            <w:r>
              <w:t xml:space="preserve">• </w:t>
            </w:r>
            <w:r>
              <w:rPr>
                <w:b w:val="0"/>
                <w:i w:val="0"/>
              </w:rPr>
              <w:t>Strengthen IQAC for global benchmarking.</w:t>
            </w:r>
          </w:p>
          <w:p>
            <w:pPr>
              <w:spacing w:after="40" w:line="276" w:lineRule="auto"/>
              <w:ind w:left="125" w:hanging="125"/>
              <w:jc w:val="left"/>
            </w:pPr>
            <w:r>
              <w:t xml:space="preserve">• </w:t>
            </w:r>
            <w:r>
              <w:rPr>
                <w:b w:val="0"/>
                <w:i w:val="0"/>
              </w:rPr>
              <w:t>Use NAAC/​NBA/​ISO reports in QS/​THE applications.</w:t>
            </w:r>
          </w:p>
          <w:p>
            <w:pPr>
              <w:spacing w:after="40" w:line="276" w:lineRule="auto"/>
              <w:ind w:left="125" w:hanging="125"/>
              <w:jc w:val="left"/>
            </w:pPr>
            <w:r>
              <w:t xml:space="preserve">• </w:t>
            </w:r>
            <w:r>
              <w:rPr>
                <w:b w:val="0"/>
                <w:i w:val="0"/>
              </w:rPr>
              <w:t>Sign MoUs with QS Top 500 universities.</w:t>
            </w:r>
          </w:p>
        </w:tc>
        <w:tc>
          <w:tcPr>
            <w:tcW w:type="dxa" w:w="2211"/>
            <w:vAlign w:val="center"/>
            <w:shd w:fill="EDF2F7"/>
          </w:tcPr>
          <w:p>
            <w:pPr>
              <w:spacing w:after="40" w:line="276" w:lineRule="auto"/>
              <w:jc w:val="left"/>
            </w:pPr>
            <w:r>
              <w:rPr>
                <w:b w:val="0"/>
                <w:i w:val="0"/>
              </w:rPr>
              <w:t>Stronger global recognition; improved international rankings.</w:t>
            </w:r>
          </w:p>
        </w:tc>
        <w:tc>
          <w:tcPr>
            <w:tcW w:type="dxa" w:w="2154"/>
            <w:vAlign w:val="center"/>
            <w:shd w:fill="EDF2F7"/>
          </w:tcPr>
          <w:p>
            <w:pPr>
              <w:spacing w:after="40" w:line="276" w:lineRule="auto"/>
              <w:ind w:left="125" w:hanging="125"/>
              <w:jc w:val="left"/>
            </w:pPr>
            <w:r>
              <w:t xml:space="preserve">• </w:t>
            </w:r>
            <w:r>
              <w:rPr>
                <w:b/>
                <w:i w:val="0"/>
              </w:rPr>
              <w:t>No. of international MoUs (Target:</w:t>
            </w:r>
            <w:r>
              <w:rPr>
                <w:b w:val="0"/>
                <w:i w:val="0"/>
              </w:rPr>
              <w:t xml:space="preserve"> 20+).</w:t>
            </w:r>
          </w:p>
          <w:p>
            <w:pPr>
              <w:spacing w:after="40" w:line="276" w:lineRule="auto"/>
              <w:ind w:left="125" w:hanging="125"/>
              <w:jc w:val="left"/>
            </w:pPr>
            <w:r>
              <w:t xml:space="preserve">• </w:t>
            </w:r>
            <w:r>
              <w:rPr>
                <w:b w:val="0"/>
                <w:i w:val="0"/>
              </w:rPr>
              <w:t>QS/​THE ranking progress (Top 500 by 2035).</w:t>
            </w:r>
          </w:p>
          <w:p>
            <w:pPr>
              <w:spacing w:after="40" w:line="276" w:lineRule="auto"/>
              <w:ind w:left="125" w:hanging="125"/>
              <w:jc w:val="left"/>
            </w:pPr>
            <w:r>
              <w:t xml:space="preserve">• </w:t>
            </w:r>
            <w:r>
              <w:rPr>
                <w:b w:val="0"/>
                <w:i w:val="0"/>
              </w:rPr>
              <w:t>International student/​faculty ratio.</w:t>
            </w:r>
          </w:p>
        </w:tc>
      </w:tr>
    </w:tbl>
    <w:p>
      <w:pPr>
        <w:spacing w:after="40"/>
      </w:pPr>
    </w:p>
    <w:p>
      <w:pPr>
        <w:pStyle w:val="Heading2"/>
      </w:pPr>
      <w:r>
        <w:t>Threats (External Negative Factors)</w:t>
      </w:r>
    </w:p>
    <w:p>
      <w:pPr>
        <w:pStyle w:val="Heading2"/>
      </w:pPr>
      <w:r>
        <w:t>1. Rapid Policy Changes at National/lnternational Levels</w:t>
      </w:r>
    </w:p>
    <w:p>
      <w:pPr>
        <w:pStyle w:val="ListBullet2"/>
        <w:numPr>
          <w:ilvl w:val="1"/>
          <w:numId w:val="90"/>
        </w:numPr>
        <w:ind w:left="652" w:hanging="142"/>
      </w:pPr>
      <w:r>
        <w:rPr>
          <w:b w:val="0"/>
          <w:i w:val="0"/>
        </w:rPr>
        <w:t>Frequent updates in higher education frameworks (NEP, UGC guidelines, accreditation).</w:t>
      </w:r>
    </w:p>
    <w:p>
      <w:pPr>
        <w:pStyle w:val="ListBullet2"/>
        <w:numPr>
          <w:ilvl w:val="1"/>
          <w:numId w:val="90"/>
        </w:numPr>
        <w:ind w:left="652" w:hanging="142"/>
      </w:pPr>
      <w:r>
        <w:rPr>
          <w:b w:val="0"/>
          <w:i w:val="0"/>
        </w:rPr>
        <w:t>Need for constant compliance and adaptation.</w:t>
      </w:r>
    </w:p>
    <w:p>
      <w:pPr>
        <w:pStyle w:val="ListBullet2"/>
        <w:numPr>
          <w:ilvl w:val="1"/>
          <w:numId w:val="90"/>
        </w:numPr>
        <w:ind w:left="652" w:hanging="142"/>
      </w:pPr>
      <w:r>
        <w:rPr>
          <w:b w:val="0"/>
          <w:i w:val="0"/>
        </w:rPr>
        <w:t>Risk of delays in approvals and regulatory bottlenecks.</w:t>
      </w:r>
    </w:p>
    <w:p>
      <w:pPr>
        <w:pStyle w:val="Heading2"/>
      </w:pPr>
      <w:r>
        <w:t>2. Increasing Competition from Global Institutions</w:t>
      </w:r>
    </w:p>
    <w:p>
      <w:pPr>
        <w:pStyle w:val="ListBullet2"/>
        <w:numPr>
          <w:ilvl w:val="1"/>
          <w:numId w:val="90"/>
        </w:numPr>
        <w:ind w:left="652" w:hanging="142"/>
      </w:pPr>
      <w:r>
        <w:rPr>
          <w:b w:val="0"/>
          <w:i w:val="0"/>
        </w:rPr>
        <w:t>International universities attracting Indian students.</w:t>
      </w:r>
    </w:p>
    <w:p>
      <w:pPr>
        <w:pStyle w:val="ListBullet2"/>
        <w:numPr>
          <w:ilvl w:val="1"/>
          <w:numId w:val="90"/>
        </w:numPr>
        <w:ind w:left="652" w:hanging="142"/>
      </w:pPr>
      <w:r>
        <w:rPr>
          <w:b w:val="0"/>
          <w:i w:val="0"/>
        </w:rPr>
        <w:t>Rise of cross-border education and EdTech alternatives.</w:t>
      </w:r>
    </w:p>
    <w:p>
      <w:pPr>
        <w:pStyle w:val="ListBullet2"/>
        <w:numPr>
          <w:ilvl w:val="1"/>
          <w:numId w:val="90"/>
        </w:numPr>
        <w:ind w:left="652" w:hanging="142"/>
      </w:pPr>
      <w:r>
        <w:rPr>
          <w:b w:val="0"/>
          <w:i w:val="0"/>
        </w:rPr>
        <w:t>Pressure to meet QS/THE/ARWU global benchmarks.</w:t>
      </w:r>
    </w:p>
    <w:p>
      <w:pPr>
        <w:pStyle w:val="Heading2"/>
      </w:pPr>
      <w:r>
        <w:t>3. Fast-Paced Technological Disruptions Making Curricula Outdated</w:t>
      </w:r>
    </w:p>
    <w:p>
      <w:pPr>
        <w:pStyle w:val="ListBullet2"/>
        <w:numPr>
          <w:ilvl w:val="1"/>
          <w:numId w:val="90"/>
        </w:numPr>
        <w:ind w:left="652" w:hanging="142"/>
      </w:pPr>
      <w:r>
        <w:rPr>
          <w:b w:val="0"/>
          <w:i w:val="0"/>
        </w:rPr>
        <w:t>AI, IoT, AR/VR, blockchain rapidly changing skill demands.</w:t>
      </w:r>
    </w:p>
    <w:p>
      <w:pPr>
        <w:pStyle w:val="ListBullet2"/>
        <w:numPr>
          <w:ilvl w:val="1"/>
          <w:numId w:val="90"/>
        </w:numPr>
        <w:ind w:left="652" w:hanging="142"/>
      </w:pPr>
      <w:r>
        <w:rPr>
          <w:b w:val="0"/>
          <w:i w:val="0"/>
        </w:rPr>
        <w:t>Risk of graduates lacking industry-relevant competencies.</w:t>
      </w:r>
    </w:p>
    <w:p>
      <w:pPr>
        <w:pStyle w:val="ListBullet2"/>
        <w:numPr>
          <w:ilvl w:val="1"/>
          <w:numId w:val="90"/>
        </w:numPr>
        <w:ind w:left="652" w:hanging="142"/>
      </w:pPr>
      <w:r>
        <w:rPr>
          <w:b w:val="0"/>
          <w:i w:val="0"/>
        </w:rPr>
        <w:t>Continuous need for curriculum revision and reskilling.</w:t>
      </w:r>
    </w:p>
    <w:p>
      <w:pPr>
        <w:pStyle w:val="Heading2"/>
      </w:pPr>
      <w:r>
        <w:t>4. Risk of Brain Drain (Students and Faculty Moving Abroad)</w:t>
      </w:r>
    </w:p>
    <w:p>
      <w:pPr>
        <w:pStyle w:val="ListBullet2"/>
        <w:numPr>
          <w:ilvl w:val="1"/>
          <w:numId w:val="90"/>
        </w:numPr>
        <w:ind w:left="652" w:hanging="142"/>
      </w:pPr>
      <w:r>
        <w:rPr>
          <w:b w:val="0"/>
          <w:i w:val="0"/>
        </w:rPr>
        <w:t>Talented students choosing foreign universities.</w:t>
      </w:r>
    </w:p>
    <w:p>
      <w:pPr>
        <w:pStyle w:val="ListBullet2"/>
        <w:numPr>
          <w:ilvl w:val="1"/>
          <w:numId w:val="90"/>
        </w:numPr>
        <w:ind w:left="652" w:hanging="142"/>
      </w:pPr>
      <w:r>
        <w:rPr>
          <w:b w:val="0"/>
          <w:i w:val="0"/>
        </w:rPr>
        <w:t>Faculty migration due to better pay, facilities, and global exposure.</w:t>
      </w:r>
    </w:p>
    <w:p>
      <w:pPr>
        <w:pStyle w:val="ListBullet2"/>
        <w:numPr>
          <w:ilvl w:val="1"/>
          <w:numId w:val="90"/>
        </w:numPr>
        <w:ind w:left="652" w:hanging="142"/>
      </w:pPr>
      <w:r>
        <w:rPr>
          <w:b w:val="0"/>
          <w:i w:val="0"/>
        </w:rPr>
        <w:t>Institutional reputation affected by retention challenges.</w:t>
      </w:r>
    </w:p>
    <w:p>
      <w:pPr>
        <w:pStyle w:val="Heading2"/>
      </w:pPr>
      <w:r>
        <w:t>5. Economic Instabilities Affecting Funding and Enrollments</w:t>
      </w:r>
    </w:p>
    <w:p>
      <w:pPr>
        <w:pStyle w:val="ListBullet2"/>
        <w:numPr>
          <w:ilvl w:val="1"/>
          <w:numId w:val="90"/>
        </w:numPr>
        <w:ind w:left="652" w:hanging="142"/>
      </w:pPr>
      <w:r>
        <w:rPr>
          <w:b w:val="0"/>
          <w:i w:val="0"/>
        </w:rPr>
        <w:t>Global recessions or local economic slowdowns reducing affordability.</w:t>
      </w:r>
    </w:p>
    <w:p>
      <w:pPr>
        <w:pStyle w:val="ListBullet2"/>
        <w:numPr>
          <w:ilvl w:val="1"/>
          <w:numId w:val="90"/>
        </w:numPr>
        <w:ind w:left="652" w:hanging="142"/>
      </w:pPr>
      <w:r>
        <w:rPr>
          <w:b w:val="0"/>
          <w:i w:val="0"/>
        </w:rPr>
        <w:t>Reduced CSR/industry sponsorships.</w:t>
      </w:r>
    </w:p>
    <w:p>
      <w:pPr>
        <w:pStyle w:val="ListBullet2"/>
        <w:numPr>
          <w:ilvl w:val="1"/>
          <w:numId w:val="90"/>
        </w:numPr>
        <w:ind w:left="652" w:hanging="142"/>
      </w:pPr>
      <w:r>
        <w:rPr>
          <w:b w:val="0"/>
          <w:i w:val="0"/>
        </w:rPr>
        <w:t>Fluctuating enrollments impacting sustainability.</w:t>
      </w:r>
    </w:p>
    <w:p>
      <w:pPr>
        <w:pStyle w:val="Heading2"/>
      </w:pPr>
      <w:r>
        <w:t>6. Growing Cybersecurity Risks with Digitalization</w:t>
      </w:r>
    </w:p>
    <w:p>
      <w:pPr>
        <w:pStyle w:val="ListBullet2"/>
        <w:numPr>
          <w:ilvl w:val="1"/>
          <w:numId w:val="90"/>
        </w:numPr>
        <w:ind w:left="652" w:hanging="142"/>
      </w:pPr>
      <w:r>
        <w:rPr>
          <w:b w:val="0"/>
          <w:i w:val="0"/>
        </w:rPr>
        <w:t>Increased vulnerability of academic and financial data.</w:t>
      </w:r>
    </w:p>
    <w:p>
      <w:pPr>
        <w:pStyle w:val="ListBullet2"/>
        <w:numPr>
          <w:ilvl w:val="1"/>
          <w:numId w:val="90"/>
        </w:numPr>
        <w:ind w:left="652" w:hanging="142"/>
      </w:pPr>
      <w:r>
        <w:rPr>
          <w:b w:val="0"/>
          <w:i w:val="0"/>
        </w:rPr>
        <w:t>Risks of cyberattacks on LMS, ERP, and research systems.</w:t>
      </w:r>
    </w:p>
    <w:p>
      <w:pPr>
        <w:pStyle w:val="ListBullet2"/>
        <w:numPr>
          <w:ilvl w:val="1"/>
          <w:numId w:val="90"/>
        </w:numPr>
        <w:ind w:left="652" w:hanging="142"/>
      </w:pPr>
      <w:r>
        <w:rPr>
          <w:b w:val="0"/>
          <w:i w:val="0"/>
        </w:rPr>
        <w:t>Compliance risks with data protection regulations.</w:t>
      </w:r>
    </w:p>
    <w:p>
      <w:pPr>
        <w:pStyle w:val="Heading2"/>
      </w:pPr>
      <w:r>
        <w:t>7. Climate Change Challenges Impacting Campus Sustainability</w:t>
      </w:r>
    </w:p>
    <w:p>
      <w:pPr>
        <w:pStyle w:val="ListBullet2"/>
        <w:numPr>
          <w:ilvl w:val="1"/>
          <w:numId w:val="90"/>
        </w:numPr>
        <w:ind w:left="652" w:hanging="142"/>
      </w:pPr>
      <w:r>
        <w:rPr>
          <w:b w:val="0"/>
          <w:i w:val="0"/>
        </w:rPr>
        <w:t>Rising operational costs due to energy, water, and resource constraints.</w:t>
      </w:r>
    </w:p>
    <w:p>
      <w:pPr>
        <w:pStyle w:val="ListBullet2"/>
        <w:numPr>
          <w:ilvl w:val="1"/>
          <w:numId w:val="90"/>
        </w:numPr>
        <w:ind w:left="652" w:hanging="142"/>
      </w:pPr>
      <w:r>
        <w:rPr>
          <w:b w:val="0"/>
          <w:i w:val="0"/>
        </w:rPr>
        <w:t>Physical risks (heatwaves, floods, storms) affecting infrastructure.</w:t>
      </w:r>
    </w:p>
    <w:p>
      <w:pPr>
        <w:pStyle w:val="ListBullet2"/>
        <w:numPr>
          <w:ilvl w:val="1"/>
          <w:numId w:val="90"/>
        </w:numPr>
        <w:ind w:left="652" w:hanging="142"/>
      </w:pPr>
      <w:r>
        <w:rPr>
          <w:b w:val="0"/>
          <w:i w:val="0"/>
        </w:rPr>
        <w:t>Greater expectations for universities to act as sustainability leaders.</w:t>
      </w:r>
    </w:p>
    <w:p>
      <w:pPr/>
      <w:r>
        <w:rPr>
          <w:b/>
          <w:i w:val="0"/>
        </w:rPr>
        <w:t>These threats highlight areas where institutions must:</w:t>
      </w:r>
    </w:p>
    <w:p>
      <w:pPr>
        <w:pStyle w:val="ListBullet"/>
        <w:numPr>
          <w:ilvl w:val="0"/>
          <w:numId w:val="90"/>
        </w:numPr>
        <w:ind w:left="340" w:hanging="142"/>
      </w:pPr>
      <w:r>
        <w:rPr>
          <w:b w:val="0"/>
          <w:i w:val="0"/>
        </w:rPr>
        <w:t>Be agile in governance and policy alignment.</w:t>
      </w:r>
    </w:p>
    <w:p>
      <w:pPr>
        <w:pStyle w:val="ListBullet"/>
        <w:numPr>
          <w:ilvl w:val="0"/>
          <w:numId w:val="90"/>
        </w:numPr>
        <w:ind w:left="340" w:hanging="142"/>
      </w:pPr>
      <w:r>
        <w:rPr>
          <w:b w:val="0"/>
          <w:i w:val="0"/>
        </w:rPr>
        <w:t>Stay competitive in global rankings and partnerships.</w:t>
      </w:r>
    </w:p>
    <w:p>
      <w:pPr>
        <w:pStyle w:val="ListBullet"/>
        <w:numPr>
          <w:ilvl w:val="0"/>
          <w:numId w:val="90"/>
        </w:numPr>
        <w:ind w:left="340" w:hanging="142"/>
      </w:pPr>
      <w:r>
        <w:rPr>
          <w:b w:val="0"/>
          <w:i w:val="0"/>
        </w:rPr>
        <w:t>Continuously innovate in curriculum and research.</w:t>
      </w:r>
    </w:p>
    <w:p>
      <w:pPr>
        <w:pStyle w:val="ListBullet"/>
        <w:numPr>
          <w:ilvl w:val="0"/>
          <w:numId w:val="90"/>
        </w:numPr>
        <w:ind w:left="340" w:hanging="142"/>
      </w:pPr>
      <w:r>
        <w:rPr>
          <w:b w:val="0"/>
          <w:i w:val="0"/>
        </w:rPr>
        <w:t>Protect resources — human (talent), financial (funding), digital (cybersecurity), and environmental (climate resilience).</w:t>
      </w:r>
    </w:p>
    <w:p>
      <w:pPr>
        <w:pStyle w:val="Heading2"/>
      </w:pPr>
      <w:r>
        <w:t>WT (Weakness–Threat) Strategies</w:t>
      </w:r>
    </w:p>
    <w:p>
      <w:pPr>
        <w:pStyle w:val="Heading2"/>
      </w:pPr>
      <w:r>
        <w:t>1. Weakness: Limited funding &amp; over-dependence on government grants</w:t>
      </w:r>
    </w:p>
    <w:p>
      <w:pPr/>
      <w:r>
        <w:rPr>
          <w:b/>
          <w:i w:val="0"/>
        </w:rPr>
        <w:t>Threat:</w:t>
      </w:r>
      <w:r>
        <w:rPr>
          <w:b w:val="0"/>
          <w:i w:val="0"/>
        </w:rPr>
        <w:t xml:space="preserve"> Economic instabilities affecting funding and student enrollments</w:t>
      </w:r>
    </w:p>
    <w:p>
      <w:pPr>
        <w:pStyle w:val="ListBullet2"/>
        <w:numPr>
          <w:ilvl w:val="1"/>
          <w:numId w:val="90"/>
        </w:numPr>
        <w:ind w:left="652" w:hanging="142"/>
      </w:pPr>
      <w:r>
        <w:rPr>
          <w:b/>
          <w:i w:val="0"/>
        </w:rPr>
        <w:t>Strategy:</w:t>
      </w:r>
      <w:r>
        <w:rPr>
          <w:b w:val="0"/>
          <w:i w:val="0"/>
        </w:rPr>
        <w:t xml:space="preserve"> Diversify revenue streams through alumni endowments, CSR, consultancy, and PPP models to reduce vulnerability to financial shocks.</w:t>
      </w:r>
    </w:p>
    <w:p>
      <w:pPr>
        <w:pStyle w:val="Heading2"/>
      </w:pPr>
      <w:r>
        <w:t>2. Weakness: Faculty–student ratio imbalance</w:t>
      </w:r>
    </w:p>
    <w:p>
      <w:pPr/>
      <w:r>
        <w:rPr>
          <w:b/>
          <w:i w:val="0"/>
        </w:rPr>
        <w:t>Threat:</w:t>
      </w:r>
      <w:r>
        <w:rPr>
          <w:b w:val="0"/>
          <w:i w:val="0"/>
        </w:rPr>
        <w:t xml:space="preserve"> Risk of brain drain (faculty moving abroad)</w:t>
      </w:r>
    </w:p>
    <w:p>
      <w:pPr>
        <w:pStyle w:val="ListBullet2"/>
        <w:numPr>
          <w:ilvl w:val="1"/>
          <w:numId w:val="90"/>
        </w:numPr>
        <w:ind w:left="652" w:hanging="142"/>
      </w:pPr>
      <w:r>
        <w:rPr>
          <w:b/>
          <w:i w:val="0"/>
        </w:rPr>
        <w:t>Strategy:</w:t>
      </w:r>
      <w:r>
        <w:rPr>
          <w:b w:val="0"/>
          <w:i w:val="0"/>
        </w:rPr>
        <w:t xml:space="preserve"> Recruit strategically in niche domains, offer competitive career development pathways, and incentivize retention to maintain academic quality.</w:t>
      </w:r>
    </w:p>
    <w:p>
      <w:pPr>
        <w:pStyle w:val="Heading2"/>
      </w:pPr>
      <w:r>
        <w:t>3. Weakness: Insufficient global exposure &amp; partnerships</w:t>
      </w:r>
    </w:p>
    <w:p>
      <w:pPr/>
      <w:r>
        <w:rPr>
          <w:b/>
          <w:i w:val="0"/>
        </w:rPr>
        <w:t>Threat:</w:t>
      </w:r>
      <w:r>
        <w:rPr>
          <w:b w:val="0"/>
          <w:i w:val="0"/>
        </w:rPr>
        <w:t xml:space="preserve"> Increasing competition from global institutions</w:t>
      </w:r>
    </w:p>
    <w:p>
      <w:pPr>
        <w:pStyle w:val="ListBullet2"/>
        <w:numPr>
          <w:ilvl w:val="1"/>
          <w:numId w:val="90"/>
        </w:numPr>
        <w:ind w:left="652" w:hanging="142"/>
      </w:pPr>
      <w:r>
        <w:rPr>
          <w:b/>
          <w:i w:val="0"/>
        </w:rPr>
        <w:t>Strategy:</w:t>
      </w:r>
      <w:r>
        <w:rPr>
          <w:b w:val="0"/>
          <w:i w:val="0"/>
        </w:rPr>
        <w:t xml:space="preserve"> Establish dual-degree, exchange, and joint research programs with global universities to remain competitive and enhance global visibility.</w:t>
      </w:r>
    </w:p>
    <w:p>
      <w:pPr>
        <w:pStyle w:val="Heading2"/>
      </w:pPr>
      <w:r>
        <w:t>4. Weakness: Inadequate research infrastructure in niche domains</w:t>
      </w:r>
    </w:p>
    <w:p>
      <w:pPr/>
      <w:r>
        <w:rPr>
          <w:b/>
          <w:i w:val="0"/>
        </w:rPr>
        <w:t>Threat:</w:t>
      </w:r>
      <w:r>
        <w:rPr>
          <w:b w:val="0"/>
          <w:i w:val="0"/>
        </w:rPr>
        <w:t xml:space="preserve"> Fast-paced technological disruptions making curricula outdated</w:t>
      </w:r>
    </w:p>
    <w:p>
      <w:pPr>
        <w:pStyle w:val="ListBullet2"/>
        <w:numPr>
          <w:ilvl w:val="1"/>
          <w:numId w:val="90"/>
        </w:numPr>
        <w:ind w:left="652" w:hanging="142"/>
      </w:pPr>
      <w:r>
        <w:rPr>
          <w:b/>
          <w:i w:val="0"/>
        </w:rPr>
        <w:t>Strategy:</w:t>
      </w:r>
      <w:r>
        <w:rPr>
          <w:b w:val="0"/>
          <w:i w:val="0"/>
        </w:rPr>
        <w:t xml:space="preserve"> Invest in state-of-the-art labs and industry-driven research clusters (AI, biotech, renewable energy) to stay ahead of emerging trends.</w:t>
      </w:r>
    </w:p>
    <w:p>
      <w:pPr>
        <w:pStyle w:val="Heading2"/>
      </w:pPr>
      <w:r>
        <w:t>5. Weakness: Lack of efficient data-driven decision-making systems</w:t>
      </w:r>
    </w:p>
    <w:p>
      <w:pPr/>
      <w:r>
        <w:rPr>
          <w:b/>
          <w:i w:val="0"/>
        </w:rPr>
        <w:t>Threat:</w:t>
      </w:r>
      <w:r>
        <w:rPr>
          <w:b w:val="0"/>
          <w:i w:val="0"/>
        </w:rPr>
        <w:t xml:space="preserve"> Rapid policy changes at national/international levels</w:t>
      </w:r>
    </w:p>
    <w:p>
      <w:pPr>
        <w:pStyle w:val="ListBullet2"/>
        <w:numPr>
          <w:ilvl w:val="1"/>
          <w:numId w:val="90"/>
        </w:numPr>
        <w:ind w:left="652" w:hanging="142"/>
      </w:pPr>
      <w:r>
        <w:rPr>
          <w:b/>
          <w:i w:val="0"/>
        </w:rPr>
        <w:t>Strategy:</w:t>
      </w:r>
      <w:r>
        <w:rPr>
          <w:b w:val="0"/>
          <w:i w:val="0"/>
        </w:rPr>
        <w:t xml:space="preserve"> Implement ERP and AI-based governance dashboards to track policy compliance, accreditation, and performance in real time.</w:t>
      </w:r>
    </w:p>
    <w:p>
      <w:pPr>
        <w:pStyle w:val="Heading2"/>
      </w:pPr>
      <w:r>
        <w:t>6. Weakness: Bureaucratic delays in governance and policy reforms</w:t>
      </w:r>
    </w:p>
    <w:p>
      <w:pPr/>
      <w:r>
        <w:rPr>
          <w:b/>
          <w:i w:val="0"/>
        </w:rPr>
        <w:t>Threat:</w:t>
      </w:r>
      <w:r>
        <w:rPr>
          <w:b w:val="0"/>
          <w:i w:val="0"/>
        </w:rPr>
        <w:t xml:space="preserve"> Rapid policy changes &amp; global benchmarking pressure</w:t>
      </w:r>
    </w:p>
    <w:p>
      <w:pPr>
        <w:pStyle w:val="ListBullet2"/>
        <w:numPr>
          <w:ilvl w:val="1"/>
          <w:numId w:val="90"/>
        </w:numPr>
        <w:ind w:left="652" w:hanging="142"/>
      </w:pPr>
      <w:r>
        <w:rPr>
          <w:b/>
          <w:i w:val="0"/>
        </w:rPr>
        <w:t>Strategy:</w:t>
      </w:r>
      <w:r>
        <w:rPr>
          <w:b w:val="0"/>
          <w:i w:val="0"/>
        </w:rPr>
        <w:t xml:space="preserve"> Streamline governance with lean structures, delegated authority, and digital approval workflows to increase institutional agility.</w:t>
      </w:r>
    </w:p>
    <w:p>
      <w:pPr>
        <w:pStyle w:val="Heading2"/>
      </w:pPr>
      <w:r>
        <w:t>7. Weakness: Limited industry collaborations for internships and projects</w:t>
      </w:r>
    </w:p>
    <w:p>
      <w:pPr/>
      <w:r>
        <w:rPr>
          <w:b/>
          <w:i w:val="0"/>
        </w:rPr>
        <w:t>Threat:</w:t>
      </w:r>
      <w:r>
        <w:rPr>
          <w:b w:val="0"/>
          <w:i w:val="0"/>
        </w:rPr>
        <w:t xml:space="preserve"> Rising demand for skilled professionals in AI, renewable energy, and health sciences</w:t>
      </w:r>
    </w:p>
    <w:p>
      <w:pPr>
        <w:pStyle w:val="ListBullet2"/>
        <w:numPr>
          <w:ilvl w:val="1"/>
          <w:numId w:val="90"/>
        </w:numPr>
        <w:ind w:left="652" w:hanging="142"/>
      </w:pPr>
      <w:r>
        <w:rPr>
          <w:b/>
          <w:i w:val="0"/>
        </w:rPr>
        <w:t>Strategy:</w:t>
      </w:r>
      <w:r>
        <w:rPr>
          <w:b w:val="0"/>
          <w:i w:val="0"/>
        </w:rPr>
        <w:t xml:space="preserve"> Strengthen industry–academia partnerships, co-create curricula, and establish internship pipelines in emerging sectors.</w:t>
      </w:r>
    </w:p>
    <w:p>
      <w:pPr>
        <w:pStyle w:val="Heading2"/>
      </w:pPr>
      <w:r>
        <w:t>8. Weakness: Infrastructure gaps in sustainability initiatives (linked to earlier weaknesses)</w:t>
      </w:r>
    </w:p>
    <w:p>
      <w:pPr/>
      <w:r>
        <w:rPr>
          <w:b/>
          <w:i w:val="0"/>
        </w:rPr>
        <w:t>Threat:</w:t>
      </w:r>
      <w:r>
        <w:rPr>
          <w:b w:val="0"/>
          <w:i w:val="0"/>
        </w:rPr>
        <w:t xml:space="preserve"> Climate change challenges impacting campus sustainability</w:t>
      </w:r>
    </w:p>
    <w:p>
      <w:pPr>
        <w:pStyle w:val="ListBullet2"/>
        <w:numPr>
          <w:ilvl w:val="1"/>
          <w:numId w:val="90"/>
        </w:numPr>
        <w:ind w:left="652" w:hanging="142"/>
      </w:pPr>
      <w:r>
        <w:rPr>
          <w:b/>
          <w:i w:val="0"/>
        </w:rPr>
        <w:t>Strategy:</w:t>
      </w:r>
      <w:r>
        <w:rPr>
          <w:b w:val="0"/>
          <w:i w:val="0"/>
        </w:rPr>
        <w:t xml:space="preserve"> Develop a Green Campus Action Plan with renewable energy, waste reduction, and climate-resilient infrastructure supported by CSR and government grants.</w:t>
      </w:r>
    </w:p>
    <w:p>
      <w:pPr>
        <w:pStyle w:val="Heading2"/>
      </w:pPr>
      <w:r>
        <w:t>TOWS Matrix for Strategic Development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2324"/>
        <w:gridCol w:w="4082"/>
        <w:gridCol w:w="3005"/>
      </w:tblGrid>
      <w:tr>
        <w:trPr>
          <w:tblHeader/>
          <w:cantSplit/>
        </w:trPr>
        <w:tc>
          <w:tcPr>
            <w:tcW w:type="dxa" w:w="2324"/>
            <w:vAlign w:val="center"/>
            <w:shd w:fill="1F3A5F"/>
          </w:tcPr>
          <w:p>
            <w:pPr>
              <w:keepNext/>
              <w:spacing w:after="40" w:line="276" w:lineRule="auto"/>
              <w:jc w:val="left"/>
            </w:pPr>
            <w:r>
              <w:rPr>
                <w:b/>
                <w:i w:val="0"/>
                <w:color w:val="FFFFFF"/>
              </w:rPr>
              <w:t>TOWS Strategy Type</w:t>
            </w:r>
          </w:p>
        </w:tc>
        <w:tc>
          <w:tcPr>
            <w:tcW w:type="dxa" w:w="4082"/>
            <w:vAlign w:val="center"/>
            <w:shd w:fill="1F3A5F"/>
          </w:tcPr>
          <w:p>
            <w:pPr>
              <w:keepNext/>
              <w:spacing w:after="40" w:line="276" w:lineRule="auto"/>
              <w:jc w:val="left"/>
            </w:pPr>
            <w:r>
              <w:rPr>
                <w:b/>
                <w:i w:val="0"/>
                <w:color w:val="FFFFFF"/>
              </w:rPr>
              <w:t>Approach</w:t>
            </w:r>
          </w:p>
        </w:tc>
        <w:tc>
          <w:tcPr>
            <w:tcW w:type="dxa" w:w="3005"/>
            <w:vAlign w:val="center"/>
            <w:shd w:fill="1F3A5F"/>
          </w:tcPr>
          <w:p>
            <w:pPr>
              <w:keepNext/>
              <w:spacing w:after="40" w:line="276" w:lineRule="auto"/>
              <w:jc w:val="left"/>
            </w:pPr>
            <w:r>
              <w:rPr>
                <w:b/>
                <w:i w:val="0"/>
                <w:color w:val="FFFFFF"/>
              </w:rPr>
              <w:t>Strategic Actions</w:t>
            </w:r>
          </w:p>
        </w:tc>
      </w:tr>
      <w:tr>
        <w:trPr>
          <w:cantSplit/>
        </w:trPr>
        <w:tc>
          <w:tcPr>
            <w:tcW w:type="dxa" w:w="2324"/>
            <w:vAlign w:val="center"/>
            <w:shd w:fill="FFFFFF"/>
          </w:tcPr>
          <w:p>
            <w:pPr>
              <w:spacing w:after="40" w:line="276" w:lineRule="auto"/>
              <w:jc w:val="left"/>
            </w:pPr>
            <w:r>
              <w:rPr>
                <w:b w:val="0"/>
                <w:i w:val="0"/>
              </w:rPr>
              <w:t>so Strategies (Strengths + Opportunities)</w:t>
            </w:r>
          </w:p>
        </w:tc>
        <w:tc>
          <w:tcPr>
            <w:tcW w:type="dxa" w:w="4082"/>
            <w:vAlign w:val="center"/>
            <w:shd w:fill="FFFFFF"/>
          </w:tcPr>
          <w:p>
            <w:pPr>
              <w:spacing w:after="40" w:line="276" w:lineRule="auto"/>
              <w:jc w:val="left"/>
            </w:pPr>
            <w:r>
              <w:rPr>
                <w:b w:val="0"/>
                <w:i w:val="0"/>
              </w:rPr>
              <w:t>Use strengths to exploit opportunities</w:t>
            </w:r>
          </w:p>
        </w:tc>
        <w:tc>
          <w:tcPr>
            <w:tcW w:type="dxa" w:w="3005"/>
            <w:vAlign w:val="center"/>
            <w:shd w:fill="FFFFFF"/>
          </w:tcPr>
          <w:p>
            <w:pPr>
              <w:spacing w:after="40" w:line="276" w:lineRule="auto"/>
              <w:ind w:left="125" w:hanging="125"/>
              <w:jc w:val="left"/>
            </w:pPr>
            <w:r>
              <w:t xml:space="preserve">• </w:t>
            </w:r>
            <w:r>
              <w:rPr>
                <w:b w:val="0"/>
                <w:i w:val="0"/>
              </w:rPr>
              <w:t>Leverage strong faculty and leadership to attract global research collaborations.</w:t>
            </w:r>
          </w:p>
          <w:p>
            <w:pPr>
              <w:spacing w:after="40" w:line="276" w:lineRule="auto"/>
              <w:ind w:left="125" w:hanging="125"/>
              <w:jc w:val="left"/>
            </w:pPr>
            <w:r>
              <w:t xml:space="preserve">• </w:t>
            </w:r>
            <w:r>
              <w:rPr>
                <w:b w:val="0"/>
                <w:i w:val="0"/>
              </w:rPr>
              <w:t>Utilize existing infrastructure (labs, digital classrooms) to expand online and blended learning platforms.</w:t>
            </w:r>
          </w:p>
          <w:p>
            <w:pPr>
              <w:spacing w:after="40" w:line="276" w:lineRule="auto"/>
              <w:ind w:left="125" w:hanging="125"/>
              <w:jc w:val="left"/>
            </w:pPr>
            <w:r>
              <w:t xml:space="preserve">• </w:t>
            </w:r>
            <w:r>
              <w:rPr>
                <w:b w:val="0"/>
                <w:i w:val="0"/>
              </w:rPr>
              <w:t>Strengthen community connections to secure CSR funding and alumni contributions.</w:t>
            </w:r>
          </w:p>
          <w:p>
            <w:pPr>
              <w:spacing w:after="40" w:line="276" w:lineRule="auto"/>
              <w:ind w:left="125" w:hanging="125"/>
              <w:jc w:val="left"/>
            </w:pPr>
            <w:r>
              <w:t xml:space="preserve">• </w:t>
            </w:r>
            <w:r>
              <w:rPr>
                <w:b w:val="0"/>
                <w:i w:val="0"/>
              </w:rPr>
              <w:t>Use accreditation readiness to position institution for global rankings and international partnerships.</w:t>
            </w:r>
          </w:p>
        </w:tc>
      </w:tr>
      <w:tr>
        <w:trPr>
          <w:cantSplit/>
        </w:trPr>
        <w:tc>
          <w:tcPr>
            <w:tcW w:type="dxa" w:w="2324"/>
            <w:vAlign w:val="center"/>
            <w:shd w:fill="EDF2F7"/>
          </w:tcPr>
          <w:p>
            <w:pPr>
              <w:spacing w:after="40" w:line="276" w:lineRule="auto"/>
              <w:jc w:val="left"/>
            </w:pPr>
            <w:r>
              <w:rPr>
                <w:b w:val="0"/>
                <w:i w:val="0"/>
              </w:rPr>
              <w:t>ST Strategies (Strengths + Threats)</w:t>
            </w:r>
          </w:p>
        </w:tc>
        <w:tc>
          <w:tcPr>
            <w:tcW w:type="dxa" w:w="4082"/>
            <w:vAlign w:val="center"/>
            <w:shd w:fill="EDF2F7"/>
          </w:tcPr>
          <w:p>
            <w:pPr>
              <w:spacing w:after="40" w:line="276" w:lineRule="auto"/>
              <w:jc w:val="left"/>
            </w:pPr>
            <w:r>
              <w:rPr>
                <w:b w:val="0"/>
                <w:i w:val="0"/>
              </w:rPr>
              <w:t>Use strengths to minimize threats</w:t>
            </w:r>
          </w:p>
        </w:tc>
        <w:tc>
          <w:tcPr>
            <w:tcW w:type="dxa" w:w="3005"/>
            <w:vAlign w:val="center"/>
            <w:shd w:fill="EDF2F7"/>
          </w:tcPr>
          <w:p>
            <w:pPr>
              <w:spacing w:after="40" w:line="276" w:lineRule="auto"/>
              <w:ind w:left="125" w:hanging="125"/>
              <w:jc w:val="left"/>
            </w:pPr>
            <w:r>
              <w:t xml:space="preserve">• </w:t>
            </w:r>
            <w:r>
              <w:rPr>
                <w:b w:val="0"/>
                <w:i w:val="0"/>
              </w:rPr>
              <w:t>Deploy skilled faculty and research capacity to respond to fast-paced technological disruptions with continuous curriculum updates.</w:t>
            </w:r>
          </w:p>
          <w:p>
            <w:pPr>
              <w:spacing w:after="40" w:line="276" w:lineRule="auto"/>
              <w:ind w:left="125" w:hanging="125"/>
              <w:jc w:val="left"/>
            </w:pPr>
            <w:r>
              <w:t xml:space="preserve">• </w:t>
            </w:r>
            <w:r>
              <w:rPr>
                <w:b w:val="0"/>
                <w:i w:val="0"/>
              </w:rPr>
              <w:t>Enhance cybersecurity systems using existing ICT expertise.</w:t>
            </w:r>
          </w:p>
          <w:p>
            <w:pPr>
              <w:spacing w:after="40" w:line="276" w:lineRule="auto"/>
              <w:ind w:left="125" w:hanging="125"/>
              <w:jc w:val="left"/>
            </w:pPr>
            <w:r>
              <w:t xml:space="preserve">• </w:t>
            </w:r>
            <w:r>
              <w:rPr>
                <w:b w:val="0"/>
                <w:i w:val="0"/>
              </w:rPr>
              <w:t>Utilize community engagement and strong student base to mitigate risks of declining enrollments.</w:t>
            </w:r>
          </w:p>
          <w:p>
            <w:pPr>
              <w:spacing w:after="40" w:line="276" w:lineRule="auto"/>
              <w:ind w:left="125" w:hanging="125"/>
              <w:jc w:val="left"/>
            </w:pPr>
            <w:r>
              <w:t xml:space="preserve">• </w:t>
            </w:r>
            <w:r>
              <w:rPr>
                <w:b w:val="0"/>
                <w:i w:val="0"/>
              </w:rPr>
              <w:t>Use research potential in sustainability to address climate change and environmental threats.</w:t>
            </w:r>
          </w:p>
        </w:tc>
      </w:tr>
      <w:tr>
        <w:trPr>
          <w:cantSplit/>
        </w:trPr>
        <w:tc>
          <w:tcPr>
            <w:tcW w:type="dxa" w:w="2324"/>
            <w:vAlign w:val="center"/>
            <w:shd w:fill="FFFFFF"/>
          </w:tcPr>
          <w:p>
            <w:pPr>
              <w:spacing w:after="40" w:line="276" w:lineRule="auto"/>
              <w:jc w:val="left"/>
            </w:pPr>
            <w:r>
              <w:rPr>
                <w:b w:val="0"/>
                <w:i w:val="0"/>
              </w:rPr>
              <w:t>wo Strategies (Weaknesses + Opportunities)</w:t>
            </w:r>
          </w:p>
        </w:tc>
        <w:tc>
          <w:tcPr>
            <w:tcW w:type="dxa" w:w="4082"/>
            <w:vAlign w:val="center"/>
            <w:shd w:fill="FFFFFF"/>
          </w:tcPr>
          <w:p>
            <w:pPr>
              <w:spacing w:after="40" w:line="276" w:lineRule="auto"/>
              <w:jc w:val="left"/>
            </w:pPr>
            <w:r>
              <w:rPr>
                <w:b w:val="0"/>
                <w:i w:val="0"/>
              </w:rPr>
              <w:t>Overcome weaknesses by taking advantage of opportunities</w:t>
            </w:r>
          </w:p>
        </w:tc>
        <w:tc>
          <w:tcPr>
            <w:tcW w:type="dxa" w:w="3005"/>
            <w:vAlign w:val="center"/>
            <w:shd w:fill="FFFFFF"/>
          </w:tcPr>
          <w:p>
            <w:pPr>
              <w:spacing w:after="40" w:line="276" w:lineRule="auto"/>
              <w:ind w:left="125" w:hanging="125"/>
              <w:jc w:val="left"/>
            </w:pPr>
            <w:r>
              <w:t xml:space="preserve">• </w:t>
            </w:r>
            <w:r>
              <w:rPr>
                <w:b w:val="0"/>
                <w:i w:val="0"/>
              </w:rPr>
              <w:t>Build international collaborations to compensate for lack of global exposure.</w:t>
            </w:r>
          </w:p>
          <w:p>
            <w:pPr>
              <w:spacing w:after="40" w:line="276" w:lineRule="auto"/>
              <w:ind w:left="125" w:hanging="125"/>
              <w:jc w:val="left"/>
            </w:pPr>
            <w:r>
              <w:t xml:space="preserve">• </w:t>
            </w:r>
            <w:r>
              <w:rPr>
                <w:b w:val="0"/>
                <w:i w:val="0"/>
              </w:rPr>
              <w:t>Use NEP 2020 policy reforms to address faculty–student ratio imbalance through hiring flexibility.</w:t>
            </w:r>
          </w:p>
          <w:p>
            <w:pPr>
              <w:spacing w:after="40" w:line="276" w:lineRule="auto"/>
              <w:ind w:left="125" w:hanging="125"/>
              <w:jc w:val="left"/>
            </w:pPr>
            <w:r>
              <w:t xml:space="preserve">• </w:t>
            </w:r>
            <w:r>
              <w:rPr>
                <w:b w:val="0"/>
                <w:i w:val="0"/>
              </w:rPr>
              <w:t>Seek research council grants to upgrade niche infrastructure.</w:t>
            </w:r>
          </w:p>
          <w:p>
            <w:pPr>
              <w:spacing w:after="40" w:line="276" w:lineRule="auto"/>
              <w:ind w:left="125" w:hanging="125"/>
              <w:jc w:val="left"/>
            </w:pPr>
            <w:r>
              <w:t xml:space="preserve">• </w:t>
            </w:r>
            <w:r>
              <w:rPr>
                <w:b w:val="0"/>
                <w:i w:val="0"/>
              </w:rPr>
              <w:t>Partner with industries to enhance practical training, reducing weakness in industry collaboration.</w:t>
            </w:r>
          </w:p>
        </w:tc>
      </w:tr>
      <w:tr>
        <w:trPr>
          <w:cantSplit/>
        </w:trPr>
        <w:tc>
          <w:tcPr>
            <w:tcW w:type="dxa" w:w="2324"/>
            <w:vAlign w:val="center"/>
            <w:shd w:fill="EDF2F7"/>
          </w:tcPr>
          <w:p>
            <w:pPr>
              <w:spacing w:after="40" w:line="276" w:lineRule="auto"/>
              <w:jc w:val="left"/>
            </w:pPr>
            <w:r>
              <w:rPr>
                <w:b w:val="0"/>
                <w:i w:val="0"/>
              </w:rPr>
              <w:t>WT Strategies (Weaknesses + Threats)</w:t>
            </w:r>
          </w:p>
        </w:tc>
        <w:tc>
          <w:tcPr>
            <w:tcW w:type="dxa" w:w="4082"/>
            <w:vAlign w:val="center"/>
            <w:shd w:fill="EDF2F7"/>
          </w:tcPr>
          <w:p>
            <w:pPr>
              <w:spacing w:after="40" w:line="276" w:lineRule="auto"/>
              <w:jc w:val="left"/>
            </w:pPr>
            <w:r>
              <w:rPr>
                <w:b w:val="0"/>
                <w:i w:val="0"/>
              </w:rPr>
              <w:t>Minimize weaknesses and avoid threats</w:t>
            </w:r>
          </w:p>
        </w:tc>
        <w:tc>
          <w:tcPr>
            <w:tcW w:type="dxa" w:w="3005"/>
            <w:vAlign w:val="center"/>
            <w:shd w:fill="EDF2F7"/>
          </w:tcPr>
          <w:p>
            <w:pPr>
              <w:spacing w:after="40" w:line="276" w:lineRule="auto"/>
              <w:ind w:left="125" w:hanging="125"/>
              <w:jc w:val="left"/>
            </w:pPr>
            <w:r>
              <w:t xml:space="preserve">• </w:t>
            </w:r>
            <w:r>
              <w:rPr>
                <w:b w:val="0"/>
                <w:i w:val="0"/>
              </w:rPr>
              <w:t>Reduce over-dependence on government funding by diversifying income sources.</w:t>
            </w:r>
          </w:p>
          <w:p>
            <w:pPr>
              <w:spacing w:after="40" w:line="276" w:lineRule="auto"/>
              <w:ind w:left="125" w:hanging="125"/>
              <w:jc w:val="left"/>
            </w:pPr>
            <w:r>
              <w:t xml:space="preserve">• </w:t>
            </w:r>
            <w:r>
              <w:rPr>
                <w:b w:val="0"/>
                <w:i w:val="0"/>
              </w:rPr>
              <w:t>Introduce agile governance to cope with policy shifts and reduce bureaucratic delays.</w:t>
            </w:r>
          </w:p>
          <w:p>
            <w:pPr>
              <w:spacing w:after="40" w:line="276" w:lineRule="auto"/>
              <w:ind w:left="125" w:hanging="125"/>
              <w:jc w:val="left"/>
            </w:pPr>
            <w:r>
              <w:t xml:space="preserve">• </w:t>
            </w:r>
            <w:r>
              <w:rPr>
                <w:b w:val="0"/>
                <w:i w:val="0"/>
              </w:rPr>
              <w:t>Develop faculty retention strategies to avoid brain drain.</w:t>
            </w:r>
          </w:p>
          <w:p>
            <w:pPr>
              <w:spacing w:after="40" w:line="276" w:lineRule="auto"/>
              <w:ind w:left="125" w:hanging="125"/>
              <w:jc w:val="left"/>
            </w:pPr>
            <w:r>
              <w:t xml:space="preserve">• </w:t>
            </w:r>
            <w:r>
              <w:rPr>
                <w:b w:val="0"/>
                <w:i w:val="0"/>
              </w:rPr>
              <w:t>Build resilience plans to safeguard against economic instabilities affecting finances and student admissions.</w:t>
            </w:r>
          </w:p>
          <w:p>
            <w:pPr>
              <w:spacing w:after="40" w:line="276" w:lineRule="auto"/>
              <w:ind w:left="125" w:hanging="125"/>
              <w:jc w:val="left"/>
            </w:pPr>
            <w:r>
              <w:t xml:space="preserve">• </w:t>
            </w:r>
            <w:r>
              <w:rPr>
                <w:b w:val="0"/>
                <w:i w:val="0"/>
              </w:rPr>
              <w:t>Establish a strong data-driven decision-making framework to respond quickly to crises.</w:t>
            </w:r>
          </w:p>
        </w:tc>
      </w:tr>
    </w:tbl>
    <w:p>
      <w:pPr>
        <w:spacing w:after="40"/>
      </w:pPr>
    </w:p>
    <w:p>
      <w:pPr>
        <w:pStyle w:val="Heading2"/>
      </w:pPr>
      <w:r>
        <w:t>Policy–Action–Outcome Table from TOWS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2324"/>
        <w:gridCol w:w="4082"/>
        <w:gridCol w:w="3005"/>
      </w:tblGrid>
      <w:tr>
        <w:trPr>
          <w:tblHeader/>
          <w:cantSplit/>
        </w:trPr>
        <w:tc>
          <w:tcPr>
            <w:tcW w:type="dxa" w:w="2324"/>
            <w:vAlign w:val="center"/>
            <w:shd w:fill="1F3A5F"/>
          </w:tcPr>
          <w:p>
            <w:pPr>
              <w:keepNext/>
              <w:spacing w:after="40" w:line="276" w:lineRule="auto"/>
              <w:jc w:val="left"/>
            </w:pPr>
            <w:r>
              <w:rPr>
                <w:b/>
                <w:i w:val="0"/>
                <w:color w:val="FFFFFF"/>
              </w:rPr>
              <w:t>Policy Direction</w:t>
            </w:r>
          </w:p>
        </w:tc>
        <w:tc>
          <w:tcPr>
            <w:tcW w:type="dxa" w:w="4082"/>
            <w:vAlign w:val="center"/>
            <w:shd w:fill="1F3A5F"/>
          </w:tcPr>
          <w:p>
            <w:pPr>
              <w:keepNext/>
              <w:spacing w:after="40" w:line="276" w:lineRule="auto"/>
              <w:jc w:val="left"/>
            </w:pPr>
            <w:r>
              <w:rPr>
                <w:b/>
                <w:i w:val="0"/>
                <w:color w:val="FFFFFF"/>
              </w:rPr>
              <w:t>Strategic Actions (TOWS-based)</w:t>
            </w:r>
          </w:p>
        </w:tc>
        <w:tc>
          <w:tcPr>
            <w:tcW w:type="dxa" w:w="3005"/>
            <w:vAlign w:val="center"/>
            <w:shd w:fill="1F3A5F"/>
          </w:tcPr>
          <w:p>
            <w:pPr>
              <w:keepNext/>
              <w:spacing w:after="40" w:line="276" w:lineRule="auto"/>
              <w:jc w:val="left"/>
            </w:pPr>
            <w:r>
              <w:rPr>
                <w:b/>
                <w:i w:val="0"/>
                <w:color w:val="FFFFFF"/>
              </w:rPr>
              <w:t>Expected Outcomes</w:t>
            </w:r>
          </w:p>
        </w:tc>
      </w:tr>
      <w:tr>
        <w:trPr>
          <w:cantSplit/>
        </w:trPr>
        <w:tc>
          <w:tcPr>
            <w:tcW w:type="dxa" w:w="2324"/>
            <w:vAlign w:val="center"/>
            <w:shd w:fill="FFFFFF"/>
          </w:tcPr>
          <w:p>
            <w:pPr>
              <w:spacing w:after="40" w:line="276" w:lineRule="auto"/>
              <w:jc w:val="left"/>
            </w:pPr>
            <w:r>
              <w:rPr>
                <w:b/>
                <w:i w:val="0"/>
              </w:rPr>
              <w:t>Policy 1:</w:t>
            </w:r>
            <w:r>
              <w:rPr>
                <w:b w:val="0"/>
                <w:i w:val="0"/>
              </w:rPr>
              <w:t xml:space="preserve"> Global Collaboration &amp; Research Expansion (SO)</w:t>
            </w:r>
          </w:p>
        </w:tc>
        <w:tc>
          <w:tcPr>
            <w:tcW w:type="dxa" w:w="4082"/>
            <w:vAlign w:val="center"/>
            <w:shd w:fill="FFFFFF"/>
          </w:tcPr>
          <w:p>
            <w:pPr>
              <w:spacing w:after="40" w:line="276" w:lineRule="auto"/>
              <w:ind w:left="125" w:hanging="125"/>
              <w:jc w:val="left"/>
            </w:pPr>
            <w:r>
              <w:t xml:space="preserve">• </w:t>
            </w:r>
            <w:r>
              <w:rPr>
                <w:b w:val="0"/>
                <w:i w:val="0"/>
              </w:rPr>
              <w:t>Leverage strong faculty and leadership to build international partnerships.</w:t>
            </w:r>
          </w:p>
          <w:p>
            <w:pPr>
              <w:spacing w:after="40" w:line="276" w:lineRule="auto"/>
              <w:ind w:left="125" w:hanging="125"/>
              <w:jc w:val="left"/>
            </w:pPr>
            <w:r>
              <w:t xml:space="preserve">• </w:t>
            </w:r>
            <w:r>
              <w:rPr>
                <w:b w:val="0"/>
                <w:i w:val="0"/>
              </w:rPr>
              <w:t>Expand online/​blended learning using existing ICT infrastructure.</w:t>
            </w:r>
          </w:p>
          <w:p>
            <w:pPr>
              <w:spacing w:after="40" w:line="276" w:lineRule="auto"/>
              <w:ind w:left="125" w:hanging="125"/>
              <w:jc w:val="left"/>
            </w:pPr>
            <w:r>
              <w:t xml:space="preserve">• </w:t>
            </w:r>
            <w:r>
              <w:rPr>
                <w:b w:val="0"/>
                <w:i w:val="0"/>
              </w:rPr>
              <w:t>Mobilize alumni and CSR funding for research initiatives.</w:t>
            </w:r>
          </w:p>
          <w:p>
            <w:pPr>
              <w:spacing w:after="40" w:line="276" w:lineRule="auto"/>
              <w:ind w:left="125" w:hanging="125"/>
              <w:jc w:val="left"/>
            </w:pPr>
            <w:r>
              <w:t xml:space="preserve">• </w:t>
            </w:r>
            <w:r>
              <w:rPr>
                <w:b w:val="0"/>
                <w:i w:val="0"/>
              </w:rPr>
              <w:t>Use accreditation readiness to position institution for global rankings.</w:t>
            </w:r>
          </w:p>
        </w:tc>
        <w:tc>
          <w:tcPr>
            <w:tcW w:type="dxa" w:w="3005"/>
            <w:vAlign w:val="center"/>
            <w:shd w:fill="FFFFFF"/>
          </w:tcPr>
          <w:p>
            <w:pPr>
              <w:spacing w:after="40" w:line="276" w:lineRule="auto"/>
              <w:ind w:left="125" w:hanging="125"/>
              <w:jc w:val="left"/>
            </w:pPr>
            <w:r>
              <w:t xml:space="preserve">• </w:t>
            </w:r>
            <w:r>
              <w:rPr>
                <w:b w:val="0"/>
                <w:i w:val="0"/>
              </w:rPr>
              <w:t>Increased international MoUs, student/​faculty exchanges.</w:t>
            </w:r>
          </w:p>
          <w:p>
            <w:pPr>
              <w:spacing w:after="40" w:line="276" w:lineRule="auto"/>
              <w:ind w:left="125" w:hanging="125"/>
              <w:jc w:val="left"/>
            </w:pPr>
            <w:r>
              <w:t xml:space="preserve">• </w:t>
            </w:r>
            <w:r>
              <w:rPr>
                <w:b w:val="0"/>
                <w:i w:val="0"/>
              </w:rPr>
              <w:t>Wider reach of digital education.</w:t>
            </w:r>
          </w:p>
          <w:p>
            <w:pPr>
              <w:spacing w:after="40" w:line="276" w:lineRule="auto"/>
              <w:ind w:left="125" w:hanging="125"/>
              <w:jc w:val="left"/>
            </w:pPr>
            <w:r>
              <w:t xml:space="preserve">• </w:t>
            </w:r>
            <w:r>
              <w:rPr>
                <w:b w:val="0"/>
                <w:i w:val="0"/>
              </w:rPr>
              <w:t>Sustainable funding through CSR and alumni.</w:t>
            </w:r>
          </w:p>
          <w:p>
            <w:pPr>
              <w:spacing w:after="40" w:line="276" w:lineRule="auto"/>
              <w:ind w:left="125" w:hanging="125"/>
              <w:jc w:val="left"/>
            </w:pPr>
            <w:r>
              <w:t xml:space="preserve">• </w:t>
            </w:r>
            <w:r>
              <w:rPr>
                <w:b w:val="0"/>
                <w:i w:val="0"/>
              </w:rPr>
              <w:t>Recognition in QS/​THE global rankings.</w:t>
            </w:r>
          </w:p>
        </w:tc>
      </w:tr>
      <w:tr>
        <w:trPr>
          <w:cantSplit/>
        </w:trPr>
        <w:tc>
          <w:tcPr>
            <w:tcW w:type="dxa" w:w="2324"/>
            <w:vAlign w:val="center"/>
            <w:shd w:fill="EDF2F7"/>
          </w:tcPr>
          <w:p>
            <w:pPr>
              <w:spacing w:after="40" w:line="276" w:lineRule="auto"/>
              <w:jc w:val="left"/>
            </w:pPr>
            <w:r>
              <w:rPr>
                <w:b/>
                <w:i w:val="0"/>
              </w:rPr>
              <w:t>Policy 2:</w:t>
            </w:r>
            <w:r>
              <w:rPr>
                <w:b w:val="0"/>
                <w:i w:val="0"/>
              </w:rPr>
              <w:t xml:space="preserve"> Resilience Against Technological &amp; Environmental Risks (ST)</w:t>
            </w:r>
          </w:p>
        </w:tc>
        <w:tc>
          <w:tcPr>
            <w:tcW w:type="dxa" w:w="4082"/>
            <w:vAlign w:val="center"/>
            <w:shd w:fill="EDF2F7"/>
          </w:tcPr>
          <w:p>
            <w:pPr>
              <w:spacing w:after="40" w:line="276" w:lineRule="auto"/>
              <w:ind w:left="125" w:hanging="125"/>
              <w:jc w:val="left"/>
            </w:pPr>
            <w:r>
              <w:t xml:space="preserve">• </w:t>
            </w:r>
            <w:r>
              <w:rPr>
                <w:b w:val="0"/>
                <w:i w:val="0"/>
              </w:rPr>
              <w:t>Continuously update curricula with emerging technologies.</w:t>
            </w:r>
          </w:p>
          <w:p>
            <w:pPr>
              <w:spacing w:after="40" w:line="276" w:lineRule="auto"/>
              <w:ind w:left="125" w:hanging="125"/>
              <w:jc w:val="left"/>
            </w:pPr>
            <w:r>
              <w:t xml:space="preserve">• </w:t>
            </w:r>
            <w:r>
              <w:rPr>
                <w:b w:val="0"/>
                <w:i w:val="0"/>
              </w:rPr>
              <w:t>Strengthen ICT-based cybersecurity measures.</w:t>
            </w:r>
          </w:p>
          <w:p>
            <w:pPr>
              <w:spacing w:after="40" w:line="276" w:lineRule="auto"/>
              <w:ind w:left="125" w:hanging="125"/>
              <w:jc w:val="left"/>
            </w:pPr>
            <w:r>
              <w:t xml:space="preserve">• </w:t>
            </w:r>
            <w:r>
              <w:rPr>
                <w:b w:val="0"/>
                <w:i w:val="0"/>
              </w:rPr>
              <w:t>Use sustainability research to address climate change challenges.</w:t>
            </w:r>
          </w:p>
          <w:p>
            <w:pPr>
              <w:spacing w:after="40" w:line="276" w:lineRule="auto"/>
              <w:ind w:left="125" w:hanging="125"/>
              <w:jc w:val="left"/>
            </w:pPr>
            <w:r>
              <w:t xml:space="preserve">• </w:t>
            </w:r>
            <w:r>
              <w:rPr>
                <w:b w:val="0"/>
                <w:i w:val="0"/>
              </w:rPr>
              <w:t>Harness student/​community base to mitigate enrollment risks.</w:t>
            </w:r>
          </w:p>
        </w:tc>
        <w:tc>
          <w:tcPr>
            <w:tcW w:type="dxa" w:w="3005"/>
            <w:vAlign w:val="center"/>
            <w:shd w:fill="EDF2F7"/>
          </w:tcPr>
          <w:p>
            <w:pPr>
              <w:spacing w:after="40" w:line="276" w:lineRule="auto"/>
              <w:ind w:left="125" w:hanging="125"/>
              <w:jc w:val="left"/>
            </w:pPr>
            <w:r>
              <w:t xml:space="preserve">• </w:t>
            </w:r>
            <w:r>
              <w:rPr>
                <w:b w:val="0"/>
                <w:i w:val="0"/>
              </w:rPr>
              <w:t>Industry-ready graduates with future skills.</w:t>
            </w:r>
          </w:p>
          <w:p>
            <w:pPr>
              <w:spacing w:after="40" w:line="276" w:lineRule="auto"/>
              <w:ind w:left="125" w:hanging="125"/>
              <w:jc w:val="left"/>
            </w:pPr>
            <w:r>
              <w:t xml:space="preserve">• </w:t>
            </w:r>
            <w:r>
              <w:rPr>
                <w:b w:val="0"/>
                <w:i w:val="0"/>
              </w:rPr>
              <w:t>Reduced exposure to cyber threats.</w:t>
            </w:r>
          </w:p>
          <w:p>
            <w:pPr>
              <w:spacing w:after="40" w:line="276" w:lineRule="auto"/>
              <w:ind w:left="125" w:hanging="125"/>
              <w:jc w:val="left"/>
            </w:pPr>
            <w:r>
              <w:t xml:space="preserve">• </w:t>
            </w:r>
            <w:r>
              <w:rPr>
                <w:b w:val="0"/>
                <w:i w:val="0"/>
              </w:rPr>
              <w:t>Campus sustainability practices recognized.</w:t>
            </w:r>
          </w:p>
          <w:p>
            <w:pPr>
              <w:spacing w:after="40" w:line="276" w:lineRule="auto"/>
              <w:ind w:left="125" w:hanging="125"/>
              <w:jc w:val="left"/>
            </w:pPr>
            <w:r>
              <w:t xml:space="preserve">• </w:t>
            </w:r>
            <w:r>
              <w:rPr>
                <w:b w:val="0"/>
                <w:i w:val="0"/>
              </w:rPr>
              <w:t>Stable admissions and community goodwill.</w:t>
            </w:r>
          </w:p>
        </w:tc>
      </w:tr>
      <w:tr>
        <w:trPr>
          <w:cantSplit/>
        </w:trPr>
        <w:tc>
          <w:tcPr>
            <w:tcW w:type="dxa" w:w="2324"/>
            <w:vAlign w:val="center"/>
            <w:shd w:fill="FFFFFF"/>
          </w:tcPr>
          <w:p>
            <w:pPr>
              <w:spacing w:after="40" w:line="276" w:lineRule="auto"/>
              <w:jc w:val="left"/>
            </w:pPr>
            <w:r>
              <w:rPr>
                <w:b/>
                <w:i w:val="0"/>
              </w:rPr>
              <w:t>Policy 3:</w:t>
            </w:r>
            <w:r>
              <w:rPr>
                <w:b w:val="0"/>
                <w:i w:val="0"/>
              </w:rPr>
              <w:t xml:space="preserve"> Institutional Strengthening through External Opportunities (WO)</w:t>
            </w:r>
          </w:p>
        </w:tc>
        <w:tc>
          <w:tcPr>
            <w:tcW w:type="dxa" w:w="4082"/>
            <w:vAlign w:val="center"/>
            <w:shd w:fill="FFFFFF"/>
          </w:tcPr>
          <w:p>
            <w:pPr>
              <w:spacing w:after="40" w:line="276" w:lineRule="auto"/>
              <w:ind w:left="125" w:hanging="125"/>
              <w:jc w:val="left"/>
            </w:pPr>
            <w:r>
              <w:t xml:space="preserve">• </w:t>
            </w:r>
            <w:r>
              <w:rPr>
                <w:b w:val="0"/>
                <w:i w:val="0"/>
              </w:rPr>
              <w:t>Build global collaborations to overcome limited international exposure.</w:t>
            </w:r>
          </w:p>
          <w:p>
            <w:pPr>
              <w:spacing w:after="40" w:line="276" w:lineRule="auto"/>
              <w:ind w:left="125" w:hanging="125"/>
              <w:jc w:val="left"/>
            </w:pPr>
            <w:r>
              <w:t xml:space="preserve">• </w:t>
            </w:r>
            <w:r>
              <w:rPr>
                <w:b w:val="0"/>
                <w:i w:val="0"/>
              </w:rPr>
              <w:t>Use NEP 2020 reforms to improve faculty–student ratio.</w:t>
            </w:r>
          </w:p>
          <w:p>
            <w:pPr>
              <w:spacing w:after="40" w:line="276" w:lineRule="auto"/>
              <w:ind w:left="125" w:hanging="125"/>
              <w:jc w:val="left"/>
            </w:pPr>
            <w:r>
              <w:t xml:space="preserve">• </w:t>
            </w:r>
            <w:r>
              <w:rPr>
                <w:b w:val="0"/>
                <w:i w:val="0"/>
              </w:rPr>
              <w:t>Secure research council grants for infrastructure upgrades.</w:t>
            </w:r>
          </w:p>
          <w:p>
            <w:pPr>
              <w:spacing w:after="40" w:line="276" w:lineRule="auto"/>
              <w:ind w:left="125" w:hanging="125"/>
              <w:jc w:val="left"/>
            </w:pPr>
            <w:r>
              <w:t xml:space="preserve">• </w:t>
            </w:r>
            <w:r>
              <w:rPr>
                <w:b w:val="0"/>
                <w:i w:val="0"/>
              </w:rPr>
              <w:t>Partner with industries for practical training and projects.</w:t>
            </w:r>
          </w:p>
        </w:tc>
        <w:tc>
          <w:tcPr>
            <w:tcW w:type="dxa" w:w="3005"/>
            <w:vAlign w:val="center"/>
            <w:shd w:fill="FFFFFF"/>
          </w:tcPr>
          <w:p>
            <w:pPr>
              <w:spacing w:after="40" w:line="276" w:lineRule="auto"/>
              <w:ind w:left="125" w:hanging="125"/>
              <w:jc w:val="left"/>
            </w:pPr>
            <w:r>
              <w:t xml:space="preserve">• </w:t>
            </w:r>
            <w:r>
              <w:rPr>
                <w:b w:val="0"/>
                <w:i w:val="0"/>
              </w:rPr>
              <w:t>Globalized academic environment.</w:t>
            </w:r>
          </w:p>
          <w:p>
            <w:pPr>
              <w:spacing w:after="40" w:line="276" w:lineRule="auto"/>
              <w:ind w:left="125" w:hanging="125"/>
              <w:jc w:val="left"/>
            </w:pPr>
            <w:r>
              <w:t xml:space="preserve">• </w:t>
            </w:r>
            <w:r>
              <w:rPr>
                <w:b w:val="0"/>
                <w:i w:val="0"/>
              </w:rPr>
              <w:t>Improved teaching-learning quality.</w:t>
            </w:r>
          </w:p>
          <w:p>
            <w:pPr>
              <w:spacing w:after="40" w:line="276" w:lineRule="auto"/>
              <w:ind w:left="125" w:hanging="125"/>
              <w:jc w:val="left"/>
            </w:pPr>
            <w:r>
              <w:t xml:space="preserve">• </w:t>
            </w:r>
            <w:r>
              <w:rPr>
                <w:b w:val="0"/>
                <w:i w:val="0"/>
              </w:rPr>
              <w:t>Enhanced lab and research facilities.</w:t>
            </w:r>
          </w:p>
          <w:p>
            <w:pPr>
              <w:spacing w:after="40" w:line="276" w:lineRule="auto"/>
              <w:ind w:left="125" w:hanging="125"/>
              <w:jc w:val="left"/>
            </w:pPr>
            <w:r>
              <w:t xml:space="preserve">• </w:t>
            </w:r>
            <w:r>
              <w:rPr>
                <w:b w:val="0"/>
                <w:i w:val="0"/>
              </w:rPr>
              <w:t>Stronger industry-academia integration.</w:t>
            </w:r>
          </w:p>
        </w:tc>
      </w:tr>
      <w:tr>
        <w:trPr>
          <w:cantSplit/>
        </w:trPr>
        <w:tc>
          <w:tcPr>
            <w:tcW w:type="dxa" w:w="2324"/>
            <w:vAlign w:val="center"/>
            <w:shd w:fill="EDF2F7"/>
          </w:tcPr>
          <w:p>
            <w:pPr>
              <w:spacing w:after="40" w:line="276" w:lineRule="auto"/>
              <w:jc w:val="left"/>
            </w:pPr>
            <w:r>
              <w:rPr>
                <w:b/>
                <w:i w:val="0"/>
              </w:rPr>
              <w:t>Policy 4:</w:t>
            </w:r>
            <w:r>
              <w:rPr>
                <w:b w:val="0"/>
                <w:i w:val="0"/>
              </w:rPr>
              <w:t xml:space="preserve"> Financial &amp; Governance Sustainability (WT)</w:t>
            </w:r>
          </w:p>
        </w:tc>
        <w:tc>
          <w:tcPr>
            <w:tcW w:type="dxa" w:w="4082"/>
            <w:vAlign w:val="center"/>
            <w:shd w:fill="EDF2F7"/>
          </w:tcPr>
          <w:p>
            <w:pPr>
              <w:spacing w:after="40" w:line="276" w:lineRule="auto"/>
              <w:ind w:left="125" w:hanging="125"/>
              <w:jc w:val="left"/>
            </w:pPr>
            <w:r>
              <w:t xml:space="preserve">• </w:t>
            </w:r>
            <w:r>
              <w:rPr>
                <w:b w:val="0"/>
                <w:i w:val="0"/>
              </w:rPr>
              <w:t>Diversify income sources to reduce government dependency.</w:t>
            </w:r>
          </w:p>
          <w:p>
            <w:pPr>
              <w:spacing w:after="40" w:line="276" w:lineRule="auto"/>
              <w:ind w:left="125" w:hanging="125"/>
              <w:jc w:val="left"/>
            </w:pPr>
            <w:r>
              <w:t xml:space="preserve">• </w:t>
            </w:r>
            <w:r>
              <w:rPr>
                <w:b w:val="0"/>
                <w:i w:val="0"/>
              </w:rPr>
              <w:t>Introduce agile governance to handle policy shifts.</w:t>
            </w:r>
          </w:p>
          <w:p>
            <w:pPr>
              <w:spacing w:after="40" w:line="276" w:lineRule="auto"/>
              <w:ind w:left="125" w:hanging="125"/>
              <w:jc w:val="left"/>
            </w:pPr>
            <w:r>
              <w:t xml:space="preserve">• </w:t>
            </w:r>
            <w:r>
              <w:rPr>
                <w:b w:val="0"/>
                <w:i w:val="0"/>
              </w:rPr>
              <w:t>Implement faculty retention programs to avoid brain drain.</w:t>
            </w:r>
          </w:p>
          <w:p>
            <w:pPr>
              <w:spacing w:after="40" w:line="276" w:lineRule="auto"/>
              <w:ind w:left="125" w:hanging="125"/>
              <w:jc w:val="left"/>
            </w:pPr>
            <w:r>
              <w:t xml:space="preserve">• </w:t>
            </w:r>
            <w:r>
              <w:rPr>
                <w:b w:val="0"/>
                <w:i w:val="0"/>
              </w:rPr>
              <w:t>Develop resilience plans against economic instabilities.</w:t>
            </w:r>
          </w:p>
          <w:p>
            <w:pPr>
              <w:spacing w:after="40" w:line="276" w:lineRule="auto"/>
              <w:ind w:left="125" w:hanging="125"/>
              <w:jc w:val="left"/>
            </w:pPr>
            <w:r>
              <w:t xml:space="preserve">• </w:t>
            </w:r>
            <w:r>
              <w:rPr>
                <w:b w:val="0"/>
                <w:i w:val="0"/>
              </w:rPr>
              <w:t>Establish data-driven decision-making frameworks.</w:t>
            </w:r>
          </w:p>
        </w:tc>
        <w:tc>
          <w:tcPr>
            <w:tcW w:type="dxa" w:w="3005"/>
            <w:vAlign w:val="center"/>
            <w:shd w:fill="EDF2F7"/>
          </w:tcPr>
          <w:p>
            <w:pPr>
              <w:spacing w:after="40" w:line="276" w:lineRule="auto"/>
              <w:ind w:left="125" w:hanging="125"/>
              <w:jc w:val="left"/>
            </w:pPr>
            <w:r>
              <w:t xml:space="preserve">• </w:t>
            </w:r>
            <w:r>
              <w:rPr>
                <w:b w:val="0"/>
                <w:i w:val="0"/>
              </w:rPr>
              <w:t>Stable and diversified funding base.</w:t>
            </w:r>
          </w:p>
          <w:p>
            <w:pPr>
              <w:spacing w:after="40" w:line="276" w:lineRule="auto"/>
              <w:ind w:left="125" w:hanging="125"/>
              <w:jc w:val="left"/>
            </w:pPr>
            <w:r>
              <w:t xml:space="preserve">• </w:t>
            </w:r>
            <w:r>
              <w:rPr>
                <w:b w:val="0"/>
                <w:i w:val="0"/>
              </w:rPr>
              <w:t>Faster, adaptive institutional governance.</w:t>
            </w:r>
          </w:p>
          <w:p>
            <w:pPr>
              <w:spacing w:after="40" w:line="276" w:lineRule="auto"/>
              <w:ind w:left="125" w:hanging="125"/>
              <w:jc w:val="left"/>
            </w:pPr>
            <w:r>
              <w:t xml:space="preserve">• </w:t>
            </w:r>
            <w:r>
              <w:rPr>
                <w:b w:val="0"/>
                <w:i w:val="0"/>
              </w:rPr>
              <w:t>Retained and motivated faculty.</w:t>
            </w:r>
          </w:p>
          <w:p>
            <w:pPr>
              <w:spacing w:after="40" w:line="276" w:lineRule="auto"/>
              <w:ind w:left="125" w:hanging="125"/>
              <w:jc w:val="left"/>
            </w:pPr>
            <w:r>
              <w:t xml:space="preserve">• </w:t>
            </w:r>
            <w:r>
              <w:rPr>
                <w:b w:val="0"/>
                <w:i w:val="0"/>
              </w:rPr>
              <w:t>Financial resilience during economic downturns.</w:t>
            </w:r>
          </w:p>
          <w:p>
            <w:pPr>
              <w:spacing w:after="40" w:line="276" w:lineRule="auto"/>
              <w:ind w:left="125" w:hanging="125"/>
              <w:jc w:val="left"/>
            </w:pPr>
            <w:r>
              <w:t xml:space="preserve">• </w:t>
            </w:r>
            <w:r>
              <w:rPr>
                <w:b w:val="0"/>
                <w:i w:val="0"/>
              </w:rPr>
              <w:t>Transparent and evidence-based governance.</w:t>
            </w:r>
          </w:p>
        </w:tc>
      </w:tr>
    </w:tbl>
    <w:p>
      <w:pPr>
        <w:spacing w:after="40"/>
      </w:pPr>
    </w:p>
    <w:p>
      <w:pPr>
        <w:pStyle w:val="Heading2"/>
      </w:pPr>
      <w:r>
        <w:t>Policy–Action–Outcome–KPI Table for Strategic Development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984"/>
        <w:gridCol w:w="3061"/>
        <w:gridCol w:w="2211"/>
        <w:gridCol w:w="2154"/>
      </w:tblGrid>
      <w:tr>
        <w:trPr>
          <w:tblHeader/>
          <w:cantSplit/>
        </w:trPr>
        <w:tc>
          <w:tcPr>
            <w:tcW w:type="dxa" w:w="1984"/>
            <w:vAlign w:val="center"/>
            <w:shd w:fill="1F3A5F"/>
          </w:tcPr>
          <w:p>
            <w:pPr>
              <w:keepNext/>
              <w:spacing w:after="40" w:line="276" w:lineRule="auto"/>
              <w:jc w:val="left"/>
            </w:pPr>
            <w:r>
              <w:rPr>
                <w:b/>
                <w:i w:val="0"/>
                <w:color w:val="FFFFFF"/>
              </w:rPr>
              <w:t>Policy Direction</w:t>
            </w:r>
          </w:p>
        </w:tc>
        <w:tc>
          <w:tcPr>
            <w:tcW w:type="dxa" w:w="3061"/>
            <w:vAlign w:val="center"/>
            <w:shd w:fill="1F3A5F"/>
          </w:tcPr>
          <w:p>
            <w:pPr>
              <w:keepNext/>
              <w:spacing w:after="40" w:line="276" w:lineRule="auto"/>
              <w:jc w:val="left"/>
            </w:pPr>
            <w:r>
              <w:rPr>
                <w:b/>
                <w:i w:val="0"/>
                <w:color w:val="FFFFFF"/>
              </w:rPr>
              <w:t>Strategic Actions (TOWS-based)</w:t>
            </w:r>
          </w:p>
        </w:tc>
        <w:tc>
          <w:tcPr>
            <w:tcW w:type="dxa" w:w="2211"/>
            <w:vAlign w:val="center"/>
            <w:shd w:fill="1F3A5F"/>
          </w:tcPr>
          <w:p>
            <w:pPr>
              <w:keepNext/>
              <w:spacing w:after="40" w:line="276" w:lineRule="auto"/>
              <w:jc w:val="left"/>
            </w:pPr>
            <w:r>
              <w:rPr>
                <w:b/>
                <w:i w:val="0"/>
                <w:color w:val="FFFFFF"/>
              </w:rPr>
              <w:t>Expected Outcomes</w:t>
            </w:r>
          </w:p>
        </w:tc>
        <w:tc>
          <w:tcPr>
            <w:tcW w:type="dxa" w:w="2154"/>
            <w:vAlign w:val="center"/>
            <w:shd w:fill="1F3A5F"/>
          </w:tcPr>
          <w:p>
            <w:pPr>
              <w:keepNext/>
              <w:spacing w:after="40" w:line="276" w:lineRule="auto"/>
              <w:jc w:val="left"/>
            </w:pPr>
            <w:r>
              <w:rPr>
                <w:b/>
                <w:i w:val="0"/>
                <w:color w:val="FFFFFF"/>
              </w:rPr>
              <w:t>KPIs (Key Performance Indicators)</w:t>
            </w:r>
          </w:p>
        </w:tc>
      </w:tr>
      <w:tr>
        <w:trPr>
          <w:cantSplit/>
        </w:trPr>
        <w:tc>
          <w:tcPr>
            <w:tcW w:type="dxa" w:w="1984"/>
            <w:vAlign w:val="center"/>
            <w:shd w:fill="FFFFFF"/>
          </w:tcPr>
          <w:p>
            <w:pPr>
              <w:spacing w:after="40" w:line="276" w:lineRule="auto"/>
              <w:jc w:val="left"/>
            </w:pPr>
            <w:r>
              <w:rPr>
                <w:b/>
                <w:i w:val="0"/>
              </w:rPr>
              <w:t>Policy 1:</w:t>
            </w:r>
            <w:r>
              <w:rPr>
                <w:b w:val="0"/>
                <w:i w:val="0"/>
              </w:rPr>
              <w:t xml:space="preserve"> Global Collaboration &amp; Research Expansion (so)</w:t>
            </w:r>
          </w:p>
        </w:tc>
        <w:tc>
          <w:tcPr>
            <w:tcW w:type="dxa" w:w="3061"/>
            <w:vAlign w:val="center"/>
            <w:shd w:fill="FFFFFF"/>
          </w:tcPr>
          <w:p>
            <w:pPr>
              <w:spacing w:after="40" w:line="276" w:lineRule="auto"/>
              <w:ind w:left="125" w:hanging="125"/>
              <w:jc w:val="left"/>
            </w:pPr>
            <w:r>
              <w:t xml:space="preserve">• </w:t>
            </w:r>
            <w:r>
              <w:rPr>
                <w:b w:val="0"/>
                <w:i w:val="0"/>
              </w:rPr>
              <w:t>Build international research and academic partnerships.</w:t>
            </w:r>
          </w:p>
          <w:p>
            <w:pPr>
              <w:spacing w:after="40" w:line="276" w:lineRule="auto"/>
              <w:ind w:left="125" w:hanging="125"/>
              <w:jc w:val="left"/>
            </w:pPr>
            <w:r>
              <w:t xml:space="preserve">• </w:t>
            </w:r>
            <w:r>
              <w:rPr>
                <w:b w:val="0"/>
                <w:i w:val="0"/>
              </w:rPr>
              <w:t>Expand online/​blended learning platforms.</w:t>
            </w:r>
          </w:p>
          <w:p>
            <w:pPr>
              <w:spacing w:after="40" w:line="276" w:lineRule="auto"/>
              <w:ind w:left="125" w:hanging="125"/>
              <w:jc w:val="left"/>
            </w:pPr>
            <w:r>
              <w:t xml:space="preserve">• </w:t>
            </w:r>
            <w:r>
              <w:rPr>
                <w:b w:val="0"/>
                <w:i w:val="0"/>
              </w:rPr>
              <w:t>Mobilize alumni and CSR funds.</w:t>
            </w:r>
          </w:p>
          <w:p>
            <w:pPr>
              <w:spacing w:after="40" w:line="276" w:lineRule="auto"/>
              <w:ind w:left="125" w:hanging="125"/>
              <w:jc w:val="left"/>
            </w:pPr>
            <w:r>
              <w:t xml:space="preserve">• </w:t>
            </w:r>
            <w:r>
              <w:rPr>
                <w:b w:val="0"/>
                <w:i w:val="0"/>
              </w:rPr>
              <w:t>Use accreditation readiness for global ranking participation.</w:t>
            </w:r>
          </w:p>
        </w:tc>
        <w:tc>
          <w:tcPr>
            <w:tcW w:type="dxa" w:w="2211"/>
            <w:vAlign w:val="center"/>
            <w:shd w:fill="FFFFFF"/>
          </w:tcPr>
          <w:p>
            <w:pPr>
              <w:spacing w:after="40" w:line="276" w:lineRule="auto"/>
              <w:ind w:left="125" w:hanging="125"/>
              <w:jc w:val="left"/>
            </w:pPr>
            <w:r>
              <w:t xml:space="preserve">• </w:t>
            </w:r>
            <w:r>
              <w:rPr>
                <w:b w:val="0"/>
                <w:i w:val="0"/>
              </w:rPr>
              <w:t>Increased international exposure.</w:t>
            </w:r>
          </w:p>
          <w:p>
            <w:pPr>
              <w:spacing w:after="40" w:line="276" w:lineRule="auto"/>
              <w:ind w:left="125" w:hanging="125"/>
              <w:jc w:val="left"/>
            </w:pPr>
            <w:r>
              <w:t xml:space="preserve">• </w:t>
            </w:r>
            <w:r>
              <w:rPr>
                <w:b w:val="0"/>
                <w:i w:val="0"/>
              </w:rPr>
              <w:t>Wider access to digital education.</w:t>
            </w:r>
          </w:p>
          <w:p>
            <w:pPr>
              <w:spacing w:after="40" w:line="276" w:lineRule="auto"/>
              <w:ind w:left="125" w:hanging="125"/>
              <w:jc w:val="left"/>
            </w:pPr>
            <w:r>
              <w:t xml:space="preserve">• </w:t>
            </w:r>
            <w:r>
              <w:rPr>
                <w:b w:val="0"/>
                <w:i w:val="0"/>
              </w:rPr>
              <w:t>Sustainable research funding.</w:t>
            </w:r>
          </w:p>
          <w:p>
            <w:pPr>
              <w:spacing w:after="40" w:line="276" w:lineRule="auto"/>
              <w:ind w:left="125" w:hanging="125"/>
              <w:jc w:val="left"/>
            </w:pPr>
            <w:r>
              <w:t xml:space="preserve">• </w:t>
            </w:r>
            <w:r>
              <w:rPr>
                <w:b w:val="0"/>
                <w:i w:val="0"/>
              </w:rPr>
              <w:t>Global institutional recognition.</w:t>
            </w:r>
          </w:p>
        </w:tc>
        <w:tc>
          <w:tcPr>
            <w:tcW w:type="dxa" w:w="2154"/>
            <w:vAlign w:val="center"/>
            <w:shd w:fill="FFFFFF"/>
          </w:tcPr>
          <w:p>
            <w:pPr>
              <w:spacing w:after="40" w:line="276" w:lineRule="auto"/>
              <w:ind w:left="125" w:hanging="125"/>
              <w:jc w:val="left"/>
            </w:pPr>
            <w:r>
              <w:t xml:space="preserve">• </w:t>
            </w:r>
            <w:r>
              <w:rPr>
                <w:b w:val="0"/>
                <w:i w:val="0"/>
              </w:rPr>
              <w:t>Number of MoUs signed annually.</w:t>
            </w:r>
          </w:p>
          <w:p>
            <w:pPr>
              <w:spacing w:after="40" w:line="276" w:lineRule="auto"/>
              <w:ind w:left="125" w:hanging="125"/>
              <w:jc w:val="left"/>
            </w:pPr>
            <w:r>
              <w:t xml:space="preserve">• </w:t>
            </w:r>
            <w:r>
              <w:rPr>
                <w:b w:val="0"/>
                <w:i w:val="0"/>
              </w:rPr>
              <w:t>% increase in international student/​faculty exchanges.</w:t>
            </w:r>
          </w:p>
          <w:p>
            <w:pPr>
              <w:spacing w:after="40" w:line="276" w:lineRule="auto"/>
              <w:ind w:left="125" w:hanging="125"/>
              <w:jc w:val="left"/>
            </w:pPr>
            <w:r>
              <w:t xml:space="preserve">• </w:t>
            </w:r>
            <w:r>
              <w:rPr>
                <w:b w:val="0"/>
                <w:i w:val="0"/>
              </w:rPr>
              <w:t>Alumni/​CSR contribution (₹/£ per year).</w:t>
            </w:r>
          </w:p>
          <w:p>
            <w:pPr>
              <w:spacing w:after="40" w:line="276" w:lineRule="auto"/>
              <w:ind w:left="125" w:hanging="125"/>
              <w:jc w:val="left"/>
            </w:pPr>
            <w:r>
              <w:t xml:space="preserve">• </w:t>
            </w:r>
            <w:r>
              <w:rPr>
                <w:b w:val="0"/>
                <w:i w:val="0"/>
              </w:rPr>
              <w:t>Global ranking improvement (QS/​THE position).</w:t>
            </w:r>
          </w:p>
        </w:tc>
      </w:tr>
      <w:tr>
        <w:trPr>
          <w:cantSplit/>
        </w:trPr>
        <w:tc>
          <w:tcPr>
            <w:tcW w:type="dxa" w:w="1984"/>
            <w:vAlign w:val="center"/>
            <w:shd w:fill="EDF2F7"/>
          </w:tcPr>
          <w:p>
            <w:pPr>
              <w:spacing w:after="40" w:line="276" w:lineRule="auto"/>
              <w:jc w:val="left"/>
            </w:pPr>
            <w:r>
              <w:rPr>
                <w:b/>
                <w:i w:val="0"/>
              </w:rPr>
              <w:t>Policy 2:</w:t>
            </w:r>
            <w:r>
              <w:rPr>
                <w:b w:val="0"/>
                <w:i w:val="0"/>
              </w:rPr>
              <w:t xml:space="preserve"> Resilience Against Technological &amp; Environmental Risks (ST)</w:t>
            </w:r>
          </w:p>
        </w:tc>
        <w:tc>
          <w:tcPr>
            <w:tcW w:type="dxa" w:w="3061"/>
            <w:vAlign w:val="center"/>
            <w:shd w:fill="EDF2F7"/>
          </w:tcPr>
          <w:p>
            <w:pPr>
              <w:spacing w:after="40" w:line="276" w:lineRule="auto"/>
              <w:ind w:left="125" w:hanging="125"/>
              <w:jc w:val="left"/>
            </w:pPr>
            <w:r>
              <w:t xml:space="preserve">• </w:t>
            </w:r>
            <w:r>
              <w:rPr>
                <w:b w:val="0"/>
                <w:i w:val="0"/>
              </w:rPr>
              <w:t>Update curriculum regularly with emerging technologies.</w:t>
            </w:r>
          </w:p>
          <w:p>
            <w:pPr>
              <w:spacing w:after="40" w:line="276" w:lineRule="auto"/>
              <w:ind w:left="125" w:hanging="125"/>
              <w:jc w:val="left"/>
            </w:pPr>
            <w:r>
              <w:t xml:space="preserve">• </w:t>
            </w:r>
            <w:r>
              <w:rPr>
                <w:b w:val="0"/>
                <w:i w:val="0"/>
              </w:rPr>
              <w:t>Strengthen cybersecurity infrastructure.</w:t>
            </w:r>
          </w:p>
          <w:p>
            <w:pPr>
              <w:spacing w:after="40" w:line="276" w:lineRule="auto"/>
              <w:ind w:left="125" w:hanging="125"/>
              <w:jc w:val="left"/>
            </w:pPr>
            <w:r>
              <w:t xml:space="preserve">• </w:t>
            </w:r>
            <w:r>
              <w:rPr>
                <w:b w:val="0"/>
                <w:i w:val="0"/>
              </w:rPr>
              <w:t>Promote sustainability research and green campus projects.</w:t>
            </w:r>
          </w:p>
          <w:p>
            <w:pPr>
              <w:spacing w:after="40" w:line="276" w:lineRule="auto"/>
              <w:ind w:left="125" w:hanging="125"/>
              <w:jc w:val="left"/>
            </w:pPr>
            <w:r>
              <w:t xml:space="preserve">• </w:t>
            </w:r>
            <w:r>
              <w:rPr>
                <w:b w:val="0"/>
                <w:i w:val="0"/>
              </w:rPr>
              <w:t>Engage student/​community to stabilize enrollment.</w:t>
            </w:r>
          </w:p>
        </w:tc>
        <w:tc>
          <w:tcPr>
            <w:tcW w:type="dxa" w:w="2211"/>
            <w:vAlign w:val="center"/>
            <w:shd w:fill="EDF2F7"/>
          </w:tcPr>
          <w:p>
            <w:pPr>
              <w:spacing w:after="40" w:line="276" w:lineRule="auto"/>
              <w:ind w:left="125" w:hanging="125"/>
              <w:jc w:val="left"/>
            </w:pPr>
            <w:r>
              <w:t xml:space="preserve">• </w:t>
            </w:r>
            <w:r>
              <w:rPr>
                <w:b w:val="0"/>
                <w:i w:val="0"/>
              </w:rPr>
              <w:t>Future-ready graduates.</w:t>
            </w:r>
          </w:p>
          <w:p>
            <w:pPr>
              <w:spacing w:after="40" w:line="276" w:lineRule="auto"/>
              <w:ind w:left="125" w:hanging="125"/>
              <w:jc w:val="left"/>
            </w:pPr>
            <w:r>
              <w:t xml:space="preserve">• </w:t>
            </w:r>
            <w:r>
              <w:rPr>
                <w:b w:val="0"/>
                <w:i w:val="0"/>
              </w:rPr>
              <w:t>Safer digital ecosystem.</w:t>
            </w:r>
          </w:p>
          <w:p>
            <w:pPr>
              <w:spacing w:after="40" w:line="276" w:lineRule="auto"/>
              <w:ind w:left="125" w:hanging="125"/>
              <w:jc w:val="left"/>
            </w:pPr>
            <w:r>
              <w:t xml:space="preserve">• </w:t>
            </w:r>
            <w:r>
              <w:rPr>
                <w:b w:val="0"/>
                <w:i w:val="0"/>
              </w:rPr>
              <w:t>Recognized green initiatives.</w:t>
            </w:r>
          </w:p>
          <w:p>
            <w:pPr>
              <w:spacing w:after="40" w:line="276" w:lineRule="auto"/>
              <w:ind w:left="125" w:hanging="125"/>
              <w:jc w:val="left"/>
            </w:pPr>
            <w:r>
              <w:t xml:space="preserve">• </w:t>
            </w:r>
            <w:r>
              <w:rPr>
                <w:b w:val="0"/>
                <w:i w:val="0"/>
              </w:rPr>
              <w:t>Stable admissions.</w:t>
            </w:r>
          </w:p>
        </w:tc>
        <w:tc>
          <w:tcPr>
            <w:tcW w:type="dxa" w:w="2154"/>
            <w:vAlign w:val="center"/>
            <w:shd w:fill="EDF2F7"/>
          </w:tcPr>
          <w:p>
            <w:pPr>
              <w:spacing w:after="40" w:line="276" w:lineRule="auto"/>
              <w:ind w:left="125" w:hanging="125"/>
              <w:jc w:val="left"/>
            </w:pPr>
            <w:r>
              <w:t xml:space="preserve">• </w:t>
            </w:r>
            <w:r>
              <w:rPr>
                <w:b w:val="0"/>
                <w:i w:val="0"/>
              </w:rPr>
              <w:t>% of courses updated every 2 years.</w:t>
            </w:r>
          </w:p>
          <w:p>
            <w:pPr>
              <w:spacing w:after="40" w:line="276" w:lineRule="auto"/>
              <w:ind w:left="125" w:hanging="125"/>
              <w:jc w:val="left"/>
            </w:pPr>
            <w:r>
              <w:t xml:space="preserve">• </w:t>
            </w:r>
            <w:r>
              <w:rPr>
                <w:b w:val="0"/>
                <w:i w:val="0"/>
              </w:rPr>
              <w:t>Number of cybersecurity incidents per year.</w:t>
            </w:r>
          </w:p>
          <w:p>
            <w:pPr>
              <w:spacing w:after="40" w:line="276" w:lineRule="auto"/>
              <w:ind w:left="125" w:hanging="125"/>
              <w:jc w:val="left"/>
            </w:pPr>
            <w:r>
              <w:t xml:space="preserve">• </w:t>
            </w:r>
            <w:r>
              <w:rPr>
                <w:b w:val="0"/>
                <w:i w:val="0"/>
              </w:rPr>
              <w:t>% renewable energy use on campus.</w:t>
            </w:r>
          </w:p>
          <w:p>
            <w:pPr>
              <w:spacing w:after="40" w:line="276" w:lineRule="auto"/>
              <w:ind w:left="125" w:hanging="125"/>
              <w:jc w:val="left"/>
            </w:pPr>
            <w:r>
              <w:t xml:space="preserve">• </w:t>
            </w:r>
            <w:r>
              <w:rPr>
                <w:b w:val="0"/>
                <w:i w:val="0"/>
              </w:rPr>
              <w:t>Student enrollment growth rate (%).</w:t>
            </w:r>
          </w:p>
        </w:tc>
      </w:tr>
      <w:tr>
        <w:trPr>
          <w:cantSplit/>
        </w:trPr>
        <w:tc>
          <w:tcPr>
            <w:tcW w:type="dxa" w:w="1984"/>
            <w:vAlign w:val="center"/>
            <w:shd w:fill="FFFFFF"/>
          </w:tcPr>
          <w:p>
            <w:pPr>
              <w:spacing w:after="40" w:line="276" w:lineRule="auto"/>
              <w:jc w:val="left"/>
            </w:pPr>
            <w:r>
              <w:rPr>
                <w:b/>
                <w:i w:val="0"/>
              </w:rPr>
              <w:t>Policy 3:</w:t>
            </w:r>
            <w:r>
              <w:rPr>
                <w:b w:val="0"/>
                <w:i w:val="0"/>
              </w:rPr>
              <w:t xml:space="preserve"> Institutional Strengthening through External Opportunities (wo)</w:t>
            </w:r>
          </w:p>
        </w:tc>
        <w:tc>
          <w:tcPr>
            <w:tcW w:type="dxa" w:w="3061"/>
            <w:vAlign w:val="center"/>
            <w:shd w:fill="FFFFFF"/>
          </w:tcPr>
          <w:p>
            <w:pPr>
              <w:spacing w:after="40" w:line="276" w:lineRule="auto"/>
              <w:ind w:left="125" w:hanging="125"/>
              <w:jc w:val="left"/>
            </w:pPr>
            <w:r>
              <w:t xml:space="preserve">• </w:t>
            </w:r>
            <w:r>
              <w:rPr>
                <w:b w:val="0"/>
                <w:i w:val="0"/>
              </w:rPr>
              <w:t>Build international collaborations.</w:t>
            </w:r>
          </w:p>
          <w:p>
            <w:pPr>
              <w:spacing w:after="40" w:line="276" w:lineRule="auto"/>
              <w:ind w:left="125" w:hanging="125"/>
              <w:jc w:val="left"/>
            </w:pPr>
            <w:r>
              <w:t xml:space="preserve">• </w:t>
            </w:r>
            <w:r>
              <w:rPr>
                <w:b w:val="0"/>
                <w:i w:val="0"/>
              </w:rPr>
              <w:t>Use NEP 2020 reforms to balance faculty–student ratio.</w:t>
            </w:r>
          </w:p>
          <w:p>
            <w:pPr>
              <w:spacing w:after="40" w:line="276" w:lineRule="auto"/>
              <w:ind w:left="125" w:hanging="125"/>
              <w:jc w:val="left"/>
            </w:pPr>
            <w:r>
              <w:t xml:space="preserve">• </w:t>
            </w:r>
            <w:r>
              <w:rPr>
                <w:b w:val="0"/>
                <w:i w:val="0"/>
              </w:rPr>
              <w:t>Secure research council grants.</w:t>
            </w:r>
          </w:p>
          <w:p>
            <w:pPr>
              <w:spacing w:after="40" w:line="276" w:lineRule="auto"/>
              <w:ind w:left="125" w:hanging="125"/>
              <w:jc w:val="left"/>
            </w:pPr>
            <w:r>
              <w:t xml:space="preserve">• </w:t>
            </w:r>
            <w:r>
              <w:rPr>
                <w:b w:val="0"/>
                <w:i w:val="0"/>
              </w:rPr>
              <w:t>Strengthen industry partnerships.</w:t>
            </w:r>
          </w:p>
        </w:tc>
        <w:tc>
          <w:tcPr>
            <w:tcW w:type="dxa" w:w="2211"/>
            <w:vAlign w:val="center"/>
            <w:shd w:fill="FFFFFF"/>
          </w:tcPr>
          <w:p>
            <w:pPr>
              <w:spacing w:after="40" w:line="276" w:lineRule="auto"/>
              <w:ind w:left="125" w:hanging="125"/>
              <w:jc w:val="left"/>
            </w:pPr>
            <w:r>
              <w:t xml:space="preserve">• </w:t>
            </w:r>
            <w:r>
              <w:rPr>
                <w:b w:val="0"/>
                <w:i w:val="0"/>
              </w:rPr>
              <w:t>Academic globalization.</w:t>
            </w:r>
          </w:p>
          <w:p>
            <w:pPr>
              <w:spacing w:after="40" w:line="276" w:lineRule="auto"/>
              <w:ind w:left="125" w:hanging="125"/>
              <w:jc w:val="left"/>
            </w:pPr>
            <w:r>
              <w:t xml:space="preserve">• </w:t>
            </w:r>
            <w:r>
              <w:rPr>
                <w:b w:val="0"/>
                <w:i w:val="0"/>
              </w:rPr>
              <w:t>Improved teaching quality.</w:t>
            </w:r>
          </w:p>
          <w:p>
            <w:pPr>
              <w:spacing w:after="40" w:line="276" w:lineRule="auto"/>
              <w:ind w:left="125" w:hanging="125"/>
              <w:jc w:val="left"/>
            </w:pPr>
            <w:r>
              <w:t xml:space="preserve">• </w:t>
            </w:r>
            <w:r>
              <w:rPr>
                <w:b w:val="0"/>
                <w:i w:val="0"/>
              </w:rPr>
              <w:t>Upgraded labs and facilities.</w:t>
            </w:r>
          </w:p>
          <w:p>
            <w:pPr>
              <w:spacing w:after="40" w:line="276" w:lineRule="auto"/>
              <w:ind w:left="125" w:hanging="125"/>
              <w:jc w:val="left"/>
            </w:pPr>
            <w:r>
              <w:t xml:space="preserve">• </w:t>
            </w:r>
            <w:r>
              <w:rPr>
                <w:b w:val="0"/>
                <w:i w:val="0"/>
              </w:rPr>
              <w:t>Stronger industry-academia links.</w:t>
            </w:r>
          </w:p>
        </w:tc>
        <w:tc>
          <w:tcPr>
            <w:tcW w:type="dxa" w:w="2154"/>
            <w:vAlign w:val="center"/>
            <w:shd w:fill="FFFFFF"/>
          </w:tcPr>
          <w:p>
            <w:pPr>
              <w:spacing w:after="40" w:line="276" w:lineRule="auto"/>
              <w:ind w:left="125" w:hanging="125"/>
              <w:jc w:val="left"/>
            </w:pPr>
            <w:r>
              <w:t xml:space="preserve">• </w:t>
            </w:r>
            <w:r>
              <w:rPr>
                <w:b/>
                <w:i w:val="0"/>
              </w:rPr>
              <w:t>Faculty–student ratio (target 1:</w:t>
            </w:r>
            <w:r>
              <w:rPr>
                <w:b w:val="0"/>
                <w:i w:val="0"/>
              </w:rPr>
              <w:t>15 as per NAAC/​NBA).</w:t>
            </w:r>
          </w:p>
          <w:p>
            <w:pPr>
              <w:spacing w:after="40" w:line="276" w:lineRule="auto"/>
              <w:ind w:left="125" w:hanging="125"/>
              <w:jc w:val="left"/>
            </w:pPr>
            <w:r>
              <w:t xml:space="preserve">• </w:t>
            </w:r>
            <w:r>
              <w:rPr>
                <w:b w:val="0"/>
                <w:i w:val="0"/>
              </w:rPr>
              <w:t>No. of funded research projects (per year).</w:t>
            </w:r>
          </w:p>
          <w:p>
            <w:pPr>
              <w:spacing w:after="40" w:line="276" w:lineRule="auto"/>
              <w:ind w:left="125" w:hanging="125"/>
              <w:jc w:val="left"/>
            </w:pPr>
            <w:r>
              <w:t xml:space="preserve">• </w:t>
            </w:r>
            <w:r>
              <w:rPr>
                <w:b w:val="0"/>
                <w:i w:val="0"/>
              </w:rPr>
              <w:t>Research grants received (₹/£ per year).</w:t>
            </w:r>
          </w:p>
          <w:p>
            <w:pPr>
              <w:spacing w:after="40" w:line="276" w:lineRule="auto"/>
              <w:ind w:left="125" w:hanging="125"/>
              <w:jc w:val="left"/>
            </w:pPr>
            <w:r>
              <w:t xml:space="preserve">• </w:t>
            </w:r>
            <w:r>
              <w:rPr>
                <w:b w:val="0"/>
                <w:i w:val="0"/>
              </w:rPr>
              <w:t>% of students with industry internships.</w:t>
            </w:r>
          </w:p>
        </w:tc>
      </w:tr>
      <w:tr>
        <w:trPr>
          <w:cantSplit/>
        </w:trPr>
        <w:tc>
          <w:tcPr>
            <w:tcW w:type="dxa" w:w="1984"/>
            <w:vAlign w:val="center"/>
            <w:shd w:fill="EDF2F7"/>
          </w:tcPr>
          <w:p>
            <w:pPr>
              <w:spacing w:after="40" w:line="276" w:lineRule="auto"/>
              <w:jc w:val="left"/>
            </w:pPr>
            <w:r>
              <w:rPr>
                <w:b/>
                <w:i w:val="0"/>
              </w:rPr>
              <w:t>Policy 4:</w:t>
            </w:r>
            <w:r>
              <w:rPr>
                <w:b w:val="0"/>
                <w:i w:val="0"/>
              </w:rPr>
              <w:t xml:space="preserve"> Financial &amp; Governance Sustainability (WT)</w:t>
            </w:r>
          </w:p>
        </w:tc>
        <w:tc>
          <w:tcPr>
            <w:tcW w:type="dxa" w:w="3061"/>
            <w:vAlign w:val="center"/>
            <w:shd w:fill="EDF2F7"/>
          </w:tcPr>
          <w:p>
            <w:pPr>
              <w:spacing w:after="40" w:line="276" w:lineRule="auto"/>
              <w:ind w:left="125" w:hanging="125"/>
              <w:jc w:val="left"/>
            </w:pPr>
            <w:r>
              <w:t xml:space="preserve">• </w:t>
            </w:r>
            <w:r>
              <w:rPr>
                <w:b w:val="0"/>
                <w:i w:val="0"/>
              </w:rPr>
              <w:t>Diversify funding sources.</w:t>
            </w:r>
          </w:p>
          <w:p>
            <w:pPr>
              <w:spacing w:after="40" w:line="276" w:lineRule="auto"/>
              <w:ind w:left="125" w:hanging="125"/>
              <w:jc w:val="left"/>
            </w:pPr>
            <w:r>
              <w:t xml:space="preserve">• </w:t>
            </w:r>
            <w:r>
              <w:rPr>
                <w:b w:val="0"/>
                <w:i w:val="0"/>
              </w:rPr>
              <w:t>Adopt agile governance systems.</w:t>
            </w:r>
          </w:p>
          <w:p>
            <w:pPr>
              <w:spacing w:after="40" w:line="276" w:lineRule="auto"/>
              <w:ind w:left="125" w:hanging="125"/>
              <w:jc w:val="left"/>
            </w:pPr>
            <w:r>
              <w:t xml:space="preserve">• </w:t>
            </w:r>
            <w:r>
              <w:rPr>
                <w:b w:val="0"/>
                <w:i w:val="0"/>
              </w:rPr>
              <w:t>Implement faculty retention programs.</w:t>
            </w:r>
          </w:p>
          <w:p>
            <w:pPr>
              <w:spacing w:after="40" w:line="276" w:lineRule="auto"/>
              <w:ind w:left="125" w:hanging="125"/>
              <w:jc w:val="left"/>
            </w:pPr>
            <w:r>
              <w:t xml:space="preserve">• </w:t>
            </w:r>
            <w:r>
              <w:rPr>
                <w:b w:val="0"/>
                <w:i w:val="0"/>
              </w:rPr>
              <w:t>Develop economic resilience strategies.</w:t>
            </w:r>
          </w:p>
          <w:p>
            <w:pPr>
              <w:spacing w:after="40" w:line="276" w:lineRule="auto"/>
              <w:ind w:left="125" w:hanging="125"/>
              <w:jc w:val="left"/>
            </w:pPr>
            <w:r>
              <w:t xml:space="preserve">• </w:t>
            </w:r>
            <w:r>
              <w:rPr>
                <w:b w:val="0"/>
                <w:i w:val="0"/>
              </w:rPr>
              <w:t>Establish data-driven decision-making frameworks.</w:t>
            </w:r>
          </w:p>
        </w:tc>
        <w:tc>
          <w:tcPr>
            <w:tcW w:type="dxa" w:w="2211"/>
            <w:vAlign w:val="center"/>
            <w:shd w:fill="EDF2F7"/>
          </w:tcPr>
          <w:p>
            <w:pPr>
              <w:spacing w:after="40" w:line="276" w:lineRule="auto"/>
              <w:ind w:left="125" w:hanging="125"/>
              <w:jc w:val="left"/>
            </w:pPr>
            <w:r>
              <w:t xml:space="preserve">• </w:t>
            </w:r>
            <w:r>
              <w:rPr>
                <w:b w:val="0"/>
                <w:i w:val="0"/>
              </w:rPr>
              <w:t>Stable finances.</w:t>
            </w:r>
          </w:p>
          <w:p>
            <w:pPr>
              <w:spacing w:after="40" w:line="276" w:lineRule="auto"/>
              <w:ind w:left="125" w:hanging="125"/>
              <w:jc w:val="left"/>
            </w:pPr>
            <w:r>
              <w:t xml:space="preserve">• </w:t>
            </w:r>
            <w:r>
              <w:rPr>
                <w:b w:val="0"/>
                <w:i w:val="0"/>
              </w:rPr>
              <w:t>Transparent governance.</w:t>
            </w:r>
          </w:p>
          <w:p>
            <w:pPr>
              <w:spacing w:after="40" w:line="276" w:lineRule="auto"/>
              <w:ind w:left="125" w:hanging="125"/>
              <w:jc w:val="left"/>
            </w:pPr>
            <w:r>
              <w:t xml:space="preserve">• </w:t>
            </w:r>
            <w:r>
              <w:rPr>
                <w:b w:val="0"/>
                <w:i w:val="0"/>
              </w:rPr>
              <w:t>Retained skilled faculty.</w:t>
            </w:r>
          </w:p>
          <w:p>
            <w:pPr>
              <w:spacing w:after="40" w:line="276" w:lineRule="auto"/>
              <w:ind w:left="125" w:hanging="125"/>
              <w:jc w:val="left"/>
            </w:pPr>
            <w:r>
              <w:t xml:space="preserve">• </w:t>
            </w:r>
            <w:r>
              <w:rPr>
                <w:b w:val="0"/>
                <w:i w:val="0"/>
              </w:rPr>
              <w:t>Resilient institution.</w:t>
            </w:r>
          </w:p>
          <w:p>
            <w:pPr>
              <w:spacing w:after="40" w:line="276" w:lineRule="auto"/>
              <w:ind w:left="125" w:hanging="125"/>
              <w:jc w:val="left"/>
            </w:pPr>
            <w:r>
              <w:t xml:space="preserve">• </w:t>
            </w:r>
            <w:r>
              <w:rPr>
                <w:b w:val="0"/>
                <w:i w:val="0"/>
              </w:rPr>
              <w:t>Evidence-based management.</w:t>
            </w:r>
          </w:p>
        </w:tc>
        <w:tc>
          <w:tcPr>
            <w:tcW w:type="dxa" w:w="2154"/>
            <w:vAlign w:val="center"/>
            <w:shd w:fill="EDF2F7"/>
          </w:tcPr>
          <w:p>
            <w:pPr>
              <w:spacing w:after="40" w:line="276" w:lineRule="auto"/>
              <w:ind w:left="125" w:hanging="125"/>
              <w:jc w:val="left"/>
            </w:pPr>
            <w:r>
              <w:t xml:space="preserve">• </w:t>
            </w:r>
            <w:r>
              <w:rPr>
                <w:b w:val="0"/>
                <w:i w:val="0"/>
              </w:rPr>
              <w:t>% of revenue from non-government sources.</w:t>
            </w:r>
          </w:p>
          <w:p>
            <w:pPr>
              <w:spacing w:after="40" w:line="276" w:lineRule="auto"/>
              <w:ind w:left="125" w:hanging="125"/>
              <w:jc w:val="left"/>
            </w:pPr>
            <w:r>
              <w:t xml:space="preserve">• </w:t>
            </w:r>
            <w:r>
              <w:rPr>
                <w:b w:val="0"/>
                <w:i w:val="0"/>
              </w:rPr>
              <w:t>Average decision-making turnaround time.</w:t>
            </w:r>
          </w:p>
          <w:p>
            <w:pPr>
              <w:spacing w:after="40" w:line="276" w:lineRule="auto"/>
              <w:ind w:left="125" w:hanging="125"/>
              <w:jc w:val="left"/>
            </w:pPr>
            <w:r>
              <w:t xml:space="preserve">• </w:t>
            </w:r>
            <w:r>
              <w:rPr>
                <w:b w:val="0"/>
                <w:i w:val="0"/>
              </w:rPr>
              <w:t>Faculty retention rate (%).</w:t>
            </w:r>
          </w:p>
          <w:p>
            <w:pPr>
              <w:spacing w:after="40" w:line="276" w:lineRule="auto"/>
              <w:ind w:left="125" w:hanging="125"/>
              <w:jc w:val="left"/>
            </w:pPr>
            <w:r>
              <w:t xml:space="preserve">• </w:t>
            </w:r>
            <w:r>
              <w:rPr>
                <w:b w:val="0"/>
                <w:i w:val="0"/>
              </w:rPr>
              <w:t>Financial reserves sustainability ratio.</w:t>
            </w:r>
          </w:p>
          <w:p>
            <w:pPr>
              <w:spacing w:after="40" w:line="276" w:lineRule="auto"/>
              <w:ind w:left="125" w:hanging="125"/>
              <w:jc w:val="left"/>
            </w:pPr>
            <w:r>
              <w:t xml:space="preserve">• </w:t>
            </w:r>
            <w:r>
              <w:rPr>
                <w:b w:val="0"/>
                <w:i w:val="0"/>
              </w:rPr>
              <w:t>No. of policies driven by data dashboards.</w:t>
            </w:r>
          </w:p>
        </w:tc>
      </w:tr>
    </w:tbl>
    <w:p>
      <w:pPr>
        <w:spacing w:after="40"/>
      </w:pPr>
    </w:p>
    <w:p>
      <w:pPr>
        <w:pStyle w:val="Heading1"/>
      </w:pPr>
      <w:r>
        <w:t>8. PESTLE (Political, Economic, Social, Technological, Legal, Environmental factors)</w:t>
      </w:r>
    </w:p>
    <w:p>
      <w:pPr>
        <w:pStyle w:val="Heading2"/>
      </w:pPr>
      <w:r>
        <w:rPr>
          <w:i/>
        </w:rPr>
        <w:t>1. Political Factors</w:t>
      </w:r>
    </w:p>
    <w:p>
      <w:pPr>
        <w:pStyle w:val="ListBullet"/>
        <w:numPr>
          <w:ilvl w:val="0"/>
          <w:numId w:val="90"/>
        </w:numPr>
        <w:ind w:left="340" w:hanging="142"/>
      </w:pPr>
      <w:r>
        <w:rPr>
          <w:b w:val="0"/>
          <w:i w:val="0"/>
        </w:rPr>
        <w:t>Government education policies (e.g., NEP 2020 in India, Higher Education Acts in other regions).</w:t>
      </w:r>
    </w:p>
    <w:p>
      <w:pPr>
        <w:pStyle w:val="ListBullet"/>
        <w:numPr>
          <w:ilvl w:val="0"/>
          <w:numId w:val="90"/>
        </w:numPr>
        <w:ind w:left="340" w:hanging="142"/>
      </w:pPr>
      <w:r>
        <w:rPr>
          <w:b w:val="0"/>
          <w:i w:val="0"/>
        </w:rPr>
        <w:t>Accreditation requirements (NAAC, NBA, NIRF, QS frameworks).</w:t>
      </w:r>
    </w:p>
    <w:p>
      <w:pPr>
        <w:pStyle w:val="ListBullet"/>
        <w:numPr>
          <w:ilvl w:val="0"/>
          <w:numId w:val="90"/>
        </w:numPr>
        <w:ind w:left="340" w:hanging="142"/>
      </w:pPr>
      <w:r>
        <w:rPr>
          <w:b w:val="0"/>
          <w:i w:val="0"/>
        </w:rPr>
        <w:t>Government funding schemes, grants, and subsidies for research.</w:t>
      </w:r>
    </w:p>
    <w:p>
      <w:pPr>
        <w:pStyle w:val="ListBullet"/>
        <w:numPr>
          <w:ilvl w:val="0"/>
          <w:numId w:val="90"/>
        </w:numPr>
        <w:ind w:left="340" w:hanging="142"/>
      </w:pPr>
      <w:r>
        <w:rPr>
          <w:b w:val="0"/>
          <w:i w:val="0"/>
        </w:rPr>
        <w:t>Political stability affecting international collaborations.</w:t>
      </w:r>
    </w:p>
    <w:p>
      <w:pPr>
        <w:pStyle w:val="ListBullet"/>
        <w:numPr>
          <w:ilvl w:val="0"/>
          <w:numId w:val="90"/>
        </w:numPr>
        <w:ind w:left="340" w:hanging="142"/>
      </w:pPr>
      <w:r>
        <w:rPr>
          <w:b w:val="0"/>
          <w:i w:val="0"/>
        </w:rPr>
        <w:t>Public–private partnership policies in higher education and infrastructure.</w:t>
      </w:r>
    </w:p>
    <w:p>
      <w:pPr>
        <w:pStyle w:val="ListBullet"/>
        <w:numPr>
          <w:ilvl w:val="0"/>
          <w:numId w:val="90"/>
        </w:numPr>
        <w:ind w:left="340" w:hanging="142"/>
      </w:pPr>
      <w:r>
        <w:rPr>
          <w:b w:val="0"/>
          <w:i w:val="0"/>
        </w:rPr>
        <w:t>National priorities aligning with SDGs (e.g., SDG-4, SDG-7, SDG-11).</w:t>
      </w:r>
    </w:p>
    <w:p>
      <w:pPr>
        <w:pStyle w:val="Heading2"/>
      </w:pPr>
      <w:r>
        <w:rPr>
          <w:i/>
        </w:rPr>
        <w:t>2. Economic Factors</w:t>
      </w:r>
    </w:p>
    <w:p>
      <w:pPr>
        <w:pStyle w:val="ListBullet"/>
        <w:numPr>
          <w:ilvl w:val="0"/>
          <w:numId w:val="90"/>
        </w:numPr>
        <w:ind w:left="340" w:hanging="142"/>
      </w:pPr>
      <w:r>
        <w:rPr>
          <w:b w:val="0"/>
          <w:i w:val="0"/>
        </w:rPr>
        <w:t>Budget allocations for higher education and R&amp;D.</w:t>
      </w:r>
    </w:p>
    <w:p>
      <w:pPr>
        <w:pStyle w:val="ListBullet"/>
        <w:numPr>
          <w:ilvl w:val="0"/>
          <w:numId w:val="90"/>
        </w:numPr>
        <w:ind w:left="340" w:hanging="142"/>
      </w:pPr>
      <w:r>
        <w:rPr>
          <w:b w:val="0"/>
          <w:i w:val="0"/>
        </w:rPr>
        <w:t>Alumni donations, CSR funding, and private investment trends.</w:t>
      </w:r>
    </w:p>
    <w:p>
      <w:pPr>
        <w:pStyle w:val="ListBullet"/>
        <w:numPr>
          <w:ilvl w:val="0"/>
          <w:numId w:val="90"/>
        </w:numPr>
        <w:ind w:left="340" w:hanging="142"/>
      </w:pPr>
      <w:r>
        <w:rPr>
          <w:b w:val="0"/>
          <w:i w:val="0"/>
        </w:rPr>
        <w:t>Inflation and rising operational costs (infrastructure, salaries, digitalization).</w:t>
      </w:r>
    </w:p>
    <w:p>
      <w:pPr>
        <w:pStyle w:val="ListBullet"/>
        <w:numPr>
          <w:ilvl w:val="0"/>
          <w:numId w:val="90"/>
        </w:numPr>
        <w:ind w:left="340" w:hanging="142"/>
      </w:pPr>
      <w:r>
        <w:rPr>
          <w:b w:val="0"/>
          <w:i w:val="0"/>
        </w:rPr>
        <w:t>Global financial instabilities affecting foreign student inflows.</w:t>
      </w:r>
    </w:p>
    <w:p>
      <w:pPr>
        <w:pStyle w:val="ListBullet"/>
        <w:numPr>
          <w:ilvl w:val="0"/>
          <w:numId w:val="90"/>
        </w:numPr>
        <w:ind w:left="340" w:hanging="142"/>
      </w:pPr>
      <w:r>
        <w:rPr>
          <w:b w:val="0"/>
          <w:i w:val="0"/>
        </w:rPr>
        <w:t>Employability demand for graduates in AI, sustainability, healthcare, and tech-driven fields.</w:t>
      </w:r>
    </w:p>
    <w:p>
      <w:pPr>
        <w:pStyle w:val="ListBullet"/>
        <w:numPr>
          <w:ilvl w:val="0"/>
          <w:numId w:val="90"/>
        </w:numPr>
        <w:ind w:left="340" w:hanging="142"/>
      </w:pPr>
      <w:r>
        <w:rPr>
          <w:b w:val="0"/>
          <w:i w:val="0"/>
        </w:rPr>
        <w:t>Availability of venture capital for innovation hubs and startups.</w:t>
      </w:r>
    </w:p>
    <w:p>
      <w:pPr>
        <w:pStyle w:val="Heading2"/>
      </w:pPr>
      <w:r>
        <w:rPr>
          <w:i/>
        </w:rPr>
        <w:t>3. Social Factors</w:t>
      </w:r>
    </w:p>
    <w:p>
      <w:pPr>
        <w:pStyle w:val="ListBullet"/>
        <w:numPr>
          <w:ilvl w:val="0"/>
          <w:numId w:val="90"/>
        </w:numPr>
        <w:ind w:left="340" w:hanging="142"/>
      </w:pPr>
      <w:r>
        <w:rPr>
          <w:b w:val="0"/>
          <w:i w:val="0"/>
        </w:rPr>
        <w:t>Changing student demographics (Gen Z and Gen Alpha expectations).</w:t>
      </w:r>
    </w:p>
    <w:p>
      <w:pPr>
        <w:pStyle w:val="ListBullet"/>
        <w:numPr>
          <w:ilvl w:val="0"/>
          <w:numId w:val="90"/>
        </w:numPr>
        <w:ind w:left="340" w:hanging="142"/>
      </w:pPr>
      <w:r>
        <w:rPr>
          <w:b w:val="0"/>
          <w:i w:val="0"/>
        </w:rPr>
        <w:t>Demand for inclusive education and diversity in faculty and student body.</w:t>
      </w:r>
    </w:p>
    <w:p>
      <w:pPr>
        <w:pStyle w:val="ListBullet"/>
        <w:numPr>
          <w:ilvl w:val="0"/>
          <w:numId w:val="90"/>
        </w:numPr>
        <w:ind w:left="340" w:hanging="142"/>
      </w:pPr>
      <w:r>
        <w:rPr>
          <w:b w:val="0"/>
          <w:i w:val="0"/>
        </w:rPr>
        <w:t>Increased awareness of sustainability and social responsibility.</w:t>
      </w:r>
    </w:p>
    <w:p>
      <w:pPr>
        <w:pStyle w:val="ListBullet"/>
        <w:numPr>
          <w:ilvl w:val="0"/>
          <w:numId w:val="90"/>
        </w:numPr>
        <w:ind w:left="340" w:hanging="142"/>
      </w:pPr>
      <w:r>
        <w:rPr>
          <w:b w:val="0"/>
          <w:i w:val="0"/>
        </w:rPr>
        <w:t>Role of higher education institutions in community development and social outreach.</w:t>
      </w:r>
    </w:p>
    <w:p>
      <w:pPr>
        <w:pStyle w:val="ListBullet"/>
        <w:numPr>
          <w:ilvl w:val="0"/>
          <w:numId w:val="90"/>
        </w:numPr>
        <w:ind w:left="340" w:hanging="142"/>
      </w:pPr>
      <w:r>
        <w:rPr>
          <w:b w:val="0"/>
          <w:i w:val="0"/>
        </w:rPr>
        <w:t>Shifting cultural attitudes toward interdisciplinary learning and global exposure.</w:t>
      </w:r>
    </w:p>
    <w:p>
      <w:pPr>
        <w:pStyle w:val="ListBullet"/>
        <w:numPr>
          <w:ilvl w:val="0"/>
          <w:numId w:val="90"/>
        </w:numPr>
        <w:ind w:left="340" w:hanging="142"/>
      </w:pPr>
      <w:r>
        <w:rPr>
          <w:b w:val="0"/>
          <w:i w:val="0"/>
        </w:rPr>
        <w:t>Rise of lifelong learning and professional certifications.</w:t>
      </w:r>
    </w:p>
    <w:p>
      <w:pPr>
        <w:pStyle w:val="Heading2"/>
      </w:pPr>
      <w:r>
        <w:rPr>
          <w:i/>
        </w:rPr>
        <w:t>4. Technological Factors</w:t>
      </w:r>
    </w:p>
    <w:p>
      <w:pPr>
        <w:pStyle w:val="ListBullet"/>
        <w:numPr>
          <w:ilvl w:val="0"/>
          <w:numId w:val="90"/>
        </w:numPr>
        <w:ind w:left="340" w:hanging="142"/>
      </w:pPr>
      <w:r>
        <w:rPr>
          <w:b w:val="0"/>
          <w:i w:val="0"/>
        </w:rPr>
        <w:t>Digital transformation in education (AI, VR/AR, online learning platforms).</w:t>
      </w:r>
    </w:p>
    <w:p>
      <w:pPr>
        <w:pStyle w:val="ListBullet"/>
        <w:numPr>
          <w:ilvl w:val="0"/>
          <w:numId w:val="90"/>
        </w:numPr>
        <w:ind w:left="340" w:hanging="142"/>
      </w:pPr>
      <w:r>
        <w:rPr>
          <w:b w:val="0"/>
          <w:i w:val="0"/>
        </w:rPr>
        <w:t>Use of ICT for smart classrooms, research labs, and administrative processes.</w:t>
      </w:r>
    </w:p>
    <w:p>
      <w:pPr>
        <w:pStyle w:val="ListBullet"/>
        <w:numPr>
          <w:ilvl w:val="0"/>
          <w:numId w:val="90"/>
        </w:numPr>
        <w:ind w:left="340" w:hanging="142"/>
      </w:pPr>
      <w:r>
        <w:rPr>
          <w:b w:val="0"/>
          <w:i w:val="0"/>
        </w:rPr>
        <w:t>Rapid adoption of big data, analytics, and cloud computing in governance and research.</w:t>
      </w:r>
    </w:p>
    <w:p>
      <w:pPr>
        <w:pStyle w:val="ListBullet"/>
        <w:numPr>
          <w:ilvl w:val="0"/>
          <w:numId w:val="90"/>
        </w:numPr>
        <w:ind w:left="340" w:hanging="142"/>
      </w:pPr>
      <w:r>
        <w:rPr>
          <w:b w:val="0"/>
          <w:i w:val="0"/>
        </w:rPr>
        <w:t>Growth of ed-tech platforms competing with traditional institutions.</w:t>
      </w:r>
    </w:p>
    <w:p>
      <w:pPr>
        <w:pStyle w:val="ListBullet"/>
        <w:numPr>
          <w:ilvl w:val="0"/>
          <w:numId w:val="90"/>
        </w:numPr>
        <w:ind w:left="340" w:hanging="142"/>
      </w:pPr>
      <w:r>
        <w:rPr>
          <w:b w:val="0"/>
          <w:i w:val="0"/>
        </w:rPr>
        <w:t>Need for robust cybersecurity systems.</w:t>
      </w:r>
    </w:p>
    <w:p>
      <w:pPr>
        <w:pStyle w:val="ListBullet"/>
        <w:numPr>
          <w:ilvl w:val="0"/>
          <w:numId w:val="90"/>
        </w:numPr>
        <w:ind w:left="340" w:hanging="142"/>
      </w:pPr>
      <w:r>
        <w:rPr>
          <w:b w:val="0"/>
          <w:i w:val="0"/>
        </w:rPr>
        <w:t>Technology-driven curriculum updates (AI, IoT, sustainability tech).</w:t>
      </w:r>
    </w:p>
    <w:p>
      <w:pPr>
        <w:pStyle w:val="Heading2"/>
      </w:pPr>
      <w:r>
        <w:rPr>
          <w:i/>
        </w:rPr>
        <w:t>5. Legal Factors</w:t>
      </w:r>
    </w:p>
    <w:p>
      <w:pPr>
        <w:pStyle w:val="ListBullet"/>
        <w:numPr>
          <w:ilvl w:val="0"/>
          <w:numId w:val="90"/>
        </w:numPr>
        <w:ind w:left="340" w:hanging="142"/>
      </w:pPr>
      <w:r>
        <w:rPr>
          <w:b w:val="0"/>
          <w:i w:val="0"/>
        </w:rPr>
        <w:t>Compliance with accreditation and regulatory frameworks (UGC, AICTE, NAAC, NBA, etc.h•</w:t>
      </w:r>
    </w:p>
    <w:p>
      <w:pPr>
        <w:pStyle w:val="ListBullet"/>
        <w:numPr>
          <w:ilvl w:val="0"/>
          <w:numId w:val="90"/>
        </w:numPr>
        <w:ind w:left="340" w:hanging="142"/>
      </w:pPr>
      <w:r>
        <w:rPr>
          <w:b w:val="0"/>
          <w:i w:val="0"/>
        </w:rPr>
        <w:t>Intellectual property rights (IPR) for research outputs and patents.</w:t>
      </w:r>
    </w:p>
    <w:p>
      <w:pPr>
        <w:pStyle w:val="ListBullet"/>
        <w:numPr>
          <w:ilvl w:val="0"/>
          <w:numId w:val="90"/>
        </w:numPr>
        <w:ind w:left="340" w:hanging="142"/>
      </w:pPr>
      <w:r>
        <w:rPr>
          <w:b w:val="0"/>
          <w:i w:val="0"/>
        </w:rPr>
        <w:t>Data protection and privacy laws (GDPR, IT Act, etc.).</w:t>
      </w:r>
    </w:p>
    <w:p>
      <w:pPr>
        <w:pStyle w:val="ListBullet"/>
        <w:numPr>
          <w:ilvl w:val="0"/>
          <w:numId w:val="90"/>
        </w:numPr>
        <w:ind w:left="340" w:hanging="142"/>
      </w:pPr>
      <w:r>
        <w:rPr>
          <w:b w:val="0"/>
          <w:i w:val="0"/>
        </w:rPr>
        <w:t>Labour laws affecting faculty and staff policies.</w:t>
      </w:r>
    </w:p>
    <w:p>
      <w:pPr>
        <w:pStyle w:val="ListBullet"/>
        <w:numPr>
          <w:ilvl w:val="0"/>
          <w:numId w:val="90"/>
        </w:numPr>
        <w:ind w:left="340" w:hanging="142"/>
      </w:pPr>
      <w:r>
        <w:rPr>
          <w:b w:val="0"/>
          <w:i w:val="0"/>
        </w:rPr>
        <w:t>Foreign education regulations for international collaborations.</w:t>
      </w:r>
    </w:p>
    <w:p>
      <w:pPr>
        <w:pStyle w:val="ListBullet"/>
        <w:numPr>
          <w:ilvl w:val="0"/>
          <w:numId w:val="90"/>
        </w:numPr>
        <w:ind w:left="340" w:hanging="142"/>
      </w:pPr>
      <w:r>
        <w:rPr>
          <w:b w:val="0"/>
          <w:i w:val="0"/>
        </w:rPr>
        <w:t>Environmental compliance laws for sustainable campus operations.</w:t>
      </w:r>
    </w:p>
    <w:p>
      <w:pPr>
        <w:pStyle w:val="Heading2"/>
      </w:pPr>
      <w:r>
        <w:rPr>
          <w:i/>
        </w:rPr>
        <w:t>6. Environmental Factors</w:t>
      </w:r>
    </w:p>
    <w:p>
      <w:pPr>
        <w:pStyle w:val="ListBullet"/>
        <w:numPr>
          <w:ilvl w:val="0"/>
          <w:numId w:val="90"/>
        </w:numPr>
        <w:ind w:left="340" w:hanging="142"/>
      </w:pPr>
      <w:r>
        <w:rPr>
          <w:b w:val="0"/>
          <w:i w:val="0"/>
        </w:rPr>
        <w:t>Global urgency of climate change and sustainability goals.</w:t>
      </w:r>
    </w:p>
    <w:p>
      <w:pPr>
        <w:pStyle w:val="ListBullet"/>
        <w:numPr>
          <w:ilvl w:val="0"/>
          <w:numId w:val="90"/>
        </w:numPr>
        <w:ind w:left="340" w:hanging="142"/>
      </w:pPr>
      <w:r>
        <w:rPr>
          <w:b/>
          <w:i w:val="0"/>
        </w:rPr>
        <w:t>Adoption of green infrastructure:</w:t>
      </w:r>
      <w:r>
        <w:rPr>
          <w:b w:val="0"/>
          <w:i w:val="0"/>
        </w:rPr>
        <w:t xml:space="preserve"> renewable energy, rainwater harvesting, waste management.</w:t>
      </w:r>
    </w:p>
    <w:p>
      <w:pPr>
        <w:pStyle w:val="ListBullet"/>
        <w:numPr>
          <w:ilvl w:val="0"/>
          <w:numId w:val="90"/>
        </w:numPr>
        <w:ind w:left="340" w:hanging="142"/>
      </w:pPr>
      <w:r>
        <w:rPr>
          <w:b w:val="0"/>
          <w:i w:val="0"/>
        </w:rPr>
        <w:t>Student and community demand for eco-friendly campuses.</w:t>
      </w:r>
    </w:p>
    <w:p>
      <w:pPr>
        <w:pStyle w:val="ListBullet"/>
        <w:numPr>
          <w:ilvl w:val="0"/>
          <w:numId w:val="90"/>
        </w:numPr>
        <w:ind w:left="340" w:hanging="142"/>
      </w:pPr>
      <w:r>
        <w:rPr>
          <w:b w:val="0"/>
          <w:i w:val="0"/>
        </w:rPr>
        <w:t>Funding opportunities for sustainability research and projects.</w:t>
      </w:r>
    </w:p>
    <w:p>
      <w:pPr>
        <w:pStyle w:val="ListBullet"/>
        <w:numPr>
          <w:ilvl w:val="0"/>
          <w:numId w:val="90"/>
        </w:numPr>
        <w:ind w:left="340" w:hanging="142"/>
      </w:pPr>
      <w:r>
        <w:rPr>
          <w:b w:val="0"/>
          <w:i w:val="0"/>
        </w:rPr>
        <w:t>Regulations on carbon footprint and environmental audits.</w:t>
      </w:r>
    </w:p>
    <w:p>
      <w:pPr>
        <w:pStyle w:val="ListBullet"/>
        <w:numPr>
          <w:ilvl w:val="0"/>
          <w:numId w:val="90"/>
        </w:numPr>
        <w:ind w:left="340" w:hanging="142"/>
      </w:pPr>
      <w:r>
        <w:rPr>
          <w:b w:val="0"/>
          <w:i w:val="0"/>
        </w:rPr>
        <w:t>Global frameworks like Paris Climate Agreement influencing institutional policies.</w:t>
      </w:r>
    </w:p>
    <w:p>
      <w:pPr>
        <w:pStyle w:val="Heading2"/>
      </w:pPr>
      <w:r>
        <w:t>Integrated Strategic Matrix (SWOT + PESTLE)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077"/>
        <w:gridCol w:w="1587"/>
        <w:gridCol w:w="1417"/>
        <w:gridCol w:w="1531"/>
        <w:gridCol w:w="1417"/>
        <w:gridCol w:w="2381"/>
      </w:tblGrid>
      <w:tr>
        <w:trPr>
          <w:tblHeader/>
          <w:cantSplit/>
        </w:trPr>
        <w:tc>
          <w:tcPr>
            <w:tcW w:type="dxa" w:w="1077"/>
            <w:vAlign w:val="center"/>
            <w:shd w:fill="1F3A5F"/>
          </w:tcPr>
          <w:p>
            <w:pPr>
              <w:keepNext/>
              <w:spacing w:after="40" w:line="276" w:lineRule="auto"/>
              <w:jc w:val="left"/>
            </w:pPr>
            <w:r>
              <w:rPr>
                <w:b/>
                <w:i w:val="0"/>
                <w:color w:val="FFFFFF"/>
              </w:rPr>
              <w:t>PESTLE Factor</w:t>
            </w:r>
          </w:p>
        </w:tc>
        <w:tc>
          <w:tcPr>
            <w:tcW w:type="dxa" w:w="1587"/>
            <w:vAlign w:val="center"/>
            <w:shd w:fill="1F3A5F"/>
          </w:tcPr>
          <w:p>
            <w:pPr>
              <w:keepNext/>
              <w:spacing w:after="40" w:line="276" w:lineRule="auto"/>
              <w:jc w:val="left"/>
            </w:pPr>
            <w:r>
              <w:rPr>
                <w:b/>
                <w:i w:val="0"/>
                <w:color w:val="FFFFFF"/>
              </w:rPr>
              <w:t>Strengths (S)</w:t>
            </w:r>
          </w:p>
        </w:tc>
        <w:tc>
          <w:tcPr>
            <w:tcW w:type="dxa" w:w="1417"/>
            <w:vAlign w:val="center"/>
            <w:shd w:fill="1F3A5F"/>
          </w:tcPr>
          <w:p>
            <w:pPr>
              <w:keepNext/>
              <w:spacing w:after="40" w:line="276" w:lineRule="auto"/>
              <w:jc w:val="left"/>
            </w:pPr>
            <w:r>
              <w:rPr>
                <w:b/>
                <w:i w:val="0"/>
                <w:color w:val="FFFFFF"/>
              </w:rPr>
              <w:t>Weaknesses (W)</w:t>
            </w:r>
          </w:p>
        </w:tc>
        <w:tc>
          <w:tcPr>
            <w:tcW w:type="dxa" w:w="1531"/>
            <w:vAlign w:val="center"/>
            <w:shd w:fill="1F3A5F"/>
          </w:tcPr>
          <w:p>
            <w:pPr>
              <w:keepNext/>
              <w:spacing w:after="40" w:line="276" w:lineRule="auto"/>
              <w:jc w:val="left"/>
            </w:pPr>
            <w:r>
              <w:rPr>
                <w:b/>
                <w:i w:val="0"/>
                <w:color w:val="FFFFFF"/>
              </w:rPr>
              <w:t>Opportunities (O)</w:t>
            </w:r>
          </w:p>
        </w:tc>
        <w:tc>
          <w:tcPr>
            <w:tcW w:type="dxa" w:w="1417"/>
            <w:vAlign w:val="center"/>
            <w:shd w:fill="1F3A5F"/>
          </w:tcPr>
          <w:p>
            <w:pPr>
              <w:keepNext/>
              <w:spacing w:after="40" w:line="276" w:lineRule="auto"/>
              <w:jc w:val="left"/>
            </w:pPr>
            <w:r>
              <w:rPr>
                <w:b/>
                <w:i w:val="0"/>
                <w:color w:val="FFFFFF"/>
              </w:rPr>
              <w:t>Threats (T)</w:t>
            </w:r>
          </w:p>
        </w:tc>
        <w:tc>
          <w:tcPr>
            <w:tcW w:type="dxa" w:w="2381"/>
            <w:vAlign w:val="center"/>
            <w:shd w:fill="1F3A5F"/>
          </w:tcPr>
          <w:p>
            <w:pPr>
              <w:keepNext/>
              <w:spacing w:after="40" w:line="276" w:lineRule="auto"/>
              <w:jc w:val="left"/>
            </w:pPr>
            <w:r>
              <w:rPr>
                <w:b/>
                <w:i w:val="0"/>
                <w:color w:val="FFFFFF"/>
              </w:rPr>
              <w:t>Strategic Actions</w:t>
            </w:r>
          </w:p>
        </w:tc>
      </w:tr>
      <w:tr>
        <w:trPr>
          <w:cantSplit/>
        </w:trPr>
        <w:tc>
          <w:tcPr>
            <w:tcW w:type="dxa" w:w="1077"/>
            <w:vAlign w:val="center"/>
            <w:shd w:fill="FFFFFF"/>
          </w:tcPr>
          <w:p>
            <w:pPr>
              <w:spacing w:after="40" w:line="276" w:lineRule="auto"/>
              <w:jc w:val="left"/>
            </w:pPr>
            <w:r>
              <w:rPr>
                <w:b w:val="0"/>
                <w:i w:val="0"/>
              </w:rPr>
              <w:t>Political</w:t>
            </w:r>
          </w:p>
        </w:tc>
        <w:tc>
          <w:tcPr>
            <w:tcW w:type="dxa" w:w="1587"/>
            <w:vAlign w:val="center"/>
            <w:shd w:fill="FFFFFF"/>
          </w:tcPr>
          <w:p>
            <w:pPr>
              <w:spacing w:after="40" w:line="276" w:lineRule="auto"/>
              <w:jc w:val="left"/>
            </w:pPr>
            <w:r>
              <w:rPr>
                <w:b w:val="0"/>
                <w:i w:val="0"/>
              </w:rPr>
              <w:t>Strong leadership and accreditation readiness can align with NEP 2020 and SDG-linked policies.</w:t>
            </w:r>
          </w:p>
        </w:tc>
        <w:tc>
          <w:tcPr>
            <w:tcW w:type="dxa" w:w="1417"/>
            <w:vAlign w:val="center"/>
            <w:shd w:fill="FFFFFF"/>
          </w:tcPr>
          <w:p>
            <w:pPr>
              <w:spacing w:after="40" w:line="276" w:lineRule="auto"/>
              <w:jc w:val="left"/>
            </w:pPr>
            <w:r>
              <w:rPr>
                <w:b w:val="0"/>
                <w:i w:val="0"/>
              </w:rPr>
              <w:t>Bureaucratic delays in governance reforms.</w:t>
            </w:r>
          </w:p>
        </w:tc>
        <w:tc>
          <w:tcPr>
            <w:tcW w:type="dxa" w:w="1531"/>
            <w:vAlign w:val="center"/>
            <w:shd w:fill="FFFFFF"/>
          </w:tcPr>
          <w:p>
            <w:pPr>
              <w:spacing w:after="40" w:line="276" w:lineRule="auto"/>
              <w:jc w:val="left"/>
            </w:pPr>
            <w:r>
              <w:rPr>
                <w:b w:val="0"/>
                <w:i w:val="0"/>
              </w:rPr>
              <w:t>Government funding schemes and public–private partnerships.</w:t>
            </w:r>
          </w:p>
        </w:tc>
        <w:tc>
          <w:tcPr>
            <w:tcW w:type="dxa" w:w="1417"/>
            <w:vAlign w:val="center"/>
            <w:shd w:fill="FFFFFF"/>
          </w:tcPr>
          <w:p>
            <w:pPr>
              <w:spacing w:after="40" w:line="276" w:lineRule="auto"/>
              <w:jc w:val="left"/>
            </w:pPr>
            <w:r>
              <w:rPr>
                <w:b w:val="0"/>
                <w:i w:val="0"/>
              </w:rPr>
              <w:t>Frequent policy changes at national/​international levels.</w:t>
            </w:r>
          </w:p>
        </w:tc>
        <w:tc>
          <w:tcPr>
            <w:tcW w:type="dxa" w:w="2381"/>
            <w:vAlign w:val="center"/>
            <w:shd w:fill="FFFFFF"/>
          </w:tcPr>
          <w:p>
            <w:pPr>
              <w:spacing w:after="40" w:line="276" w:lineRule="auto"/>
              <w:ind w:left="125" w:hanging="125"/>
              <w:jc w:val="left"/>
            </w:pPr>
            <w:r>
              <w:t xml:space="preserve">• </w:t>
            </w:r>
            <w:r>
              <w:rPr>
                <w:b w:val="0"/>
                <w:i w:val="0"/>
              </w:rPr>
              <w:t>Develop agile governance policies to quickly adapt to reforms.</w:t>
            </w:r>
          </w:p>
          <w:p>
            <w:pPr>
              <w:spacing w:after="40" w:line="276" w:lineRule="auto"/>
              <w:ind w:left="125" w:hanging="125"/>
              <w:jc w:val="left"/>
            </w:pPr>
            <w:r>
              <w:t xml:space="preserve">• </w:t>
            </w:r>
            <w:r>
              <w:rPr>
                <w:b w:val="0"/>
                <w:i w:val="0"/>
              </w:rPr>
              <w:t>Actively engage in government policy consultations.</w:t>
            </w:r>
          </w:p>
          <w:p>
            <w:pPr>
              <w:spacing w:after="40" w:line="276" w:lineRule="auto"/>
              <w:ind w:left="125" w:hanging="125"/>
              <w:jc w:val="left"/>
            </w:pPr>
            <w:r>
              <w:t xml:space="preserve">• </w:t>
            </w:r>
            <w:r>
              <w:rPr>
                <w:b w:val="0"/>
                <w:i w:val="0"/>
              </w:rPr>
              <w:t>Align institutional mission with NEP/​SDG goals.</w:t>
            </w:r>
          </w:p>
        </w:tc>
      </w:tr>
      <w:tr>
        <w:trPr>
          <w:cantSplit/>
        </w:trPr>
        <w:tc>
          <w:tcPr>
            <w:tcW w:type="dxa" w:w="1077"/>
            <w:vAlign w:val="center"/>
            <w:shd w:fill="EDF2F7"/>
          </w:tcPr>
          <w:p>
            <w:pPr>
              <w:spacing w:after="40" w:line="276" w:lineRule="auto"/>
              <w:jc w:val="left"/>
            </w:pPr>
            <w:r>
              <w:rPr>
                <w:b w:val="0"/>
                <w:i w:val="0"/>
              </w:rPr>
              <w:t>Economic</w:t>
            </w:r>
          </w:p>
        </w:tc>
        <w:tc>
          <w:tcPr>
            <w:tcW w:type="dxa" w:w="1587"/>
            <w:vAlign w:val="center"/>
            <w:shd w:fill="EDF2F7"/>
          </w:tcPr>
          <w:p>
            <w:pPr>
              <w:spacing w:after="40" w:line="276" w:lineRule="auto"/>
              <w:jc w:val="left"/>
            </w:pPr>
            <w:r>
              <w:rPr>
                <w:b w:val="0"/>
                <w:i w:val="0"/>
              </w:rPr>
              <w:t>Research potential in emerging areas attracts funding.</w:t>
            </w:r>
          </w:p>
        </w:tc>
        <w:tc>
          <w:tcPr>
            <w:tcW w:type="dxa" w:w="1417"/>
            <w:vAlign w:val="center"/>
            <w:shd w:fill="EDF2F7"/>
          </w:tcPr>
          <w:p>
            <w:pPr>
              <w:spacing w:after="40" w:line="276" w:lineRule="auto"/>
              <w:jc w:val="left"/>
            </w:pPr>
            <w:r>
              <w:rPr>
                <w:b w:val="0"/>
                <w:i w:val="0"/>
              </w:rPr>
              <w:t>Over-dependence on government grants.</w:t>
            </w:r>
          </w:p>
        </w:tc>
        <w:tc>
          <w:tcPr>
            <w:tcW w:type="dxa" w:w="1531"/>
            <w:vAlign w:val="center"/>
            <w:shd w:fill="EDF2F7"/>
          </w:tcPr>
          <w:p>
            <w:pPr>
              <w:spacing w:after="40" w:line="276" w:lineRule="auto"/>
              <w:jc w:val="left"/>
            </w:pPr>
            <w:r>
              <w:rPr>
                <w:b w:val="0"/>
                <w:i w:val="0"/>
              </w:rPr>
              <w:t>Alumni/​CSR funding and global research grants.</w:t>
            </w:r>
          </w:p>
        </w:tc>
        <w:tc>
          <w:tcPr>
            <w:tcW w:type="dxa" w:w="1417"/>
            <w:vAlign w:val="center"/>
            <w:shd w:fill="EDF2F7"/>
          </w:tcPr>
          <w:p>
            <w:pPr>
              <w:spacing w:after="40" w:line="276" w:lineRule="auto"/>
              <w:jc w:val="left"/>
            </w:pPr>
            <w:r>
              <w:rPr>
                <w:b w:val="0"/>
                <w:i w:val="0"/>
              </w:rPr>
              <w:t>Economic downturns affecting enrollments and budgets.</w:t>
            </w:r>
          </w:p>
        </w:tc>
        <w:tc>
          <w:tcPr>
            <w:tcW w:type="dxa" w:w="2381"/>
            <w:vAlign w:val="center"/>
            <w:shd w:fill="EDF2F7"/>
          </w:tcPr>
          <w:p>
            <w:pPr>
              <w:spacing w:after="40" w:line="276" w:lineRule="auto"/>
              <w:ind w:left="125" w:hanging="125"/>
              <w:jc w:val="left"/>
            </w:pPr>
            <w:r>
              <w:t xml:space="preserve">• </w:t>
            </w:r>
            <w:r>
              <w:rPr>
                <w:b w:val="0"/>
                <w:i w:val="0"/>
              </w:rPr>
              <w:t>Diversify funding streams via CSR, consultancy, endowment funds.</w:t>
            </w:r>
          </w:p>
          <w:p>
            <w:pPr>
              <w:spacing w:after="40" w:line="276" w:lineRule="auto"/>
              <w:ind w:left="125" w:hanging="125"/>
              <w:jc w:val="left"/>
            </w:pPr>
            <w:r>
              <w:t xml:space="preserve">• </w:t>
            </w:r>
            <w:r>
              <w:rPr>
                <w:b w:val="0"/>
                <w:i w:val="0"/>
              </w:rPr>
              <w:t>Build financial resilience with long-term sustainability models.</w:t>
            </w:r>
          </w:p>
          <w:p>
            <w:pPr>
              <w:spacing w:after="40" w:line="276" w:lineRule="auto"/>
              <w:ind w:left="125" w:hanging="125"/>
              <w:jc w:val="left"/>
            </w:pPr>
            <w:r>
              <w:t xml:space="preserve">• </w:t>
            </w:r>
            <w:r>
              <w:rPr>
                <w:b w:val="0"/>
                <w:i w:val="0"/>
              </w:rPr>
              <w:t>Establish innovation hubs to attract venture capital.</w:t>
            </w:r>
          </w:p>
        </w:tc>
      </w:tr>
      <w:tr>
        <w:trPr>
          <w:cantSplit/>
        </w:trPr>
        <w:tc>
          <w:tcPr>
            <w:tcW w:type="dxa" w:w="1077"/>
            <w:vAlign w:val="center"/>
            <w:shd w:fill="FFFFFF"/>
          </w:tcPr>
          <w:p>
            <w:pPr>
              <w:spacing w:after="40" w:line="276" w:lineRule="auto"/>
              <w:jc w:val="left"/>
            </w:pPr>
            <w:r>
              <w:rPr>
                <w:b w:val="0"/>
                <w:i w:val="0"/>
              </w:rPr>
              <w:t>Social</w:t>
            </w:r>
          </w:p>
        </w:tc>
        <w:tc>
          <w:tcPr>
            <w:tcW w:type="dxa" w:w="1587"/>
            <w:vAlign w:val="center"/>
            <w:shd w:fill="FFFFFF"/>
          </w:tcPr>
          <w:p>
            <w:pPr>
              <w:spacing w:after="40" w:line="276" w:lineRule="auto"/>
              <w:jc w:val="left"/>
            </w:pPr>
            <w:r>
              <w:rPr>
                <w:b w:val="0"/>
                <w:i w:val="0"/>
              </w:rPr>
              <w:t>Strong community connections and outreach programs.</w:t>
            </w:r>
          </w:p>
        </w:tc>
        <w:tc>
          <w:tcPr>
            <w:tcW w:type="dxa" w:w="1417"/>
            <w:vAlign w:val="center"/>
            <w:shd w:fill="FFFFFF"/>
          </w:tcPr>
          <w:p>
            <w:pPr>
              <w:spacing w:after="40" w:line="276" w:lineRule="auto"/>
              <w:jc w:val="left"/>
            </w:pPr>
            <w:r>
              <w:rPr>
                <w:b w:val="0"/>
                <w:i w:val="0"/>
              </w:rPr>
              <w:t>Limited global exposure and inclusivity challenges.</w:t>
            </w:r>
          </w:p>
        </w:tc>
        <w:tc>
          <w:tcPr>
            <w:tcW w:type="dxa" w:w="1531"/>
            <w:vAlign w:val="center"/>
            <w:shd w:fill="FFFFFF"/>
          </w:tcPr>
          <w:p>
            <w:pPr>
              <w:spacing w:after="40" w:line="276" w:lineRule="auto"/>
              <w:jc w:val="left"/>
            </w:pPr>
            <w:r>
              <w:rPr>
                <w:b w:val="0"/>
                <w:i w:val="0"/>
              </w:rPr>
              <w:t>Rising demand for inclusive, lifelong learning.</w:t>
            </w:r>
          </w:p>
        </w:tc>
        <w:tc>
          <w:tcPr>
            <w:tcW w:type="dxa" w:w="1417"/>
            <w:vAlign w:val="center"/>
            <w:shd w:fill="FFFFFF"/>
          </w:tcPr>
          <w:p>
            <w:pPr>
              <w:spacing w:after="40" w:line="276" w:lineRule="auto"/>
              <w:jc w:val="left"/>
            </w:pPr>
            <w:r>
              <w:rPr>
                <w:b w:val="0"/>
                <w:i w:val="0"/>
              </w:rPr>
              <w:t>Brain drain of students/​faculty to foreign institutions.</w:t>
            </w:r>
          </w:p>
        </w:tc>
        <w:tc>
          <w:tcPr>
            <w:tcW w:type="dxa" w:w="2381"/>
            <w:vAlign w:val="center"/>
            <w:shd w:fill="FFFFFF"/>
          </w:tcPr>
          <w:p>
            <w:pPr>
              <w:spacing w:after="40" w:line="276" w:lineRule="auto"/>
              <w:ind w:left="125" w:hanging="125"/>
              <w:jc w:val="left"/>
            </w:pPr>
            <w:r>
              <w:t xml:space="preserve">• </w:t>
            </w:r>
            <w:r>
              <w:rPr>
                <w:b w:val="0"/>
                <w:i w:val="0"/>
              </w:rPr>
              <w:t>Strengthen community engagement initiatives.</w:t>
            </w:r>
          </w:p>
          <w:p>
            <w:pPr>
              <w:spacing w:after="40" w:line="276" w:lineRule="auto"/>
              <w:ind w:left="125" w:hanging="125"/>
              <w:jc w:val="left"/>
            </w:pPr>
            <w:r>
              <w:t xml:space="preserve">• </w:t>
            </w:r>
            <w:r>
              <w:rPr>
                <w:b w:val="0"/>
                <w:i w:val="0"/>
              </w:rPr>
              <w:t>Launch diversity and inclusivity programs.</w:t>
            </w:r>
          </w:p>
          <w:p>
            <w:pPr>
              <w:spacing w:after="40" w:line="276" w:lineRule="auto"/>
              <w:ind w:left="125" w:hanging="125"/>
              <w:jc w:val="left"/>
            </w:pPr>
            <w:r>
              <w:t xml:space="preserve">• </w:t>
            </w:r>
            <w:r>
              <w:rPr>
                <w:b w:val="0"/>
                <w:i w:val="0"/>
              </w:rPr>
              <w:t>Build retention policies for faculty and students.</w:t>
            </w:r>
          </w:p>
        </w:tc>
      </w:tr>
      <w:tr>
        <w:trPr>
          <w:cantSplit/>
        </w:trPr>
        <w:tc>
          <w:tcPr>
            <w:tcW w:type="dxa" w:w="1077"/>
            <w:vAlign w:val="center"/>
            <w:shd w:fill="EDF2F7"/>
          </w:tcPr>
          <w:p>
            <w:pPr>
              <w:spacing w:after="40" w:line="276" w:lineRule="auto"/>
              <w:jc w:val="left"/>
            </w:pPr>
            <w:r>
              <w:rPr>
                <w:b w:val="0"/>
                <w:i w:val="0"/>
              </w:rPr>
              <w:t>Technological</w:t>
            </w:r>
          </w:p>
        </w:tc>
        <w:tc>
          <w:tcPr>
            <w:tcW w:type="dxa" w:w="1587"/>
            <w:vAlign w:val="center"/>
            <w:shd w:fill="EDF2F7"/>
          </w:tcPr>
          <w:p>
            <w:pPr>
              <w:spacing w:after="40" w:line="276" w:lineRule="auto"/>
              <w:jc w:val="left"/>
            </w:pPr>
            <w:r>
              <w:rPr>
                <w:b w:val="0"/>
                <w:i w:val="0"/>
              </w:rPr>
              <w:t>Existing ICT infrastructure, smart classrooms, and faculty expertise.</w:t>
            </w:r>
          </w:p>
        </w:tc>
        <w:tc>
          <w:tcPr>
            <w:tcW w:type="dxa" w:w="1417"/>
            <w:vAlign w:val="center"/>
            <w:shd w:fill="EDF2F7"/>
          </w:tcPr>
          <w:p>
            <w:pPr>
              <w:spacing w:after="40" w:line="276" w:lineRule="auto"/>
              <w:jc w:val="left"/>
            </w:pPr>
            <w:r>
              <w:rPr>
                <w:b w:val="0"/>
                <w:i w:val="0"/>
              </w:rPr>
              <w:t>Limited advanced infrastructure in niche domains.</w:t>
            </w:r>
          </w:p>
        </w:tc>
        <w:tc>
          <w:tcPr>
            <w:tcW w:type="dxa" w:w="1531"/>
            <w:vAlign w:val="center"/>
            <w:shd w:fill="EDF2F7"/>
          </w:tcPr>
          <w:p>
            <w:pPr>
              <w:spacing w:after="40" w:line="276" w:lineRule="auto"/>
              <w:jc w:val="left"/>
            </w:pPr>
            <w:r>
              <w:rPr>
                <w:b w:val="0"/>
                <w:i w:val="0"/>
              </w:rPr>
              <w:t>AI, VR/​AR, and big data enabling new teaching/​learning models.</w:t>
            </w:r>
          </w:p>
        </w:tc>
        <w:tc>
          <w:tcPr>
            <w:tcW w:type="dxa" w:w="1417"/>
            <w:vAlign w:val="center"/>
            <w:shd w:fill="EDF2F7"/>
          </w:tcPr>
          <w:p>
            <w:pPr>
              <w:spacing w:after="40" w:line="276" w:lineRule="auto"/>
              <w:jc w:val="left"/>
            </w:pPr>
            <w:r>
              <w:rPr>
                <w:b w:val="0"/>
                <w:i w:val="0"/>
              </w:rPr>
              <w:t>Cybersecurity risks and rapid tech disruptions.</w:t>
            </w:r>
          </w:p>
        </w:tc>
        <w:tc>
          <w:tcPr>
            <w:tcW w:type="dxa" w:w="2381"/>
            <w:vAlign w:val="center"/>
            <w:shd w:fill="EDF2F7"/>
          </w:tcPr>
          <w:p>
            <w:pPr>
              <w:spacing w:after="40" w:line="276" w:lineRule="auto"/>
              <w:ind w:left="125" w:hanging="125"/>
              <w:jc w:val="left"/>
            </w:pPr>
            <w:r>
              <w:t xml:space="preserve">• </w:t>
            </w:r>
            <w:r>
              <w:rPr>
                <w:b w:val="0"/>
                <w:i w:val="0"/>
              </w:rPr>
              <w:t>Expand digital infrastructure and labs.</w:t>
            </w:r>
          </w:p>
          <w:p>
            <w:pPr>
              <w:spacing w:after="40" w:line="276" w:lineRule="auto"/>
              <w:ind w:left="125" w:hanging="125"/>
              <w:jc w:val="left"/>
            </w:pPr>
            <w:r>
              <w:t xml:space="preserve">• </w:t>
            </w:r>
            <w:r>
              <w:rPr>
                <w:b w:val="0"/>
                <w:i w:val="0"/>
              </w:rPr>
              <w:t>Introduce AI-driven governance dashboards.</w:t>
            </w:r>
          </w:p>
          <w:p>
            <w:pPr>
              <w:spacing w:after="40" w:line="276" w:lineRule="auto"/>
              <w:ind w:left="125" w:hanging="125"/>
              <w:jc w:val="left"/>
            </w:pPr>
            <w:r>
              <w:t xml:space="preserve">• </w:t>
            </w:r>
            <w:r>
              <w:rPr>
                <w:b w:val="0"/>
                <w:i w:val="0"/>
              </w:rPr>
              <w:t>Implement strong cybersecurity protocols.</w:t>
            </w:r>
          </w:p>
          <w:p>
            <w:pPr>
              <w:spacing w:after="40" w:line="276" w:lineRule="auto"/>
              <w:ind w:left="125" w:hanging="125"/>
              <w:jc w:val="left"/>
            </w:pPr>
            <w:r>
              <w:t xml:space="preserve">• </w:t>
            </w:r>
            <w:r>
              <w:rPr>
                <w:b w:val="0"/>
                <w:i w:val="0"/>
              </w:rPr>
              <w:t>Regularly revise curricula for tech relevance.</w:t>
            </w:r>
          </w:p>
        </w:tc>
      </w:tr>
      <w:tr>
        <w:trPr>
          <w:cantSplit/>
        </w:trPr>
        <w:tc>
          <w:tcPr>
            <w:tcW w:type="dxa" w:w="1077"/>
            <w:vAlign w:val="center"/>
            <w:shd w:fill="FFFFFF"/>
          </w:tcPr>
          <w:p>
            <w:pPr>
              <w:spacing w:after="40" w:line="276" w:lineRule="auto"/>
              <w:jc w:val="left"/>
            </w:pPr>
            <w:r>
              <w:rPr>
                <w:b w:val="0"/>
                <w:i w:val="0"/>
              </w:rPr>
              <w:t>Legal</w:t>
            </w:r>
          </w:p>
        </w:tc>
        <w:tc>
          <w:tcPr>
            <w:tcW w:type="dxa" w:w="1587"/>
            <w:vAlign w:val="center"/>
            <w:shd w:fill="FFFFFF"/>
          </w:tcPr>
          <w:p>
            <w:pPr>
              <w:spacing w:after="40" w:line="276" w:lineRule="auto"/>
              <w:jc w:val="left"/>
            </w:pPr>
            <w:r>
              <w:rPr>
                <w:b w:val="0"/>
                <w:i w:val="0"/>
              </w:rPr>
              <w:t>Accreditation readiness (NAAC/​NBA/​ISO compliance).</w:t>
            </w:r>
          </w:p>
        </w:tc>
        <w:tc>
          <w:tcPr>
            <w:tcW w:type="dxa" w:w="1417"/>
            <w:vAlign w:val="center"/>
            <w:shd w:fill="FFFFFF"/>
          </w:tcPr>
          <w:p>
            <w:pPr>
              <w:spacing w:after="40" w:line="276" w:lineRule="auto"/>
              <w:jc w:val="left"/>
            </w:pPr>
            <w:r>
              <w:rPr>
                <w:b w:val="0"/>
                <w:i w:val="0"/>
              </w:rPr>
              <w:t>Weak IPR and data governance mechanisms.</w:t>
            </w:r>
          </w:p>
        </w:tc>
        <w:tc>
          <w:tcPr>
            <w:tcW w:type="dxa" w:w="1531"/>
            <w:vAlign w:val="center"/>
            <w:shd w:fill="FFFFFF"/>
          </w:tcPr>
          <w:p>
            <w:pPr>
              <w:spacing w:after="40" w:line="276" w:lineRule="auto"/>
              <w:jc w:val="left"/>
            </w:pPr>
            <w:r>
              <w:rPr>
                <w:b w:val="0"/>
                <w:i w:val="0"/>
              </w:rPr>
              <w:t>International collaborations under legal frameworks.</w:t>
            </w:r>
          </w:p>
        </w:tc>
        <w:tc>
          <w:tcPr>
            <w:tcW w:type="dxa" w:w="1417"/>
            <w:vAlign w:val="center"/>
            <w:shd w:fill="FFFFFF"/>
          </w:tcPr>
          <w:p>
            <w:pPr>
              <w:spacing w:after="40" w:line="276" w:lineRule="auto"/>
              <w:jc w:val="left"/>
            </w:pPr>
            <w:r>
              <w:rPr>
                <w:b w:val="0"/>
                <w:i w:val="0"/>
              </w:rPr>
              <w:t>Risk of non-compliance with data protection and labour laws.</w:t>
            </w:r>
          </w:p>
        </w:tc>
        <w:tc>
          <w:tcPr>
            <w:tcW w:type="dxa" w:w="2381"/>
            <w:vAlign w:val="center"/>
            <w:shd w:fill="FFFFFF"/>
          </w:tcPr>
          <w:p>
            <w:pPr>
              <w:spacing w:after="40" w:line="276" w:lineRule="auto"/>
              <w:ind w:left="125" w:hanging="125"/>
              <w:jc w:val="left"/>
            </w:pPr>
            <w:r>
              <w:t xml:space="preserve">• </w:t>
            </w:r>
            <w:r>
              <w:rPr>
                <w:b w:val="0"/>
                <w:i w:val="0"/>
              </w:rPr>
              <w:t>Strengthen legal compliance units.</w:t>
            </w:r>
          </w:p>
          <w:p>
            <w:pPr>
              <w:spacing w:after="40" w:line="276" w:lineRule="auto"/>
              <w:ind w:left="125" w:hanging="125"/>
              <w:jc w:val="left"/>
            </w:pPr>
            <w:r>
              <w:t xml:space="preserve">• </w:t>
            </w:r>
            <w:r>
              <w:rPr>
                <w:b w:val="0"/>
                <w:i w:val="0"/>
              </w:rPr>
              <w:t>Introduce IPR policies for faculty/​students.</w:t>
            </w:r>
          </w:p>
          <w:p>
            <w:pPr>
              <w:spacing w:after="40" w:line="276" w:lineRule="auto"/>
              <w:ind w:left="125" w:hanging="125"/>
              <w:jc w:val="left"/>
            </w:pPr>
            <w:r>
              <w:t xml:space="preserve">• </w:t>
            </w:r>
            <w:r>
              <w:rPr>
                <w:b w:val="0"/>
                <w:i w:val="0"/>
              </w:rPr>
              <w:t>Ensure GDPR/​data protection compliance.</w:t>
            </w:r>
          </w:p>
          <w:p>
            <w:pPr>
              <w:spacing w:after="40" w:line="276" w:lineRule="auto"/>
              <w:ind w:left="125" w:hanging="125"/>
              <w:jc w:val="left"/>
            </w:pPr>
            <w:r>
              <w:t xml:space="preserve">• </w:t>
            </w:r>
            <w:r>
              <w:rPr>
                <w:b w:val="0"/>
                <w:i w:val="0"/>
              </w:rPr>
              <w:t>Periodic audits for accreditation preparedness.</w:t>
            </w:r>
          </w:p>
        </w:tc>
      </w:tr>
      <w:tr>
        <w:trPr>
          <w:cantSplit/>
        </w:trPr>
        <w:tc>
          <w:tcPr>
            <w:tcW w:type="dxa" w:w="1077"/>
            <w:vAlign w:val="center"/>
            <w:shd w:fill="EDF2F7"/>
          </w:tcPr>
          <w:p>
            <w:pPr>
              <w:spacing w:after="40" w:line="276" w:lineRule="auto"/>
              <w:jc w:val="left"/>
            </w:pPr>
            <w:r>
              <w:rPr>
                <w:b w:val="0"/>
                <w:i w:val="0"/>
              </w:rPr>
              <w:t>Environmental</w:t>
            </w:r>
          </w:p>
        </w:tc>
        <w:tc>
          <w:tcPr>
            <w:tcW w:type="dxa" w:w="1587"/>
            <w:vAlign w:val="center"/>
            <w:shd w:fill="EDF2F7"/>
          </w:tcPr>
          <w:p>
            <w:pPr>
              <w:spacing w:after="40" w:line="276" w:lineRule="auto"/>
              <w:jc w:val="left"/>
            </w:pPr>
            <w:r>
              <w:rPr>
                <w:b w:val="0"/>
                <w:i w:val="0"/>
              </w:rPr>
              <w:t>Sustainability-focused research and green initiatives.</w:t>
            </w:r>
          </w:p>
        </w:tc>
        <w:tc>
          <w:tcPr>
            <w:tcW w:type="dxa" w:w="1417"/>
            <w:vAlign w:val="center"/>
            <w:shd w:fill="EDF2F7"/>
          </w:tcPr>
          <w:p>
            <w:pPr>
              <w:spacing w:after="40" w:line="276" w:lineRule="auto"/>
              <w:jc w:val="left"/>
            </w:pPr>
            <w:r>
              <w:rPr>
                <w:b w:val="0"/>
                <w:i w:val="0"/>
              </w:rPr>
              <w:t>Limited renewable infrastructure at present.</w:t>
            </w:r>
          </w:p>
        </w:tc>
        <w:tc>
          <w:tcPr>
            <w:tcW w:type="dxa" w:w="1531"/>
            <w:vAlign w:val="center"/>
            <w:shd w:fill="EDF2F7"/>
          </w:tcPr>
          <w:p>
            <w:pPr>
              <w:spacing w:after="40" w:line="276" w:lineRule="auto"/>
              <w:jc w:val="left"/>
            </w:pPr>
            <w:r>
              <w:rPr>
                <w:b w:val="0"/>
                <w:i w:val="0"/>
              </w:rPr>
              <w:t>Funding for climate action and green campus projects.</w:t>
            </w:r>
          </w:p>
        </w:tc>
        <w:tc>
          <w:tcPr>
            <w:tcW w:type="dxa" w:w="1417"/>
            <w:vAlign w:val="center"/>
            <w:shd w:fill="EDF2F7"/>
          </w:tcPr>
          <w:p>
            <w:pPr>
              <w:spacing w:after="40" w:line="276" w:lineRule="auto"/>
              <w:jc w:val="left"/>
            </w:pPr>
            <w:r>
              <w:rPr>
                <w:b w:val="0"/>
                <w:i w:val="0"/>
              </w:rPr>
              <w:t>Climate change increasing operational costs and risks.</w:t>
            </w:r>
          </w:p>
        </w:tc>
        <w:tc>
          <w:tcPr>
            <w:tcW w:type="dxa" w:w="2381"/>
            <w:vAlign w:val="center"/>
            <w:shd w:fill="EDF2F7"/>
          </w:tcPr>
          <w:p>
            <w:pPr>
              <w:spacing w:after="40" w:line="276" w:lineRule="auto"/>
              <w:ind w:left="125" w:hanging="125"/>
              <w:jc w:val="left"/>
            </w:pPr>
            <w:r>
              <w:t xml:space="preserve">• </w:t>
            </w:r>
            <w:r>
              <w:rPr>
                <w:b w:val="0"/>
                <w:i w:val="0"/>
              </w:rPr>
              <w:t>Implement carbon-neutral campus projects.</w:t>
            </w:r>
          </w:p>
          <w:p>
            <w:pPr>
              <w:spacing w:after="40" w:line="276" w:lineRule="auto"/>
              <w:ind w:left="125" w:hanging="125"/>
              <w:jc w:val="left"/>
            </w:pPr>
            <w:r>
              <w:t xml:space="preserve">• </w:t>
            </w:r>
            <w:r>
              <w:rPr>
                <w:b w:val="0"/>
                <w:i w:val="0"/>
              </w:rPr>
              <w:t>Expand renewable energy adoption.</w:t>
            </w:r>
          </w:p>
          <w:p>
            <w:pPr>
              <w:spacing w:after="40" w:line="276" w:lineRule="auto"/>
              <w:ind w:left="125" w:hanging="125"/>
              <w:jc w:val="left"/>
            </w:pPr>
            <w:r>
              <w:t xml:space="preserve">• </w:t>
            </w:r>
            <w:r>
              <w:rPr>
                <w:b w:val="0"/>
                <w:i w:val="0"/>
              </w:rPr>
              <w:t>Build resilience plans for climate impacts.</w:t>
            </w:r>
          </w:p>
          <w:p>
            <w:pPr>
              <w:spacing w:after="40" w:line="276" w:lineRule="auto"/>
              <w:ind w:left="125" w:hanging="125"/>
              <w:jc w:val="left"/>
            </w:pPr>
            <w:r>
              <w:t xml:space="preserve">• </w:t>
            </w:r>
            <w:r>
              <w:rPr>
                <w:b w:val="0"/>
                <w:i w:val="0"/>
              </w:rPr>
              <w:t>Position institution as a sustainability leader.</w:t>
            </w:r>
          </w:p>
        </w:tc>
      </w:tr>
    </w:tbl>
    <w:p>
      <w:pPr>
        <w:spacing w:after="40"/>
      </w:pPr>
    </w:p>
    <w:p>
      <w:pPr>
        <w:pStyle w:val="Heading2"/>
      </w:pPr>
      <w:r>
        <w:t>Political Factors</w:t>
      </w:r>
    </w:p>
    <w:p>
      <w:pPr>
        <w:pStyle w:val="Heading2"/>
      </w:pPr>
      <w:r>
        <w:t>1. Government Education Policies</w:t>
      </w:r>
    </w:p>
    <w:p>
      <w:pPr>
        <w:pStyle w:val="ListBullet2"/>
        <w:numPr>
          <w:ilvl w:val="1"/>
          <w:numId w:val="90"/>
        </w:numPr>
        <w:ind w:left="652" w:hanging="142"/>
      </w:pPr>
      <w:r>
        <w:rPr>
          <w:b/>
          <w:i w:val="0"/>
        </w:rPr>
        <w:t>Example:</w:t>
      </w:r>
      <w:r>
        <w:rPr>
          <w:b w:val="0"/>
          <w:i w:val="0"/>
        </w:rPr>
        <w:t xml:space="preserve"> NEP 2020 (India), Higher Education Acts (global equivalents).</w:t>
      </w:r>
    </w:p>
    <w:p>
      <w:pPr>
        <w:pStyle w:val="ListBullet2"/>
        <w:numPr>
          <w:ilvl w:val="1"/>
          <w:numId w:val="90"/>
        </w:numPr>
        <w:ind w:left="652" w:hanging="142"/>
      </w:pPr>
      <w:r>
        <w:rPr>
          <w:b/>
          <w:i w:val="0"/>
        </w:rPr>
        <w:t>Impact:</w:t>
      </w:r>
      <w:r>
        <w:rPr>
          <w:b w:val="0"/>
          <w:i w:val="0"/>
        </w:rPr>
        <w:t xml:space="preserve"> Mandates curriculum reforms, skill-based education, and multi-disciplinary frameworks.</w:t>
      </w:r>
    </w:p>
    <w:p>
      <w:pPr>
        <w:pStyle w:val="ListBullet2"/>
        <w:numPr>
          <w:ilvl w:val="1"/>
          <w:numId w:val="90"/>
        </w:numPr>
        <w:ind w:left="652" w:hanging="142"/>
      </w:pPr>
      <w:r>
        <w:rPr>
          <w:b/>
          <w:i w:val="0"/>
        </w:rPr>
        <w:t>Strategic Note:</w:t>
      </w:r>
      <w:r>
        <w:rPr>
          <w:b w:val="0"/>
          <w:i w:val="0"/>
        </w:rPr>
        <w:t xml:space="preserve"> Institutions must stay agile in policy adoption to remain compliant and competitive.</w:t>
      </w:r>
    </w:p>
    <w:p>
      <w:pPr>
        <w:pStyle w:val="Heading2"/>
      </w:pPr>
      <w:r>
        <w:t>2. Accreditation Requirements</w:t>
      </w:r>
    </w:p>
    <w:p>
      <w:pPr>
        <w:pStyle w:val="ListBullet2"/>
        <w:numPr>
          <w:ilvl w:val="1"/>
          <w:numId w:val="90"/>
        </w:numPr>
        <w:ind w:left="652" w:hanging="142"/>
      </w:pPr>
      <w:r>
        <w:rPr>
          <w:b/>
          <w:i w:val="0"/>
        </w:rPr>
        <w:t>Frameworks:</w:t>
      </w:r>
      <w:r>
        <w:rPr>
          <w:b w:val="0"/>
          <w:i w:val="0"/>
        </w:rPr>
        <w:t xml:space="preserve"> NAAC, NBA, NIRF, as, THE, ISO standards.</w:t>
      </w:r>
    </w:p>
    <w:p>
      <w:pPr>
        <w:pStyle w:val="ListBullet2"/>
        <w:numPr>
          <w:ilvl w:val="1"/>
          <w:numId w:val="90"/>
        </w:numPr>
        <w:ind w:left="652" w:hanging="142"/>
      </w:pPr>
      <w:r>
        <w:rPr>
          <w:b/>
          <w:i w:val="0"/>
        </w:rPr>
        <w:t>Impact:</w:t>
      </w:r>
      <w:r>
        <w:rPr>
          <w:b w:val="0"/>
          <w:i w:val="0"/>
        </w:rPr>
        <w:t xml:space="preserve"> Drive quality benchmarks, institutional audits, and rankings.</w:t>
      </w:r>
    </w:p>
    <w:p>
      <w:pPr>
        <w:pStyle w:val="ListBullet2"/>
        <w:numPr>
          <w:ilvl w:val="1"/>
          <w:numId w:val="90"/>
        </w:numPr>
        <w:ind w:left="652" w:hanging="142"/>
      </w:pPr>
      <w:r>
        <w:rPr>
          <w:b/>
          <w:i w:val="0"/>
        </w:rPr>
        <w:t>Strategic Note:</w:t>
      </w:r>
      <w:r>
        <w:rPr>
          <w:b w:val="0"/>
          <w:i w:val="0"/>
        </w:rPr>
        <w:t xml:space="preserve"> Accreditation-readiness must be integrated into governance and IQAC practices.</w:t>
      </w:r>
    </w:p>
    <w:p>
      <w:pPr>
        <w:pStyle w:val="Heading2"/>
      </w:pPr>
      <w:r>
        <w:t>3. Government Funding Schemes, Grants, and Subsidies</w:t>
      </w:r>
    </w:p>
    <w:p>
      <w:pPr>
        <w:pStyle w:val="ListBullet2"/>
        <w:numPr>
          <w:ilvl w:val="1"/>
          <w:numId w:val="90"/>
        </w:numPr>
        <w:ind w:left="652" w:hanging="142"/>
      </w:pPr>
      <w:r>
        <w:rPr>
          <w:b/>
          <w:i w:val="0"/>
        </w:rPr>
        <w:t>Sources:</w:t>
      </w:r>
      <w:r>
        <w:rPr>
          <w:b w:val="0"/>
          <w:i w:val="0"/>
        </w:rPr>
        <w:t xml:space="preserve"> UGC, DST, CSIR, ICSSR, AICTE, international funding bodies.</w:t>
      </w:r>
    </w:p>
    <w:p>
      <w:pPr>
        <w:pStyle w:val="ListBullet2"/>
        <w:numPr>
          <w:ilvl w:val="1"/>
          <w:numId w:val="90"/>
        </w:numPr>
        <w:ind w:left="652" w:hanging="142"/>
      </w:pPr>
      <w:r>
        <w:rPr>
          <w:b/>
          <w:i w:val="0"/>
        </w:rPr>
        <w:t>Impact:</w:t>
      </w:r>
      <w:r>
        <w:rPr>
          <w:b w:val="0"/>
          <w:i w:val="0"/>
        </w:rPr>
        <w:t xml:space="preserve"> Enable research expansion, infrastructure upgrades, faculty development.</w:t>
      </w:r>
    </w:p>
    <w:p>
      <w:pPr>
        <w:pStyle w:val="ListBullet2"/>
        <w:numPr>
          <w:ilvl w:val="1"/>
          <w:numId w:val="90"/>
        </w:numPr>
        <w:ind w:left="652" w:hanging="142"/>
      </w:pPr>
      <w:r>
        <w:rPr>
          <w:b/>
          <w:i w:val="0"/>
        </w:rPr>
        <w:t>Strategic Note:</w:t>
      </w:r>
      <w:r>
        <w:rPr>
          <w:b w:val="0"/>
          <w:i w:val="0"/>
        </w:rPr>
        <w:t xml:space="preserve"> Active pursuit of grants/PPP models is key to reducing over-dependence on tuition fees.</w:t>
      </w:r>
    </w:p>
    <w:p>
      <w:pPr>
        <w:pStyle w:val="Heading2"/>
      </w:pPr>
      <w:r>
        <w:t>4. Political Stability Affecting International Collaborations</w:t>
      </w:r>
    </w:p>
    <w:p>
      <w:pPr>
        <w:pStyle w:val="ListBullet2"/>
        <w:numPr>
          <w:ilvl w:val="1"/>
          <w:numId w:val="90"/>
        </w:numPr>
        <w:ind w:left="652" w:hanging="142"/>
      </w:pPr>
      <w:r>
        <w:rPr>
          <w:b w:val="0"/>
          <w:i w:val="0"/>
        </w:rPr>
        <w:t>Stable governments encourage global partnerships and exchange programs.</w:t>
      </w:r>
    </w:p>
    <w:p>
      <w:pPr>
        <w:pStyle w:val="ListBullet2"/>
        <w:numPr>
          <w:ilvl w:val="1"/>
          <w:numId w:val="90"/>
        </w:numPr>
        <w:ind w:left="652" w:hanging="142"/>
      </w:pPr>
      <w:r>
        <w:rPr>
          <w:b w:val="0"/>
          <w:i w:val="0"/>
        </w:rPr>
        <w:t>Instability can hinder MoUs, joint research, and foreign student recruitment.</w:t>
      </w:r>
    </w:p>
    <w:p>
      <w:pPr>
        <w:pStyle w:val="ListBullet2"/>
        <w:numPr>
          <w:ilvl w:val="1"/>
          <w:numId w:val="90"/>
        </w:numPr>
        <w:ind w:left="652" w:hanging="142"/>
      </w:pPr>
      <w:r>
        <w:rPr>
          <w:b/>
          <w:i w:val="0"/>
        </w:rPr>
        <w:t>Strategic Note:</w:t>
      </w:r>
      <w:r>
        <w:rPr>
          <w:b w:val="0"/>
          <w:i w:val="0"/>
        </w:rPr>
        <w:t xml:space="preserve"> Diversification of global alliances reduces risks from geopolitical disruptions.</w:t>
      </w:r>
    </w:p>
    <w:p>
      <w:pPr>
        <w:pStyle w:val="Heading2"/>
      </w:pPr>
      <w:r>
        <w:t>5. Public–Private Partnership (PPP) Policies</w:t>
      </w:r>
    </w:p>
    <w:p>
      <w:pPr>
        <w:pStyle w:val="ListBullet2"/>
        <w:numPr>
          <w:ilvl w:val="1"/>
          <w:numId w:val="90"/>
        </w:numPr>
        <w:ind w:left="652" w:hanging="142"/>
      </w:pPr>
      <w:r>
        <w:rPr>
          <w:b w:val="0"/>
          <w:i w:val="0"/>
        </w:rPr>
        <w:t>Policies encouraging industry, alumni, and corporate collaborations in higher education.</w:t>
      </w:r>
    </w:p>
    <w:p>
      <w:pPr>
        <w:pStyle w:val="ListBullet2"/>
        <w:numPr>
          <w:ilvl w:val="1"/>
          <w:numId w:val="90"/>
        </w:numPr>
        <w:ind w:left="652" w:hanging="142"/>
      </w:pPr>
      <w:r>
        <w:rPr>
          <w:b/>
          <w:i w:val="0"/>
        </w:rPr>
        <w:t>Impact:</w:t>
      </w:r>
      <w:r>
        <w:rPr>
          <w:b w:val="0"/>
          <w:i w:val="0"/>
        </w:rPr>
        <w:t xml:space="preserve"> Provide financial support, infrastructure development, and employability-driven curricula.</w:t>
      </w:r>
    </w:p>
    <w:p>
      <w:pPr>
        <w:pStyle w:val="ListBullet2"/>
        <w:numPr>
          <w:ilvl w:val="1"/>
          <w:numId w:val="90"/>
        </w:numPr>
        <w:ind w:left="652" w:hanging="142"/>
      </w:pPr>
      <w:r>
        <w:rPr>
          <w:b/>
          <w:i w:val="0"/>
        </w:rPr>
        <w:t>Strategic Note:</w:t>
      </w:r>
      <w:r>
        <w:rPr>
          <w:b w:val="0"/>
          <w:i w:val="0"/>
        </w:rPr>
        <w:t xml:space="preserve"> HEIs should create PPP frameworks for research parks, incubation centers, and skill hubs.</w:t>
      </w:r>
    </w:p>
    <w:p>
      <w:pPr>
        <w:pStyle w:val="Heading2"/>
      </w:pPr>
      <w:r>
        <w:t>6. National Priorities Aligning with SDGs</w:t>
      </w:r>
    </w:p>
    <w:p>
      <w:pPr>
        <w:pStyle w:val="ListBullet2"/>
        <w:numPr>
          <w:ilvl w:val="1"/>
          <w:numId w:val="90"/>
        </w:numPr>
        <w:ind w:left="652" w:hanging="142"/>
      </w:pPr>
      <w:r>
        <w:rPr>
          <w:b w:val="0"/>
          <w:i w:val="0"/>
        </w:rPr>
        <w:t>SDG-4 (Quality Education), SDG-7 (Clean Energy), SDG-11 (Sustainable Cities).</w:t>
      </w:r>
    </w:p>
    <w:p>
      <w:pPr>
        <w:pStyle w:val="ListBullet2"/>
        <w:numPr>
          <w:ilvl w:val="1"/>
          <w:numId w:val="90"/>
        </w:numPr>
        <w:ind w:left="652" w:hanging="142"/>
      </w:pPr>
      <w:r>
        <w:rPr>
          <w:b/>
          <w:i w:val="0"/>
        </w:rPr>
        <w:t>Impact:</w:t>
      </w:r>
      <w:r>
        <w:rPr>
          <w:b w:val="0"/>
          <w:i w:val="0"/>
        </w:rPr>
        <w:t xml:space="preserve"> Government policies incentivize universities working on sustainability, innovation, and community development.</w:t>
      </w:r>
    </w:p>
    <w:p>
      <w:pPr>
        <w:pStyle w:val="ListBullet2"/>
        <w:numPr>
          <w:ilvl w:val="1"/>
          <w:numId w:val="90"/>
        </w:numPr>
        <w:ind w:left="652" w:hanging="142"/>
      </w:pPr>
      <w:r>
        <w:rPr>
          <w:b/>
          <w:i w:val="0"/>
        </w:rPr>
        <w:t>Strategic Note:</w:t>
      </w:r>
      <w:r>
        <w:rPr>
          <w:b w:val="0"/>
          <w:i w:val="0"/>
        </w:rPr>
        <w:t xml:space="preserve"> Embedding SDGs in institutional strategy enhances alignment with global and national agendas.</w:t>
      </w:r>
    </w:p>
    <w:p>
      <w:pPr>
        <w:pStyle w:val="Heading2"/>
      </w:pPr>
      <w:r>
        <w:t>Integrated Strategic Matrix – Political Factors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984"/>
        <w:gridCol w:w="3061"/>
        <w:gridCol w:w="2211"/>
        <w:gridCol w:w="2154"/>
      </w:tblGrid>
      <w:tr>
        <w:trPr>
          <w:tblHeader/>
          <w:cantSplit/>
        </w:trPr>
        <w:tc>
          <w:tcPr>
            <w:tcW w:type="dxa" w:w="1984"/>
            <w:vAlign w:val="center"/>
            <w:shd w:fill="1F3A5F"/>
          </w:tcPr>
          <w:p>
            <w:pPr>
              <w:keepNext/>
              <w:spacing w:after="40" w:line="276" w:lineRule="auto"/>
              <w:jc w:val="left"/>
            </w:pPr>
            <w:r>
              <w:rPr>
                <w:b/>
                <w:i w:val="0"/>
                <w:color w:val="FFFFFF"/>
              </w:rPr>
              <w:t>Policy Direction</w:t>
            </w:r>
          </w:p>
        </w:tc>
        <w:tc>
          <w:tcPr>
            <w:tcW w:type="dxa" w:w="3061"/>
            <w:vAlign w:val="center"/>
            <w:shd w:fill="1F3A5F"/>
          </w:tcPr>
          <w:p>
            <w:pPr>
              <w:keepNext/>
              <w:spacing w:after="40" w:line="276" w:lineRule="auto"/>
              <w:jc w:val="left"/>
            </w:pPr>
            <w:r>
              <w:rPr>
                <w:b/>
                <w:i w:val="0"/>
                <w:color w:val="FFFFFF"/>
              </w:rPr>
              <w:t>Strategic Actions</w:t>
            </w:r>
          </w:p>
        </w:tc>
        <w:tc>
          <w:tcPr>
            <w:tcW w:type="dxa" w:w="2211"/>
            <w:vAlign w:val="center"/>
            <w:shd w:fill="1F3A5F"/>
          </w:tcPr>
          <w:p>
            <w:pPr>
              <w:keepNext/>
              <w:spacing w:after="40" w:line="276" w:lineRule="auto"/>
              <w:jc w:val="left"/>
            </w:pPr>
            <w:r>
              <w:rPr>
                <w:b/>
                <w:i w:val="0"/>
                <w:color w:val="FFFFFF"/>
              </w:rPr>
              <w:t>Expected Outcomes</w:t>
            </w:r>
          </w:p>
        </w:tc>
        <w:tc>
          <w:tcPr>
            <w:tcW w:type="dxa" w:w="2154"/>
            <w:vAlign w:val="center"/>
            <w:shd w:fill="1F3A5F"/>
          </w:tcPr>
          <w:p>
            <w:pPr>
              <w:keepNext/>
              <w:spacing w:after="40" w:line="276" w:lineRule="auto"/>
              <w:jc w:val="left"/>
            </w:pPr>
            <w:r>
              <w:rPr>
                <w:b/>
                <w:i w:val="0"/>
                <w:color w:val="FFFFFF"/>
              </w:rPr>
              <w:t>KPIs (Indicators)</w:t>
            </w:r>
          </w:p>
        </w:tc>
      </w:tr>
      <w:tr>
        <w:trPr>
          <w:cantSplit/>
        </w:trPr>
        <w:tc>
          <w:tcPr>
            <w:tcW w:type="dxa" w:w="1984"/>
            <w:vAlign w:val="center"/>
            <w:shd w:fill="FFFFFF"/>
          </w:tcPr>
          <w:p>
            <w:pPr>
              <w:spacing w:after="40" w:line="276" w:lineRule="auto"/>
              <w:jc w:val="left"/>
            </w:pPr>
            <w:r>
              <w:rPr>
                <w:b w:val="0"/>
                <w:i w:val="0"/>
              </w:rPr>
              <w:t>Adopt and align with national education policies (NEP 2020, Higher Education Acts, etc.)</w:t>
            </w:r>
          </w:p>
        </w:tc>
        <w:tc>
          <w:tcPr>
            <w:tcW w:type="dxa" w:w="3061"/>
            <w:vAlign w:val="center"/>
            <w:shd w:fill="FFFFFF"/>
          </w:tcPr>
          <w:p>
            <w:pPr>
              <w:spacing w:after="40" w:line="276" w:lineRule="auto"/>
              <w:ind w:left="125" w:hanging="125"/>
              <w:jc w:val="left"/>
            </w:pPr>
            <w:r>
              <w:t xml:space="preserve">• </w:t>
            </w:r>
            <w:r>
              <w:rPr>
                <w:b w:val="0"/>
                <w:i w:val="0"/>
              </w:rPr>
              <w:t>Revise curricula to reflect multidisciplinary, skill-based learning.</w:t>
            </w:r>
          </w:p>
          <w:p>
            <w:pPr>
              <w:spacing w:after="40" w:line="276" w:lineRule="auto"/>
              <w:ind w:left="125" w:hanging="125"/>
              <w:jc w:val="left"/>
            </w:pPr>
            <w:r>
              <w:t xml:space="preserve">• </w:t>
            </w:r>
            <w:r>
              <w:rPr>
                <w:b w:val="0"/>
                <w:i w:val="0"/>
              </w:rPr>
              <w:t>Integrate OBE (Outcome-Based Education).</w:t>
            </w:r>
          </w:p>
          <w:p>
            <w:pPr>
              <w:spacing w:after="40" w:line="276" w:lineRule="auto"/>
              <w:ind w:left="125" w:hanging="125"/>
              <w:jc w:val="left"/>
            </w:pPr>
            <w:r>
              <w:t xml:space="preserve">• </w:t>
            </w:r>
            <w:r>
              <w:rPr>
                <w:b w:val="0"/>
                <w:i w:val="0"/>
              </w:rPr>
              <w:t>Align institutional governance with national frameworks.</w:t>
            </w:r>
          </w:p>
        </w:tc>
        <w:tc>
          <w:tcPr>
            <w:tcW w:type="dxa" w:w="2211"/>
            <w:vAlign w:val="center"/>
            <w:shd w:fill="FFFFFF"/>
          </w:tcPr>
          <w:p>
            <w:pPr>
              <w:spacing w:after="40" w:line="276" w:lineRule="auto"/>
              <w:jc w:val="left"/>
            </w:pPr>
            <w:r>
              <w:rPr>
                <w:b w:val="0"/>
                <w:i w:val="0"/>
              </w:rPr>
              <w:t>HEIs fully compliant with national reforms; enhanced student employability.</w:t>
            </w:r>
          </w:p>
        </w:tc>
        <w:tc>
          <w:tcPr>
            <w:tcW w:type="dxa" w:w="2154"/>
            <w:vAlign w:val="center"/>
            <w:shd w:fill="FFFFFF"/>
          </w:tcPr>
          <w:p>
            <w:pPr>
              <w:spacing w:after="40" w:line="276" w:lineRule="auto"/>
              <w:ind w:left="125" w:hanging="125"/>
              <w:jc w:val="left"/>
            </w:pPr>
            <w:r>
              <w:t xml:space="preserve">• </w:t>
            </w:r>
            <w:r>
              <w:rPr>
                <w:b/>
                <w:i w:val="0"/>
              </w:rPr>
              <w:t>% programs NEP/​OBE aligned (Target:</w:t>
            </w:r>
            <w:r>
              <w:rPr>
                <w:b w:val="0"/>
                <w:i w:val="0"/>
              </w:rPr>
              <w:t xml:space="preserve"> 100%).</w:t>
            </w:r>
          </w:p>
          <w:p>
            <w:pPr>
              <w:spacing w:after="40" w:line="276" w:lineRule="auto"/>
              <w:ind w:left="125" w:hanging="125"/>
              <w:jc w:val="left"/>
            </w:pPr>
            <w:r>
              <w:t xml:space="preserve">• </w:t>
            </w:r>
            <w:r>
              <w:rPr>
                <w:b w:val="0"/>
                <w:i w:val="0"/>
              </w:rPr>
              <w:t>Graduate employability rate (≥90%).</w:t>
            </w:r>
          </w:p>
        </w:tc>
      </w:tr>
      <w:tr>
        <w:trPr>
          <w:cantSplit/>
        </w:trPr>
        <w:tc>
          <w:tcPr>
            <w:tcW w:type="dxa" w:w="1984"/>
            <w:vAlign w:val="center"/>
            <w:shd w:fill="EDF2F7"/>
          </w:tcPr>
          <w:p>
            <w:pPr>
              <w:spacing w:after="40" w:line="276" w:lineRule="auto"/>
              <w:jc w:val="left"/>
            </w:pPr>
            <w:r>
              <w:rPr>
                <w:b w:val="0"/>
                <w:i w:val="0"/>
              </w:rPr>
              <w:t>Ensure accreditation and ranking readiness (NAAC, NBA, NIRF, QS, THE)</w:t>
            </w:r>
          </w:p>
        </w:tc>
        <w:tc>
          <w:tcPr>
            <w:tcW w:type="dxa" w:w="3061"/>
            <w:vAlign w:val="center"/>
            <w:shd w:fill="EDF2F7"/>
          </w:tcPr>
          <w:p>
            <w:pPr>
              <w:spacing w:after="40" w:line="276" w:lineRule="auto"/>
              <w:ind w:left="125" w:hanging="125"/>
              <w:jc w:val="left"/>
            </w:pPr>
            <w:r>
              <w:t xml:space="preserve">• </w:t>
            </w:r>
            <w:r>
              <w:rPr>
                <w:b w:val="0"/>
                <w:i w:val="0"/>
              </w:rPr>
              <w:t>Establish IQAC-driven monitoring system.</w:t>
            </w:r>
          </w:p>
          <w:p>
            <w:pPr>
              <w:spacing w:after="40" w:line="276" w:lineRule="auto"/>
              <w:ind w:left="125" w:hanging="125"/>
              <w:jc w:val="left"/>
            </w:pPr>
            <w:r>
              <w:t xml:space="preserve">• </w:t>
            </w:r>
            <w:r>
              <w:rPr>
                <w:b w:val="0"/>
                <w:i w:val="0"/>
              </w:rPr>
              <w:t>Conduct mock audits and accreditation simulations.</w:t>
            </w:r>
          </w:p>
          <w:p>
            <w:pPr>
              <w:spacing w:after="40" w:line="276" w:lineRule="auto"/>
              <w:ind w:left="125" w:hanging="125"/>
              <w:jc w:val="left"/>
            </w:pPr>
            <w:r>
              <w:t xml:space="preserve">• </w:t>
            </w:r>
            <w:r>
              <w:rPr>
                <w:b w:val="0"/>
                <w:i w:val="0"/>
              </w:rPr>
              <w:t>Benchmark against global standards.</w:t>
            </w:r>
          </w:p>
        </w:tc>
        <w:tc>
          <w:tcPr>
            <w:tcW w:type="dxa" w:w="2211"/>
            <w:vAlign w:val="center"/>
            <w:shd w:fill="EDF2F7"/>
          </w:tcPr>
          <w:p>
            <w:pPr>
              <w:spacing w:after="40" w:line="276" w:lineRule="auto"/>
              <w:jc w:val="left"/>
            </w:pPr>
            <w:r>
              <w:rPr>
                <w:b w:val="0"/>
                <w:i w:val="0"/>
              </w:rPr>
              <w:t>Higher grades in accreditation; better global ranking positions.</w:t>
            </w:r>
          </w:p>
        </w:tc>
        <w:tc>
          <w:tcPr>
            <w:tcW w:type="dxa" w:w="2154"/>
            <w:vAlign w:val="center"/>
            <w:shd w:fill="EDF2F7"/>
          </w:tcPr>
          <w:p>
            <w:pPr>
              <w:spacing w:after="40" w:line="276" w:lineRule="auto"/>
              <w:ind w:left="125" w:hanging="125"/>
              <w:jc w:val="left"/>
            </w:pPr>
            <w:r>
              <w:t xml:space="preserve">• </w:t>
            </w:r>
            <w:r>
              <w:rPr>
                <w:b w:val="0"/>
                <w:i w:val="0"/>
              </w:rPr>
              <w:t>NAAC Grade(+).</w:t>
            </w:r>
          </w:p>
          <w:p>
            <w:pPr>
              <w:spacing w:after="40" w:line="276" w:lineRule="auto"/>
              <w:ind w:left="125" w:hanging="125"/>
              <w:jc w:val="left"/>
            </w:pPr>
            <w:r>
              <w:t xml:space="preserve">• </w:t>
            </w:r>
            <w:r>
              <w:rPr>
                <w:b w:val="0"/>
                <w:i w:val="0"/>
              </w:rPr>
              <w:t>NIRF Top 50.</w:t>
            </w:r>
          </w:p>
          <w:p>
            <w:pPr>
              <w:spacing w:after="40" w:line="276" w:lineRule="auto"/>
              <w:ind w:left="125" w:hanging="125"/>
              <w:jc w:val="left"/>
            </w:pPr>
            <w:r>
              <w:t xml:space="preserve">• </w:t>
            </w:r>
            <w:r>
              <w:rPr>
                <w:b w:val="0"/>
                <w:i w:val="0"/>
              </w:rPr>
              <w:t>QS/​THE Top 500 by 2035.</w:t>
            </w:r>
          </w:p>
        </w:tc>
      </w:tr>
      <w:tr>
        <w:trPr>
          <w:cantSplit/>
        </w:trPr>
        <w:tc>
          <w:tcPr>
            <w:tcW w:type="dxa" w:w="1984"/>
            <w:vAlign w:val="center"/>
            <w:shd w:fill="FFFFFF"/>
          </w:tcPr>
          <w:p>
            <w:pPr>
              <w:spacing w:after="40" w:line="276" w:lineRule="auto"/>
              <w:jc w:val="left"/>
            </w:pPr>
            <w:r>
              <w:rPr>
                <w:b w:val="0"/>
                <w:i w:val="0"/>
              </w:rPr>
              <w:t>Leverage government funding schemes, grants, and subsidies</w:t>
            </w:r>
          </w:p>
        </w:tc>
        <w:tc>
          <w:tcPr>
            <w:tcW w:type="dxa" w:w="3061"/>
            <w:vAlign w:val="center"/>
            <w:shd w:fill="FFFFFF"/>
          </w:tcPr>
          <w:p>
            <w:pPr>
              <w:spacing w:after="40" w:line="276" w:lineRule="auto"/>
              <w:ind w:left="125" w:hanging="125"/>
              <w:jc w:val="left"/>
            </w:pPr>
            <w:r>
              <w:t xml:space="preserve">• </w:t>
            </w:r>
            <w:r>
              <w:rPr>
                <w:b w:val="0"/>
                <w:i w:val="0"/>
              </w:rPr>
              <w:t>Actively pursue UGC/​DST/​CSIR/​AICTE grants.</w:t>
            </w:r>
          </w:p>
          <w:p>
            <w:pPr>
              <w:spacing w:after="40" w:line="276" w:lineRule="auto"/>
              <w:ind w:left="125" w:hanging="125"/>
              <w:jc w:val="left"/>
            </w:pPr>
            <w:r>
              <w:t xml:space="preserve">• </w:t>
            </w:r>
            <w:r>
              <w:rPr>
                <w:b w:val="0"/>
                <w:i w:val="0"/>
              </w:rPr>
              <w:t>Create internal grant support cells.</w:t>
            </w:r>
          </w:p>
          <w:p>
            <w:pPr>
              <w:spacing w:after="40" w:line="276" w:lineRule="auto"/>
              <w:ind w:left="125" w:hanging="125"/>
              <w:jc w:val="left"/>
            </w:pPr>
            <w:r>
              <w:t xml:space="preserve">• </w:t>
            </w:r>
            <w:r>
              <w:rPr>
                <w:b w:val="0"/>
                <w:i w:val="0"/>
              </w:rPr>
              <w:t>Partner with alumni &amp; industry to co-fund projects.</w:t>
            </w:r>
          </w:p>
        </w:tc>
        <w:tc>
          <w:tcPr>
            <w:tcW w:type="dxa" w:w="2211"/>
            <w:vAlign w:val="center"/>
            <w:shd w:fill="FFFFFF"/>
          </w:tcPr>
          <w:p>
            <w:pPr>
              <w:spacing w:after="40" w:line="276" w:lineRule="auto"/>
              <w:jc w:val="left"/>
            </w:pPr>
            <w:r>
              <w:rPr>
                <w:b w:val="0"/>
                <w:i w:val="0"/>
              </w:rPr>
              <w:t>Expanded research, better infrastructure, financial resilience.</w:t>
            </w:r>
          </w:p>
        </w:tc>
        <w:tc>
          <w:tcPr>
            <w:tcW w:type="dxa" w:w="2154"/>
            <w:vAlign w:val="center"/>
            <w:shd w:fill="FFFFFF"/>
          </w:tcPr>
          <w:p>
            <w:pPr>
              <w:spacing w:after="40" w:line="276" w:lineRule="auto"/>
              <w:ind w:left="125" w:hanging="125"/>
              <w:jc w:val="left"/>
            </w:pPr>
            <w:r>
              <w:t xml:space="preserve">• </w:t>
            </w:r>
            <w:r>
              <w:rPr>
                <w:b w:val="0"/>
                <w:i w:val="0"/>
              </w:rPr>
              <w:t>No. of funded projects per year.</w:t>
            </w:r>
          </w:p>
          <w:p>
            <w:pPr>
              <w:spacing w:after="40" w:line="276" w:lineRule="auto"/>
              <w:ind w:left="125" w:hanging="125"/>
              <w:jc w:val="left"/>
            </w:pPr>
            <w:r>
              <w:t xml:space="preserve">• </w:t>
            </w:r>
            <w:r>
              <w:rPr>
                <w:b w:val="0"/>
                <w:i w:val="0"/>
              </w:rPr>
              <w:t>Research funding secured annually.</w:t>
            </w:r>
          </w:p>
          <w:p>
            <w:pPr>
              <w:spacing w:after="40" w:line="276" w:lineRule="auto"/>
              <w:ind w:left="125" w:hanging="125"/>
              <w:jc w:val="left"/>
            </w:pPr>
            <w:r>
              <w:t xml:space="preserve">• </w:t>
            </w:r>
            <w:r>
              <w:rPr>
                <w:b w:val="0"/>
                <w:i w:val="0"/>
              </w:rPr>
              <w:t>% external (non-fee) revenue.</w:t>
            </w:r>
          </w:p>
        </w:tc>
      </w:tr>
      <w:tr>
        <w:trPr>
          <w:cantSplit/>
        </w:trPr>
        <w:tc>
          <w:tcPr>
            <w:tcW w:type="dxa" w:w="1984"/>
            <w:vAlign w:val="center"/>
            <w:shd w:fill="EDF2F7"/>
          </w:tcPr>
          <w:p>
            <w:pPr>
              <w:spacing w:after="40" w:line="276" w:lineRule="auto"/>
              <w:jc w:val="left"/>
            </w:pPr>
            <w:r>
              <w:rPr>
                <w:b w:val="0"/>
                <w:i w:val="0"/>
              </w:rPr>
              <w:t>Strengthen international collaborations amid political stability risks</w:t>
            </w:r>
          </w:p>
        </w:tc>
        <w:tc>
          <w:tcPr>
            <w:tcW w:type="dxa" w:w="3061"/>
            <w:vAlign w:val="center"/>
            <w:shd w:fill="EDF2F7"/>
          </w:tcPr>
          <w:p>
            <w:pPr>
              <w:spacing w:after="40" w:line="276" w:lineRule="auto"/>
              <w:ind w:left="125" w:hanging="125"/>
              <w:jc w:val="left"/>
            </w:pPr>
            <w:r>
              <w:t xml:space="preserve">• </w:t>
            </w:r>
            <w:r>
              <w:rPr>
                <w:b w:val="0"/>
                <w:i w:val="0"/>
              </w:rPr>
              <w:t>Sign diverse MoUs across multiple regions.</w:t>
            </w:r>
          </w:p>
          <w:p>
            <w:pPr>
              <w:spacing w:after="40" w:line="276" w:lineRule="auto"/>
              <w:ind w:left="125" w:hanging="125"/>
              <w:jc w:val="left"/>
            </w:pPr>
            <w:r>
              <w:t xml:space="preserve">• </w:t>
            </w:r>
            <w:r>
              <w:rPr>
                <w:b w:val="0"/>
                <w:i w:val="0"/>
              </w:rPr>
              <w:t>Develop digital/​virtual exchange programs.</w:t>
            </w:r>
          </w:p>
          <w:p>
            <w:pPr>
              <w:spacing w:after="40" w:line="276" w:lineRule="auto"/>
              <w:ind w:left="125" w:hanging="125"/>
              <w:jc w:val="left"/>
            </w:pPr>
            <w:r>
              <w:t xml:space="preserve">• </w:t>
            </w:r>
            <w:r>
              <w:rPr>
                <w:b w:val="0"/>
                <w:i w:val="0"/>
              </w:rPr>
              <w:t>Build contingency plans for geopolitical instability.</w:t>
            </w:r>
          </w:p>
        </w:tc>
        <w:tc>
          <w:tcPr>
            <w:tcW w:type="dxa" w:w="2211"/>
            <w:vAlign w:val="center"/>
            <w:shd w:fill="EDF2F7"/>
          </w:tcPr>
          <w:p>
            <w:pPr>
              <w:spacing w:after="40" w:line="276" w:lineRule="auto"/>
              <w:jc w:val="left"/>
            </w:pPr>
            <w:r>
              <w:rPr>
                <w:b w:val="0"/>
                <w:i w:val="0"/>
              </w:rPr>
              <w:t>Resilient and diversified global engagement network.</w:t>
            </w:r>
          </w:p>
        </w:tc>
        <w:tc>
          <w:tcPr>
            <w:tcW w:type="dxa" w:w="2154"/>
            <w:vAlign w:val="center"/>
            <w:shd w:fill="EDF2F7"/>
          </w:tcPr>
          <w:p>
            <w:pPr>
              <w:spacing w:after="40" w:line="276" w:lineRule="auto"/>
              <w:ind w:left="125" w:hanging="125"/>
              <w:jc w:val="left"/>
            </w:pPr>
            <w:r>
              <w:t xml:space="preserve">• </w:t>
            </w:r>
            <w:r>
              <w:rPr>
                <w:b w:val="0"/>
                <w:i w:val="0"/>
              </w:rPr>
              <w:t>No. of active international MoUs (≥25).</w:t>
            </w:r>
          </w:p>
          <w:p>
            <w:pPr>
              <w:spacing w:after="40" w:line="276" w:lineRule="auto"/>
              <w:ind w:left="125" w:hanging="125"/>
              <w:jc w:val="left"/>
            </w:pPr>
            <w:r>
              <w:t xml:space="preserve">• </w:t>
            </w:r>
            <w:r>
              <w:rPr>
                <w:b w:val="0"/>
                <w:i w:val="0"/>
              </w:rPr>
              <w:t>Student/​faculty exchanges (≥200/​year).</w:t>
            </w:r>
          </w:p>
        </w:tc>
      </w:tr>
      <w:tr>
        <w:trPr>
          <w:cantSplit/>
        </w:trPr>
        <w:tc>
          <w:tcPr>
            <w:tcW w:type="dxa" w:w="1984"/>
            <w:vAlign w:val="center"/>
            <w:shd w:fill="FFFFFF"/>
          </w:tcPr>
          <w:p>
            <w:pPr>
              <w:spacing w:after="40" w:line="276" w:lineRule="auto"/>
              <w:jc w:val="left"/>
            </w:pPr>
            <w:r>
              <w:rPr>
                <w:b w:val="0"/>
                <w:i w:val="0"/>
              </w:rPr>
              <w:t>Leverage PPP policies for higher education infrastructure</w:t>
            </w:r>
          </w:p>
        </w:tc>
        <w:tc>
          <w:tcPr>
            <w:tcW w:type="dxa" w:w="3061"/>
            <w:vAlign w:val="center"/>
            <w:shd w:fill="FFFFFF"/>
          </w:tcPr>
          <w:p>
            <w:pPr>
              <w:spacing w:after="40" w:line="276" w:lineRule="auto"/>
              <w:ind w:left="125" w:hanging="125"/>
              <w:jc w:val="left"/>
            </w:pPr>
            <w:r>
              <w:t xml:space="preserve">• </w:t>
            </w:r>
            <w:r>
              <w:rPr>
                <w:b w:val="0"/>
                <w:i w:val="0"/>
              </w:rPr>
              <w:t>Establish research parks and incubators through PPP.</w:t>
            </w:r>
          </w:p>
          <w:p>
            <w:pPr>
              <w:spacing w:after="40" w:line="276" w:lineRule="auto"/>
              <w:ind w:left="125" w:hanging="125"/>
              <w:jc w:val="left"/>
            </w:pPr>
            <w:r>
              <w:t xml:space="preserve">• </w:t>
            </w:r>
            <w:r>
              <w:rPr>
                <w:b w:val="0"/>
                <w:i w:val="0"/>
              </w:rPr>
              <w:t>Invite CSR contributions for labs, ICT, and green infra.</w:t>
            </w:r>
          </w:p>
          <w:p>
            <w:pPr>
              <w:spacing w:after="40" w:line="276" w:lineRule="auto"/>
              <w:ind w:left="125" w:hanging="125"/>
              <w:jc w:val="left"/>
            </w:pPr>
            <w:r>
              <w:t xml:space="preserve">• </w:t>
            </w:r>
            <w:r>
              <w:rPr>
                <w:b w:val="0"/>
                <w:i w:val="0"/>
              </w:rPr>
              <w:t>Co-create industry-driven skill hubs.</w:t>
            </w:r>
          </w:p>
        </w:tc>
        <w:tc>
          <w:tcPr>
            <w:tcW w:type="dxa" w:w="2211"/>
            <w:vAlign w:val="center"/>
            <w:shd w:fill="FFFFFF"/>
          </w:tcPr>
          <w:p>
            <w:pPr>
              <w:spacing w:after="40" w:line="276" w:lineRule="auto"/>
              <w:jc w:val="left"/>
            </w:pPr>
            <w:r>
              <w:rPr>
                <w:b w:val="0"/>
                <w:i w:val="0"/>
              </w:rPr>
              <w:t>Financially sustainable infra development; better industry linkage.</w:t>
            </w:r>
          </w:p>
        </w:tc>
        <w:tc>
          <w:tcPr>
            <w:tcW w:type="dxa" w:w="2154"/>
            <w:vAlign w:val="center"/>
            <w:shd w:fill="FFFFFF"/>
          </w:tcPr>
          <w:p>
            <w:pPr>
              <w:spacing w:after="40" w:line="276" w:lineRule="auto"/>
              <w:ind w:left="125" w:hanging="125"/>
              <w:jc w:val="left"/>
            </w:pPr>
            <w:r>
              <w:t xml:space="preserve">• </w:t>
            </w:r>
            <w:r>
              <w:rPr>
                <w:b w:val="0"/>
                <w:i w:val="0"/>
              </w:rPr>
              <w:t>No. of PPP projects.</w:t>
            </w:r>
          </w:p>
          <w:p>
            <w:pPr>
              <w:spacing w:after="40" w:line="276" w:lineRule="auto"/>
              <w:ind w:left="125" w:hanging="125"/>
              <w:jc w:val="left"/>
            </w:pPr>
            <w:r>
              <w:t xml:space="preserve">• </w:t>
            </w:r>
            <w:r>
              <w:rPr>
                <w:b w:val="0"/>
                <w:i w:val="0"/>
              </w:rPr>
              <w:t>CSR/​Alumni contributions (annual /£).</w:t>
            </w:r>
          </w:p>
          <w:p>
            <w:pPr>
              <w:spacing w:after="40" w:line="276" w:lineRule="auto"/>
              <w:ind w:left="125" w:hanging="125"/>
              <w:jc w:val="left"/>
            </w:pPr>
            <w:r>
              <w:t xml:space="preserve">• </w:t>
            </w:r>
            <w:r>
              <w:rPr>
                <w:b w:val="0"/>
                <w:i w:val="0"/>
              </w:rPr>
              <w:t>Industry–academia collaborations launched.</w:t>
            </w:r>
          </w:p>
        </w:tc>
      </w:tr>
      <w:tr>
        <w:trPr>
          <w:cantSplit/>
        </w:trPr>
        <w:tc>
          <w:tcPr>
            <w:tcW w:type="dxa" w:w="1984"/>
            <w:vAlign w:val="center"/>
            <w:shd w:fill="EDF2F7"/>
          </w:tcPr>
          <w:p>
            <w:pPr>
              <w:spacing w:after="40" w:line="276" w:lineRule="auto"/>
              <w:jc w:val="left"/>
            </w:pPr>
            <w:r>
              <w:rPr>
                <w:b w:val="0"/>
                <w:i w:val="0"/>
              </w:rPr>
              <w:t>Embed SDGs into national alignment priorities</w:t>
            </w:r>
          </w:p>
        </w:tc>
        <w:tc>
          <w:tcPr>
            <w:tcW w:type="dxa" w:w="3061"/>
            <w:vAlign w:val="center"/>
            <w:shd w:fill="EDF2F7"/>
          </w:tcPr>
          <w:p>
            <w:pPr>
              <w:spacing w:after="40" w:line="276" w:lineRule="auto"/>
              <w:ind w:left="125" w:hanging="125"/>
              <w:jc w:val="left"/>
            </w:pPr>
            <w:r>
              <w:t xml:space="preserve">• </w:t>
            </w:r>
            <w:r>
              <w:rPr>
                <w:b w:val="0"/>
                <w:i w:val="0"/>
              </w:rPr>
              <w:t>Map all programs and ISR projects to SDGs.</w:t>
            </w:r>
          </w:p>
          <w:p>
            <w:pPr>
              <w:spacing w:after="40" w:line="276" w:lineRule="auto"/>
              <w:ind w:left="125" w:hanging="125"/>
              <w:jc w:val="left"/>
            </w:pPr>
            <w:r>
              <w:t xml:space="preserve">• </w:t>
            </w:r>
            <w:r>
              <w:rPr>
                <w:b w:val="0"/>
                <w:i w:val="0"/>
              </w:rPr>
              <w:t>Establish SDG Cell under IQAC.</w:t>
            </w:r>
          </w:p>
          <w:p>
            <w:pPr>
              <w:spacing w:after="40" w:line="276" w:lineRule="auto"/>
              <w:ind w:left="125" w:hanging="125"/>
              <w:jc w:val="left"/>
            </w:pPr>
            <w:r>
              <w:t xml:space="preserve">• </w:t>
            </w:r>
            <w:r>
              <w:rPr>
                <w:b w:val="0"/>
                <w:i w:val="0"/>
              </w:rPr>
              <w:t>Publish annual SDG alignment reports.</w:t>
            </w:r>
          </w:p>
        </w:tc>
        <w:tc>
          <w:tcPr>
            <w:tcW w:type="dxa" w:w="2211"/>
            <w:vAlign w:val="center"/>
            <w:shd w:fill="EDF2F7"/>
          </w:tcPr>
          <w:p>
            <w:pPr>
              <w:spacing w:after="40" w:line="276" w:lineRule="auto"/>
              <w:jc w:val="left"/>
            </w:pPr>
            <w:r>
              <w:rPr>
                <w:b w:val="0"/>
                <w:i w:val="0"/>
              </w:rPr>
              <w:t>Institution recognized as SDG-driven HEI.</w:t>
            </w:r>
          </w:p>
        </w:tc>
        <w:tc>
          <w:tcPr>
            <w:tcW w:type="dxa" w:w="2154"/>
            <w:vAlign w:val="center"/>
            <w:shd w:fill="EDF2F7"/>
          </w:tcPr>
          <w:p>
            <w:pPr>
              <w:spacing w:after="40" w:line="276" w:lineRule="auto"/>
              <w:ind w:left="125" w:hanging="125"/>
              <w:jc w:val="left"/>
            </w:pPr>
            <w:r>
              <w:t xml:space="preserve">• </w:t>
            </w:r>
            <w:r>
              <w:rPr>
                <w:b w:val="0"/>
                <w:i w:val="0"/>
              </w:rPr>
              <w:t>% programs/​projects linked to SDGs (≥80%)'</w:t>
            </w:r>
          </w:p>
          <w:p>
            <w:pPr>
              <w:spacing w:after="40" w:line="276" w:lineRule="auto"/>
              <w:ind w:left="125" w:hanging="125"/>
              <w:jc w:val="left"/>
            </w:pPr>
            <w:r>
              <w:t xml:space="preserve">• </w:t>
            </w:r>
            <w:r>
              <w:rPr>
                <w:b w:val="0"/>
                <w:i w:val="0"/>
              </w:rPr>
              <w:t>Annual SDG report published.</w:t>
            </w:r>
          </w:p>
          <w:p>
            <w:pPr>
              <w:spacing w:after="40" w:line="276" w:lineRule="auto"/>
              <w:ind w:left="125" w:hanging="125"/>
              <w:jc w:val="left"/>
            </w:pPr>
            <w:r>
              <w:t xml:space="preserve">• </w:t>
            </w:r>
            <w:r>
              <w:rPr>
                <w:b w:val="0"/>
                <w:i w:val="0"/>
              </w:rPr>
              <w:t>No. of ISR/​SDG projects initiated yearly.</w:t>
            </w:r>
          </w:p>
        </w:tc>
      </w:tr>
    </w:tbl>
    <w:p>
      <w:pPr>
        <w:spacing w:after="40"/>
      </w:pPr>
    </w:p>
    <w:p>
      <w:pPr>
        <w:pStyle w:val="Heading2"/>
      </w:pPr>
      <w:r>
        <w:t>Economic Factors in Strategic Planning</w:t>
      </w:r>
    </w:p>
    <w:p>
      <w:pPr>
        <w:pStyle w:val="Heading2"/>
      </w:pPr>
      <w:r>
        <w:t>1. Budget Allocations for Higher Education &amp; R&amp;D</w:t>
      </w:r>
    </w:p>
    <w:p>
      <w:pPr>
        <w:pStyle w:val="ListBullet2"/>
        <w:numPr>
          <w:ilvl w:val="1"/>
          <w:numId w:val="90"/>
        </w:numPr>
        <w:ind w:left="652" w:hanging="142"/>
      </w:pPr>
      <w:r>
        <w:rPr>
          <w:b w:val="0"/>
          <w:i w:val="0"/>
        </w:rPr>
        <w:t>Governments often earmark funds for universities and research councils.</w:t>
      </w:r>
    </w:p>
    <w:p>
      <w:pPr>
        <w:pStyle w:val="ListBullet2"/>
        <w:numPr>
          <w:ilvl w:val="1"/>
          <w:numId w:val="90"/>
        </w:numPr>
        <w:ind w:left="652" w:hanging="142"/>
      </w:pPr>
      <w:r>
        <w:rPr>
          <w:b w:val="0"/>
          <w:i w:val="0"/>
        </w:rPr>
        <w:t>HEIs must plan strategically to secure and utilize these allocations.</w:t>
      </w:r>
    </w:p>
    <w:p>
      <w:pPr>
        <w:pStyle w:val="ListBullet2"/>
        <w:numPr>
          <w:ilvl w:val="1"/>
          <w:numId w:val="90"/>
        </w:numPr>
        <w:ind w:left="652" w:hanging="142"/>
      </w:pPr>
      <w:r>
        <w:rPr>
          <w:b/>
          <w:i w:val="0"/>
        </w:rPr>
        <w:t>Example:</w:t>
      </w:r>
      <w:r>
        <w:rPr>
          <w:b w:val="0"/>
          <w:i w:val="0"/>
        </w:rPr>
        <w:t xml:space="preserve"> Setting aside ≥15% of the institutional budget for R&amp;D ensures strong research infrastructure.</w:t>
      </w:r>
    </w:p>
    <w:p>
      <w:pPr>
        <w:pStyle w:val="Heading2"/>
      </w:pPr>
      <w:r>
        <w:t>2. Alumni Donations, CSR Funding &amp; Private Investment Trends</w:t>
      </w:r>
    </w:p>
    <w:p>
      <w:pPr>
        <w:pStyle w:val="ListBullet2"/>
        <w:numPr>
          <w:ilvl w:val="1"/>
          <w:numId w:val="90"/>
        </w:numPr>
        <w:ind w:left="652" w:hanging="142"/>
      </w:pPr>
      <w:r>
        <w:rPr>
          <w:b w:val="0"/>
          <w:i w:val="0"/>
        </w:rPr>
        <w:t>Over-reliance on tuition fees or government grants is risky.</w:t>
      </w:r>
    </w:p>
    <w:p>
      <w:pPr>
        <w:pStyle w:val="ListBullet2"/>
        <w:numPr>
          <w:ilvl w:val="1"/>
          <w:numId w:val="90"/>
        </w:numPr>
        <w:ind w:left="652" w:hanging="142"/>
      </w:pPr>
      <w:r>
        <w:rPr>
          <w:b w:val="0"/>
          <w:i w:val="0"/>
        </w:rPr>
        <w:t>Universities globally are tapping into alumni endowments, CSR partnerships, and PPP (Public–Private Partnerships).</w:t>
      </w:r>
    </w:p>
    <w:p>
      <w:pPr>
        <w:pStyle w:val="ListBullet2"/>
        <w:numPr>
          <w:ilvl w:val="1"/>
          <w:numId w:val="90"/>
        </w:numPr>
        <w:ind w:left="652" w:hanging="142"/>
      </w:pPr>
      <w:r>
        <w:rPr>
          <w:b w:val="0"/>
          <w:i w:val="0"/>
        </w:rPr>
        <w:t>This leads to financial diversification and sustainability.</w:t>
      </w:r>
    </w:p>
    <w:p>
      <w:pPr>
        <w:pStyle w:val="Heading2"/>
      </w:pPr>
      <w:r>
        <w:t>3. Inflation &amp; Rising Operational Costs</w:t>
      </w:r>
    </w:p>
    <w:p>
      <w:pPr>
        <w:pStyle w:val="ListBullet2"/>
        <w:numPr>
          <w:ilvl w:val="1"/>
          <w:numId w:val="90"/>
        </w:numPr>
        <w:ind w:left="652" w:hanging="142"/>
      </w:pPr>
      <w:r>
        <w:rPr>
          <w:b w:val="0"/>
          <w:i w:val="0"/>
        </w:rPr>
        <w:t>Costs of salaries, infrastructure, and digital transformation keep rising.</w:t>
      </w:r>
    </w:p>
    <w:p>
      <w:pPr>
        <w:pStyle w:val="ListBullet2"/>
        <w:numPr>
          <w:ilvl w:val="1"/>
          <w:numId w:val="90"/>
        </w:numPr>
        <w:ind w:left="652" w:hanging="142"/>
      </w:pPr>
      <w:r>
        <w:rPr>
          <w:b/>
          <w:i w:val="0"/>
        </w:rPr>
        <w:t>Institutions must adopt cost-optimization strategies:</w:t>
      </w:r>
      <w:r>
        <w:rPr>
          <w:b w:val="0"/>
          <w:i w:val="0"/>
        </w:rPr>
        <w:t xml:space="preserve"> energy efficiency, digital tools, and financial risk audits.</w:t>
      </w:r>
    </w:p>
    <w:p>
      <w:pPr>
        <w:pStyle w:val="ListBullet2"/>
        <w:numPr>
          <w:ilvl w:val="1"/>
          <w:numId w:val="90"/>
        </w:numPr>
        <w:ind w:left="652" w:hanging="142"/>
      </w:pPr>
      <w:r>
        <w:rPr>
          <w:b w:val="0"/>
          <w:i w:val="0"/>
        </w:rPr>
        <w:t>This ensures sustainability even during inflationary cycles.</w:t>
      </w:r>
    </w:p>
    <w:p>
      <w:pPr>
        <w:pStyle w:val="Heading2"/>
      </w:pPr>
      <w:r>
        <w:t>4. Global Financial Instabilities</w:t>
      </w:r>
    </w:p>
    <w:p>
      <w:pPr>
        <w:pStyle w:val="ListBullet2"/>
        <w:numPr>
          <w:ilvl w:val="1"/>
          <w:numId w:val="90"/>
        </w:numPr>
        <w:ind w:left="652" w:hanging="142"/>
      </w:pPr>
      <w:r>
        <w:rPr>
          <w:b w:val="0"/>
          <w:i w:val="0"/>
        </w:rPr>
        <w:t>Recessions or currency fluctuations impact foreign student enrollments (a major revenue stream for many HEIs).</w:t>
      </w:r>
    </w:p>
    <w:p>
      <w:pPr>
        <w:pStyle w:val="ListBullet2"/>
        <w:numPr>
          <w:ilvl w:val="1"/>
          <w:numId w:val="90"/>
        </w:numPr>
        <w:ind w:left="652" w:hanging="142"/>
      </w:pPr>
      <w:r>
        <w:rPr>
          <w:b w:val="0"/>
          <w:i w:val="0"/>
        </w:rPr>
        <w:t>Universities can mitigate this by diversifying international student recruitment and offering online global programs.</w:t>
      </w:r>
    </w:p>
    <w:p>
      <w:pPr>
        <w:pStyle w:val="Heading2"/>
      </w:pPr>
      <w:r>
        <w:t>5. Employability Demand (AI, Sustainability, Healthcare, Tech)</w:t>
      </w:r>
    </w:p>
    <w:p>
      <w:pPr>
        <w:pStyle w:val="ListBullet2"/>
        <w:numPr>
          <w:ilvl w:val="1"/>
          <w:numId w:val="90"/>
        </w:numPr>
        <w:ind w:left="652" w:hanging="142"/>
      </w:pPr>
      <w:r>
        <w:rPr>
          <w:b w:val="0"/>
          <w:i w:val="0"/>
        </w:rPr>
        <w:t>Industry increasingly demands graduates skilled in AI, renewable energy, healthcare, and digital technologies.</w:t>
      </w:r>
    </w:p>
    <w:p>
      <w:pPr>
        <w:pStyle w:val="ListBullet2"/>
        <w:numPr>
          <w:ilvl w:val="1"/>
          <w:numId w:val="90"/>
        </w:numPr>
        <w:ind w:left="652" w:hanging="142"/>
      </w:pPr>
      <w:r>
        <w:rPr>
          <w:b w:val="0"/>
          <w:i w:val="0"/>
        </w:rPr>
        <w:t>HEIs must create industry-integrated programs and short-term skill certifications to ensure 90%+ graduate employability.</w:t>
      </w:r>
    </w:p>
    <w:p>
      <w:pPr>
        <w:pStyle w:val="Heading2"/>
      </w:pPr>
      <w:r>
        <w:t>6. Venture Capital for Startups &amp; Innovation Hubs</w:t>
      </w:r>
    </w:p>
    <w:p>
      <w:pPr>
        <w:pStyle w:val="ListBullet2"/>
        <w:numPr>
          <w:ilvl w:val="1"/>
          <w:numId w:val="90"/>
        </w:numPr>
        <w:ind w:left="652" w:hanging="142"/>
      </w:pPr>
      <w:r>
        <w:rPr>
          <w:b w:val="0"/>
          <w:i w:val="0"/>
        </w:rPr>
        <w:t>Many HEIs are building incubation centers to encourage student/faculty startups.</w:t>
      </w:r>
    </w:p>
    <w:p>
      <w:pPr>
        <w:pStyle w:val="ListBullet2"/>
        <w:numPr>
          <w:ilvl w:val="1"/>
          <w:numId w:val="90"/>
        </w:numPr>
        <w:ind w:left="652" w:hanging="142"/>
      </w:pPr>
      <w:r>
        <w:rPr>
          <w:b w:val="0"/>
          <w:i w:val="0"/>
        </w:rPr>
        <w:t>By linking with venture capital networks, institutions can become innovation ecosystems, not just teaching centers.</w:t>
      </w:r>
    </w:p>
    <w:p>
      <w:pPr>
        <w:pStyle w:val="ListBullet2"/>
        <w:numPr>
          <w:ilvl w:val="1"/>
          <w:numId w:val="90"/>
        </w:numPr>
        <w:ind w:left="652" w:hanging="142"/>
      </w:pPr>
      <w:r>
        <w:rPr>
          <w:b w:val="0"/>
          <w:i w:val="0"/>
        </w:rPr>
        <w:t>KPIs include number of startups incubated, VC funds raised, and innovation challenges conducted.</w:t>
      </w:r>
    </w:p>
    <w:p>
      <w:pPr>
        <w:pStyle w:val="Heading2"/>
      </w:pPr>
      <w:r>
        <w:t>Why This Matters</w:t>
      </w:r>
    </w:p>
    <w:p>
      <w:pPr>
        <w:pStyle w:val="ListBullet"/>
        <w:numPr>
          <w:ilvl w:val="0"/>
          <w:numId w:val="90"/>
        </w:numPr>
        <w:ind w:left="340" w:hanging="142"/>
      </w:pPr>
      <w:r>
        <w:rPr>
          <w:b w:val="0"/>
          <w:i w:val="0"/>
        </w:rPr>
        <w:t>Economic factors directly determine the survival and growth of HEIs.</w:t>
      </w:r>
    </w:p>
    <w:p>
      <w:pPr>
        <w:pStyle w:val="ListBullet"/>
        <w:numPr>
          <w:ilvl w:val="0"/>
          <w:numId w:val="90"/>
        </w:numPr>
        <w:ind w:left="340" w:hanging="142"/>
      </w:pPr>
      <w:r>
        <w:rPr>
          <w:b w:val="0"/>
          <w:i w:val="0"/>
        </w:rPr>
        <w:t>Mapping them into Policy —Y Action → Outcome → KPI ensures that financial risks, employability gaps, and innovation opportunities are addressed proactively.</w:t>
      </w:r>
    </w:p>
    <w:p>
      <w:pPr>
        <w:pStyle w:val="ListBullet"/>
        <w:numPr>
          <w:ilvl w:val="0"/>
          <w:numId w:val="90"/>
        </w:numPr>
        <w:ind w:left="340" w:hanging="142"/>
      </w:pPr>
      <w:r>
        <w:rPr>
          <w:b/>
          <w:i w:val="0"/>
        </w:rPr>
        <w:t>This also aligns with NEP 2020 (India) and SDGs (especially SDG-4:</w:t>
      </w:r>
      <w:r>
        <w:rPr>
          <w:b w:val="0"/>
          <w:i w:val="0"/>
        </w:rPr>
        <w:t xml:space="preserve"> Education &amp; SDG-8: Economic Growth).</w:t>
      </w:r>
    </w:p>
    <w:p>
      <w:pPr>
        <w:pStyle w:val="Heading2"/>
      </w:pPr>
      <w:r>
        <w:t>Integrated Strategic Matrix – Economic Factors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984"/>
        <w:gridCol w:w="3061"/>
        <w:gridCol w:w="2211"/>
        <w:gridCol w:w="2154"/>
      </w:tblGrid>
      <w:tr>
        <w:trPr>
          <w:tblHeader/>
          <w:cantSplit/>
        </w:trPr>
        <w:tc>
          <w:tcPr>
            <w:tcW w:type="dxa" w:w="1984"/>
            <w:vAlign w:val="center"/>
            <w:shd w:fill="1F3A5F"/>
          </w:tcPr>
          <w:p>
            <w:pPr>
              <w:keepNext/>
              <w:spacing w:after="40" w:line="276" w:lineRule="auto"/>
              <w:jc w:val="left"/>
            </w:pPr>
            <w:r>
              <w:rPr>
                <w:b/>
                <w:i w:val="0"/>
                <w:color w:val="FFFFFF"/>
              </w:rPr>
              <w:t>Policy Direction</w:t>
            </w:r>
          </w:p>
        </w:tc>
        <w:tc>
          <w:tcPr>
            <w:tcW w:type="dxa" w:w="3061"/>
            <w:vAlign w:val="center"/>
            <w:shd w:fill="1F3A5F"/>
          </w:tcPr>
          <w:p>
            <w:pPr>
              <w:keepNext/>
              <w:spacing w:after="40" w:line="276" w:lineRule="auto"/>
              <w:jc w:val="left"/>
            </w:pPr>
            <w:r>
              <w:rPr>
                <w:b/>
                <w:i w:val="0"/>
                <w:color w:val="FFFFFF"/>
              </w:rPr>
              <w:t>Strategic Actions</w:t>
            </w:r>
          </w:p>
        </w:tc>
        <w:tc>
          <w:tcPr>
            <w:tcW w:type="dxa" w:w="2211"/>
            <w:vAlign w:val="center"/>
            <w:shd w:fill="1F3A5F"/>
          </w:tcPr>
          <w:p>
            <w:pPr>
              <w:keepNext/>
              <w:spacing w:after="40" w:line="276" w:lineRule="auto"/>
              <w:jc w:val="left"/>
            </w:pPr>
            <w:r>
              <w:rPr>
                <w:b/>
                <w:i w:val="0"/>
                <w:color w:val="FFFFFF"/>
              </w:rPr>
              <w:t>Expected Outcomes</w:t>
            </w:r>
          </w:p>
        </w:tc>
        <w:tc>
          <w:tcPr>
            <w:tcW w:type="dxa" w:w="2154"/>
            <w:vAlign w:val="center"/>
            <w:shd w:fill="1F3A5F"/>
          </w:tcPr>
          <w:p>
            <w:pPr>
              <w:keepNext/>
              <w:spacing w:after="40" w:line="276" w:lineRule="auto"/>
              <w:jc w:val="left"/>
            </w:pPr>
            <w:r>
              <w:rPr>
                <w:b/>
                <w:i w:val="0"/>
                <w:color w:val="FFFFFF"/>
              </w:rPr>
              <w:t>KPIs (Indicators)</w:t>
            </w:r>
          </w:p>
        </w:tc>
      </w:tr>
      <w:tr>
        <w:trPr>
          <w:cantSplit/>
        </w:trPr>
        <w:tc>
          <w:tcPr>
            <w:tcW w:type="dxa" w:w="1984"/>
            <w:vAlign w:val="center"/>
            <w:shd w:fill="FFFFFF"/>
          </w:tcPr>
          <w:p>
            <w:pPr>
              <w:spacing w:after="40" w:line="276" w:lineRule="auto"/>
              <w:jc w:val="left"/>
            </w:pPr>
            <w:r>
              <w:rPr>
                <w:b w:val="0"/>
                <w:i w:val="0"/>
              </w:rPr>
              <w:t>Optimize budget allocations for HE &amp; R&amp;D</w:t>
            </w:r>
          </w:p>
        </w:tc>
        <w:tc>
          <w:tcPr>
            <w:tcW w:type="dxa" w:w="3061"/>
            <w:vAlign w:val="center"/>
            <w:shd w:fill="FFFFFF"/>
          </w:tcPr>
          <w:p>
            <w:pPr>
              <w:spacing w:after="40" w:line="276" w:lineRule="auto"/>
              <w:ind w:left="125" w:hanging="125"/>
              <w:jc w:val="left"/>
            </w:pPr>
            <w:r>
              <w:t xml:space="preserve">• </w:t>
            </w:r>
            <w:r>
              <w:rPr>
                <w:b w:val="0"/>
                <w:i w:val="0"/>
              </w:rPr>
              <w:t>Lobby for enhanced government funding.</w:t>
            </w:r>
          </w:p>
          <w:p>
            <w:pPr>
              <w:spacing w:after="40" w:line="276" w:lineRule="auto"/>
              <w:ind w:left="125" w:hanging="125"/>
              <w:jc w:val="left"/>
            </w:pPr>
            <w:r>
              <w:t xml:space="preserve">• </w:t>
            </w:r>
            <w:r>
              <w:rPr>
                <w:b w:val="0"/>
                <w:i w:val="0"/>
              </w:rPr>
              <w:t>Allocate ≥15% of budget to research and innovation.</w:t>
            </w:r>
          </w:p>
          <w:p>
            <w:pPr>
              <w:spacing w:after="40" w:line="276" w:lineRule="auto"/>
              <w:ind w:left="125" w:hanging="125"/>
              <w:jc w:val="left"/>
            </w:pPr>
            <w:r>
              <w:t xml:space="preserve">• </w:t>
            </w:r>
            <w:r>
              <w:rPr>
                <w:b w:val="0"/>
                <w:i w:val="0"/>
              </w:rPr>
              <w:t>Create budget monitoring dashboards.</w:t>
            </w:r>
          </w:p>
        </w:tc>
        <w:tc>
          <w:tcPr>
            <w:tcW w:type="dxa" w:w="2211"/>
            <w:vAlign w:val="center"/>
            <w:shd w:fill="FFFFFF"/>
          </w:tcPr>
          <w:p>
            <w:pPr>
              <w:spacing w:after="40" w:line="276" w:lineRule="auto"/>
              <w:jc w:val="left"/>
            </w:pPr>
            <w:r>
              <w:rPr>
                <w:b w:val="0"/>
                <w:i w:val="0"/>
              </w:rPr>
              <w:t>Stronger R&amp;D infrastructure; efficient financial management.</w:t>
            </w:r>
          </w:p>
        </w:tc>
        <w:tc>
          <w:tcPr>
            <w:tcW w:type="dxa" w:w="2154"/>
            <w:vAlign w:val="center"/>
            <w:shd w:fill="FFFFFF"/>
          </w:tcPr>
          <w:p>
            <w:pPr>
              <w:spacing w:after="40" w:line="276" w:lineRule="auto"/>
              <w:ind w:left="125" w:hanging="125"/>
              <w:jc w:val="left"/>
            </w:pPr>
            <w:r>
              <w:t xml:space="preserve">• </w:t>
            </w:r>
            <w:r>
              <w:rPr>
                <w:b/>
                <w:i w:val="0"/>
              </w:rPr>
              <w:t>% budget dedicated to R&amp;D (Target:</w:t>
            </w:r>
            <w:r>
              <w:rPr>
                <w:b w:val="0"/>
                <w:i w:val="0"/>
              </w:rPr>
              <w:t xml:space="preserve"> ≥15%).</w:t>
            </w:r>
          </w:p>
          <w:p>
            <w:pPr>
              <w:spacing w:after="40" w:line="276" w:lineRule="auto"/>
              <w:ind w:left="125" w:hanging="125"/>
              <w:jc w:val="left"/>
            </w:pPr>
            <w:r>
              <w:t xml:space="preserve">• </w:t>
            </w:r>
            <w:r>
              <w:rPr>
                <w:b w:val="0"/>
                <w:i w:val="0"/>
              </w:rPr>
              <w:t>Budget utilization efficiency (≥90%).</w:t>
            </w:r>
          </w:p>
        </w:tc>
      </w:tr>
      <w:tr>
        <w:trPr>
          <w:cantSplit/>
        </w:trPr>
        <w:tc>
          <w:tcPr>
            <w:tcW w:type="dxa" w:w="1984"/>
            <w:vAlign w:val="center"/>
            <w:shd w:fill="EDF2F7"/>
          </w:tcPr>
          <w:p>
            <w:pPr>
              <w:spacing w:after="40" w:line="276" w:lineRule="auto"/>
              <w:jc w:val="left"/>
            </w:pPr>
            <w:r>
              <w:rPr>
                <w:b w:val="0"/>
                <w:i w:val="0"/>
              </w:rPr>
              <w:t>Diversify revenue streams (Alumni, CSR, PPP, private investors)</w:t>
            </w:r>
          </w:p>
        </w:tc>
        <w:tc>
          <w:tcPr>
            <w:tcW w:type="dxa" w:w="3061"/>
            <w:vAlign w:val="center"/>
            <w:shd w:fill="EDF2F7"/>
          </w:tcPr>
          <w:p>
            <w:pPr>
              <w:spacing w:after="40" w:line="276" w:lineRule="auto"/>
              <w:ind w:left="125" w:hanging="125"/>
              <w:jc w:val="left"/>
            </w:pPr>
            <w:r>
              <w:t xml:space="preserve">• </w:t>
            </w:r>
            <w:r>
              <w:rPr>
                <w:b w:val="0"/>
                <w:i w:val="0"/>
              </w:rPr>
              <w:t>Establish Alumni Endowment Fund.</w:t>
            </w:r>
          </w:p>
          <w:p>
            <w:pPr>
              <w:spacing w:after="40" w:line="276" w:lineRule="auto"/>
              <w:ind w:left="125" w:hanging="125"/>
              <w:jc w:val="left"/>
            </w:pPr>
            <w:r>
              <w:t xml:space="preserve">• </w:t>
            </w:r>
            <w:r>
              <w:rPr>
                <w:b w:val="0"/>
                <w:i w:val="0"/>
              </w:rPr>
              <w:t>Create CSR collaboration frameworks.</w:t>
            </w:r>
          </w:p>
          <w:p>
            <w:pPr>
              <w:spacing w:after="40" w:line="276" w:lineRule="auto"/>
              <w:ind w:left="125" w:hanging="125"/>
              <w:jc w:val="left"/>
            </w:pPr>
            <w:r>
              <w:t xml:space="preserve">• </w:t>
            </w:r>
            <w:r>
              <w:rPr>
                <w:b w:val="0"/>
                <w:i w:val="0"/>
              </w:rPr>
              <w:t>Develop PPP models for infrastructure &amp; labs.</w:t>
            </w:r>
          </w:p>
        </w:tc>
        <w:tc>
          <w:tcPr>
            <w:tcW w:type="dxa" w:w="2211"/>
            <w:vAlign w:val="center"/>
            <w:shd w:fill="EDF2F7"/>
          </w:tcPr>
          <w:p>
            <w:pPr>
              <w:spacing w:after="40" w:line="276" w:lineRule="auto"/>
              <w:jc w:val="left"/>
            </w:pPr>
            <w:r>
              <w:rPr>
                <w:b w:val="0"/>
                <w:i w:val="0"/>
              </w:rPr>
              <w:t>Reduced dependency on tuition/​government grants.</w:t>
            </w:r>
          </w:p>
        </w:tc>
        <w:tc>
          <w:tcPr>
            <w:tcW w:type="dxa" w:w="2154"/>
            <w:vAlign w:val="center"/>
            <w:shd w:fill="EDF2F7"/>
          </w:tcPr>
          <w:p>
            <w:pPr>
              <w:spacing w:after="40" w:line="276" w:lineRule="auto"/>
              <w:ind w:left="125" w:hanging="125"/>
              <w:jc w:val="left"/>
            </w:pPr>
            <w:r>
              <w:t xml:space="preserve">• </w:t>
            </w:r>
            <w:r>
              <w:rPr>
                <w:b w:val="0"/>
                <w:i w:val="0"/>
              </w:rPr>
              <w:t>% non-government revenue (≥40%).</w:t>
            </w:r>
          </w:p>
          <w:p>
            <w:pPr>
              <w:spacing w:after="40" w:line="276" w:lineRule="auto"/>
              <w:ind w:left="125" w:hanging="125"/>
              <w:jc w:val="left"/>
            </w:pPr>
            <w:r>
              <w:t xml:space="preserve">• </w:t>
            </w:r>
            <w:r>
              <w:rPr>
                <w:b w:val="0"/>
                <w:i w:val="0"/>
              </w:rPr>
              <w:t>Alumni/​CSR contributions per year.</w:t>
            </w:r>
          </w:p>
          <w:p>
            <w:pPr>
              <w:spacing w:after="40" w:line="276" w:lineRule="auto"/>
              <w:ind w:left="125" w:hanging="125"/>
              <w:jc w:val="left"/>
            </w:pPr>
            <w:r>
              <w:t xml:space="preserve">• </w:t>
            </w:r>
            <w:r>
              <w:rPr>
                <w:b w:val="0"/>
                <w:i w:val="0"/>
              </w:rPr>
              <w:t>No. of PPP projects.</w:t>
            </w:r>
          </w:p>
        </w:tc>
      </w:tr>
      <w:tr>
        <w:trPr>
          <w:cantSplit/>
        </w:trPr>
        <w:tc>
          <w:tcPr>
            <w:tcW w:type="dxa" w:w="1984"/>
            <w:vAlign w:val="center"/>
            <w:shd w:fill="FFFFFF"/>
          </w:tcPr>
          <w:p>
            <w:pPr>
              <w:spacing w:after="40" w:line="276" w:lineRule="auto"/>
              <w:jc w:val="left"/>
            </w:pPr>
            <w:r>
              <w:rPr>
                <w:b w:val="0"/>
                <w:i w:val="0"/>
              </w:rPr>
              <w:t>Manage inflation and operational costs</w:t>
            </w:r>
          </w:p>
        </w:tc>
        <w:tc>
          <w:tcPr>
            <w:tcW w:type="dxa" w:w="3061"/>
            <w:vAlign w:val="center"/>
            <w:shd w:fill="FFFFFF"/>
          </w:tcPr>
          <w:p>
            <w:pPr>
              <w:spacing w:after="40" w:line="276" w:lineRule="auto"/>
              <w:ind w:left="125" w:hanging="125"/>
              <w:jc w:val="left"/>
            </w:pPr>
            <w:r>
              <w:t xml:space="preserve">• </w:t>
            </w:r>
            <w:r>
              <w:rPr>
                <w:b w:val="0"/>
                <w:i w:val="0"/>
              </w:rPr>
              <w:t>Introduce energy-saving &amp; resource-optimization measures.</w:t>
            </w:r>
          </w:p>
          <w:p>
            <w:pPr>
              <w:spacing w:after="40" w:line="276" w:lineRule="auto"/>
              <w:ind w:left="125" w:hanging="125"/>
              <w:jc w:val="left"/>
            </w:pPr>
            <w:r>
              <w:t xml:space="preserve">• </w:t>
            </w:r>
            <w:r>
              <w:rPr>
                <w:b w:val="0"/>
                <w:i w:val="0"/>
              </w:rPr>
              <w:t>Invest in digitalization to cut long-term costs.</w:t>
            </w:r>
          </w:p>
          <w:p>
            <w:pPr>
              <w:spacing w:after="40" w:line="276" w:lineRule="auto"/>
              <w:ind w:left="125" w:hanging="125"/>
              <w:jc w:val="left"/>
            </w:pPr>
            <w:r>
              <w:t xml:space="preserve">• </w:t>
            </w:r>
            <w:r>
              <w:rPr>
                <w:b w:val="0"/>
                <w:i w:val="0"/>
              </w:rPr>
              <w:t>Annual financial risk audits.</w:t>
            </w:r>
          </w:p>
        </w:tc>
        <w:tc>
          <w:tcPr>
            <w:tcW w:type="dxa" w:w="2211"/>
            <w:vAlign w:val="center"/>
            <w:shd w:fill="FFFFFF"/>
          </w:tcPr>
          <w:p>
            <w:pPr>
              <w:spacing w:after="40" w:line="276" w:lineRule="auto"/>
              <w:jc w:val="left"/>
            </w:pPr>
            <w:r>
              <w:rPr>
                <w:b w:val="0"/>
                <w:i w:val="0"/>
              </w:rPr>
              <w:t>Cost efficiency; long-term sustainability.</w:t>
            </w:r>
          </w:p>
        </w:tc>
        <w:tc>
          <w:tcPr>
            <w:tcW w:type="dxa" w:w="2154"/>
            <w:vAlign w:val="center"/>
            <w:shd w:fill="FFFFFF"/>
          </w:tcPr>
          <w:p>
            <w:pPr>
              <w:spacing w:after="40" w:line="276" w:lineRule="auto"/>
              <w:ind w:left="125" w:hanging="125"/>
              <w:jc w:val="left"/>
            </w:pPr>
            <w:r>
              <w:t xml:space="preserve">• </w:t>
            </w:r>
            <w:r>
              <w:rPr>
                <w:b w:val="0"/>
                <w:i w:val="0"/>
              </w:rPr>
              <w:t>Operational cost reduction (%)</w:t>
            </w:r>
          </w:p>
          <w:p>
            <w:pPr>
              <w:spacing w:after="40" w:line="276" w:lineRule="auto"/>
              <w:ind w:left="125" w:hanging="125"/>
              <w:jc w:val="left"/>
            </w:pPr>
            <w:r>
              <w:t xml:space="preserve">• </w:t>
            </w:r>
            <w:r>
              <w:rPr>
                <w:b w:val="0"/>
                <w:i w:val="0"/>
              </w:rPr>
              <w:t>Energy cost savings.</w:t>
            </w:r>
          </w:p>
          <w:p>
            <w:pPr>
              <w:spacing w:after="40" w:line="276" w:lineRule="auto"/>
              <w:ind w:left="125" w:hanging="125"/>
              <w:jc w:val="left"/>
            </w:pPr>
            <w:r>
              <w:t xml:space="preserve">• </w:t>
            </w:r>
            <w:r>
              <w:rPr>
                <w:b w:val="0"/>
                <w:i w:val="0"/>
              </w:rPr>
              <w:t>Annual risk audit reports.</w:t>
            </w:r>
          </w:p>
        </w:tc>
      </w:tr>
      <w:tr>
        <w:trPr>
          <w:cantSplit/>
        </w:trPr>
        <w:tc>
          <w:tcPr>
            <w:tcW w:type="dxa" w:w="1984"/>
            <w:vAlign w:val="center"/>
            <w:shd w:fill="EDF2F7"/>
          </w:tcPr>
          <w:p>
            <w:pPr>
              <w:spacing w:after="40" w:line="276" w:lineRule="auto"/>
              <w:jc w:val="left"/>
            </w:pPr>
            <w:r>
              <w:rPr>
                <w:b w:val="0"/>
                <w:i w:val="0"/>
              </w:rPr>
              <w:t>Safeguard against global financial instabilities</w:t>
            </w:r>
          </w:p>
        </w:tc>
        <w:tc>
          <w:tcPr>
            <w:tcW w:type="dxa" w:w="3061"/>
            <w:vAlign w:val="center"/>
            <w:shd w:fill="EDF2F7"/>
          </w:tcPr>
          <w:p>
            <w:pPr>
              <w:spacing w:after="40" w:line="276" w:lineRule="auto"/>
              <w:ind w:left="125" w:hanging="125"/>
              <w:jc w:val="left"/>
            </w:pPr>
            <w:r>
              <w:t xml:space="preserve">• </w:t>
            </w:r>
            <w:r>
              <w:rPr>
                <w:b w:val="0"/>
                <w:i w:val="0"/>
              </w:rPr>
              <w:t>Diversify international student recruitment (multiple regions).</w:t>
            </w:r>
          </w:p>
          <w:p>
            <w:pPr>
              <w:spacing w:after="40" w:line="276" w:lineRule="auto"/>
              <w:ind w:left="125" w:hanging="125"/>
              <w:jc w:val="left"/>
            </w:pPr>
            <w:r>
              <w:t xml:space="preserve">• </w:t>
            </w:r>
            <w:r>
              <w:rPr>
                <w:b w:val="0"/>
                <w:i w:val="0"/>
              </w:rPr>
              <w:t>Develop online/​virtual international programs.</w:t>
            </w:r>
          </w:p>
          <w:p>
            <w:pPr>
              <w:spacing w:after="40" w:line="276" w:lineRule="auto"/>
              <w:ind w:left="125" w:hanging="125"/>
              <w:jc w:val="left"/>
            </w:pPr>
            <w:r>
              <w:t xml:space="preserve">• </w:t>
            </w:r>
            <w:r>
              <w:rPr>
                <w:b w:val="0"/>
                <w:i w:val="0"/>
              </w:rPr>
              <w:t>Build reserve funds for financial shocks.</w:t>
            </w:r>
          </w:p>
        </w:tc>
        <w:tc>
          <w:tcPr>
            <w:tcW w:type="dxa" w:w="2211"/>
            <w:vAlign w:val="center"/>
            <w:shd w:fill="EDF2F7"/>
          </w:tcPr>
          <w:p>
            <w:pPr>
              <w:spacing w:after="40" w:line="276" w:lineRule="auto"/>
              <w:jc w:val="left"/>
            </w:pPr>
            <w:r>
              <w:rPr>
                <w:b w:val="0"/>
                <w:i w:val="0"/>
              </w:rPr>
              <w:t>Resilient and stable foreign student inflows.</w:t>
            </w:r>
          </w:p>
        </w:tc>
        <w:tc>
          <w:tcPr>
            <w:tcW w:type="dxa" w:w="2154"/>
            <w:vAlign w:val="center"/>
            <w:shd w:fill="EDF2F7"/>
          </w:tcPr>
          <w:p>
            <w:pPr>
              <w:spacing w:after="40" w:line="276" w:lineRule="auto"/>
              <w:ind w:left="125" w:hanging="125"/>
              <w:jc w:val="left"/>
            </w:pPr>
            <w:r>
              <w:t xml:space="preserve">• </w:t>
            </w:r>
            <w:r>
              <w:rPr>
                <w:b w:val="0"/>
                <w:i w:val="0"/>
              </w:rPr>
              <w:t>No. of international students (yearly).</w:t>
            </w:r>
          </w:p>
          <w:p>
            <w:pPr>
              <w:spacing w:after="40" w:line="276" w:lineRule="auto"/>
              <w:ind w:left="125" w:hanging="125"/>
              <w:jc w:val="left"/>
            </w:pPr>
            <w:r>
              <w:t xml:space="preserve">• </w:t>
            </w:r>
            <w:r>
              <w:rPr>
                <w:b w:val="0"/>
                <w:i w:val="0"/>
              </w:rPr>
              <w:t>% revenue from international students.</w:t>
            </w:r>
          </w:p>
          <w:p>
            <w:pPr>
              <w:spacing w:after="40" w:line="276" w:lineRule="auto"/>
              <w:ind w:left="125" w:hanging="125"/>
              <w:jc w:val="left"/>
            </w:pPr>
            <w:r>
              <w:t xml:space="preserve">• </w:t>
            </w:r>
            <w:r>
              <w:rPr>
                <w:b w:val="0"/>
                <w:i w:val="0"/>
              </w:rPr>
              <w:t>Reserve fund balance.</w:t>
            </w:r>
          </w:p>
        </w:tc>
      </w:tr>
      <w:tr>
        <w:trPr>
          <w:cantSplit/>
        </w:trPr>
        <w:tc>
          <w:tcPr>
            <w:tcW w:type="dxa" w:w="1984"/>
            <w:vAlign w:val="center"/>
            <w:shd w:fill="FFFFFF"/>
          </w:tcPr>
          <w:p>
            <w:pPr>
              <w:spacing w:after="40" w:line="276" w:lineRule="auto"/>
              <w:jc w:val="left"/>
            </w:pPr>
            <w:r>
              <w:rPr>
                <w:b w:val="0"/>
                <w:i w:val="0"/>
              </w:rPr>
              <w:t>Align with employability demand in AI, sustainability, healthcare, tech</w:t>
            </w:r>
          </w:p>
        </w:tc>
        <w:tc>
          <w:tcPr>
            <w:tcW w:type="dxa" w:w="3061"/>
            <w:vAlign w:val="center"/>
            <w:shd w:fill="FFFFFF"/>
          </w:tcPr>
          <w:p>
            <w:pPr>
              <w:spacing w:after="40" w:line="276" w:lineRule="auto"/>
              <w:ind w:left="125" w:hanging="125"/>
              <w:jc w:val="left"/>
            </w:pPr>
            <w:r>
              <w:t xml:space="preserve">• </w:t>
            </w:r>
            <w:r>
              <w:rPr>
                <w:b w:val="0"/>
                <w:i w:val="0"/>
              </w:rPr>
              <w:t>Launch industry-integrated IJG/​PG programs.</w:t>
            </w:r>
          </w:p>
          <w:p>
            <w:pPr>
              <w:spacing w:after="40" w:line="276" w:lineRule="auto"/>
              <w:ind w:left="125" w:hanging="125"/>
              <w:jc w:val="left"/>
            </w:pPr>
            <w:r>
              <w:t xml:space="preserve">• </w:t>
            </w:r>
            <w:r>
              <w:rPr>
                <w:b w:val="0"/>
                <w:i w:val="0"/>
              </w:rPr>
              <w:t>Create skill certification programs with EdTech and industry.</w:t>
            </w:r>
          </w:p>
          <w:p>
            <w:pPr>
              <w:spacing w:after="40" w:line="276" w:lineRule="auto"/>
              <w:ind w:left="125" w:hanging="125"/>
              <w:jc w:val="left"/>
            </w:pPr>
            <w:r>
              <w:t xml:space="preserve">• </w:t>
            </w:r>
            <w:r>
              <w:rPr>
                <w:b w:val="0"/>
                <w:i w:val="0"/>
              </w:rPr>
              <w:t>Establish career centers with sector-specific training.</w:t>
            </w:r>
          </w:p>
        </w:tc>
        <w:tc>
          <w:tcPr>
            <w:tcW w:type="dxa" w:w="2211"/>
            <w:vAlign w:val="center"/>
            <w:shd w:fill="FFFFFF"/>
          </w:tcPr>
          <w:p>
            <w:pPr>
              <w:spacing w:after="40" w:line="276" w:lineRule="auto"/>
              <w:jc w:val="left"/>
            </w:pPr>
            <w:r>
              <w:rPr>
                <w:b w:val="0"/>
                <w:i w:val="0"/>
              </w:rPr>
              <w:t>Industry-ready graduates; higher employability.</w:t>
            </w:r>
          </w:p>
        </w:tc>
        <w:tc>
          <w:tcPr>
            <w:tcW w:type="dxa" w:w="2154"/>
            <w:vAlign w:val="center"/>
            <w:shd w:fill="FFFFFF"/>
          </w:tcPr>
          <w:p>
            <w:pPr>
              <w:spacing w:after="40" w:line="276" w:lineRule="auto"/>
              <w:ind w:left="125" w:hanging="125"/>
              <w:jc w:val="left"/>
            </w:pPr>
            <w:r>
              <w:t xml:space="preserve">• </w:t>
            </w:r>
            <w:r>
              <w:rPr>
                <w:b w:val="0"/>
                <w:i w:val="0"/>
              </w:rPr>
              <w:t>Graduate employability rate (≥90%).</w:t>
            </w:r>
          </w:p>
          <w:p>
            <w:pPr>
              <w:spacing w:after="40" w:line="276" w:lineRule="auto"/>
              <w:ind w:left="125" w:hanging="125"/>
              <w:jc w:val="left"/>
            </w:pPr>
            <w:r>
              <w:t xml:space="preserve">• </w:t>
            </w:r>
            <w:r>
              <w:rPr>
                <w:b w:val="0"/>
                <w:i w:val="0"/>
              </w:rPr>
              <w:t>No. of new skill-based programs.</w:t>
            </w:r>
          </w:p>
          <w:p>
            <w:pPr>
              <w:spacing w:after="40" w:line="276" w:lineRule="auto"/>
              <w:ind w:left="125" w:hanging="125"/>
              <w:jc w:val="left"/>
            </w:pPr>
            <w:r>
              <w:t xml:space="preserve">• </w:t>
            </w:r>
            <w:r>
              <w:rPr>
                <w:b w:val="0"/>
                <w:i w:val="0"/>
              </w:rPr>
              <w:t>% industry co-designed curricula.</w:t>
            </w:r>
          </w:p>
        </w:tc>
      </w:tr>
      <w:tr>
        <w:trPr>
          <w:cantSplit/>
        </w:trPr>
        <w:tc>
          <w:tcPr>
            <w:tcW w:type="dxa" w:w="1984"/>
            <w:vAlign w:val="center"/>
            <w:shd w:fill="EDF2F7"/>
          </w:tcPr>
          <w:p>
            <w:pPr>
              <w:spacing w:after="40" w:line="276" w:lineRule="auto"/>
              <w:jc w:val="left"/>
            </w:pPr>
            <w:r>
              <w:rPr>
                <w:b w:val="0"/>
                <w:i w:val="0"/>
              </w:rPr>
              <w:t>Leverage venture capital for startups and innovation hubs</w:t>
            </w:r>
          </w:p>
        </w:tc>
        <w:tc>
          <w:tcPr>
            <w:tcW w:type="dxa" w:w="3061"/>
            <w:vAlign w:val="center"/>
            <w:shd w:fill="EDF2F7"/>
          </w:tcPr>
          <w:p>
            <w:pPr>
              <w:spacing w:after="40" w:line="276" w:lineRule="auto"/>
              <w:ind w:left="125" w:hanging="125"/>
              <w:jc w:val="left"/>
            </w:pPr>
            <w:r>
              <w:t xml:space="preserve">• </w:t>
            </w:r>
            <w:r>
              <w:rPr>
                <w:b w:val="0"/>
                <w:i w:val="0"/>
              </w:rPr>
              <w:t>Establish incubation &amp; entrepreneurship centers.</w:t>
            </w:r>
          </w:p>
          <w:p>
            <w:pPr>
              <w:spacing w:after="40" w:line="276" w:lineRule="auto"/>
              <w:ind w:left="125" w:hanging="125"/>
              <w:jc w:val="left"/>
            </w:pPr>
            <w:r>
              <w:t xml:space="preserve">• </w:t>
            </w:r>
            <w:r>
              <w:rPr>
                <w:b w:val="0"/>
                <w:i w:val="0"/>
              </w:rPr>
              <w:t>Connect startups with vc networks.</w:t>
            </w:r>
          </w:p>
          <w:p>
            <w:pPr>
              <w:spacing w:after="40" w:line="276" w:lineRule="auto"/>
              <w:ind w:left="125" w:hanging="125"/>
              <w:jc w:val="left"/>
            </w:pPr>
            <w:r>
              <w:t xml:space="preserve">• </w:t>
            </w:r>
            <w:r>
              <w:rPr>
                <w:b w:val="0"/>
                <w:i w:val="0"/>
              </w:rPr>
              <w:t>Launch student innovation challenges.</w:t>
            </w:r>
          </w:p>
        </w:tc>
        <w:tc>
          <w:tcPr>
            <w:tcW w:type="dxa" w:w="2211"/>
            <w:vAlign w:val="center"/>
            <w:shd w:fill="EDF2F7"/>
          </w:tcPr>
          <w:p>
            <w:pPr>
              <w:spacing w:after="40" w:line="276" w:lineRule="auto"/>
              <w:jc w:val="left"/>
            </w:pPr>
            <w:r>
              <w:rPr>
                <w:b w:val="0"/>
                <w:i w:val="0"/>
              </w:rPr>
              <w:t>Thriving innovation ecosystem; student startups.</w:t>
            </w:r>
          </w:p>
        </w:tc>
        <w:tc>
          <w:tcPr>
            <w:tcW w:type="dxa" w:w="2154"/>
            <w:vAlign w:val="center"/>
            <w:shd w:fill="EDF2F7"/>
          </w:tcPr>
          <w:p>
            <w:pPr>
              <w:spacing w:after="40" w:line="276" w:lineRule="auto"/>
              <w:ind w:left="125" w:hanging="125"/>
              <w:jc w:val="left"/>
            </w:pPr>
            <w:r>
              <w:t xml:space="preserve">• </w:t>
            </w:r>
            <w:r>
              <w:rPr>
                <w:b w:val="0"/>
                <w:i w:val="0"/>
              </w:rPr>
              <w:t>No. of startups incubated.</w:t>
            </w:r>
          </w:p>
          <w:p>
            <w:pPr>
              <w:spacing w:after="40" w:line="276" w:lineRule="auto"/>
              <w:ind w:left="125" w:hanging="125"/>
              <w:jc w:val="left"/>
            </w:pPr>
            <w:r>
              <w:t xml:space="preserve">• </w:t>
            </w:r>
            <w:r>
              <w:rPr>
                <w:b w:val="0"/>
                <w:i w:val="0"/>
              </w:rPr>
              <w:t>VC funding attracted annually.</w:t>
            </w:r>
          </w:p>
          <w:p>
            <w:pPr>
              <w:spacing w:after="40" w:line="276" w:lineRule="auto"/>
              <w:ind w:left="125" w:hanging="125"/>
              <w:jc w:val="left"/>
            </w:pPr>
            <w:r>
              <w:t xml:space="preserve">• </w:t>
            </w:r>
            <w:r>
              <w:rPr>
                <w:b w:val="0"/>
                <w:i w:val="0"/>
              </w:rPr>
              <w:t>No. of innovation challenges conducted.</w:t>
            </w:r>
          </w:p>
        </w:tc>
      </w:tr>
    </w:tbl>
    <w:p>
      <w:pPr>
        <w:spacing w:after="40"/>
      </w:pPr>
    </w:p>
    <w:p>
      <w:pPr>
        <w:pStyle w:val="Heading2"/>
      </w:pPr>
      <w:r>
        <w:t>Social Factors in Strategic Planning</w:t>
      </w:r>
    </w:p>
    <w:p>
      <w:pPr>
        <w:pStyle w:val="Heading2"/>
      </w:pPr>
      <w:r>
        <w:t>1. Changing Student Demographics (Gen Z &amp; Gen Alpha)</w:t>
      </w:r>
    </w:p>
    <w:p>
      <w:pPr>
        <w:pStyle w:val="ListBullet2"/>
        <w:numPr>
          <w:ilvl w:val="1"/>
          <w:numId w:val="90"/>
        </w:numPr>
        <w:ind w:left="652" w:hanging="142"/>
      </w:pPr>
      <w:r>
        <w:rPr>
          <w:b w:val="0"/>
          <w:i w:val="0"/>
        </w:rPr>
        <w:t>These generations expect digital-first, flexible, and personalized learning.</w:t>
      </w:r>
    </w:p>
    <w:p>
      <w:pPr>
        <w:pStyle w:val="ListBullet2"/>
        <w:numPr>
          <w:ilvl w:val="1"/>
          <w:numId w:val="90"/>
        </w:numPr>
        <w:ind w:left="652" w:hanging="142"/>
      </w:pPr>
      <w:r>
        <w:rPr>
          <w:b w:val="0"/>
          <w:i w:val="0"/>
        </w:rPr>
        <w:t>They value mental health support, career readiness, and experiential learning.</w:t>
      </w:r>
    </w:p>
    <w:p>
      <w:pPr>
        <w:pStyle w:val="ListBullet2"/>
        <w:numPr>
          <w:ilvl w:val="1"/>
          <w:numId w:val="90"/>
        </w:numPr>
        <w:ind w:left="652" w:hanging="142"/>
      </w:pPr>
      <w:r>
        <w:rPr>
          <w:b w:val="0"/>
          <w:i w:val="0"/>
        </w:rPr>
        <w:t>HEIs must adapt pedagogy and student services to improve satisfaction and retention.</w:t>
      </w:r>
    </w:p>
    <w:p>
      <w:pPr>
        <w:pStyle w:val="Heading2"/>
      </w:pPr>
      <w:r>
        <w:t>2. Demand for Inclusive Education &amp; Diversity</w:t>
      </w:r>
    </w:p>
    <w:p>
      <w:pPr>
        <w:pStyle w:val="ListBullet2"/>
        <w:numPr>
          <w:ilvl w:val="1"/>
          <w:numId w:val="90"/>
        </w:numPr>
        <w:ind w:left="652" w:hanging="142"/>
      </w:pPr>
      <w:r>
        <w:rPr>
          <w:b w:val="0"/>
          <w:i w:val="0"/>
        </w:rPr>
        <w:t>Students expect a diverse faculty and peer community.</w:t>
      </w:r>
    </w:p>
    <w:p>
      <w:pPr>
        <w:pStyle w:val="ListBullet2"/>
        <w:numPr>
          <w:ilvl w:val="1"/>
          <w:numId w:val="90"/>
        </w:numPr>
        <w:ind w:left="652" w:hanging="142"/>
      </w:pPr>
      <w:r>
        <w:rPr>
          <w:b w:val="0"/>
          <w:i w:val="0"/>
        </w:rPr>
        <w:t>Policies like scholarships, inclusive admissions, and DEI cells ensure equity.</w:t>
      </w:r>
    </w:p>
    <w:p>
      <w:pPr>
        <w:pStyle w:val="ListBullet2"/>
        <w:numPr>
          <w:ilvl w:val="1"/>
          <w:numId w:val="90"/>
        </w:numPr>
        <w:ind w:left="652" w:hanging="142"/>
      </w:pPr>
      <w:r>
        <w:rPr>
          <w:b w:val="0"/>
          <w:i w:val="0"/>
        </w:rPr>
        <w:t>Institutions benefit from a globally competitive and inclusive culture.</w:t>
      </w:r>
    </w:p>
    <w:p>
      <w:pPr>
        <w:pStyle w:val="Heading2"/>
      </w:pPr>
      <w:r>
        <w:t>3. Increased Awareness of Sustainability &amp; Social Responsibility</w:t>
      </w:r>
    </w:p>
    <w:p>
      <w:pPr>
        <w:pStyle w:val="ListBullet2"/>
        <w:numPr>
          <w:ilvl w:val="1"/>
          <w:numId w:val="90"/>
        </w:numPr>
        <w:ind w:left="652" w:hanging="142"/>
      </w:pPr>
      <w:r>
        <w:rPr>
          <w:b w:val="0"/>
          <w:i w:val="0"/>
        </w:rPr>
        <w:t>Students are more socially and environmentally conscious.</w:t>
      </w:r>
    </w:p>
    <w:p>
      <w:pPr>
        <w:pStyle w:val="ListBullet2"/>
        <w:numPr>
          <w:ilvl w:val="1"/>
          <w:numId w:val="90"/>
        </w:numPr>
        <w:ind w:left="652" w:hanging="142"/>
      </w:pPr>
      <w:r>
        <w:rPr>
          <w:b w:val="0"/>
          <w:i w:val="0"/>
        </w:rPr>
        <w:t>Integrating SDGs into curricula and campus initiatives builds responsibility.</w:t>
      </w:r>
    </w:p>
    <w:p>
      <w:pPr>
        <w:pStyle w:val="ListBullet2"/>
        <w:numPr>
          <w:ilvl w:val="1"/>
          <w:numId w:val="90"/>
        </w:numPr>
        <w:ind w:left="652" w:hanging="142"/>
      </w:pPr>
      <w:r>
        <w:rPr>
          <w:b w:val="0"/>
          <w:i w:val="0"/>
        </w:rPr>
        <w:t>This improves the institution’s public image and global relevance.</w:t>
      </w:r>
    </w:p>
    <w:p>
      <w:pPr>
        <w:pStyle w:val="Heading2"/>
      </w:pPr>
      <w:r>
        <w:t>4. Role of HEIs in Community Development &amp; Outreach</w:t>
      </w:r>
    </w:p>
    <w:p>
      <w:pPr>
        <w:pStyle w:val="ListBullet2"/>
        <w:numPr>
          <w:ilvl w:val="1"/>
          <w:numId w:val="90"/>
        </w:numPr>
        <w:ind w:left="652" w:hanging="142"/>
      </w:pPr>
      <w:r>
        <w:rPr>
          <w:b w:val="0"/>
          <w:i w:val="0"/>
        </w:rPr>
        <w:t>Universities are not just academic centers but also drivers of social change.</w:t>
      </w:r>
    </w:p>
    <w:p>
      <w:pPr>
        <w:pStyle w:val="ListBullet2"/>
        <w:numPr>
          <w:ilvl w:val="1"/>
          <w:numId w:val="90"/>
        </w:numPr>
        <w:ind w:left="652" w:hanging="142"/>
      </w:pPr>
      <w:r>
        <w:rPr>
          <w:b w:val="0"/>
          <w:i w:val="0"/>
        </w:rPr>
        <w:t>Institutional Social Responsibility (ISR) projects (health, literacy, sustainability) enhance impact.</w:t>
      </w:r>
    </w:p>
    <w:p>
      <w:pPr>
        <w:pStyle w:val="ListBullet2"/>
        <w:numPr>
          <w:ilvl w:val="1"/>
          <w:numId w:val="90"/>
        </w:numPr>
        <w:ind w:left="652" w:hanging="142"/>
      </w:pPr>
      <w:r>
        <w:rPr>
          <w:b w:val="0"/>
          <w:i w:val="0"/>
        </w:rPr>
        <w:t>Service-learning ensures students engage with society directly.</w:t>
      </w:r>
    </w:p>
    <w:p>
      <w:pPr>
        <w:pStyle w:val="Heading2"/>
      </w:pPr>
      <w:r>
        <w:t>5. Shifting Cultural Attitudes toward Interdisciplinary Learning &amp; Global Exposure</w:t>
      </w:r>
    </w:p>
    <w:p>
      <w:pPr>
        <w:pStyle w:val="ListBullet2"/>
        <w:numPr>
          <w:ilvl w:val="1"/>
          <w:numId w:val="90"/>
        </w:numPr>
        <w:ind w:left="652" w:hanging="142"/>
      </w:pPr>
      <w:r>
        <w:rPr>
          <w:b w:val="0"/>
          <w:i w:val="0"/>
        </w:rPr>
        <w:t>Modern learners prefer cross-disciplinary, multi-skill programs.</w:t>
      </w:r>
    </w:p>
    <w:p>
      <w:pPr>
        <w:pStyle w:val="ListBullet2"/>
        <w:numPr>
          <w:ilvl w:val="1"/>
          <w:numId w:val="90"/>
        </w:numPr>
        <w:ind w:left="652" w:hanging="142"/>
      </w:pPr>
      <w:r>
        <w:rPr>
          <w:b w:val="0"/>
          <w:i w:val="0"/>
        </w:rPr>
        <w:t>Exposure to global partnerships and exchanges makes students more adaptable.</w:t>
      </w:r>
    </w:p>
    <w:p>
      <w:pPr>
        <w:pStyle w:val="ListBullet2"/>
        <w:numPr>
          <w:ilvl w:val="1"/>
          <w:numId w:val="90"/>
        </w:numPr>
        <w:ind w:left="652" w:hanging="142"/>
      </w:pPr>
      <w:r>
        <w:rPr>
          <w:b w:val="0"/>
          <w:i w:val="0"/>
        </w:rPr>
        <w:t>Institutions offering this gain a competitive advantage in global rankings.</w:t>
      </w:r>
    </w:p>
    <w:p>
      <w:pPr>
        <w:pStyle w:val="Heading2"/>
      </w:pPr>
      <w:r>
        <w:t>6. Rise of Lifelong Learning &amp; Professional Certifications</w:t>
      </w:r>
    </w:p>
    <w:p>
      <w:pPr>
        <w:pStyle w:val="ListBullet2"/>
        <w:numPr>
          <w:ilvl w:val="1"/>
          <w:numId w:val="90"/>
        </w:numPr>
        <w:ind w:left="652" w:hanging="142"/>
      </w:pPr>
      <w:r>
        <w:rPr>
          <w:b w:val="0"/>
          <w:i w:val="0"/>
        </w:rPr>
        <w:t>Workforce trends demand continuous reskilling and upskilling.</w:t>
      </w:r>
    </w:p>
    <w:p>
      <w:pPr>
        <w:pStyle w:val="ListBullet2"/>
        <w:numPr>
          <w:ilvl w:val="1"/>
          <w:numId w:val="90"/>
        </w:numPr>
        <w:ind w:left="652" w:hanging="142"/>
      </w:pPr>
      <w:r>
        <w:rPr>
          <w:b w:val="0"/>
          <w:i w:val="0"/>
        </w:rPr>
        <w:t>HEIs can become lifelong learning hubs via micro-credentials, EdTech, and online certifications.</w:t>
      </w:r>
    </w:p>
    <w:p>
      <w:pPr>
        <w:pStyle w:val="ListBullet2"/>
        <w:numPr>
          <w:ilvl w:val="1"/>
          <w:numId w:val="90"/>
        </w:numPr>
        <w:ind w:left="652" w:hanging="142"/>
      </w:pPr>
      <w:r>
        <w:rPr>
          <w:b w:val="0"/>
          <w:i w:val="0"/>
        </w:rPr>
        <w:t>This also creates new revenue streams beyond traditional degree programs.</w:t>
      </w:r>
    </w:p>
    <w:p>
      <w:pPr>
        <w:pStyle w:val="Heading2"/>
      </w:pPr>
      <w:r>
        <w:t>Why this is important:</w:t>
      </w:r>
    </w:p>
    <w:p>
      <w:pPr>
        <w:pStyle w:val="ListBullet"/>
        <w:numPr>
          <w:ilvl w:val="0"/>
          <w:numId w:val="90"/>
        </w:numPr>
        <w:ind w:left="340" w:hanging="142"/>
      </w:pPr>
      <w:r>
        <w:rPr>
          <w:b w:val="0"/>
          <w:i w:val="0"/>
        </w:rPr>
        <w:t>Social Factors push HEIs to become more inclusive, flexible, and socially responsible.</w:t>
      </w:r>
    </w:p>
    <w:p>
      <w:pPr>
        <w:pStyle w:val="ListBullet"/>
        <w:numPr>
          <w:ilvl w:val="0"/>
          <w:numId w:val="90"/>
        </w:numPr>
        <w:ind w:left="340" w:hanging="142"/>
      </w:pPr>
      <w:r>
        <w:rPr>
          <w:b w:val="0"/>
          <w:i w:val="0"/>
        </w:rPr>
        <w:t>They ensure institutions remain relevant to student expectations, societal needs, and cultural shifts.</w:t>
      </w:r>
    </w:p>
    <w:p>
      <w:pPr>
        <w:pStyle w:val="ListBullet"/>
        <w:numPr>
          <w:ilvl w:val="0"/>
          <w:numId w:val="90"/>
        </w:numPr>
        <w:ind w:left="340" w:hanging="142"/>
      </w:pPr>
      <w:r>
        <w:rPr>
          <w:b w:val="0"/>
          <w:i w:val="0"/>
        </w:rPr>
        <w:t>By addressing them, HEIs increase employability, retention, global standing, and community trust.</w:t>
      </w:r>
    </w:p>
    <w:p>
      <w:pPr>
        <w:pStyle w:val="Heading2"/>
      </w:pPr>
      <w:r>
        <w:t>Integrated Strategic Matrix – Social Factors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984"/>
        <w:gridCol w:w="3061"/>
        <w:gridCol w:w="2211"/>
        <w:gridCol w:w="2154"/>
      </w:tblGrid>
      <w:tr>
        <w:trPr>
          <w:tblHeader/>
          <w:cantSplit/>
        </w:trPr>
        <w:tc>
          <w:tcPr>
            <w:tcW w:type="dxa" w:w="1984"/>
            <w:vAlign w:val="center"/>
            <w:shd w:fill="1F3A5F"/>
          </w:tcPr>
          <w:p>
            <w:pPr>
              <w:keepNext/>
              <w:spacing w:after="40" w:line="276" w:lineRule="auto"/>
              <w:jc w:val="left"/>
            </w:pPr>
            <w:r>
              <w:rPr>
                <w:b/>
                <w:i w:val="0"/>
                <w:color w:val="FFFFFF"/>
              </w:rPr>
              <w:t>Policy Direction</w:t>
            </w:r>
          </w:p>
        </w:tc>
        <w:tc>
          <w:tcPr>
            <w:tcW w:type="dxa" w:w="3061"/>
            <w:vAlign w:val="center"/>
            <w:shd w:fill="1F3A5F"/>
          </w:tcPr>
          <w:p>
            <w:pPr>
              <w:keepNext/>
              <w:spacing w:after="40" w:line="276" w:lineRule="auto"/>
              <w:jc w:val="left"/>
            </w:pPr>
            <w:r>
              <w:rPr>
                <w:b/>
                <w:i w:val="0"/>
                <w:color w:val="FFFFFF"/>
              </w:rPr>
              <w:t>Strategic Actions</w:t>
            </w:r>
          </w:p>
        </w:tc>
        <w:tc>
          <w:tcPr>
            <w:tcW w:type="dxa" w:w="2211"/>
            <w:vAlign w:val="center"/>
            <w:shd w:fill="1F3A5F"/>
          </w:tcPr>
          <w:p>
            <w:pPr>
              <w:keepNext/>
              <w:spacing w:after="40" w:line="276" w:lineRule="auto"/>
              <w:jc w:val="left"/>
            </w:pPr>
            <w:r>
              <w:rPr>
                <w:b/>
                <w:i w:val="0"/>
                <w:color w:val="FFFFFF"/>
              </w:rPr>
              <w:t>Expected Outcomes</w:t>
            </w:r>
          </w:p>
        </w:tc>
        <w:tc>
          <w:tcPr>
            <w:tcW w:type="dxa" w:w="2154"/>
            <w:vAlign w:val="center"/>
            <w:shd w:fill="1F3A5F"/>
          </w:tcPr>
          <w:p>
            <w:pPr>
              <w:keepNext/>
              <w:spacing w:after="40" w:line="276" w:lineRule="auto"/>
              <w:jc w:val="left"/>
            </w:pPr>
            <w:r>
              <w:rPr>
                <w:b/>
                <w:i w:val="0"/>
                <w:color w:val="FFFFFF"/>
              </w:rPr>
              <w:t>KPIs (Indicators)</w:t>
            </w:r>
          </w:p>
        </w:tc>
      </w:tr>
      <w:tr>
        <w:trPr>
          <w:cantSplit/>
        </w:trPr>
        <w:tc>
          <w:tcPr>
            <w:tcW w:type="dxa" w:w="1984"/>
            <w:vAlign w:val="center"/>
            <w:shd w:fill="FFFFFF"/>
          </w:tcPr>
          <w:p>
            <w:pPr>
              <w:spacing w:after="40" w:line="276" w:lineRule="auto"/>
              <w:jc w:val="left"/>
            </w:pPr>
            <w:r>
              <w:rPr>
                <w:b w:val="0"/>
                <w:i w:val="0"/>
              </w:rPr>
              <w:t>Adapt to changing student demographics (Gen Z &amp; Gen Alpha)</w:t>
            </w:r>
          </w:p>
        </w:tc>
        <w:tc>
          <w:tcPr>
            <w:tcW w:type="dxa" w:w="3061"/>
            <w:vAlign w:val="center"/>
            <w:shd w:fill="FFFFFF"/>
          </w:tcPr>
          <w:p>
            <w:pPr>
              <w:spacing w:after="40" w:line="276" w:lineRule="auto"/>
              <w:ind w:left="125" w:hanging="125"/>
              <w:jc w:val="left"/>
            </w:pPr>
            <w:r>
              <w:t xml:space="preserve">• </w:t>
            </w:r>
            <w:r>
              <w:rPr>
                <w:b w:val="0"/>
                <w:i w:val="0"/>
              </w:rPr>
              <w:t>Design learner-centric, tech-enabled pedagogy.</w:t>
            </w:r>
          </w:p>
          <w:p>
            <w:pPr>
              <w:spacing w:after="40" w:line="276" w:lineRule="auto"/>
              <w:ind w:left="125" w:hanging="125"/>
              <w:jc w:val="left"/>
            </w:pPr>
            <w:r>
              <w:t xml:space="preserve">• </w:t>
            </w:r>
            <w:r>
              <w:rPr>
                <w:b w:val="0"/>
                <w:i w:val="0"/>
              </w:rPr>
              <w:t>Offer flexible, hybrid, and personalized learning pathways.</w:t>
            </w:r>
          </w:p>
          <w:p>
            <w:pPr>
              <w:spacing w:after="40" w:line="276" w:lineRule="auto"/>
              <w:ind w:left="125" w:hanging="125"/>
              <w:jc w:val="left"/>
            </w:pPr>
            <w:r>
              <w:t xml:space="preserve">• </w:t>
            </w:r>
            <w:r>
              <w:rPr>
                <w:b w:val="0"/>
                <w:i w:val="0"/>
              </w:rPr>
              <w:t>Build strong career and mental health support systems.</w:t>
            </w:r>
          </w:p>
        </w:tc>
        <w:tc>
          <w:tcPr>
            <w:tcW w:type="dxa" w:w="2211"/>
            <w:vAlign w:val="center"/>
            <w:shd w:fill="FFFFFF"/>
          </w:tcPr>
          <w:p>
            <w:pPr>
              <w:spacing w:after="40" w:line="276" w:lineRule="auto"/>
              <w:jc w:val="left"/>
            </w:pPr>
            <w:r>
              <w:rPr>
                <w:b w:val="0"/>
                <w:i w:val="0"/>
              </w:rPr>
              <w:t>Improved student satisfaction and retention.</w:t>
            </w:r>
          </w:p>
        </w:tc>
        <w:tc>
          <w:tcPr>
            <w:tcW w:type="dxa" w:w="2154"/>
            <w:vAlign w:val="center"/>
            <w:shd w:fill="FFFFFF"/>
          </w:tcPr>
          <w:p>
            <w:pPr>
              <w:spacing w:after="40" w:line="276" w:lineRule="auto"/>
              <w:ind w:left="125" w:hanging="125"/>
              <w:jc w:val="left"/>
            </w:pPr>
            <w:r>
              <w:t xml:space="preserve">• </w:t>
            </w:r>
            <w:r>
              <w:rPr>
                <w:b w:val="0"/>
                <w:i w:val="0"/>
              </w:rPr>
              <w:t>Student satisfaction score (≥85%).</w:t>
            </w:r>
          </w:p>
          <w:p>
            <w:pPr>
              <w:spacing w:after="40" w:line="276" w:lineRule="auto"/>
              <w:ind w:left="125" w:hanging="125"/>
              <w:jc w:val="left"/>
            </w:pPr>
            <w:r>
              <w:t xml:space="preserve">• </w:t>
            </w:r>
            <w:r>
              <w:rPr>
                <w:b w:val="0"/>
                <w:i w:val="0"/>
              </w:rPr>
              <w:t>Retention rate (≥90%).</w:t>
            </w:r>
          </w:p>
          <w:p>
            <w:pPr>
              <w:spacing w:after="40" w:line="276" w:lineRule="auto"/>
              <w:ind w:left="125" w:hanging="125"/>
              <w:jc w:val="left"/>
            </w:pPr>
            <w:r>
              <w:t xml:space="preserve">• </w:t>
            </w:r>
            <w:r>
              <w:rPr>
                <w:b w:val="0"/>
                <w:i w:val="0"/>
              </w:rPr>
              <w:t>No. of hybrid/​flexible programs.</w:t>
            </w:r>
          </w:p>
        </w:tc>
      </w:tr>
      <w:tr>
        <w:trPr>
          <w:cantSplit/>
        </w:trPr>
        <w:tc>
          <w:tcPr>
            <w:tcW w:type="dxa" w:w="1984"/>
            <w:vAlign w:val="center"/>
            <w:shd w:fill="EDF2F7"/>
          </w:tcPr>
          <w:p>
            <w:pPr>
              <w:spacing w:after="40" w:line="276" w:lineRule="auto"/>
              <w:jc w:val="left"/>
            </w:pPr>
            <w:r>
              <w:rPr>
                <w:b w:val="0"/>
                <w:i w:val="0"/>
              </w:rPr>
              <w:t>Promote inclusivity and diversity</w:t>
            </w:r>
          </w:p>
        </w:tc>
        <w:tc>
          <w:tcPr>
            <w:tcW w:type="dxa" w:w="3061"/>
            <w:vAlign w:val="center"/>
            <w:shd w:fill="EDF2F7"/>
          </w:tcPr>
          <w:p>
            <w:pPr>
              <w:spacing w:after="40" w:line="276" w:lineRule="auto"/>
              <w:ind w:left="125" w:hanging="125"/>
              <w:jc w:val="left"/>
            </w:pPr>
            <w:r>
              <w:t xml:space="preserve">• </w:t>
            </w:r>
            <w:r>
              <w:rPr>
                <w:b w:val="0"/>
                <w:i w:val="0"/>
              </w:rPr>
              <w:t>Recruit diverse faculty and international students.</w:t>
            </w:r>
          </w:p>
          <w:p>
            <w:pPr>
              <w:spacing w:after="40" w:line="276" w:lineRule="auto"/>
              <w:ind w:left="125" w:hanging="125"/>
              <w:jc w:val="left"/>
            </w:pPr>
            <w:r>
              <w:t xml:space="preserve">• </w:t>
            </w:r>
            <w:r>
              <w:rPr>
                <w:b w:val="0"/>
                <w:i w:val="0"/>
              </w:rPr>
              <w:t>Offer scholarships for marginalized communities.</w:t>
            </w:r>
          </w:p>
          <w:p>
            <w:pPr>
              <w:spacing w:after="40" w:line="276" w:lineRule="auto"/>
              <w:ind w:left="125" w:hanging="125"/>
              <w:jc w:val="left"/>
            </w:pPr>
            <w:r>
              <w:t xml:space="preserve">• </w:t>
            </w:r>
            <w:r>
              <w:rPr>
                <w:b w:val="0"/>
                <w:i w:val="0"/>
              </w:rPr>
              <w:t>Establish DEI (Diversity, Equity &amp; Inclusion) cells.</w:t>
            </w:r>
          </w:p>
        </w:tc>
        <w:tc>
          <w:tcPr>
            <w:tcW w:type="dxa" w:w="2211"/>
            <w:vAlign w:val="center"/>
            <w:shd w:fill="EDF2F7"/>
          </w:tcPr>
          <w:p>
            <w:pPr>
              <w:spacing w:after="40" w:line="276" w:lineRule="auto"/>
              <w:jc w:val="left"/>
            </w:pPr>
            <w:r>
              <w:rPr>
                <w:b w:val="0"/>
                <w:i w:val="0"/>
              </w:rPr>
              <w:t>Inclusive, globally competitive campus culture.</w:t>
            </w:r>
          </w:p>
        </w:tc>
        <w:tc>
          <w:tcPr>
            <w:tcW w:type="dxa" w:w="2154"/>
            <w:vAlign w:val="center"/>
            <w:shd w:fill="EDF2F7"/>
          </w:tcPr>
          <w:p>
            <w:pPr>
              <w:spacing w:after="40" w:line="276" w:lineRule="auto"/>
              <w:ind w:left="125" w:hanging="125"/>
              <w:jc w:val="left"/>
            </w:pPr>
            <w:r>
              <w:t xml:space="preserve">• </w:t>
            </w:r>
            <w:r>
              <w:rPr>
                <w:b w:val="0"/>
                <w:i w:val="0"/>
              </w:rPr>
              <w:t>% diverse faculty/​students.</w:t>
            </w:r>
          </w:p>
          <w:p>
            <w:pPr>
              <w:spacing w:after="40" w:line="276" w:lineRule="auto"/>
              <w:ind w:left="125" w:hanging="125"/>
              <w:jc w:val="left"/>
            </w:pPr>
            <w:r>
              <w:t xml:space="preserve">• </w:t>
            </w:r>
            <w:r>
              <w:rPr>
                <w:b w:val="0"/>
                <w:i w:val="0"/>
              </w:rPr>
              <w:t>No. of scholarships awarded.</w:t>
            </w:r>
          </w:p>
          <w:p>
            <w:pPr>
              <w:spacing w:after="40" w:line="276" w:lineRule="auto"/>
              <w:ind w:left="125" w:hanging="125"/>
              <w:jc w:val="left"/>
            </w:pPr>
            <w:r>
              <w:t xml:space="preserve">• </w:t>
            </w:r>
            <w:r>
              <w:rPr>
                <w:b w:val="0"/>
                <w:i w:val="0"/>
              </w:rPr>
              <w:t>DEI compliance index.</w:t>
            </w:r>
          </w:p>
        </w:tc>
      </w:tr>
      <w:tr>
        <w:trPr>
          <w:cantSplit/>
        </w:trPr>
        <w:tc>
          <w:tcPr>
            <w:tcW w:type="dxa" w:w="1984"/>
            <w:vAlign w:val="center"/>
            <w:shd w:fill="FFFFFF"/>
          </w:tcPr>
          <w:p>
            <w:pPr>
              <w:spacing w:after="40" w:line="276" w:lineRule="auto"/>
              <w:jc w:val="left"/>
            </w:pPr>
            <w:r>
              <w:rPr>
                <w:b w:val="0"/>
                <w:i w:val="0"/>
              </w:rPr>
              <w:t>Enhance sustainability &amp; social responsibility awareness</w:t>
            </w:r>
          </w:p>
        </w:tc>
        <w:tc>
          <w:tcPr>
            <w:tcW w:type="dxa" w:w="3061"/>
            <w:vAlign w:val="center"/>
            <w:shd w:fill="FFFFFF"/>
          </w:tcPr>
          <w:p>
            <w:pPr>
              <w:spacing w:after="40" w:line="276" w:lineRule="auto"/>
              <w:ind w:left="125" w:hanging="125"/>
              <w:jc w:val="left"/>
            </w:pPr>
            <w:r>
              <w:t xml:space="preserve">• </w:t>
            </w:r>
            <w:r>
              <w:rPr>
                <w:b w:val="0"/>
                <w:i w:val="0"/>
              </w:rPr>
              <w:t>Integrate SDGs into curriculum and projects.</w:t>
            </w:r>
          </w:p>
          <w:p>
            <w:pPr>
              <w:spacing w:after="40" w:line="276" w:lineRule="auto"/>
              <w:ind w:left="125" w:hanging="125"/>
              <w:jc w:val="left"/>
            </w:pPr>
            <w:r>
              <w:t xml:space="preserve">• </w:t>
            </w:r>
            <w:r>
              <w:rPr>
                <w:b w:val="0"/>
                <w:i w:val="0"/>
              </w:rPr>
              <w:t>Launch green campus initiatives.</w:t>
            </w:r>
          </w:p>
          <w:p>
            <w:pPr>
              <w:spacing w:after="40" w:line="276" w:lineRule="auto"/>
              <w:ind w:left="125" w:hanging="125"/>
              <w:jc w:val="left"/>
            </w:pPr>
            <w:r>
              <w:t xml:space="preserve">• </w:t>
            </w:r>
            <w:r>
              <w:rPr>
                <w:b w:val="0"/>
                <w:i w:val="0"/>
              </w:rPr>
              <w:t>Promote student-led sustainability clubs.</w:t>
            </w:r>
          </w:p>
        </w:tc>
        <w:tc>
          <w:tcPr>
            <w:tcW w:type="dxa" w:w="2211"/>
            <w:vAlign w:val="center"/>
            <w:shd w:fill="FFFFFF"/>
          </w:tcPr>
          <w:p>
            <w:pPr>
              <w:spacing w:after="40" w:line="276" w:lineRule="auto"/>
              <w:jc w:val="left"/>
            </w:pPr>
            <w:r>
              <w:rPr>
                <w:b w:val="0"/>
                <w:i w:val="0"/>
              </w:rPr>
              <w:t>Students become socially responsible leaders.</w:t>
            </w:r>
          </w:p>
        </w:tc>
        <w:tc>
          <w:tcPr>
            <w:tcW w:type="dxa" w:w="2154"/>
            <w:vAlign w:val="center"/>
            <w:shd w:fill="FFFFFF"/>
          </w:tcPr>
          <w:p>
            <w:pPr>
              <w:spacing w:after="40" w:line="276" w:lineRule="auto"/>
              <w:ind w:left="125" w:hanging="125"/>
              <w:jc w:val="left"/>
            </w:pPr>
            <w:r>
              <w:t xml:space="preserve">• </w:t>
            </w:r>
            <w:r>
              <w:rPr>
                <w:b w:val="0"/>
                <w:i w:val="0"/>
              </w:rPr>
              <w:t>% courses with SDG content.</w:t>
            </w:r>
          </w:p>
          <w:p>
            <w:pPr>
              <w:spacing w:after="40" w:line="276" w:lineRule="auto"/>
              <w:ind w:left="125" w:hanging="125"/>
              <w:jc w:val="left"/>
            </w:pPr>
            <w:r>
              <w:t xml:space="preserve">• </w:t>
            </w:r>
            <w:r>
              <w:rPr>
                <w:b w:val="0"/>
                <w:i w:val="0"/>
              </w:rPr>
              <w:t>No. of sustainability projects.</w:t>
            </w:r>
          </w:p>
          <w:p>
            <w:pPr>
              <w:spacing w:after="40" w:line="276" w:lineRule="auto"/>
              <w:ind w:left="125" w:hanging="125"/>
              <w:jc w:val="left"/>
            </w:pPr>
            <w:r>
              <w:t xml:space="preserve">• </w:t>
            </w:r>
            <w:r>
              <w:rPr>
                <w:b w:val="0"/>
                <w:i w:val="0"/>
              </w:rPr>
              <w:t>Student participation rate in clubs.</w:t>
            </w:r>
          </w:p>
        </w:tc>
      </w:tr>
      <w:tr>
        <w:trPr>
          <w:cantSplit/>
        </w:trPr>
        <w:tc>
          <w:tcPr>
            <w:tcW w:type="dxa" w:w="1984"/>
            <w:vAlign w:val="center"/>
            <w:shd w:fill="EDF2F7"/>
          </w:tcPr>
          <w:p>
            <w:pPr>
              <w:spacing w:after="40" w:line="276" w:lineRule="auto"/>
              <w:jc w:val="left"/>
            </w:pPr>
            <w:r>
              <w:rPr>
                <w:b w:val="0"/>
                <w:i w:val="0"/>
              </w:rPr>
              <w:t>Strengthen community development &amp; social outreach</w:t>
            </w:r>
          </w:p>
        </w:tc>
        <w:tc>
          <w:tcPr>
            <w:tcW w:type="dxa" w:w="3061"/>
            <w:vAlign w:val="center"/>
            <w:shd w:fill="EDF2F7"/>
          </w:tcPr>
          <w:p>
            <w:pPr>
              <w:spacing w:after="40" w:line="276" w:lineRule="auto"/>
              <w:ind w:left="125" w:hanging="125"/>
              <w:jc w:val="left"/>
            </w:pPr>
            <w:r>
              <w:t xml:space="preserve">• </w:t>
            </w:r>
            <w:r>
              <w:rPr>
                <w:b w:val="0"/>
                <w:i w:val="0"/>
              </w:rPr>
              <w:t>Expand Institutional Social Responsibility (ISR) programs.</w:t>
            </w:r>
          </w:p>
          <w:p>
            <w:pPr>
              <w:spacing w:after="40" w:line="276" w:lineRule="auto"/>
              <w:ind w:left="125" w:hanging="125"/>
              <w:jc w:val="left"/>
            </w:pPr>
            <w:r>
              <w:t xml:space="preserve">• </w:t>
            </w:r>
            <w:r>
              <w:rPr>
                <w:b w:val="0"/>
                <w:i w:val="0"/>
              </w:rPr>
              <w:t>Partner with NGOs and local bodies.</w:t>
            </w:r>
          </w:p>
          <w:p>
            <w:pPr>
              <w:spacing w:after="40" w:line="276" w:lineRule="auto"/>
              <w:ind w:left="125" w:hanging="125"/>
              <w:jc w:val="left"/>
            </w:pPr>
            <w:r>
              <w:t xml:space="preserve">• </w:t>
            </w:r>
            <w:r>
              <w:rPr>
                <w:b w:val="0"/>
                <w:i w:val="0"/>
              </w:rPr>
              <w:t>Include service-learning in curricula.</w:t>
            </w:r>
          </w:p>
        </w:tc>
        <w:tc>
          <w:tcPr>
            <w:tcW w:type="dxa" w:w="2211"/>
            <w:vAlign w:val="center"/>
            <w:shd w:fill="EDF2F7"/>
          </w:tcPr>
          <w:p>
            <w:pPr>
              <w:spacing w:after="40" w:line="276" w:lineRule="auto"/>
              <w:jc w:val="left"/>
            </w:pPr>
            <w:r>
              <w:rPr>
                <w:b w:val="0"/>
                <w:i w:val="0"/>
              </w:rPr>
              <w:t>Greater societal impact and community trust.</w:t>
            </w:r>
          </w:p>
        </w:tc>
        <w:tc>
          <w:tcPr>
            <w:tcW w:type="dxa" w:w="2154"/>
            <w:vAlign w:val="center"/>
            <w:shd w:fill="EDF2F7"/>
          </w:tcPr>
          <w:p>
            <w:pPr>
              <w:spacing w:after="40" w:line="276" w:lineRule="auto"/>
              <w:ind w:left="125" w:hanging="125"/>
              <w:jc w:val="left"/>
            </w:pPr>
            <w:r>
              <w:t xml:space="preserve">• </w:t>
            </w:r>
            <w:r>
              <w:rPr>
                <w:b w:val="0"/>
                <w:i w:val="0"/>
              </w:rPr>
              <w:t>% students in ISR projects (≥80%).</w:t>
            </w:r>
          </w:p>
          <w:p>
            <w:pPr>
              <w:spacing w:after="40" w:line="276" w:lineRule="auto"/>
              <w:ind w:left="125" w:hanging="125"/>
              <w:jc w:val="left"/>
            </w:pPr>
            <w:r>
              <w:t xml:space="preserve">• </w:t>
            </w:r>
            <w:r>
              <w:rPr>
                <w:b w:val="0"/>
                <w:i w:val="0"/>
              </w:rPr>
              <w:t>No. of community projects launched.</w:t>
            </w:r>
          </w:p>
          <w:p>
            <w:pPr>
              <w:spacing w:after="40" w:line="276" w:lineRule="auto"/>
              <w:ind w:left="125" w:hanging="125"/>
              <w:jc w:val="left"/>
            </w:pPr>
            <w:r>
              <w:t xml:space="preserve">• </w:t>
            </w:r>
            <w:r>
              <w:rPr>
                <w:b w:val="0"/>
                <w:i w:val="0"/>
              </w:rPr>
              <w:t>Beneficiaries reached annually (≥10,000).</w:t>
            </w:r>
          </w:p>
        </w:tc>
      </w:tr>
      <w:tr>
        <w:trPr>
          <w:cantSplit/>
        </w:trPr>
        <w:tc>
          <w:tcPr>
            <w:tcW w:type="dxa" w:w="1984"/>
            <w:vAlign w:val="center"/>
            <w:shd w:fill="FFFFFF"/>
          </w:tcPr>
          <w:p>
            <w:pPr>
              <w:spacing w:after="40" w:line="276" w:lineRule="auto"/>
              <w:jc w:val="left"/>
            </w:pPr>
            <w:r>
              <w:rPr>
                <w:b w:val="0"/>
                <w:i w:val="0"/>
              </w:rPr>
              <w:t>Encourage interdisciplinary learning &amp; global exposure</w:t>
            </w:r>
          </w:p>
        </w:tc>
        <w:tc>
          <w:tcPr>
            <w:tcW w:type="dxa" w:w="3061"/>
            <w:vAlign w:val="center"/>
            <w:shd w:fill="FFFFFF"/>
          </w:tcPr>
          <w:p>
            <w:pPr>
              <w:spacing w:after="40" w:line="276" w:lineRule="auto"/>
              <w:ind w:left="125" w:hanging="125"/>
              <w:jc w:val="left"/>
            </w:pPr>
            <w:r>
              <w:t xml:space="preserve">• </w:t>
            </w:r>
            <w:r>
              <w:rPr>
                <w:b w:val="0"/>
                <w:i w:val="0"/>
              </w:rPr>
              <w:t>Introduce multidisciplinary UG/​PG programs.</w:t>
            </w:r>
          </w:p>
          <w:p>
            <w:pPr>
              <w:spacing w:after="40" w:line="276" w:lineRule="auto"/>
              <w:ind w:left="125" w:hanging="125"/>
              <w:jc w:val="left"/>
            </w:pPr>
            <w:r>
              <w:t xml:space="preserve">• </w:t>
            </w:r>
            <w:r>
              <w:rPr>
                <w:b w:val="0"/>
                <w:i w:val="0"/>
              </w:rPr>
              <w:t>Foster cross-departmental projects.</w:t>
            </w:r>
          </w:p>
          <w:p>
            <w:pPr>
              <w:spacing w:after="40" w:line="276" w:lineRule="auto"/>
              <w:ind w:left="125" w:hanging="125"/>
              <w:jc w:val="left"/>
            </w:pPr>
            <w:r>
              <w:t xml:space="preserve">• </w:t>
            </w:r>
            <w:r>
              <w:rPr>
                <w:b w:val="0"/>
                <w:i w:val="0"/>
              </w:rPr>
              <w:t>Expand study-abroad and exchange opportunities.</w:t>
            </w:r>
          </w:p>
        </w:tc>
        <w:tc>
          <w:tcPr>
            <w:tcW w:type="dxa" w:w="2211"/>
            <w:vAlign w:val="center"/>
            <w:shd w:fill="FFFFFF"/>
          </w:tcPr>
          <w:p>
            <w:pPr>
              <w:spacing w:after="40" w:line="276" w:lineRule="auto"/>
              <w:jc w:val="left"/>
            </w:pPr>
            <w:r>
              <w:rPr>
                <w:b w:val="0"/>
                <w:i w:val="0"/>
              </w:rPr>
              <w:t>Students gain holistic, future-ready education.</w:t>
            </w:r>
          </w:p>
        </w:tc>
        <w:tc>
          <w:tcPr>
            <w:tcW w:type="dxa" w:w="2154"/>
            <w:vAlign w:val="center"/>
            <w:shd w:fill="FFFFFF"/>
          </w:tcPr>
          <w:p>
            <w:pPr>
              <w:spacing w:after="40" w:line="276" w:lineRule="auto"/>
              <w:ind w:left="125" w:hanging="125"/>
              <w:jc w:val="left"/>
            </w:pPr>
            <w:r>
              <w:t xml:space="preserve">• </w:t>
            </w:r>
            <w:r>
              <w:rPr>
                <w:b w:val="0"/>
                <w:i w:val="0"/>
              </w:rPr>
              <w:t>No. of interdisciplinary programs.</w:t>
            </w:r>
          </w:p>
          <w:p>
            <w:pPr>
              <w:spacing w:after="40" w:line="276" w:lineRule="auto"/>
              <w:ind w:left="125" w:hanging="125"/>
              <w:jc w:val="left"/>
            </w:pPr>
            <w:r>
              <w:t xml:space="preserve">• </w:t>
            </w:r>
            <w:r>
              <w:rPr>
                <w:b w:val="0"/>
                <w:i w:val="0"/>
              </w:rPr>
              <w:t>% graduates with international exposure.</w:t>
            </w:r>
          </w:p>
          <w:p>
            <w:pPr>
              <w:spacing w:after="40" w:line="276" w:lineRule="auto"/>
              <w:ind w:left="125" w:hanging="125"/>
              <w:jc w:val="left"/>
            </w:pPr>
            <w:r>
              <w:t xml:space="preserve">• </w:t>
            </w:r>
            <w:r>
              <w:rPr>
                <w:b w:val="0"/>
                <w:i w:val="0"/>
              </w:rPr>
              <w:t>No. of cross-disciplinary projects.</w:t>
            </w:r>
          </w:p>
        </w:tc>
      </w:tr>
      <w:tr>
        <w:trPr>
          <w:cantSplit/>
        </w:trPr>
        <w:tc>
          <w:tcPr>
            <w:tcW w:type="dxa" w:w="1984"/>
            <w:vAlign w:val="center"/>
            <w:shd w:fill="EDF2F7"/>
          </w:tcPr>
          <w:p>
            <w:pPr>
              <w:spacing w:after="40" w:line="276" w:lineRule="auto"/>
              <w:jc w:val="left"/>
            </w:pPr>
            <w:r>
              <w:rPr>
                <w:b w:val="0"/>
                <w:i w:val="0"/>
              </w:rPr>
              <w:t>Support lifelong learning &amp; certifications</w:t>
            </w:r>
          </w:p>
        </w:tc>
        <w:tc>
          <w:tcPr>
            <w:tcW w:type="dxa" w:w="3061"/>
            <w:vAlign w:val="center"/>
            <w:shd w:fill="EDF2F7"/>
          </w:tcPr>
          <w:p>
            <w:pPr>
              <w:spacing w:after="40" w:line="276" w:lineRule="auto"/>
              <w:ind w:left="125" w:hanging="125"/>
              <w:jc w:val="left"/>
            </w:pPr>
            <w:r>
              <w:t xml:space="preserve">• </w:t>
            </w:r>
            <w:r>
              <w:rPr>
                <w:b w:val="0"/>
                <w:i w:val="0"/>
              </w:rPr>
              <w:t>Launch online certifications and micro-credentials.</w:t>
            </w:r>
          </w:p>
          <w:p>
            <w:pPr>
              <w:spacing w:after="40" w:line="276" w:lineRule="auto"/>
              <w:ind w:left="125" w:hanging="125"/>
              <w:jc w:val="left"/>
            </w:pPr>
            <w:r>
              <w:t xml:space="preserve">• </w:t>
            </w:r>
            <w:r>
              <w:rPr>
                <w:b w:val="0"/>
                <w:i w:val="0"/>
              </w:rPr>
              <w:t>Develop industry–academia continuing education programs.</w:t>
            </w:r>
          </w:p>
          <w:p>
            <w:pPr>
              <w:spacing w:after="40" w:line="276" w:lineRule="auto"/>
              <w:ind w:left="125" w:hanging="125"/>
              <w:jc w:val="left"/>
            </w:pPr>
            <w:r>
              <w:t xml:space="preserve">• </w:t>
            </w:r>
            <w:r>
              <w:rPr>
                <w:b w:val="0"/>
                <w:i w:val="0"/>
              </w:rPr>
              <w:t>Partner with EdTech platforms.</w:t>
            </w:r>
          </w:p>
        </w:tc>
        <w:tc>
          <w:tcPr>
            <w:tcW w:type="dxa" w:w="2211"/>
            <w:vAlign w:val="center"/>
            <w:shd w:fill="EDF2F7"/>
          </w:tcPr>
          <w:p>
            <w:pPr>
              <w:spacing w:after="40" w:line="276" w:lineRule="auto"/>
              <w:jc w:val="left"/>
            </w:pPr>
            <w:r>
              <w:rPr>
                <w:b w:val="0"/>
                <w:i w:val="0"/>
              </w:rPr>
              <w:t>HEI positioned as a hub for lifelong learning.</w:t>
            </w:r>
          </w:p>
        </w:tc>
        <w:tc>
          <w:tcPr>
            <w:tcW w:type="dxa" w:w="2154"/>
            <w:vAlign w:val="center"/>
            <w:shd w:fill="EDF2F7"/>
          </w:tcPr>
          <w:p>
            <w:pPr>
              <w:spacing w:after="40" w:line="276" w:lineRule="auto"/>
              <w:ind w:left="125" w:hanging="125"/>
              <w:jc w:val="left"/>
            </w:pPr>
            <w:r>
              <w:t xml:space="preserve">• </w:t>
            </w:r>
            <w:r>
              <w:rPr>
                <w:b w:val="0"/>
                <w:i w:val="0"/>
              </w:rPr>
              <w:t>No. of professional certification courses.</w:t>
            </w:r>
          </w:p>
          <w:p>
            <w:pPr>
              <w:spacing w:after="40" w:line="276" w:lineRule="auto"/>
              <w:ind w:left="125" w:hanging="125"/>
              <w:jc w:val="left"/>
            </w:pPr>
            <w:r>
              <w:t xml:space="preserve">• </w:t>
            </w:r>
            <w:r>
              <w:rPr>
                <w:b w:val="0"/>
                <w:i w:val="0"/>
              </w:rPr>
              <w:t>% alumni returning for reskilling.</w:t>
            </w:r>
          </w:p>
          <w:p>
            <w:pPr>
              <w:spacing w:after="40" w:line="276" w:lineRule="auto"/>
              <w:ind w:left="125" w:hanging="125"/>
              <w:jc w:val="left"/>
            </w:pPr>
            <w:r>
              <w:t xml:space="preserve">• </w:t>
            </w:r>
            <w:r>
              <w:rPr>
                <w:b w:val="0"/>
                <w:i w:val="0"/>
              </w:rPr>
              <w:t>Enrollments in lifelong learning programs.</w:t>
            </w:r>
          </w:p>
        </w:tc>
      </w:tr>
    </w:tbl>
    <w:p>
      <w:pPr>
        <w:spacing w:after="40"/>
      </w:pPr>
    </w:p>
    <w:p>
      <w:pPr>
        <w:pStyle w:val="Heading2"/>
      </w:pPr>
      <w:r>
        <w:t>Technological Factors in Strategic Planning</w:t>
      </w:r>
    </w:p>
    <w:p>
      <w:pPr>
        <w:pStyle w:val="Heading2"/>
      </w:pPr>
      <w:r>
        <w:t>1. Digital Transformation in Education (AI, VR/AR, Online Learning)</w:t>
      </w:r>
    </w:p>
    <w:p>
      <w:pPr>
        <w:pStyle w:val="ListBullet2"/>
        <w:numPr>
          <w:ilvl w:val="1"/>
          <w:numId w:val="90"/>
        </w:numPr>
        <w:ind w:left="652" w:hanging="142"/>
      </w:pPr>
      <w:r>
        <w:rPr>
          <w:b w:val="0"/>
          <w:i w:val="0"/>
        </w:rPr>
        <w:t>Students expect immersive, flexible, and personalized learning.</w:t>
      </w:r>
    </w:p>
    <w:p>
      <w:pPr>
        <w:pStyle w:val="ListBullet2"/>
        <w:numPr>
          <w:ilvl w:val="1"/>
          <w:numId w:val="90"/>
        </w:numPr>
        <w:ind w:left="652" w:hanging="142"/>
      </w:pPr>
      <w:r>
        <w:rPr>
          <w:b w:val="0"/>
          <w:i w:val="0"/>
        </w:rPr>
        <w:t>AI-enabled LMS, AR/VR classrooms, and hybrid programs meet these expectations.</w:t>
      </w:r>
    </w:p>
    <w:p>
      <w:pPr>
        <w:pStyle w:val="ListBullet2"/>
        <w:numPr>
          <w:ilvl w:val="1"/>
          <w:numId w:val="90"/>
        </w:numPr>
        <w:ind w:left="652" w:hanging="142"/>
      </w:pPr>
      <w:r>
        <w:rPr>
          <w:b w:val="0"/>
          <w:i w:val="0"/>
        </w:rPr>
        <w:t>This makes learning more engaging and future-ready.</w:t>
      </w:r>
    </w:p>
    <w:p>
      <w:pPr>
        <w:pStyle w:val="Heading2"/>
      </w:pPr>
      <w:r>
        <w:t>2. Use of ICT in Smart Classrooms, Labs &amp; Administration</w:t>
      </w:r>
    </w:p>
    <w:p>
      <w:pPr>
        <w:pStyle w:val="ListBullet2"/>
        <w:numPr>
          <w:ilvl w:val="1"/>
          <w:numId w:val="90"/>
        </w:numPr>
        <w:ind w:left="652" w:hanging="142"/>
      </w:pPr>
      <w:r>
        <w:rPr>
          <w:b w:val="0"/>
          <w:i w:val="0"/>
        </w:rPr>
        <w:t>ICT upgrades (smart boards, IoT-enabled labs, ERP for admin/finance) improve efficiency and transparency.</w:t>
      </w:r>
    </w:p>
    <w:p>
      <w:pPr>
        <w:pStyle w:val="ListBullet2"/>
        <w:numPr>
          <w:ilvl w:val="1"/>
          <w:numId w:val="90"/>
        </w:numPr>
        <w:ind w:left="652" w:hanging="142"/>
      </w:pPr>
      <w:r>
        <w:rPr>
          <w:b w:val="0"/>
          <w:i w:val="0"/>
        </w:rPr>
        <w:t>Faculty gain better tools, students experience modern pedagogy, and governance becomes data-driven.</w:t>
      </w:r>
    </w:p>
    <w:p>
      <w:pPr>
        <w:pStyle w:val="Heading2"/>
      </w:pPr>
      <w:r>
        <w:t>3. Big Data, Analytics &amp; Cloud Computing</w:t>
      </w:r>
    </w:p>
    <w:p>
      <w:pPr>
        <w:pStyle w:val="ListBullet2"/>
        <w:numPr>
          <w:ilvl w:val="1"/>
          <w:numId w:val="90"/>
        </w:numPr>
        <w:ind w:left="652" w:hanging="142"/>
      </w:pPr>
      <w:r>
        <w:rPr>
          <w:b w:val="0"/>
          <w:i w:val="0"/>
        </w:rPr>
        <w:t>Analytics track student performance and institutional KPIs.</w:t>
      </w:r>
    </w:p>
    <w:p>
      <w:pPr>
        <w:pStyle w:val="ListBullet2"/>
        <w:numPr>
          <w:ilvl w:val="1"/>
          <w:numId w:val="90"/>
        </w:numPr>
        <w:ind w:left="652" w:hanging="142"/>
      </w:pPr>
      <w:r>
        <w:rPr>
          <w:b w:val="0"/>
          <w:i w:val="0"/>
        </w:rPr>
        <w:t>Cloud systems streamline research data storage and sharing.</w:t>
      </w:r>
    </w:p>
    <w:p>
      <w:pPr>
        <w:pStyle w:val="ListBullet2"/>
        <w:numPr>
          <w:ilvl w:val="1"/>
          <w:numId w:val="90"/>
        </w:numPr>
        <w:ind w:left="652" w:hanging="142"/>
      </w:pPr>
      <w:r>
        <w:rPr>
          <w:b w:val="0"/>
          <w:i w:val="0"/>
        </w:rPr>
        <w:t>AI dashboards shorten decision-making turnaround and improve accuracy.</w:t>
      </w:r>
    </w:p>
    <w:p>
      <w:pPr>
        <w:pStyle w:val="Heading2"/>
      </w:pPr>
      <w:r>
        <w:t>4. EdTech Competition</w:t>
      </w:r>
    </w:p>
    <w:p>
      <w:pPr>
        <w:pStyle w:val="ListBullet2"/>
        <w:numPr>
          <w:ilvl w:val="1"/>
          <w:numId w:val="90"/>
        </w:numPr>
        <w:ind w:left="652" w:hanging="142"/>
      </w:pPr>
      <w:r>
        <w:rPr>
          <w:b w:val="0"/>
          <w:i w:val="0"/>
        </w:rPr>
        <w:t>Platforms like Coursera, Udemy, and Byju’s offer alternatives to HEIs.</w:t>
      </w:r>
    </w:p>
    <w:p>
      <w:pPr>
        <w:pStyle w:val="ListBullet2"/>
        <w:numPr>
          <w:ilvl w:val="1"/>
          <w:numId w:val="90"/>
        </w:numPr>
        <w:ind w:left="652" w:hanging="142"/>
      </w:pPr>
      <w:r>
        <w:rPr>
          <w:b w:val="0"/>
          <w:i w:val="0"/>
        </w:rPr>
        <w:t>To remain competitive, HEIs must collaborate with EdTech or launch their own certification/micro-credential programs.</w:t>
      </w:r>
    </w:p>
    <w:p>
      <w:pPr>
        <w:pStyle w:val="ListBullet2"/>
        <w:numPr>
          <w:ilvl w:val="1"/>
          <w:numId w:val="90"/>
        </w:numPr>
        <w:ind w:left="652" w:hanging="142"/>
      </w:pPr>
      <w:r>
        <w:rPr>
          <w:b w:val="0"/>
          <w:i w:val="0"/>
        </w:rPr>
        <w:t>This builds lifelong learning opportunities and new revenue streams.</w:t>
      </w:r>
    </w:p>
    <w:p>
      <w:pPr>
        <w:pStyle w:val="Heading2"/>
      </w:pPr>
      <w:r>
        <w:t>5. Cybersecurity</w:t>
      </w:r>
    </w:p>
    <w:p>
      <w:pPr>
        <w:pStyle w:val="ListBullet2"/>
        <w:numPr>
          <w:ilvl w:val="1"/>
          <w:numId w:val="90"/>
        </w:numPr>
        <w:ind w:left="652" w:hanging="142"/>
      </w:pPr>
      <w:r>
        <w:rPr>
          <w:b w:val="0"/>
          <w:i w:val="0"/>
        </w:rPr>
        <w:t>With digital transformation comes vulnerability (data breaches, ransomware).</w:t>
      </w:r>
    </w:p>
    <w:p>
      <w:pPr>
        <w:pStyle w:val="ListBullet2"/>
        <w:numPr>
          <w:ilvl w:val="1"/>
          <w:numId w:val="90"/>
        </w:numPr>
        <w:ind w:left="652" w:hanging="142"/>
      </w:pPr>
      <w:r>
        <w:rPr>
          <w:b w:val="0"/>
          <w:i w:val="0"/>
        </w:rPr>
        <w:t>HEIs must adopt cybersecurity frameworks, annual penetration testing, and awareness training.</w:t>
      </w:r>
    </w:p>
    <w:p>
      <w:pPr>
        <w:pStyle w:val="ListBullet2"/>
        <w:numPr>
          <w:ilvl w:val="1"/>
          <w:numId w:val="90"/>
        </w:numPr>
        <w:ind w:left="652" w:hanging="142"/>
      </w:pPr>
      <w:r>
        <w:rPr>
          <w:b w:val="0"/>
          <w:i w:val="0"/>
        </w:rPr>
        <w:t>A strong system ensures trust and compliance with global data protection laws (e.g., GDPR).</w:t>
      </w:r>
    </w:p>
    <w:p>
      <w:pPr>
        <w:pStyle w:val="Heading2"/>
      </w:pPr>
      <w:r>
        <w:t>6. Technology-Driven Curriculum Updates</w:t>
      </w:r>
    </w:p>
    <w:p>
      <w:pPr>
        <w:pStyle w:val="ListBullet2"/>
        <w:numPr>
          <w:ilvl w:val="1"/>
          <w:numId w:val="90"/>
        </w:numPr>
        <w:ind w:left="652" w:hanging="142"/>
      </w:pPr>
      <w:r>
        <w:rPr>
          <w:b w:val="0"/>
          <w:i w:val="0"/>
        </w:rPr>
        <w:t>Industries demand graduates skilled in AI, IOT, blockchain, and sustainability tech.</w:t>
      </w:r>
    </w:p>
    <w:p>
      <w:pPr>
        <w:pStyle w:val="ListBullet2"/>
        <w:numPr>
          <w:ilvl w:val="1"/>
          <w:numId w:val="90"/>
        </w:numPr>
        <w:ind w:left="652" w:hanging="142"/>
      </w:pPr>
      <w:r>
        <w:rPr>
          <w:b w:val="0"/>
          <w:i w:val="0"/>
        </w:rPr>
        <w:t>Embedding these into UG/PG curricula ensures employability and relevance.</w:t>
      </w:r>
    </w:p>
    <w:p>
      <w:pPr>
        <w:pStyle w:val="ListBullet2"/>
        <w:numPr>
          <w:ilvl w:val="1"/>
          <w:numId w:val="90"/>
        </w:numPr>
        <w:ind w:left="652" w:hanging="142"/>
      </w:pPr>
      <w:r>
        <w:rPr>
          <w:b w:val="0"/>
          <w:i w:val="0"/>
        </w:rPr>
        <w:t>Regular reviews (every 3–5 years) keep curricula updated.</w:t>
      </w:r>
    </w:p>
    <w:p>
      <w:pPr>
        <w:pStyle w:val="Heading2"/>
      </w:pPr>
      <w:r>
        <w:t>Why this is critical:</w:t>
      </w:r>
    </w:p>
    <w:p>
      <w:pPr>
        <w:pStyle w:val="ListBullet"/>
        <w:numPr>
          <w:ilvl w:val="0"/>
          <w:numId w:val="90"/>
        </w:numPr>
        <w:ind w:left="340" w:hanging="142"/>
      </w:pPr>
      <w:r>
        <w:rPr>
          <w:b w:val="0"/>
          <w:i w:val="0"/>
        </w:rPr>
        <w:t>Technology is both a driver and disruptor in higher education.</w:t>
      </w:r>
    </w:p>
    <w:p>
      <w:pPr>
        <w:pStyle w:val="ListBullet"/>
        <w:numPr>
          <w:ilvl w:val="0"/>
          <w:numId w:val="90"/>
        </w:numPr>
        <w:ind w:left="340" w:hanging="142"/>
      </w:pPr>
      <w:r>
        <w:rPr>
          <w:b w:val="0"/>
          <w:i w:val="0"/>
        </w:rPr>
        <w:t>Institutions that embrace AI, ICT, EdTech collaboration, and cybersecurity will stay relevant and competitive.</w:t>
      </w:r>
    </w:p>
    <w:p>
      <w:pPr>
        <w:pStyle w:val="ListBullet"/>
        <w:numPr>
          <w:ilvl w:val="0"/>
          <w:numId w:val="90"/>
        </w:numPr>
        <w:ind w:left="340" w:hanging="142"/>
      </w:pPr>
      <w:r>
        <w:rPr>
          <w:b w:val="0"/>
          <w:i w:val="0"/>
        </w:rPr>
        <w:t>Those that fail to adapt risk losing students to EdTech platforms or becoming outdated in skills training.</w:t>
      </w:r>
    </w:p>
    <w:p>
      <w:pPr>
        <w:pStyle w:val="Heading2"/>
      </w:pPr>
      <w:r>
        <w:t>Integrated Strategic Matrix – Technological Factors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984"/>
        <w:gridCol w:w="3061"/>
        <w:gridCol w:w="2211"/>
        <w:gridCol w:w="2154"/>
      </w:tblGrid>
      <w:tr>
        <w:trPr>
          <w:tblHeader/>
          <w:cantSplit/>
        </w:trPr>
        <w:tc>
          <w:tcPr>
            <w:tcW w:type="dxa" w:w="1984"/>
            <w:vAlign w:val="center"/>
            <w:shd w:fill="1F3A5F"/>
          </w:tcPr>
          <w:p>
            <w:pPr>
              <w:keepNext/>
              <w:spacing w:after="40" w:line="276" w:lineRule="auto"/>
              <w:jc w:val="left"/>
            </w:pPr>
            <w:r>
              <w:rPr>
                <w:b/>
                <w:i w:val="0"/>
                <w:color w:val="FFFFFF"/>
              </w:rPr>
              <w:t>Policy Direction</w:t>
            </w:r>
          </w:p>
        </w:tc>
        <w:tc>
          <w:tcPr>
            <w:tcW w:type="dxa" w:w="3061"/>
            <w:vAlign w:val="center"/>
            <w:shd w:fill="1F3A5F"/>
          </w:tcPr>
          <w:p>
            <w:pPr>
              <w:keepNext/>
              <w:spacing w:after="40" w:line="276" w:lineRule="auto"/>
              <w:jc w:val="left"/>
            </w:pPr>
            <w:r>
              <w:rPr>
                <w:b/>
                <w:i w:val="0"/>
                <w:color w:val="FFFFFF"/>
              </w:rPr>
              <w:t>Strategic Actions</w:t>
            </w:r>
          </w:p>
        </w:tc>
        <w:tc>
          <w:tcPr>
            <w:tcW w:type="dxa" w:w="2211"/>
            <w:vAlign w:val="center"/>
            <w:shd w:fill="1F3A5F"/>
          </w:tcPr>
          <w:p>
            <w:pPr>
              <w:keepNext/>
              <w:spacing w:after="40" w:line="276" w:lineRule="auto"/>
              <w:jc w:val="left"/>
            </w:pPr>
            <w:r>
              <w:rPr>
                <w:b/>
                <w:i w:val="0"/>
                <w:color w:val="FFFFFF"/>
              </w:rPr>
              <w:t>Expected Outcomes</w:t>
            </w:r>
          </w:p>
        </w:tc>
        <w:tc>
          <w:tcPr>
            <w:tcW w:type="dxa" w:w="2154"/>
            <w:vAlign w:val="center"/>
            <w:shd w:fill="1F3A5F"/>
          </w:tcPr>
          <w:p>
            <w:pPr>
              <w:keepNext/>
              <w:spacing w:after="40" w:line="276" w:lineRule="auto"/>
              <w:jc w:val="left"/>
            </w:pPr>
            <w:r>
              <w:rPr>
                <w:b/>
                <w:i w:val="0"/>
                <w:color w:val="FFFFFF"/>
              </w:rPr>
              <w:t>KPIs (Indicators)</w:t>
            </w:r>
          </w:p>
        </w:tc>
      </w:tr>
      <w:tr>
        <w:trPr>
          <w:cantSplit/>
        </w:trPr>
        <w:tc>
          <w:tcPr>
            <w:tcW w:type="dxa" w:w="1984"/>
            <w:vAlign w:val="center"/>
            <w:shd w:fill="FFFFFF"/>
          </w:tcPr>
          <w:p>
            <w:pPr>
              <w:spacing w:after="40" w:line="276" w:lineRule="auto"/>
              <w:jc w:val="left"/>
            </w:pPr>
            <w:r>
              <w:rPr>
                <w:b w:val="0"/>
                <w:i w:val="0"/>
              </w:rPr>
              <w:t>Accelerate digital transformation in education</w:t>
            </w:r>
          </w:p>
        </w:tc>
        <w:tc>
          <w:tcPr>
            <w:tcW w:type="dxa" w:w="3061"/>
            <w:vAlign w:val="center"/>
            <w:shd w:fill="FFFFFF"/>
          </w:tcPr>
          <w:p>
            <w:pPr>
              <w:spacing w:after="40" w:line="276" w:lineRule="auto"/>
              <w:ind w:left="125" w:hanging="125"/>
              <w:jc w:val="left"/>
            </w:pPr>
            <w:r>
              <w:t xml:space="preserve">• </w:t>
            </w:r>
            <w:r>
              <w:rPr>
                <w:b w:val="0"/>
                <w:i w:val="0"/>
              </w:rPr>
              <w:t>Deploy AI-enabled LMS &amp; VR/​AR classrooms.</w:t>
            </w:r>
          </w:p>
          <w:p>
            <w:pPr>
              <w:spacing w:after="40" w:line="276" w:lineRule="auto"/>
              <w:ind w:left="125" w:hanging="125"/>
              <w:jc w:val="left"/>
            </w:pPr>
            <w:r>
              <w:t xml:space="preserve">• </w:t>
            </w:r>
            <w:r>
              <w:rPr>
                <w:b w:val="0"/>
                <w:i w:val="0"/>
              </w:rPr>
              <w:t>Integrate MOOCs and hybrid learning.</w:t>
            </w:r>
          </w:p>
          <w:p>
            <w:pPr>
              <w:spacing w:after="40" w:line="276" w:lineRule="auto"/>
              <w:ind w:left="125" w:hanging="125"/>
              <w:jc w:val="left"/>
            </w:pPr>
            <w:r>
              <w:t xml:space="preserve">• </w:t>
            </w:r>
            <w:r>
              <w:rPr>
                <w:b w:val="0"/>
                <w:i w:val="0"/>
              </w:rPr>
              <w:t>Train faculty in digital pedagogy.</w:t>
            </w:r>
          </w:p>
        </w:tc>
        <w:tc>
          <w:tcPr>
            <w:tcW w:type="dxa" w:w="2211"/>
            <w:vAlign w:val="center"/>
            <w:shd w:fill="FFFFFF"/>
          </w:tcPr>
          <w:p>
            <w:pPr>
              <w:spacing w:after="40" w:line="276" w:lineRule="auto"/>
              <w:jc w:val="left"/>
            </w:pPr>
            <w:r>
              <w:rPr>
                <w:b w:val="0"/>
                <w:i w:val="0"/>
              </w:rPr>
              <w:t>Future-ready, tech-empowered learners with flexible learning pathways.</w:t>
            </w:r>
          </w:p>
        </w:tc>
        <w:tc>
          <w:tcPr>
            <w:tcW w:type="dxa" w:w="2154"/>
            <w:vAlign w:val="center"/>
            <w:shd w:fill="FFFFFF"/>
          </w:tcPr>
          <w:p>
            <w:pPr>
              <w:spacing w:after="40" w:line="276" w:lineRule="auto"/>
              <w:ind w:left="125" w:hanging="125"/>
              <w:jc w:val="left"/>
            </w:pPr>
            <w:r>
              <w:t xml:space="preserve">• </w:t>
            </w:r>
            <w:r>
              <w:rPr>
                <w:b w:val="0"/>
                <w:i w:val="0"/>
              </w:rPr>
              <w:t>% courses offered online/​hybrid (≥70%).</w:t>
            </w:r>
          </w:p>
          <w:p>
            <w:pPr>
              <w:spacing w:after="40" w:line="276" w:lineRule="auto"/>
              <w:ind w:left="125" w:hanging="125"/>
              <w:jc w:val="left"/>
            </w:pPr>
            <w:r>
              <w:t xml:space="preserve">• </w:t>
            </w:r>
            <w:r>
              <w:rPr>
                <w:b w:val="0"/>
                <w:i w:val="0"/>
              </w:rPr>
              <w:t>Student satisfaction with digital tools (≥85%).</w:t>
            </w:r>
          </w:p>
          <w:p>
            <w:pPr>
              <w:spacing w:after="40" w:line="276" w:lineRule="auto"/>
              <w:ind w:left="125" w:hanging="125"/>
              <w:jc w:val="left"/>
            </w:pPr>
            <w:r>
              <w:t xml:space="preserve">• </w:t>
            </w:r>
            <w:r>
              <w:rPr>
                <w:b w:val="0"/>
                <w:i w:val="0"/>
              </w:rPr>
              <w:t>% faculty digitally trained (100%).</w:t>
            </w:r>
          </w:p>
        </w:tc>
      </w:tr>
      <w:tr>
        <w:trPr>
          <w:cantSplit/>
        </w:trPr>
        <w:tc>
          <w:tcPr>
            <w:tcW w:type="dxa" w:w="1984"/>
            <w:vAlign w:val="center"/>
            <w:shd w:fill="EDF2F7"/>
          </w:tcPr>
          <w:p>
            <w:pPr>
              <w:spacing w:after="40" w:line="276" w:lineRule="auto"/>
              <w:jc w:val="left"/>
            </w:pPr>
            <w:r>
              <w:rPr>
                <w:b w:val="0"/>
                <w:i w:val="0"/>
              </w:rPr>
              <w:t>Use ICT for smart classrooms, labs, and administration</w:t>
            </w:r>
          </w:p>
        </w:tc>
        <w:tc>
          <w:tcPr>
            <w:tcW w:type="dxa" w:w="3061"/>
            <w:vAlign w:val="center"/>
            <w:shd w:fill="EDF2F7"/>
          </w:tcPr>
          <w:p>
            <w:pPr>
              <w:spacing w:after="40" w:line="276" w:lineRule="auto"/>
              <w:ind w:left="125" w:hanging="125"/>
              <w:jc w:val="left"/>
            </w:pPr>
            <w:r>
              <w:t xml:space="preserve">• </w:t>
            </w:r>
            <w:r>
              <w:rPr>
                <w:b w:val="0"/>
                <w:i w:val="0"/>
              </w:rPr>
              <w:t>Upgrade classrooms with smart boards &amp; IoT sensors.</w:t>
            </w:r>
          </w:p>
          <w:p>
            <w:pPr>
              <w:spacing w:after="40" w:line="276" w:lineRule="auto"/>
              <w:ind w:left="125" w:hanging="125"/>
              <w:jc w:val="left"/>
            </w:pPr>
            <w:r>
              <w:t xml:space="preserve">• </w:t>
            </w:r>
            <w:r>
              <w:rPr>
                <w:b w:val="0"/>
                <w:i w:val="0"/>
              </w:rPr>
              <w:t>Digitize labs for simulation-based learning.</w:t>
            </w:r>
          </w:p>
          <w:p>
            <w:pPr>
              <w:spacing w:after="40" w:line="276" w:lineRule="auto"/>
              <w:ind w:left="125" w:hanging="125"/>
              <w:jc w:val="left"/>
            </w:pPr>
            <w:r>
              <w:t xml:space="preserve">• </w:t>
            </w:r>
            <w:r>
              <w:rPr>
                <w:b w:val="0"/>
                <w:i w:val="0"/>
              </w:rPr>
              <w:t>Implement ERP for admin &amp; finance.</w:t>
            </w:r>
          </w:p>
        </w:tc>
        <w:tc>
          <w:tcPr>
            <w:tcW w:type="dxa" w:w="2211"/>
            <w:vAlign w:val="center"/>
            <w:shd w:fill="EDF2F7"/>
          </w:tcPr>
          <w:p>
            <w:pPr>
              <w:spacing w:after="40" w:line="276" w:lineRule="auto"/>
              <w:jc w:val="left"/>
            </w:pPr>
            <w:r>
              <w:rPr>
                <w:b w:val="0"/>
                <w:i w:val="0"/>
              </w:rPr>
              <w:t>Improved teaching quality, research efficiency, and governance.</w:t>
            </w:r>
          </w:p>
        </w:tc>
        <w:tc>
          <w:tcPr>
            <w:tcW w:type="dxa" w:w="2154"/>
            <w:vAlign w:val="center"/>
            <w:shd w:fill="EDF2F7"/>
          </w:tcPr>
          <w:p>
            <w:pPr>
              <w:spacing w:after="40" w:line="276" w:lineRule="auto"/>
              <w:ind w:left="125" w:hanging="125"/>
              <w:jc w:val="left"/>
            </w:pPr>
            <w:r>
              <w:t xml:space="preserve">• </w:t>
            </w:r>
            <w:r>
              <w:rPr>
                <w:b w:val="0"/>
                <w:i w:val="0"/>
              </w:rPr>
              <w:t>% classrooms ICT-enabled (≥80%)</w:t>
            </w:r>
          </w:p>
          <w:p>
            <w:pPr>
              <w:spacing w:after="40" w:line="276" w:lineRule="auto"/>
              <w:ind w:left="125" w:hanging="125"/>
              <w:jc w:val="left"/>
            </w:pPr>
            <w:r>
              <w:t xml:space="preserve">• </w:t>
            </w:r>
            <w:r>
              <w:rPr>
                <w:b w:val="0"/>
                <w:i w:val="0"/>
              </w:rPr>
              <w:t>% processes digitized (≥80%)</w:t>
            </w:r>
          </w:p>
          <w:p>
            <w:pPr>
              <w:spacing w:after="40" w:line="276" w:lineRule="auto"/>
              <w:ind w:left="125" w:hanging="125"/>
              <w:jc w:val="left"/>
            </w:pPr>
            <w:r>
              <w:t xml:space="preserve">• </w:t>
            </w:r>
            <w:r>
              <w:rPr>
                <w:b w:val="0"/>
                <w:i w:val="0"/>
              </w:rPr>
              <w:t>ERP adoption rate.</w:t>
            </w:r>
          </w:p>
        </w:tc>
      </w:tr>
      <w:tr>
        <w:trPr>
          <w:cantSplit/>
        </w:trPr>
        <w:tc>
          <w:tcPr>
            <w:tcW w:type="dxa" w:w="1984"/>
            <w:vAlign w:val="center"/>
            <w:shd w:fill="FFFFFF"/>
          </w:tcPr>
          <w:p>
            <w:pPr>
              <w:spacing w:after="40" w:line="276" w:lineRule="auto"/>
              <w:jc w:val="left"/>
            </w:pPr>
            <w:r>
              <w:rPr>
                <w:b w:val="0"/>
                <w:i w:val="0"/>
              </w:rPr>
              <w:t>Adopt big data, analytics, and cloud computing</w:t>
            </w:r>
          </w:p>
        </w:tc>
        <w:tc>
          <w:tcPr>
            <w:tcW w:type="dxa" w:w="3061"/>
            <w:vAlign w:val="center"/>
            <w:shd w:fill="FFFFFF"/>
          </w:tcPr>
          <w:p>
            <w:pPr>
              <w:spacing w:after="40" w:line="276" w:lineRule="auto"/>
              <w:ind w:left="125" w:hanging="125"/>
              <w:jc w:val="left"/>
            </w:pPr>
            <w:r>
              <w:t xml:space="preserve">• </w:t>
            </w:r>
            <w:r>
              <w:rPr>
                <w:b w:val="0"/>
                <w:i w:val="0"/>
              </w:rPr>
              <w:t>Use analytics for student performance tracking.</w:t>
            </w:r>
          </w:p>
          <w:p>
            <w:pPr>
              <w:spacing w:after="40" w:line="276" w:lineRule="auto"/>
              <w:ind w:left="125" w:hanging="125"/>
              <w:jc w:val="left"/>
            </w:pPr>
            <w:r>
              <w:t xml:space="preserve">• </w:t>
            </w:r>
            <w:r>
              <w:rPr>
                <w:b w:val="0"/>
                <w:i w:val="0"/>
              </w:rPr>
              <w:t>Implement AI-driven dashboards for governance.</w:t>
            </w:r>
          </w:p>
          <w:p>
            <w:pPr>
              <w:spacing w:after="40" w:line="276" w:lineRule="auto"/>
              <w:ind w:left="125" w:hanging="125"/>
              <w:jc w:val="left"/>
            </w:pPr>
            <w:r>
              <w:t xml:space="preserve">• </w:t>
            </w:r>
            <w:r>
              <w:rPr>
                <w:b w:val="0"/>
                <w:i w:val="0"/>
              </w:rPr>
              <w:t>Shift research data management to cloud platforms.</w:t>
            </w:r>
          </w:p>
        </w:tc>
        <w:tc>
          <w:tcPr>
            <w:tcW w:type="dxa" w:w="2211"/>
            <w:vAlign w:val="center"/>
            <w:shd w:fill="FFFFFF"/>
          </w:tcPr>
          <w:p>
            <w:pPr>
              <w:spacing w:after="40" w:line="276" w:lineRule="auto"/>
              <w:jc w:val="left"/>
            </w:pPr>
            <w:r>
              <w:rPr>
                <w:b w:val="0"/>
                <w:i w:val="0"/>
              </w:rPr>
              <w:t>Data-driven decision-making and efficient resource use.</w:t>
            </w:r>
          </w:p>
        </w:tc>
        <w:tc>
          <w:tcPr>
            <w:tcW w:type="dxa" w:w="2154"/>
            <w:vAlign w:val="center"/>
            <w:shd w:fill="FFFFFF"/>
          </w:tcPr>
          <w:p>
            <w:pPr>
              <w:spacing w:after="40" w:line="276" w:lineRule="auto"/>
              <w:ind w:left="125" w:hanging="125"/>
              <w:jc w:val="left"/>
            </w:pPr>
            <w:r>
              <w:t xml:space="preserve">• </w:t>
            </w:r>
            <w:r>
              <w:rPr>
                <w:b w:val="0"/>
                <w:i w:val="0"/>
              </w:rPr>
              <w:t>No. of AI/​analytics dashboards deployed.</w:t>
            </w:r>
          </w:p>
          <w:p>
            <w:pPr>
              <w:spacing w:after="40" w:line="276" w:lineRule="auto"/>
              <w:ind w:left="125" w:hanging="125"/>
              <w:jc w:val="left"/>
            </w:pPr>
            <w:r>
              <w:t xml:space="preserve">• </w:t>
            </w:r>
            <w:r>
              <w:rPr>
                <w:b w:val="0"/>
                <w:i w:val="0"/>
              </w:rPr>
              <w:t>% institutional data on cloud.</w:t>
            </w:r>
          </w:p>
          <w:p>
            <w:pPr>
              <w:spacing w:after="40" w:line="276" w:lineRule="auto"/>
              <w:ind w:left="125" w:hanging="125"/>
              <w:jc w:val="left"/>
            </w:pPr>
            <w:r>
              <w:t xml:space="preserve">• </w:t>
            </w:r>
            <w:r>
              <w:rPr>
                <w:b w:val="0"/>
                <w:i w:val="0"/>
              </w:rPr>
              <w:t>Decision-making turnaround time (≤2 weeks).</w:t>
            </w:r>
          </w:p>
        </w:tc>
      </w:tr>
      <w:tr>
        <w:trPr>
          <w:cantSplit/>
        </w:trPr>
        <w:tc>
          <w:tcPr>
            <w:tcW w:type="dxa" w:w="1984"/>
            <w:vAlign w:val="center"/>
            <w:shd w:fill="EDF2F7"/>
          </w:tcPr>
          <w:p>
            <w:pPr>
              <w:spacing w:after="40" w:line="276" w:lineRule="auto"/>
              <w:jc w:val="left"/>
            </w:pPr>
            <w:r>
              <w:rPr>
                <w:b w:val="0"/>
                <w:i w:val="0"/>
              </w:rPr>
              <w:t>Respond to EdTech competition</w:t>
            </w:r>
          </w:p>
        </w:tc>
        <w:tc>
          <w:tcPr>
            <w:tcW w:type="dxa" w:w="3061"/>
            <w:vAlign w:val="center"/>
            <w:shd w:fill="EDF2F7"/>
          </w:tcPr>
          <w:p>
            <w:pPr>
              <w:spacing w:after="40" w:line="276" w:lineRule="auto"/>
              <w:ind w:left="125" w:hanging="125"/>
              <w:jc w:val="left"/>
            </w:pPr>
            <w:r>
              <w:t xml:space="preserve">• </w:t>
            </w:r>
            <w:r>
              <w:rPr>
                <w:b w:val="0"/>
                <w:i w:val="0"/>
              </w:rPr>
              <w:t>Collaborate with EdTech platforms.</w:t>
            </w:r>
          </w:p>
          <w:p>
            <w:pPr>
              <w:spacing w:after="40" w:line="276" w:lineRule="auto"/>
              <w:ind w:left="125" w:hanging="125"/>
              <w:jc w:val="left"/>
            </w:pPr>
            <w:r>
              <w:t xml:space="preserve">• </w:t>
            </w:r>
            <w:r>
              <w:rPr>
                <w:b w:val="0"/>
                <w:i w:val="0"/>
              </w:rPr>
              <w:t>Develop university-led online certifications &amp; micro-credentials.</w:t>
            </w:r>
          </w:p>
          <w:p>
            <w:pPr>
              <w:spacing w:after="40" w:line="276" w:lineRule="auto"/>
              <w:ind w:left="125" w:hanging="125"/>
              <w:jc w:val="left"/>
            </w:pPr>
            <w:r>
              <w:t xml:space="preserve">• </w:t>
            </w:r>
            <w:r>
              <w:rPr>
                <w:b w:val="0"/>
                <w:i w:val="0"/>
              </w:rPr>
              <w:t>Launch blended executive programs.</w:t>
            </w:r>
          </w:p>
        </w:tc>
        <w:tc>
          <w:tcPr>
            <w:tcW w:type="dxa" w:w="2211"/>
            <w:vAlign w:val="center"/>
            <w:shd w:fill="EDF2F7"/>
          </w:tcPr>
          <w:p>
            <w:pPr>
              <w:spacing w:after="40" w:line="276" w:lineRule="auto"/>
              <w:jc w:val="left"/>
            </w:pPr>
            <w:r>
              <w:rPr>
                <w:b w:val="0"/>
                <w:i w:val="0"/>
              </w:rPr>
              <w:t>Competitive positioning against global EdTech players.</w:t>
            </w:r>
          </w:p>
        </w:tc>
        <w:tc>
          <w:tcPr>
            <w:tcW w:type="dxa" w:w="2154"/>
            <w:vAlign w:val="center"/>
            <w:shd w:fill="EDF2F7"/>
          </w:tcPr>
          <w:p>
            <w:pPr>
              <w:spacing w:after="40" w:line="276" w:lineRule="auto"/>
              <w:ind w:left="125" w:hanging="125"/>
              <w:jc w:val="left"/>
            </w:pPr>
            <w:r>
              <w:t xml:space="preserve">• </w:t>
            </w:r>
            <w:r>
              <w:rPr>
                <w:b w:val="0"/>
                <w:i w:val="0"/>
              </w:rPr>
              <w:t>No. of online certifications offered.</w:t>
            </w:r>
          </w:p>
          <w:p>
            <w:pPr>
              <w:spacing w:after="40" w:line="276" w:lineRule="auto"/>
              <w:ind w:left="125" w:hanging="125"/>
              <w:jc w:val="left"/>
            </w:pPr>
            <w:r>
              <w:t xml:space="preserve">• </w:t>
            </w:r>
            <w:r>
              <w:rPr>
                <w:b w:val="0"/>
                <w:i w:val="0"/>
              </w:rPr>
              <w:t>Enrollment in lifelong learning programs.</w:t>
            </w:r>
          </w:p>
          <w:p>
            <w:pPr>
              <w:spacing w:after="40" w:line="276" w:lineRule="auto"/>
              <w:ind w:left="125" w:hanging="125"/>
              <w:jc w:val="left"/>
            </w:pPr>
            <w:r>
              <w:t xml:space="preserve">• </w:t>
            </w:r>
            <w:r>
              <w:rPr>
                <w:b w:val="0"/>
                <w:i w:val="0"/>
              </w:rPr>
              <w:t>Market share of EdTech collaborations.</w:t>
            </w:r>
          </w:p>
        </w:tc>
      </w:tr>
      <w:tr>
        <w:trPr>
          <w:cantSplit/>
        </w:trPr>
        <w:tc>
          <w:tcPr>
            <w:tcW w:type="dxa" w:w="1984"/>
            <w:vAlign w:val="center"/>
            <w:shd w:fill="FFFFFF"/>
          </w:tcPr>
          <w:p>
            <w:pPr>
              <w:spacing w:after="40" w:line="276" w:lineRule="auto"/>
              <w:jc w:val="left"/>
            </w:pPr>
            <w:r>
              <w:rPr>
                <w:b w:val="0"/>
                <w:i w:val="0"/>
              </w:rPr>
              <w:t>Strengthen cybersecurity systems</w:t>
            </w:r>
          </w:p>
        </w:tc>
        <w:tc>
          <w:tcPr>
            <w:tcW w:type="dxa" w:w="3061"/>
            <w:vAlign w:val="center"/>
            <w:shd w:fill="FFFFFF"/>
          </w:tcPr>
          <w:p>
            <w:pPr>
              <w:spacing w:after="40" w:line="276" w:lineRule="auto"/>
              <w:ind w:left="125" w:hanging="125"/>
              <w:jc w:val="left"/>
            </w:pPr>
            <w:r>
              <w:t xml:space="preserve">• </w:t>
            </w:r>
            <w:r>
              <w:rPr>
                <w:b w:val="0"/>
                <w:i w:val="0"/>
              </w:rPr>
              <w:t>Establish cybersecurity policies &amp; data protection compliance.</w:t>
            </w:r>
          </w:p>
          <w:p>
            <w:pPr>
              <w:spacing w:after="40" w:line="276" w:lineRule="auto"/>
              <w:ind w:left="125" w:hanging="125"/>
              <w:jc w:val="left"/>
            </w:pPr>
            <w:r>
              <w:t xml:space="preserve">• </w:t>
            </w:r>
            <w:r>
              <w:rPr>
                <w:b w:val="0"/>
                <w:i w:val="0"/>
              </w:rPr>
              <w:t>Conduct annual penetration testing.</w:t>
            </w:r>
          </w:p>
          <w:p>
            <w:pPr>
              <w:spacing w:after="40" w:line="276" w:lineRule="auto"/>
              <w:ind w:left="125" w:hanging="125"/>
              <w:jc w:val="left"/>
            </w:pPr>
            <w:r>
              <w:t xml:space="preserve">• </w:t>
            </w:r>
            <w:r>
              <w:rPr>
                <w:b w:val="0"/>
                <w:i w:val="0"/>
              </w:rPr>
              <w:t>Train staff &amp; students in cyber awareness.</w:t>
            </w:r>
          </w:p>
        </w:tc>
        <w:tc>
          <w:tcPr>
            <w:tcW w:type="dxa" w:w="2211"/>
            <w:vAlign w:val="center"/>
            <w:shd w:fill="FFFFFF"/>
          </w:tcPr>
          <w:p>
            <w:pPr>
              <w:spacing w:after="40" w:line="276" w:lineRule="auto"/>
              <w:jc w:val="left"/>
            </w:pPr>
            <w:r>
              <w:rPr>
                <w:b w:val="0"/>
                <w:i w:val="0"/>
              </w:rPr>
              <w:t>Secured digital infrastructure and compliance with global standards.</w:t>
            </w:r>
          </w:p>
        </w:tc>
        <w:tc>
          <w:tcPr>
            <w:tcW w:type="dxa" w:w="2154"/>
            <w:vAlign w:val="center"/>
            <w:shd w:fill="FFFFFF"/>
          </w:tcPr>
          <w:p>
            <w:pPr>
              <w:spacing w:after="40" w:line="276" w:lineRule="auto"/>
              <w:ind w:left="125" w:hanging="125"/>
              <w:jc w:val="left"/>
            </w:pPr>
            <w:r>
              <w:t xml:space="preserve">• </w:t>
            </w:r>
            <w:r>
              <w:rPr>
                <w:b/>
                <w:i w:val="0"/>
              </w:rPr>
              <w:t>No. of cybersecurity breaches (target:</w:t>
            </w:r>
            <w:r>
              <w:rPr>
                <w:b w:val="0"/>
                <w:i w:val="0"/>
              </w:rPr>
              <w:t xml:space="preserve"> 0).</w:t>
            </w:r>
          </w:p>
          <w:p>
            <w:pPr>
              <w:spacing w:after="40" w:line="276" w:lineRule="auto"/>
              <w:ind w:left="125" w:hanging="125"/>
              <w:jc w:val="left"/>
            </w:pPr>
            <w:r>
              <w:t xml:space="preserve">• </w:t>
            </w:r>
            <w:r>
              <w:rPr>
                <w:b w:val="0"/>
                <w:i w:val="0"/>
              </w:rPr>
              <w:t>% compliance with data protection laws.</w:t>
            </w:r>
          </w:p>
          <w:p>
            <w:pPr>
              <w:spacing w:after="40" w:line="276" w:lineRule="auto"/>
              <w:ind w:left="125" w:hanging="125"/>
              <w:jc w:val="left"/>
            </w:pPr>
            <w:r>
              <w:t xml:space="preserve">• </w:t>
            </w:r>
            <w:r>
              <w:rPr>
                <w:b w:val="0"/>
                <w:i w:val="0"/>
              </w:rPr>
              <w:t>No. of cyber-awareness workshops/​year.</w:t>
            </w:r>
          </w:p>
        </w:tc>
      </w:tr>
      <w:tr>
        <w:trPr>
          <w:cantSplit/>
        </w:trPr>
        <w:tc>
          <w:tcPr>
            <w:tcW w:type="dxa" w:w="1984"/>
            <w:vAlign w:val="center"/>
            <w:shd w:fill="EDF2F7"/>
          </w:tcPr>
          <w:p>
            <w:pPr>
              <w:spacing w:after="40" w:line="276" w:lineRule="auto"/>
              <w:jc w:val="left"/>
            </w:pPr>
            <w:r>
              <w:rPr>
                <w:b w:val="0"/>
                <w:i w:val="0"/>
              </w:rPr>
              <w:t>Embed technology into curriculum</w:t>
            </w:r>
          </w:p>
        </w:tc>
        <w:tc>
          <w:tcPr>
            <w:tcW w:type="dxa" w:w="3061"/>
            <w:vAlign w:val="center"/>
            <w:shd w:fill="EDF2F7"/>
          </w:tcPr>
          <w:p>
            <w:pPr>
              <w:spacing w:after="40" w:line="276" w:lineRule="auto"/>
              <w:ind w:left="125" w:hanging="125"/>
              <w:jc w:val="left"/>
            </w:pPr>
            <w:r>
              <w:t xml:space="preserve">• </w:t>
            </w:r>
            <w:r>
              <w:rPr>
                <w:b w:val="0"/>
                <w:i w:val="0"/>
              </w:rPr>
              <w:t>Update UG/​PG curricula with AI, IOT, sustainability tech.</w:t>
            </w:r>
          </w:p>
          <w:p>
            <w:pPr>
              <w:spacing w:after="40" w:line="276" w:lineRule="auto"/>
              <w:ind w:left="125" w:hanging="125"/>
              <w:jc w:val="left"/>
            </w:pPr>
            <w:r>
              <w:t xml:space="preserve">• </w:t>
            </w:r>
            <w:r>
              <w:rPr>
                <w:b w:val="0"/>
                <w:i w:val="0"/>
              </w:rPr>
              <w:t>Launch interdisciplinary tech-driven programs.</w:t>
            </w:r>
          </w:p>
          <w:p>
            <w:pPr>
              <w:spacing w:after="40" w:line="276" w:lineRule="auto"/>
              <w:ind w:left="125" w:hanging="125"/>
              <w:jc w:val="left"/>
            </w:pPr>
            <w:r>
              <w:t xml:space="preserve">• </w:t>
            </w:r>
            <w:r>
              <w:rPr>
                <w:b w:val="0"/>
                <w:i w:val="0"/>
              </w:rPr>
              <w:t>Partner with industry for content co-design.</w:t>
            </w:r>
          </w:p>
        </w:tc>
        <w:tc>
          <w:tcPr>
            <w:tcW w:type="dxa" w:w="2211"/>
            <w:vAlign w:val="center"/>
            <w:shd w:fill="EDF2F7"/>
          </w:tcPr>
          <w:p>
            <w:pPr>
              <w:spacing w:after="40" w:line="276" w:lineRule="auto"/>
              <w:jc w:val="left"/>
            </w:pPr>
            <w:r>
              <w:rPr>
                <w:b w:val="0"/>
                <w:i w:val="0"/>
              </w:rPr>
              <w:t>Students graduate with future-ready, industry-relevant skills.</w:t>
            </w:r>
          </w:p>
        </w:tc>
        <w:tc>
          <w:tcPr>
            <w:tcW w:type="dxa" w:w="2154"/>
            <w:vAlign w:val="center"/>
            <w:shd w:fill="EDF2F7"/>
          </w:tcPr>
          <w:p>
            <w:pPr>
              <w:spacing w:after="40" w:line="276" w:lineRule="auto"/>
              <w:ind w:left="125" w:hanging="125"/>
              <w:jc w:val="left"/>
            </w:pPr>
            <w:r>
              <w:t xml:space="preserve">• </w:t>
            </w:r>
            <w:r>
              <w:rPr>
                <w:b w:val="0"/>
                <w:i w:val="0"/>
              </w:rPr>
              <w:t>No. of tech-driven programs launched.</w:t>
            </w:r>
          </w:p>
          <w:p>
            <w:pPr>
              <w:spacing w:after="40" w:line="276" w:lineRule="auto"/>
              <w:ind w:left="125" w:hanging="125"/>
              <w:jc w:val="left"/>
            </w:pPr>
            <w:r>
              <w:t xml:space="preserve">• </w:t>
            </w:r>
            <w:r>
              <w:rPr>
                <w:b w:val="0"/>
                <w:i w:val="0"/>
              </w:rPr>
              <w:t>Graduate employability rate (≥90%).</w:t>
            </w:r>
          </w:p>
          <w:p>
            <w:pPr>
              <w:spacing w:after="40" w:line="276" w:lineRule="auto"/>
              <w:ind w:left="125" w:hanging="125"/>
              <w:jc w:val="left"/>
            </w:pPr>
            <w:r>
              <w:t xml:space="preserve">• </w:t>
            </w:r>
            <w:r>
              <w:rPr>
                <w:b w:val="0"/>
                <w:i w:val="0"/>
              </w:rPr>
              <w:t>% curricula updated every 3–5 years.</w:t>
            </w:r>
          </w:p>
        </w:tc>
      </w:tr>
    </w:tbl>
    <w:p>
      <w:pPr>
        <w:spacing w:after="40"/>
      </w:pPr>
    </w:p>
    <w:p>
      <w:pPr>
        <w:pStyle w:val="Heading2"/>
      </w:pPr>
      <w:r>
        <w:t>Legal Factors in Strategic Planning</w:t>
      </w:r>
    </w:p>
    <w:p>
      <w:pPr>
        <w:pStyle w:val="Heading2"/>
      </w:pPr>
      <w:r>
        <w:t>1. Accreditation &amp; Regulatory Compliance (UGC, AICTE, NAAC, NBA, etc.)</w:t>
      </w:r>
    </w:p>
    <w:p>
      <w:pPr>
        <w:pStyle w:val="ListBullet2"/>
        <w:numPr>
          <w:ilvl w:val="1"/>
          <w:numId w:val="90"/>
        </w:numPr>
        <w:ind w:left="652" w:hanging="142"/>
      </w:pPr>
      <w:r>
        <w:rPr>
          <w:b w:val="0"/>
          <w:i w:val="0"/>
        </w:rPr>
        <w:t>Every HEI must comply with national and international education authorities.</w:t>
      </w:r>
    </w:p>
    <w:p>
      <w:pPr>
        <w:pStyle w:val="ListBullet2"/>
        <w:numPr>
          <w:ilvl w:val="1"/>
          <w:numId w:val="90"/>
        </w:numPr>
        <w:ind w:left="652" w:hanging="142"/>
      </w:pPr>
      <w:r>
        <w:rPr>
          <w:b w:val="0"/>
          <w:i w:val="0"/>
        </w:rPr>
        <w:t>Non-compliance risks penalties, loss of credibility, or rejection in rankings.</w:t>
      </w:r>
    </w:p>
    <w:p>
      <w:pPr>
        <w:pStyle w:val="ListBullet2"/>
        <w:numPr>
          <w:ilvl w:val="1"/>
          <w:numId w:val="90"/>
        </w:numPr>
        <w:ind w:left="652" w:hanging="142"/>
      </w:pPr>
      <w:r>
        <w:rPr>
          <w:b w:val="0"/>
          <w:i w:val="0"/>
        </w:rPr>
        <w:t>Creating a compliance monitoring cell under IQAC ensures continuous readiness for NAAC/NBA/NIRF/QS audits.</w:t>
      </w:r>
    </w:p>
    <w:p>
      <w:pPr>
        <w:pStyle w:val="Heading2"/>
      </w:pPr>
      <w:r>
        <w:t>2. Intellectual Property Rights (IPR)</w:t>
      </w:r>
    </w:p>
    <w:p>
      <w:pPr>
        <w:pStyle w:val="ListBullet2"/>
        <w:numPr>
          <w:ilvl w:val="1"/>
          <w:numId w:val="90"/>
        </w:numPr>
        <w:ind w:left="652" w:hanging="142"/>
      </w:pPr>
      <w:r>
        <w:rPr>
          <w:b w:val="0"/>
          <w:i w:val="0"/>
        </w:rPr>
        <w:t>Research outputs (papers, prototypes, patents) need legal protection.</w:t>
      </w:r>
    </w:p>
    <w:p>
      <w:pPr>
        <w:pStyle w:val="ListBullet2"/>
        <w:numPr>
          <w:ilvl w:val="1"/>
          <w:numId w:val="90"/>
        </w:numPr>
        <w:ind w:left="652" w:hanging="142"/>
      </w:pPr>
      <w:r>
        <w:rPr>
          <w:b w:val="0"/>
          <w:i w:val="0"/>
        </w:rPr>
        <w:t>Without IPR policies, institutions lose revenue and recognition.</w:t>
      </w:r>
    </w:p>
    <w:p>
      <w:pPr>
        <w:pStyle w:val="ListBullet2"/>
        <w:numPr>
          <w:ilvl w:val="1"/>
          <w:numId w:val="90"/>
        </w:numPr>
        <w:ind w:left="652" w:hanging="142"/>
      </w:pPr>
      <w:r>
        <w:rPr>
          <w:b w:val="0"/>
          <w:i w:val="0"/>
        </w:rPr>
        <w:t>Setting up an IPR Cell, incubation centers, and patent support systems boosts innovation and commercialization.</w:t>
      </w:r>
    </w:p>
    <w:p>
      <w:pPr>
        <w:pStyle w:val="Heading2"/>
      </w:pPr>
      <w:r>
        <w:t>3. Data Protection &amp; Privacy Laws (GDPR, IT Act, etc.)</w:t>
      </w:r>
    </w:p>
    <w:p>
      <w:pPr>
        <w:pStyle w:val="ListBullet2"/>
        <w:numPr>
          <w:ilvl w:val="1"/>
          <w:numId w:val="90"/>
        </w:numPr>
        <w:ind w:left="652" w:hanging="142"/>
      </w:pPr>
      <w:r>
        <w:rPr>
          <w:b w:val="0"/>
          <w:i w:val="0"/>
        </w:rPr>
        <w:t>With digitalization, HEIs handle massive student, faculty, and research data.</w:t>
      </w:r>
    </w:p>
    <w:p>
      <w:pPr>
        <w:pStyle w:val="ListBullet2"/>
        <w:numPr>
          <w:ilvl w:val="1"/>
          <w:numId w:val="90"/>
        </w:numPr>
        <w:ind w:left="652" w:hanging="142"/>
      </w:pPr>
      <w:r>
        <w:rPr>
          <w:b w:val="0"/>
          <w:i w:val="0"/>
        </w:rPr>
        <w:t>Compliance with global data privacy norms (GDPR, IT Act) protects reputation and avoids lawsuits.</w:t>
      </w:r>
    </w:p>
    <w:p>
      <w:pPr>
        <w:pStyle w:val="ListBullet2"/>
        <w:numPr>
          <w:ilvl w:val="1"/>
          <w:numId w:val="90"/>
        </w:numPr>
        <w:ind w:left="652" w:hanging="142"/>
      </w:pPr>
      <w:r>
        <w:rPr>
          <w:b w:val="0"/>
          <w:i w:val="0"/>
        </w:rPr>
        <w:t>Training staff and adopting cybersecurity policies ensure zero breaches.</w:t>
      </w:r>
    </w:p>
    <w:p>
      <w:pPr>
        <w:pStyle w:val="Heading2"/>
      </w:pPr>
      <w:r>
        <w:t>4. Labour Laws (Faculty &amp; Staff)</w:t>
      </w:r>
    </w:p>
    <w:p>
      <w:pPr>
        <w:pStyle w:val="ListBullet2"/>
        <w:numPr>
          <w:ilvl w:val="1"/>
          <w:numId w:val="90"/>
        </w:numPr>
        <w:ind w:left="652" w:hanging="142"/>
      </w:pPr>
      <w:r>
        <w:rPr>
          <w:b w:val="0"/>
          <w:i w:val="0"/>
        </w:rPr>
        <w:t>Faculty contracts, wages, work hours, and benefits are governed by labour laws.</w:t>
      </w:r>
    </w:p>
    <w:p>
      <w:pPr>
        <w:pStyle w:val="ListBullet2"/>
        <w:numPr>
          <w:ilvl w:val="1"/>
          <w:numId w:val="90"/>
        </w:numPr>
        <w:ind w:left="652" w:hanging="142"/>
      </w:pPr>
      <w:r>
        <w:rPr>
          <w:b w:val="0"/>
          <w:i w:val="0"/>
        </w:rPr>
        <w:t>Non-compliance risks legal disputes, low morale, and staff turnover.</w:t>
      </w:r>
    </w:p>
    <w:p>
      <w:pPr>
        <w:pStyle w:val="ListBullet2"/>
        <w:numPr>
          <w:ilvl w:val="1"/>
          <w:numId w:val="90"/>
        </w:numPr>
        <w:ind w:left="652" w:hanging="142"/>
      </w:pPr>
      <w:r>
        <w:rPr>
          <w:b w:val="0"/>
          <w:i w:val="0"/>
        </w:rPr>
        <w:t>Transparent HR policies and grievance redressal build trust and retention.</w:t>
      </w:r>
    </w:p>
    <w:p>
      <w:pPr>
        <w:pStyle w:val="Heading2"/>
      </w:pPr>
      <w:r>
        <w:t>5. Foreign Education Regulations (for International Collaborations)</w:t>
      </w:r>
    </w:p>
    <w:p>
      <w:pPr>
        <w:pStyle w:val="ListBullet2"/>
        <w:numPr>
          <w:ilvl w:val="1"/>
          <w:numId w:val="90"/>
        </w:numPr>
        <w:ind w:left="652" w:hanging="142"/>
      </w:pPr>
      <w:r>
        <w:rPr>
          <w:b w:val="0"/>
          <w:i w:val="0"/>
        </w:rPr>
        <w:t>Collaborations with foreign universities must respect host-country education laws.</w:t>
      </w:r>
    </w:p>
    <w:p>
      <w:pPr>
        <w:pStyle w:val="ListBullet2"/>
        <w:numPr>
          <w:ilvl w:val="1"/>
          <w:numId w:val="90"/>
        </w:numPr>
        <w:ind w:left="652" w:hanging="142"/>
      </w:pPr>
      <w:r>
        <w:rPr>
          <w:b w:val="0"/>
          <w:i w:val="0"/>
        </w:rPr>
        <w:t>Due diligence ensures smooth MoUs, joint research, and exchanges without legal risks.</w:t>
      </w:r>
    </w:p>
    <w:p>
      <w:pPr>
        <w:pStyle w:val="ListBullet2"/>
        <w:numPr>
          <w:ilvl w:val="1"/>
          <w:numId w:val="90"/>
        </w:numPr>
        <w:ind w:left="652" w:hanging="142"/>
      </w:pPr>
      <w:r>
        <w:rPr>
          <w:b w:val="0"/>
          <w:i w:val="0"/>
        </w:rPr>
        <w:t>An International Collaboration Cell reduces compliance failures.</w:t>
      </w:r>
    </w:p>
    <w:p>
      <w:pPr>
        <w:pStyle w:val="Heading2"/>
      </w:pPr>
      <w:r>
        <w:t>6. Environmental Compliance Laws</w:t>
      </w:r>
    </w:p>
    <w:p>
      <w:pPr>
        <w:pStyle w:val="ListBullet2"/>
        <w:numPr>
          <w:ilvl w:val="1"/>
          <w:numId w:val="90"/>
        </w:numPr>
        <w:ind w:left="652" w:hanging="142"/>
      </w:pPr>
      <w:r>
        <w:rPr>
          <w:b/>
          <w:i w:val="0"/>
        </w:rPr>
        <w:t>HEIs are subject to green campus regulations:</w:t>
      </w:r>
      <w:r>
        <w:rPr>
          <w:b w:val="0"/>
          <w:i w:val="0"/>
        </w:rPr>
        <w:t xml:space="preserve"> waste management, energy audits, and sustainable infrastructure.</w:t>
      </w:r>
    </w:p>
    <w:p>
      <w:pPr>
        <w:pStyle w:val="ListBullet2"/>
        <w:numPr>
          <w:ilvl w:val="1"/>
          <w:numId w:val="90"/>
        </w:numPr>
        <w:ind w:left="652" w:hanging="142"/>
      </w:pPr>
      <w:r>
        <w:rPr>
          <w:b w:val="0"/>
          <w:i w:val="0"/>
        </w:rPr>
        <w:t>Failure to comply risks fines, public criticism, and lower rankings.</w:t>
      </w:r>
    </w:p>
    <w:p>
      <w:pPr>
        <w:pStyle w:val="ListBullet2"/>
        <w:numPr>
          <w:ilvl w:val="1"/>
          <w:numId w:val="90"/>
        </w:numPr>
        <w:ind w:left="652" w:hanging="142"/>
      </w:pPr>
      <w:r>
        <w:rPr>
          <w:b w:val="0"/>
          <w:i w:val="0"/>
        </w:rPr>
        <w:t>Annual green audits and compliance cells ensure zero violations.</w:t>
      </w:r>
    </w:p>
    <w:p>
      <w:pPr>
        <w:pStyle w:val="Heading2"/>
      </w:pPr>
      <w:r>
        <w:t>Why this is important:</w:t>
      </w:r>
    </w:p>
    <w:p>
      <w:pPr>
        <w:pStyle w:val="ListBullet"/>
        <w:numPr>
          <w:ilvl w:val="0"/>
          <w:numId w:val="90"/>
        </w:numPr>
        <w:ind w:left="340" w:hanging="142"/>
      </w:pPr>
      <w:r>
        <w:rPr>
          <w:b w:val="0"/>
          <w:i w:val="0"/>
        </w:rPr>
        <w:t>Legal compliance protects an HEI from penalties, lawsuits, and reputational loss.</w:t>
      </w:r>
    </w:p>
    <w:p>
      <w:pPr>
        <w:pStyle w:val="ListBullet"/>
        <w:numPr>
          <w:ilvl w:val="0"/>
          <w:numId w:val="90"/>
        </w:numPr>
        <w:ind w:left="340" w:hanging="142"/>
      </w:pPr>
      <w:r>
        <w:rPr>
          <w:b w:val="0"/>
          <w:i w:val="0"/>
        </w:rPr>
        <w:t>It builds institutional credibility for students, faculty, industry partners, and regulators.</w:t>
      </w:r>
    </w:p>
    <w:p>
      <w:pPr>
        <w:pStyle w:val="ListBullet"/>
        <w:numPr>
          <w:ilvl w:val="0"/>
          <w:numId w:val="90"/>
        </w:numPr>
        <w:ind w:left="340" w:hanging="142"/>
      </w:pPr>
      <w:r>
        <w:rPr>
          <w:b/>
          <w:i w:val="0"/>
        </w:rPr>
        <w:t>It aligns with NEP 2020’s call for transparency and global competitiveness, and supports SDGs like:</w:t>
      </w:r>
    </w:p>
    <w:p>
      <w:pPr>
        <w:pStyle w:val="ListBullet2"/>
        <w:numPr>
          <w:ilvl w:val="1"/>
          <w:numId w:val="90"/>
        </w:numPr>
        <w:ind w:left="652" w:hanging="142"/>
      </w:pPr>
      <w:r>
        <w:rPr>
          <w:b w:val="0"/>
          <w:i w:val="0"/>
        </w:rPr>
        <w:t>SDG-4 (Quality Education)</w:t>
      </w:r>
    </w:p>
    <w:p>
      <w:pPr>
        <w:pStyle w:val="ListBullet2"/>
        <w:numPr>
          <w:ilvl w:val="1"/>
          <w:numId w:val="90"/>
        </w:numPr>
        <w:ind w:left="652" w:hanging="142"/>
      </w:pPr>
      <w:r>
        <w:rPr>
          <w:b w:val="0"/>
          <w:i w:val="0"/>
        </w:rPr>
        <w:t>SDG-9 (Innovation &amp; Infrastructure)</w:t>
      </w:r>
    </w:p>
    <w:p>
      <w:pPr>
        <w:pStyle w:val="ListBullet2"/>
        <w:numPr>
          <w:ilvl w:val="1"/>
          <w:numId w:val="90"/>
        </w:numPr>
        <w:ind w:left="652" w:hanging="142"/>
      </w:pPr>
      <w:r>
        <w:rPr>
          <w:b w:val="0"/>
          <w:i w:val="0"/>
        </w:rPr>
        <w:t>SDG-16 (Strong Institutions)</w:t>
      </w:r>
    </w:p>
    <w:p>
      <w:pPr>
        <w:pStyle w:val="ListBullet2"/>
        <w:numPr>
          <w:ilvl w:val="1"/>
          <w:numId w:val="90"/>
        </w:numPr>
        <w:ind w:left="652" w:hanging="142"/>
      </w:pPr>
      <w:r>
        <w:rPr>
          <w:b w:val="0"/>
          <w:i w:val="0"/>
        </w:rPr>
        <w:t>SDG-13 (Climate Action) for environmental laws</w:t>
      </w:r>
    </w:p>
    <w:p>
      <w:pPr>
        <w:pStyle w:val="Heading2"/>
      </w:pPr>
      <w:r>
        <w:t>Integrated Strategic Matrix – Legal Factors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984"/>
        <w:gridCol w:w="3061"/>
        <w:gridCol w:w="2211"/>
        <w:gridCol w:w="2154"/>
      </w:tblGrid>
      <w:tr>
        <w:trPr>
          <w:tblHeader/>
          <w:cantSplit/>
        </w:trPr>
        <w:tc>
          <w:tcPr>
            <w:tcW w:type="dxa" w:w="1984"/>
            <w:vAlign w:val="center"/>
            <w:shd w:fill="1F3A5F"/>
          </w:tcPr>
          <w:p>
            <w:pPr>
              <w:keepNext/>
              <w:spacing w:after="40" w:line="276" w:lineRule="auto"/>
              <w:jc w:val="left"/>
            </w:pPr>
            <w:r>
              <w:rPr>
                <w:b/>
                <w:i w:val="0"/>
                <w:color w:val="FFFFFF"/>
              </w:rPr>
              <w:t>Policy Direction</w:t>
            </w:r>
          </w:p>
        </w:tc>
        <w:tc>
          <w:tcPr>
            <w:tcW w:type="dxa" w:w="3061"/>
            <w:vAlign w:val="center"/>
            <w:shd w:fill="1F3A5F"/>
          </w:tcPr>
          <w:p>
            <w:pPr>
              <w:keepNext/>
              <w:spacing w:after="40" w:line="276" w:lineRule="auto"/>
              <w:jc w:val="left"/>
            </w:pPr>
            <w:r>
              <w:rPr>
                <w:b/>
                <w:i w:val="0"/>
                <w:color w:val="FFFFFF"/>
              </w:rPr>
              <w:t>Strategic Actions</w:t>
            </w:r>
          </w:p>
        </w:tc>
        <w:tc>
          <w:tcPr>
            <w:tcW w:type="dxa" w:w="2211"/>
            <w:vAlign w:val="center"/>
            <w:shd w:fill="1F3A5F"/>
          </w:tcPr>
          <w:p>
            <w:pPr>
              <w:keepNext/>
              <w:spacing w:after="40" w:line="276" w:lineRule="auto"/>
              <w:jc w:val="left"/>
            </w:pPr>
            <w:r>
              <w:rPr>
                <w:b/>
                <w:i w:val="0"/>
                <w:color w:val="FFFFFF"/>
              </w:rPr>
              <w:t>Expected Outcomes</w:t>
            </w:r>
          </w:p>
        </w:tc>
        <w:tc>
          <w:tcPr>
            <w:tcW w:type="dxa" w:w="2154"/>
            <w:vAlign w:val="center"/>
            <w:shd w:fill="1F3A5F"/>
          </w:tcPr>
          <w:p>
            <w:pPr>
              <w:keepNext/>
              <w:spacing w:after="40" w:line="276" w:lineRule="auto"/>
              <w:jc w:val="left"/>
            </w:pPr>
            <w:r>
              <w:rPr>
                <w:b/>
                <w:i w:val="0"/>
                <w:color w:val="FFFFFF"/>
              </w:rPr>
              <w:t>KPIs (Indicators)</w:t>
            </w:r>
          </w:p>
        </w:tc>
      </w:tr>
      <w:tr>
        <w:trPr>
          <w:cantSplit/>
        </w:trPr>
        <w:tc>
          <w:tcPr>
            <w:tcW w:type="dxa" w:w="1984"/>
            <w:vAlign w:val="center"/>
            <w:shd w:fill="FFFFFF"/>
          </w:tcPr>
          <w:p>
            <w:pPr>
              <w:spacing w:after="40" w:line="276" w:lineRule="auto"/>
              <w:jc w:val="left"/>
            </w:pPr>
            <w:r>
              <w:rPr>
                <w:b w:val="0"/>
                <w:i w:val="0"/>
              </w:rPr>
              <w:t>Ensure compliance with accreditation &amp; regulatory frameworks (UGC, AICTE, NAAC, NBA, etc.)</w:t>
            </w:r>
          </w:p>
        </w:tc>
        <w:tc>
          <w:tcPr>
            <w:tcW w:type="dxa" w:w="3061"/>
            <w:vAlign w:val="center"/>
            <w:shd w:fill="FFFFFF"/>
          </w:tcPr>
          <w:p>
            <w:pPr>
              <w:spacing w:after="40" w:line="276" w:lineRule="auto"/>
              <w:ind w:left="125" w:hanging="125"/>
              <w:jc w:val="left"/>
            </w:pPr>
            <w:r>
              <w:t xml:space="preserve">• </w:t>
            </w:r>
            <w:r>
              <w:rPr>
                <w:b w:val="0"/>
                <w:i w:val="0"/>
              </w:rPr>
              <w:t>Establish a compliance monitoring cell under IQAC.</w:t>
            </w:r>
          </w:p>
          <w:p>
            <w:pPr>
              <w:spacing w:after="40" w:line="276" w:lineRule="auto"/>
              <w:ind w:left="125" w:hanging="125"/>
              <w:jc w:val="left"/>
            </w:pPr>
            <w:r>
              <w:t xml:space="preserve">• </w:t>
            </w:r>
            <w:r>
              <w:rPr>
                <w:b w:val="0"/>
                <w:i w:val="0"/>
              </w:rPr>
              <w:t>Conduct mock audits &amp; self-studies.</w:t>
            </w:r>
          </w:p>
          <w:p>
            <w:pPr>
              <w:spacing w:after="40" w:line="276" w:lineRule="auto"/>
              <w:ind w:left="125" w:hanging="125"/>
              <w:jc w:val="left"/>
            </w:pPr>
            <w:r>
              <w:t xml:space="preserve">• </w:t>
            </w:r>
            <w:r>
              <w:rPr>
                <w:b w:val="0"/>
                <w:i w:val="0"/>
              </w:rPr>
              <w:t>Align policies with regulatory requirements.</w:t>
            </w:r>
          </w:p>
        </w:tc>
        <w:tc>
          <w:tcPr>
            <w:tcW w:type="dxa" w:w="2211"/>
            <w:vAlign w:val="center"/>
            <w:shd w:fill="FFFFFF"/>
          </w:tcPr>
          <w:p>
            <w:pPr>
              <w:spacing w:after="40" w:line="276" w:lineRule="auto"/>
              <w:jc w:val="left"/>
            </w:pPr>
            <w:r>
              <w:rPr>
                <w:b w:val="0"/>
                <w:i w:val="0"/>
              </w:rPr>
              <w:t>Accreditation readiness; continuous quality improvement.</w:t>
            </w:r>
          </w:p>
        </w:tc>
        <w:tc>
          <w:tcPr>
            <w:tcW w:type="dxa" w:w="2154"/>
            <w:vAlign w:val="center"/>
            <w:shd w:fill="FFFFFF"/>
          </w:tcPr>
          <w:p>
            <w:pPr>
              <w:spacing w:after="40" w:line="276" w:lineRule="auto"/>
              <w:ind w:left="125" w:hanging="125"/>
              <w:jc w:val="left"/>
            </w:pPr>
            <w:r>
              <w:t xml:space="preserve">• </w:t>
            </w:r>
            <w:r>
              <w:rPr>
                <w:b w:val="0"/>
                <w:i w:val="0"/>
              </w:rPr>
              <w:t>NAAC/​NBA readiness index (≥90%).</w:t>
            </w:r>
          </w:p>
          <w:p>
            <w:pPr>
              <w:spacing w:after="40" w:line="276" w:lineRule="auto"/>
              <w:ind w:left="125" w:hanging="125"/>
              <w:jc w:val="left"/>
            </w:pPr>
            <w:r>
              <w:t xml:space="preserve">• </w:t>
            </w:r>
            <w:r>
              <w:rPr>
                <w:b w:val="0"/>
                <w:i w:val="0"/>
              </w:rPr>
              <w:t>Accreditation grade (NAAC A++).</w:t>
            </w:r>
          </w:p>
          <w:p>
            <w:pPr>
              <w:spacing w:after="40" w:line="276" w:lineRule="auto"/>
              <w:ind w:left="125" w:hanging="125"/>
              <w:jc w:val="left"/>
            </w:pPr>
            <w:r>
              <w:t xml:space="preserve">• </w:t>
            </w:r>
            <w:r>
              <w:rPr>
                <w:b w:val="0"/>
                <w:i w:val="0"/>
              </w:rPr>
              <w:t>% compliance reports submitted on time (100%).</w:t>
            </w:r>
          </w:p>
        </w:tc>
      </w:tr>
      <w:tr>
        <w:trPr>
          <w:cantSplit/>
        </w:trPr>
        <w:tc>
          <w:tcPr>
            <w:tcW w:type="dxa" w:w="1984"/>
            <w:vAlign w:val="center"/>
            <w:shd w:fill="EDF2F7"/>
          </w:tcPr>
          <w:p>
            <w:pPr>
              <w:spacing w:after="40" w:line="276" w:lineRule="auto"/>
              <w:jc w:val="left"/>
            </w:pPr>
            <w:r>
              <w:rPr>
                <w:b w:val="0"/>
                <w:i w:val="0"/>
              </w:rPr>
              <w:t>Strengthen Intellectual Property Rights (IPR) management</w:t>
            </w:r>
          </w:p>
        </w:tc>
        <w:tc>
          <w:tcPr>
            <w:tcW w:type="dxa" w:w="3061"/>
            <w:vAlign w:val="center"/>
            <w:shd w:fill="EDF2F7"/>
          </w:tcPr>
          <w:p>
            <w:pPr>
              <w:spacing w:after="40" w:line="276" w:lineRule="auto"/>
              <w:ind w:left="125" w:hanging="125"/>
              <w:jc w:val="left"/>
            </w:pPr>
            <w:r>
              <w:t xml:space="preserve">• </w:t>
            </w:r>
            <w:r>
              <w:rPr>
                <w:b w:val="0"/>
                <w:i w:val="0"/>
              </w:rPr>
              <w:t>Establish an IPR Cell &amp; incubation centers.</w:t>
            </w:r>
          </w:p>
          <w:p>
            <w:pPr>
              <w:spacing w:after="40" w:line="276" w:lineRule="auto"/>
              <w:ind w:left="125" w:hanging="125"/>
              <w:jc w:val="left"/>
            </w:pPr>
            <w:r>
              <w:t xml:space="preserve">• </w:t>
            </w:r>
            <w:r>
              <w:rPr>
                <w:b w:val="0"/>
                <w:i w:val="0"/>
              </w:rPr>
              <w:t>Train faculty/​students on IP filing.</w:t>
            </w:r>
          </w:p>
          <w:p>
            <w:pPr>
              <w:spacing w:after="40" w:line="276" w:lineRule="auto"/>
              <w:ind w:left="125" w:hanging="125"/>
              <w:jc w:val="left"/>
            </w:pPr>
            <w:r>
              <w:t xml:space="preserve">• </w:t>
            </w:r>
            <w:r>
              <w:rPr>
                <w:b w:val="0"/>
                <w:i w:val="0"/>
              </w:rPr>
              <w:t>Provide legal &amp; financial support for patents.</w:t>
            </w:r>
          </w:p>
        </w:tc>
        <w:tc>
          <w:tcPr>
            <w:tcW w:type="dxa" w:w="2211"/>
            <w:vAlign w:val="center"/>
            <w:shd w:fill="EDF2F7"/>
          </w:tcPr>
          <w:p>
            <w:pPr>
              <w:spacing w:after="40" w:line="276" w:lineRule="auto"/>
              <w:jc w:val="left"/>
            </w:pPr>
            <w:r>
              <w:rPr>
                <w:b w:val="0"/>
                <w:i w:val="0"/>
              </w:rPr>
              <w:t>Increased research protection &amp; commercialization opportunities.</w:t>
            </w:r>
          </w:p>
        </w:tc>
        <w:tc>
          <w:tcPr>
            <w:tcW w:type="dxa" w:w="2154"/>
            <w:vAlign w:val="center"/>
            <w:shd w:fill="EDF2F7"/>
          </w:tcPr>
          <w:p>
            <w:pPr>
              <w:spacing w:after="40" w:line="276" w:lineRule="auto"/>
              <w:ind w:left="125" w:hanging="125"/>
              <w:jc w:val="left"/>
            </w:pPr>
            <w:r>
              <w:t xml:space="preserve">• </w:t>
            </w:r>
            <w:r>
              <w:rPr>
                <w:b w:val="0"/>
                <w:i w:val="0"/>
              </w:rPr>
              <w:t>No. of patents filed annually (≥15).</w:t>
            </w:r>
          </w:p>
          <w:p>
            <w:pPr>
              <w:spacing w:after="40" w:line="276" w:lineRule="auto"/>
              <w:ind w:left="125" w:hanging="125"/>
              <w:jc w:val="left"/>
            </w:pPr>
            <w:r>
              <w:t xml:space="preserve">• </w:t>
            </w:r>
            <w:r>
              <w:rPr>
                <w:b w:val="0"/>
                <w:i w:val="0"/>
              </w:rPr>
              <w:t>No. of IP awareness workshops/​year.</w:t>
            </w:r>
          </w:p>
          <w:p>
            <w:pPr>
              <w:spacing w:after="40" w:line="276" w:lineRule="auto"/>
              <w:ind w:left="125" w:hanging="125"/>
              <w:jc w:val="left"/>
            </w:pPr>
            <w:r>
              <w:t xml:space="preserve">• </w:t>
            </w:r>
            <w:r>
              <w:rPr>
                <w:b w:val="0"/>
                <w:i w:val="0"/>
              </w:rPr>
              <w:t>Revenue from IP commercialization.</w:t>
            </w:r>
          </w:p>
        </w:tc>
      </w:tr>
      <w:tr>
        <w:trPr>
          <w:cantSplit/>
        </w:trPr>
        <w:tc>
          <w:tcPr>
            <w:tcW w:type="dxa" w:w="1984"/>
            <w:vAlign w:val="center"/>
            <w:shd w:fill="FFFFFF"/>
          </w:tcPr>
          <w:p>
            <w:pPr>
              <w:spacing w:after="40" w:line="276" w:lineRule="auto"/>
              <w:jc w:val="left"/>
            </w:pPr>
            <w:r>
              <w:rPr>
                <w:b w:val="0"/>
                <w:i w:val="0"/>
              </w:rPr>
              <w:t>Comply with data protection &amp; privacy laws (GDPR, IT Act, etc.)</w:t>
            </w:r>
          </w:p>
        </w:tc>
        <w:tc>
          <w:tcPr>
            <w:tcW w:type="dxa" w:w="3061"/>
            <w:vAlign w:val="center"/>
            <w:shd w:fill="FFFFFF"/>
          </w:tcPr>
          <w:p>
            <w:pPr>
              <w:spacing w:after="40" w:line="276" w:lineRule="auto"/>
              <w:ind w:left="125" w:hanging="125"/>
              <w:jc w:val="left"/>
            </w:pPr>
            <w:r>
              <w:t xml:space="preserve">• </w:t>
            </w:r>
            <w:r>
              <w:rPr>
                <w:b w:val="0"/>
                <w:i w:val="0"/>
              </w:rPr>
              <w:t>Adopt data governance &amp; cybersecurity policies.</w:t>
            </w:r>
          </w:p>
          <w:p>
            <w:pPr>
              <w:spacing w:after="40" w:line="276" w:lineRule="auto"/>
              <w:ind w:left="125" w:hanging="125"/>
              <w:jc w:val="left"/>
            </w:pPr>
            <w:r>
              <w:t xml:space="preserve">• </w:t>
            </w:r>
            <w:r>
              <w:rPr>
                <w:b w:val="0"/>
                <w:i w:val="0"/>
              </w:rPr>
              <w:t>Regular audits of data handling systems.</w:t>
            </w:r>
          </w:p>
          <w:p>
            <w:pPr>
              <w:spacing w:after="40" w:line="276" w:lineRule="auto"/>
              <w:ind w:left="125" w:hanging="125"/>
              <w:jc w:val="left"/>
            </w:pPr>
            <w:r>
              <w:t xml:space="preserve">• </w:t>
            </w:r>
            <w:r>
              <w:rPr>
                <w:b w:val="0"/>
                <w:i w:val="0"/>
              </w:rPr>
              <w:t>Train staff on compliance protocols.</w:t>
            </w:r>
          </w:p>
        </w:tc>
        <w:tc>
          <w:tcPr>
            <w:tcW w:type="dxa" w:w="2211"/>
            <w:vAlign w:val="center"/>
            <w:shd w:fill="FFFFFF"/>
          </w:tcPr>
          <w:p>
            <w:pPr>
              <w:spacing w:after="40" w:line="276" w:lineRule="auto"/>
              <w:jc w:val="left"/>
            </w:pPr>
            <w:r>
              <w:rPr>
                <w:b w:val="0"/>
                <w:i w:val="0"/>
              </w:rPr>
              <w:t>Secure and legally compliant digital environment.</w:t>
            </w:r>
          </w:p>
        </w:tc>
        <w:tc>
          <w:tcPr>
            <w:tcW w:type="dxa" w:w="2154"/>
            <w:vAlign w:val="center"/>
            <w:shd w:fill="FFFFFF"/>
          </w:tcPr>
          <w:p>
            <w:pPr>
              <w:spacing w:after="40" w:line="276" w:lineRule="auto"/>
              <w:ind w:left="125" w:hanging="125"/>
              <w:jc w:val="left"/>
            </w:pPr>
            <w:r>
              <w:t xml:space="preserve">• </w:t>
            </w:r>
            <w:r>
              <w:rPr>
                <w:b w:val="0"/>
                <w:i w:val="0"/>
              </w:rPr>
              <w:t>% compliance with GDPR/​IT Act (100%).</w:t>
            </w:r>
          </w:p>
          <w:p>
            <w:pPr>
              <w:spacing w:after="40" w:line="276" w:lineRule="auto"/>
              <w:ind w:left="125" w:hanging="125"/>
              <w:jc w:val="left"/>
            </w:pPr>
            <w:r>
              <w:t xml:space="preserve">• </w:t>
            </w:r>
            <w:r>
              <w:rPr>
                <w:b/>
                <w:i w:val="0"/>
              </w:rPr>
              <w:t>No. of cybersecurity/​data breaches (target:</w:t>
            </w:r>
            <w:r>
              <w:rPr>
                <w:b w:val="0"/>
                <w:i w:val="0"/>
              </w:rPr>
              <w:t xml:space="preserve"> 0).</w:t>
            </w:r>
          </w:p>
          <w:p>
            <w:pPr>
              <w:spacing w:after="40" w:line="276" w:lineRule="auto"/>
              <w:ind w:left="125" w:hanging="125"/>
              <w:jc w:val="left"/>
            </w:pPr>
            <w:r>
              <w:t xml:space="preserve">• </w:t>
            </w:r>
            <w:r>
              <w:rPr>
                <w:b w:val="0"/>
                <w:i w:val="0"/>
              </w:rPr>
              <w:t>No. of staff trained in compliance.</w:t>
            </w:r>
          </w:p>
        </w:tc>
      </w:tr>
      <w:tr>
        <w:trPr>
          <w:cantSplit/>
        </w:trPr>
        <w:tc>
          <w:tcPr>
            <w:tcW w:type="dxa" w:w="1984"/>
            <w:vAlign w:val="center"/>
            <w:shd w:fill="EDF2F7"/>
          </w:tcPr>
          <w:p>
            <w:pPr>
              <w:spacing w:after="40" w:line="276" w:lineRule="auto"/>
              <w:jc w:val="left"/>
            </w:pPr>
            <w:r>
              <w:rPr>
                <w:b w:val="0"/>
                <w:i w:val="0"/>
              </w:rPr>
              <w:t>Adhere to labour laws for faculty &amp; staff</w:t>
            </w:r>
          </w:p>
        </w:tc>
        <w:tc>
          <w:tcPr>
            <w:tcW w:type="dxa" w:w="3061"/>
            <w:vAlign w:val="center"/>
            <w:shd w:fill="EDF2F7"/>
          </w:tcPr>
          <w:p>
            <w:pPr>
              <w:spacing w:after="40" w:line="276" w:lineRule="auto"/>
              <w:ind w:left="125" w:hanging="125"/>
              <w:jc w:val="left"/>
            </w:pPr>
            <w:r>
              <w:t xml:space="preserve">• </w:t>
            </w:r>
            <w:r>
              <w:rPr>
                <w:b w:val="0"/>
                <w:i w:val="0"/>
              </w:rPr>
              <w:t>Update HR policies in line with national labour laws.</w:t>
            </w:r>
          </w:p>
          <w:p>
            <w:pPr>
              <w:spacing w:after="40" w:line="276" w:lineRule="auto"/>
              <w:ind w:left="125" w:hanging="125"/>
              <w:jc w:val="left"/>
            </w:pPr>
            <w:r>
              <w:t xml:space="preserve">• </w:t>
            </w:r>
            <w:r>
              <w:rPr>
                <w:b w:val="0"/>
                <w:i w:val="0"/>
              </w:rPr>
              <w:t>Ensure transparent contracts, fair wages, and grievance mechanisms.</w:t>
            </w:r>
          </w:p>
          <w:p>
            <w:pPr>
              <w:spacing w:after="40" w:line="276" w:lineRule="auto"/>
              <w:ind w:left="125" w:hanging="125"/>
              <w:jc w:val="left"/>
            </w:pPr>
            <w:r>
              <w:t xml:space="preserve">• </w:t>
            </w:r>
            <w:r>
              <w:rPr>
                <w:b w:val="0"/>
                <w:i w:val="0"/>
              </w:rPr>
              <w:t>Conduct annual HR compliance audits.</w:t>
            </w:r>
          </w:p>
        </w:tc>
        <w:tc>
          <w:tcPr>
            <w:tcW w:type="dxa" w:w="2211"/>
            <w:vAlign w:val="center"/>
            <w:shd w:fill="EDF2F7"/>
          </w:tcPr>
          <w:p>
            <w:pPr>
              <w:spacing w:after="40" w:line="276" w:lineRule="auto"/>
              <w:jc w:val="left"/>
            </w:pPr>
            <w:r>
              <w:rPr>
                <w:b w:val="0"/>
                <w:i w:val="0"/>
              </w:rPr>
              <w:t>Better staff morale, reduced disputes, and legal safety.</w:t>
            </w:r>
          </w:p>
        </w:tc>
        <w:tc>
          <w:tcPr>
            <w:tcW w:type="dxa" w:w="2154"/>
            <w:vAlign w:val="center"/>
            <w:shd w:fill="EDF2F7"/>
          </w:tcPr>
          <w:p>
            <w:pPr>
              <w:spacing w:after="40" w:line="276" w:lineRule="auto"/>
              <w:ind w:left="125" w:hanging="125"/>
              <w:jc w:val="left"/>
            </w:pPr>
            <w:r>
              <w:t xml:space="preserve">• </w:t>
            </w:r>
            <w:r>
              <w:rPr>
                <w:b w:val="0"/>
                <w:i w:val="0"/>
              </w:rPr>
              <w:t>% HR policies aligned with labour laws (100%).</w:t>
            </w:r>
          </w:p>
          <w:p>
            <w:pPr>
              <w:spacing w:after="40" w:line="276" w:lineRule="auto"/>
              <w:ind w:left="125" w:hanging="125"/>
              <w:jc w:val="left"/>
            </w:pPr>
            <w:r>
              <w:t xml:space="preserve">• </w:t>
            </w:r>
            <w:r>
              <w:rPr>
                <w:b w:val="0"/>
                <w:i w:val="0"/>
              </w:rPr>
              <w:t>No. of grievances resolved.</w:t>
            </w:r>
          </w:p>
          <w:p>
            <w:pPr>
              <w:spacing w:after="40" w:line="276" w:lineRule="auto"/>
              <w:ind w:left="125" w:hanging="125"/>
              <w:jc w:val="left"/>
            </w:pPr>
            <w:r>
              <w:t xml:space="preserve">• </w:t>
            </w:r>
            <w:r>
              <w:rPr>
                <w:b w:val="0"/>
                <w:i w:val="0"/>
              </w:rPr>
              <w:t>Staff satisfaction index (≥85%).</w:t>
            </w:r>
          </w:p>
        </w:tc>
      </w:tr>
      <w:tr>
        <w:trPr>
          <w:cantSplit/>
        </w:trPr>
        <w:tc>
          <w:tcPr>
            <w:tcW w:type="dxa" w:w="1984"/>
            <w:vAlign w:val="center"/>
            <w:shd w:fill="FFFFFF"/>
          </w:tcPr>
          <w:p>
            <w:pPr>
              <w:spacing w:after="40" w:line="276" w:lineRule="auto"/>
              <w:jc w:val="left"/>
            </w:pPr>
            <w:r>
              <w:rPr>
                <w:b w:val="0"/>
                <w:i w:val="0"/>
              </w:rPr>
              <w:t>Comply with foreign education regulations for global partnerships</w:t>
            </w:r>
          </w:p>
        </w:tc>
        <w:tc>
          <w:tcPr>
            <w:tcW w:type="dxa" w:w="3061"/>
            <w:vAlign w:val="center"/>
            <w:shd w:fill="FFFFFF"/>
          </w:tcPr>
          <w:p>
            <w:pPr>
              <w:spacing w:after="40" w:line="276" w:lineRule="auto"/>
              <w:ind w:left="125" w:hanging="125"/>
              <w:jc w:val="left"/>
            </w:pPr>
            <w:r>
              <w:t xml:space="preserve">• </w:t>
            </w:r>
            <w:r>
              <w:rPr>
                <w:b w:val="0"/>
                <w:i w:val="0"/>
              </w:rPr>
              <w:t>Establish an International Collaboration Cell.</w:t>
            </w:r>
          </w:p>
          <w:p>
            <w:pPr>
              <w:spacing w:after="40" w:line="276" w:lineRule="auto"/>
              <w:ind w:left="125" w:hanging="125"/>
              <w:jc w:val="left"/>
            </w:pPr>
            <w:r>
              <w:t xml:space="preserve">• </w:t>
            </w:r>
            <w:r>
              <w:rPr>
                <w:b w:val="0"/>
                <w:i w:val="0"/>
              </w:rPr>
              <w:t>Conduct legal due diligence for MoUs.</w:t>
            </w:r>
          </w:p>
          <w:p>
            <w:pPr>
              <w:spacing w:after="40" w:line="276" w:lineRule="auto"/>
              <w:ind w:left="125" w:hanging="125"/>
              <w:jc w:val="left"/>
            </w:pPr>
            <w:r>
              <w:t xml:space="preserve">• </w:t>
            </w:r>
            <w:r>
              <w:rPr>
                <w:b w:val="0"/>
                <w:i w:val="0"/>
              </w:rPr>
              <w:t>Align with host-country regulations.</w:t>
            </w:r>
          </w:p>
        </w:tc>
        <w:tc>
          <w:tcPr>
            <w:tcW w:type="dxa" w:w="2211"/>
            <w:vAlign w:val="center"/>
            <w:shd w:fill="FFFFFF"/>
          </w:tcPr>
          <w:p>
            <w:pPr>
              <w:spacing w:after="40" w:line="276" w:lineRule="auto"/>
              <w:jc w:val="left"/>
            </w:pPr>
            <w:r>
              <w:rPr>
                <w:b w:val="0"/>
                <w:i w:val="0"/>
              </w:rPr>
              <w:t>Smooth international partnerships &amp; reduced legal risks.</w:t>
            </w:r>
          </w:p>
        </w:tc>
        <w:tc>
          <w:tcPr>
            <w:tcW w:type="dxa" w:w="2154"/>
            <w:vAlign w:val="center"/>
            <w:shd w:fill="FFFFFF"/>
          </w:tcPr>
          <w:p>
            <w:pPr>
              <w:spacing w:after="40" w:line="276" w:lineRule="auto"/>
              <w:ind w:left="125" w:hanging="125"/>
              <w:jc w:val="left"/>
            </w:pPr>
            <w:r>
              <w:t xml:space="preserve">• </w:t>
            </w:r>
            <w:r>
              <w:rPr>
                <w:b w:val="0"/>
                <w:i w:val="0"/>
              </w:rPr>
              <w:t>No. of compliant MoUs signed.</w:t>
            </w:r>
          </w:p>
          <w:p>
            <w:pPr>
              <w:spacing w:after="40" w:line="276" w:lineRule="auto"/>
              <w:ind w:left="125" w:hanging="125"/>
              <w:jc w:val="left"/>
            </w:pPr>
            <w:r>
              <w:t xml:space="preserve">• </w:t>
            </w:r>
            <w:r>
              <w:rPr>
                <w:b w:val="0"/>
                <w:i w:val="0"/>
              </w:rPr>
              <w:t>No. of student/​faculty exchanges without legal disputes.</w:t>
            </w:r>
          </w:p>
          <w:p>
            <w:pPr>
              <w:spacing w:after="40" w:line="276" w:lineRule="auto"/>
              <w:ind w:left="125" w:hanging="125"/>
              <w:jc w:val="left"/>
            </w:pPr>
            <w:r>
              <w:t xml:space="preserve">• </w:t>
            </w:r>
            <w:r>
              <w:rPr>
                <w:b w:val="0"/>
                <w:i w:val="0"/>
              </w:rPr>
              <w:t>% compliance with foreign regulatory norms (100%).</w:t>
            </w:r>
          </w:p>
        </w:tc>
      </w:tr>
      <w:tr>
        <w:trPr>
          <w:cantSplit/>
        </w:trPr>
        <w:tc>
          <w:tcPr>
            <w:tcW w:type="dxa" w:w="1984"/>
            <w:vAlign w:val="center"/>
            <w:shd w:fill="EDF2F7"/>
          </w:tcPr>
          <w:p>
            <w:pPr>
              <w:spacing w:after="40" w:line="276" w:lineRule="auto"/>
              <w:jc w:val="left"/>
            </w:pPr>
            <w:r>
              <w:rPr>
                <w:b w:val="0"/>
                <w:i w:val="0"/>
              </w:rPr>
              <w:t>Meet environmental compliance laws</w:t>
            </w:r>
          </w:p>
        </w:tc>
        <w:tc>
          <w:tcPr>
            <w:tcW w:type="dxa" w:w="3061"/>
            <w:vAlign w:val="center"/>
            <w:shd w:fill="EDF2F7"/>
          </w:tcPr>
          <w:p>
            <w:pPr>
              <w:spacing w:after="40" w:line="276" w:lineRule="auto"/>
              <w:ind w:left="125" w:hanging="125"/>
              <w:jc w:val="left"/>
            </w:pPr>
            <w:r>
              <w:t xml:space="preserve">• </w:t>
            </w:r>
            <w:r>
              <w:rPr>
                <w:b w:val="0"/>
                <w:i w:val="0"/>
              </w:rPr>
              <w:t>Conduct annual green audits.</w:t>
            </w:r>
          </w:p>
          <w:p>
            <w:pPr>
              <w:spacing w:after="40" w:line="276" w:lineRule="auto"/>
              <w:ind w:left="125" w:hanging="125"/>
              <w:jc w:val="left"/>
            </w:pPr>
            <w:r>
              <w:t xml:space="preserve">• </w:t>
            </w:r>
            <w:r>
              <w:rPr>
                <w:b w:val="0"/>
                <w:i w:val="0"/>
              </w:rPr>
              <w:t>Implement waste management, energy efficiency, and water conservation as per law.</w:t>
            </w:r>
          </w:p>
          <w:p>
            <w:pPr>
              <w:spacing w:after="40" w:line="276" w:lineRule="auto"/>
              <w:ind w:left="125" w:hanging="125"/>
              <w:jc w:val="left"/>
            </w:pPr>
            <w:r>
              <w:t xml:space="preserve">• </w:t>
            </w:r>
            <w:r>
              <w:rPr>
                <w:b w:val="0"/>
                <w:i w:val="0"/>
              </w:rPr>
              <w:t>Establish an Environment Compliance Cell.</w:t>
            </w:r>
          </w:p>
        </w:tc>
        <w:tc>
          <w:tcPr>
            <w:tcW w:type="dxa" w:w="2211"/>
            <w:vAlign w:val="center"/>
            <w:shd w:fill="EDF2F7"/>
          </w:tcPr>
          <w:p>
            <w:pPr>
              <w:spacing w:after="40" w:line="276" w:lineRule="auto"/>
              <w:jc w:val="left"/>
            </w:pPr>
            <w:r>
              <w:rPr>
                <w:b w:val="0"/>
                <w:i w:val="0"/>
              </w:rPr>
              <w:t>Legally compliant, sustainable, and green campus.</w:t>
            </w:r>
          </w:p>
        </w:tc>
        <w:tc>
          <w:tcPr>
            <w:tcW w:type="dxa" w:w="2154"/>
            <w:vAlign w:val="center"/>
            <w:shd w:fill="EDF2F7"/>
          </w:tcPr>
          <w:p>
            <w:pPr>
              <w:spacing w:after="40" w:line="276" w:lineRule="auto"/>
              <w:ind w:left="125" w:hanging="125"/>
              <w:jc w:val="left"/>
            </w:pPr>
            <w:r>
              <w:t xml:space="preserve">• </w:t>
            </w:r>
            <w:r>
              <w:rPr>
                <w:b w:val="0"/>
                <w:i w:val="0"/>
              </w:rPr>
              <w:t>% compliance with environmental norms (100%).</w:t>
            </w:r>
          </w:p>
          <w:p>
            <w:pPr>
              <w:spacing w:after="40" w:line="276" w:lineRule="auto"/>
              <w:ind w:left="125" w:hanging="125"/>
              <w:jc w:val="left"/>
            </w:pPr>
            <w:r>
              <w:t xml:space="preserve">• </w:t>
            </w:r>
            <w:r>
              <w:rPr>
                <w:b w:val="0"/>
                <w:i w:val="0"/>
              </w:rPr>
              <w:t>Green audit score (≥90%).</w:t>
            </w:r>
          </w:p>
          <w:p>
            <w:pPr>
              <w:spacing w:after="40" w:line="276" w:lineRule="auto"/>
              <w:ind w:left="125" w:hanging="125"/>
              <w:jc w:val="left"/>
            </w:pPr>
            <w:r>
              <w:t xml:space="preserve">• </w:t>
            </w:r>
            <w:r>
              <w:rPr>
                <w:b/>
                <w:i w:val="0"/>
              </w:rPr>
              <w:t>No. of compliance violations (target:</w:t>
            </w:r>
            <w:r>
              <w:rPr>
                <w:b w:val="0"/>
                <w:i w:val="0"/>
              </w:rPr>
              <w:t xml:space="preserve"> 0)</w:t>
            </w:r>
          </w:p>
        </w:tc>
      </w:tr>
    </w:tbl>
    <w:p>
      <w:pPr>
        <w:spacing w:after="40"/>
      </w:pPr>
    </w:p>
    <w:p>
      <w:pPr>
        <w:pStyle w:val="Heading2"/>
      </w:pPr>
      <w:r>
        <w:t>Environmental Factors in Strategic Planning</w:t>
      </w:r>
    </w:p>
    <w:p>
      <w:pPr>
        <w:pStyle w:val="Heading2"/>
      </w:pPr>
      <w:r>
        <w:t>1. Global Urgency of Climate Change &amp; Sustainability Goals</w:t>
      </w:r>
    </w:p>
    <w:p>
      <w:pPr>
        <w:pStyle w:val="ListBullet2"/>
        <w:numPr>
          <w:ilvl w:val="1"/>
          <w:numId w:val="90"/>
        </w:numPr>
        <w:ind w:left="652" w:hanging="142"/>
      </w:pPr>
      <w:r>
        <w:rPr>
          <w:b w:val="0"/>
          <w:i w:val="0"/>
        </w:rPr>
        <w:t>Climate change is now a core driver of institutional policies worldwide.</w:t>
      </w:r>
    </w:p>
    <w:p>
      <w:pPr>
        <w:pStyle w:val="ListBullet2"/>
        <w:numPr>
          <w:ilvl w:val="1"/>
          <w:numId w:val="90"/>
        </w:numPr>
        <w:ind w:left="652" w:hanging="142"/>
      </w:pPr>
      <w:r>
        <w:rPr>
          <w:b w:val="0"/>
          <w:i w:val="0"/>
        </w:rPr>
        <w:t>Universities must integrate sustainability into their vision, mission, and curricula.</w:t>
      </w:r>
    </w:p>
    <w:p>
      <w:pPr>
        <w:pStyle w:val="ListBullet2"/>
        <w:numPr>
          <w:ilvl w:val="1"/>
          <w:numId w:val="90"/>
        </w:numPr>
        <w:ind w:left="652" w:hanging="142"/>
      </w:pPr>
      <w:r>
        <w:rPr>
          <w:b w:val="0"/>
          <w:i w:val="0"/>
        </w:rPr>
        <w:t>This ensures alignment with SDGs (especially SDG-7, SDG-11, SDG-13) and enhances global reputation.</w:t>
      </w:r>
    </w:p>
    <w:p>
      <w:pPr>
        <w:pStyle w:val="Heading2"/>
      </w:pPr>
      <w:r>
        <w:t>2. Adoption of Green Infrastructure</w:t>
      </w:r>
    </w:p>
    <w:p>
      <w:pPr>
        <w:pStyle w:val="ListBullet2"/>
        <w:numPr>
          <w:ilvl w:val="1"/>
          <w:numId w:val="90"/>
        </w:numPr>
        <w:ind w:left="652" w:hanging="142"/>
      </w:pPr>
      <w:r>
        <w:rPr>
          <w:b w:val="0"/>
          <w:i w:val="0"/>
        </w:rPr>
        <w:t>Practices like solar energy, rainwater harvesting, waste segregation, and green buildings reduce operating costs and carbon footprint.</w:t>
      </w:r>
    </w:p>
    <w:p>
      <w:pPr>
        <w:pStyle w:val="ListBullet2"/>
        <w:numPr>
          <w:ilvl w:val="1"/>
          <w:numId w:val="90"/>
        </w:numPr>
        <w:ind w:left="652" w:hanging="142"/>
      </w:pPr>
      <w:r>
        <w:rPr>
          <w:b w:val="0"/>
          <w:i w:val="0"/>
        </w:rPr>
        <w:t>Regular energy and water audits make campuses more efficient.</w:t>
      </w:r>
    </w:p>
    <w:p>
      <w:pPr>
        <w:pStyle w:val="ListBullet2"/>
        <w:numPr>
          <w:ilvl w:val="1"/>
          <w:numId w:val="90"/>
        </w:numPr>
        <w:ind w:left="652" w:hanging="142"/>
      </w:pPr>
      <w:r>
        <w:rPr>
          <w:b w:val="0"/>
          <w:i w:val="0"/>
        </w:rPr>
        <w:t>KPIs such as % renewable energy use and audit compliance scores help measure progress.</w:t>
      </w:r>
    </w:p>
    <w:p>
      <w:pPr>
        <w:pStyle w:val="Heading2"/>
      </w:pPr>
      <w:r>
        <w:t>3. Student &amp; Community Demand for Eco-Friendly Campuses</w:t>
      </w:r>
    </w:p>
    <w:p>
      <w:pPr>
        <w:pStyle w:val="ListBullet2"/>
        <w:numPr>
          <w:ilvl w:val="1"/>
          <w:numId w:val="90"/>
        </w:numPr>
        <w:ind w:left="652" w:hanging="142"/>
      </w:pPr>
      <w:r>
        <w:rPr>
          <w:b w:val="0"/>
          <w:i w:val="0"/>
        </w:rPr>
        <w:t>Gen Z &amp; Gen Alpha expect universities to be green leaders, not just teaching hubs.</w:t>
      </w:r>
    </w:p>
    <w:p>
      <w:pPr>
        <w:pStyle w:val="ListBullet2"/>
        <w:numPr>
          <w:ilvl w:val="1"/>
          <w:numId w:val="90"/>
        </w:numPr>
        <w:ind w:left="652" w:hanging="142"/>
      </w:pPr>
      <w:r>
        <w:rPr>
          <w:b w:val="0"/>
          <w:i w:val="0"/>
        </w:rPr>
        <w:t>Student-led sustainability clubs and eco-projects encourage ownership.</w:t>
      </w:r>
    </w:p>
    <w:p>
      <w:pPr>
        <w:pStyle w:val="ListBullet2"/>
        <w:numPr>
          <w:ilvl w:val="1"/>
          <w:numId w:val="90"/>
        </w:numPr>
        <w:ind w:left="652" w:hanging="142"/>
      </w:pPr>
      <w:r>
        <w:rPr>
          <w:b w:val="0"/>
          <w:i w:val="0"/>
        </w:rPr>
        <w:t>Community engagement strengthens public trust and institutional image.</w:t>
      </w:r>
    </w:p>
    <w:p>
      <w:pPr>
        <w:pStyle w:val="Heading2"/>
      </w:pPr>
      <w:r>
        <w:t>4. Funding Opportunities for Sustainability Research</w:t>
      </w:r>
    </w:p>
    <w:p>
      <w:pPr>
        <w:pStyle w:val="ListBullet2"/>
        <w:numPr>
          <w:ilvl w:val="1"/>
          <w:numId w:val="90"/>
        </w:numPr>
        <w:ind w:left="652" w:hanging="142"/>
      </w:pPr>
      <w:r>
        <w:rPr>
          <w:b w:val="0"/>
          <w:i w:val="0"/>
        </w:rPr>
        <w:t>Governments, corporations (CSR), and international bodies (UN, World Bank, EU) fund climate and sustainability projects.</w:t>
      </w:r>
    </w:p>
    <w:p>
      <w:pPr>
        <w:pStyle w:val="ListBullet2"/>
        <w:numPr>
          <w:ilvl w:val="1"/>
          <w:numId w:val="90"/>
        </w:numPr>
        <w:ind w:left="652" w:hanging="142"/>
      </w:pPr>
      <w:r>
        <w:rPr>
          <w:b w:val="0"/>
          <w:i w:val="0"/>
        </w:rPr>
        <w:t>Establishing centers of excellence in renewable energy, green tech, and environmental science attracts resources and partnerships.</w:t>
      </w:r>
    </w:p>
    <w:p>
      <w:pPr>
        <w:pStyle w:val="ListBullet2"/>
        <w:numPr>
          <w:ilvl w:val="1"/>
          <w:numId w:val="90"/>
        </w:numPr>
        <w:ind w:left="652" w:hanging="142"/>
      </w:pPr>
      <w:r>
        <w:rPr>
          <w:b w:val="0"/>
          <w:i w:val="0"/>
        </w:rPr>
        <w:t>This boosts both research output and financial sustainability.</w:t>
      </w:r>
    </w:p>
    <w:p>
      <w:pPr>
        <w:pStyle w:val="Heading2"/>
      </w:pPr>
      <w:r>
        <w:t>5. Regulations on Carbon Footprint &amp; Environmental Audits</w:t>
      </w:r>
    </w:p>
    <w:p>
      <w:pPr>
        <w:pStyle w:val="ListBullet2"/>
        <w:numPr>
          <w:ilvl w:val="1"/>
          <w:numId w:val="90"/>
        </w:numPr>
        <w:ind w:left="652" w:hanging="142"/>
      </w:pPr>
      <w:r>
        <w:rPr>
          <w:b w:val="0"/>
          <w:i w:val="0"/>
        </w:rPr>
        <w:t>Many countries now require annual environmental compliance reports from HEIs.</w:t>
      </w:r>
    </w:p>
    <w:p>
      <w:pPr>
        <w:pStyle w:val="ListBullet2"/>
        <w:numPr>
          <w:ilvl w:val="1"/>
          <w:numId w:val="90"/>
        </w:numPr>
        <w:ind w:left="652" w:hanging="142"/>
      </w:pPr>
      <w:r>
        <w:rPr>
          <w:b w:val="0"/>
          <w:i w:val="0"/>
        </w:rPr>
        <w:t>Non-compliance risks penalties, reputational harm, and lower rankings.</w:t>
      </w:r>
    </w:p>
    <w:p>
      <w:pPr>
        <w:pStyle w:val="ListBullet2"/>
        <w:numPr>
          <w:ilvl w:val="1"/>
          <w:numId w:val="90"/>
        </w:numPr>
        <w:ind w:left="652" w:hanging="142"/>
      </w:pPr>
      <w:r>
        <w:rPr>
          <w:b w:val="0"/>
          <w:i w:val="0"/>
        </w:rPr>
        <w:t>An Environmental Compliance Cell ensures zero violations.</w:t>
      </w:r>
    </w:p>
    <w:p>
      <w:pPr>
        <w:pStyle w:val="Heading2"/>
      </w:pPr>
      <w:r>
        <w:t>6. Global Frameworks (Paris Climate Agreement, UN SDGs)</w:t>
      </w:r>
    </w:p>
    <w:p>
      <w:pPr>
        <w:pStyle w:val="ListBullet2"/>
        <w:numPr>
          <w:ilvl w:val="1"/>
          <w:numId w:val="90"/>
        </w:numPr>
        <w:ind w:left="652" w:hanging="142"/>
      </w:pPr>
      <w:r>
        <w:rPr>
          <w:b w:val="0"/>
          <w:i w:val="0"/>
        </w:rPr>
        <w:t>International treaties like the Paris Agreement influence higher education policy.</w:t>
      </w:r>
    </w:p>
    <w:p>
      <w:pPr>
        <w:pStyle w:val="ListBullet2"/>
        <w:numPr>
          <w:ilvl w:val="1"/>
          <w:numId w:val="90"/>
        </w:numPr>
        <w:ind w:left="652" w:hanging="142"/>
      </w:pPr>
      <w:r>
        <w:rPr>
          <w:b w:val="0"/>
          <w:i w:val="0"/>
        </w:rPr>
        <w:t>Joining global sustainability networks (e.g., Green University Network, Ul GreenMetric) boosts international standing.</w:t>
      </w:r>
    </w:p>
    <w:p>
      <w:pPr>
        <w:pStyle w:val="ListBullet2"/>
        <w:numPr>
          <w:ilvl w:val="1"/>
          <w:numId w:val="90"/>
        </w:numPr>
        <w:ind w:left="652" w:hanging="142"/>
      </w:pPr>
      <w:r>
        <w:rPr>
          <w:b w:val="0"/>
          <w:i w:val="0"/>
        </w:rPr>
        <w:t>KPIs like SDG alignment score and green rankings measure global competitiveness.</w:t>
      </w:r>
    </w:p>
    <w:p>
      <w:pPr>
        <w:pStyle w:val="Heading2"/>
      </w:pPr>
      <w:r>
        <w:t>Why this is important:</w:t>
      </w:r>
    </w:p>
    <w:p>
      <w:pPr>
        <w:pStyle w:val="ListBullet"/>
        <w:numPr>
          <w:ilvl w:val="0"/>
          <w:numId w:val="90"/>
        </w:numPr>
        <w:ind w:left="340" w:hanging="142"/>
      </w:pPr>
      <w:r>
        <w:rPr>
          <w:b w:val="0"/>
          <w:i w:val="0"/>
        </w:rPr>
        <w:t>Environmental factors are no longer optional — they are mandatory for survival, reputation, and funding.</w:t>
      </w:r>
    </w:p>
    <w:p>
      <w:pPr>
        <w:pStyle w:val="ListBullet"/>
        <w:numPr>
          <w:ilvl w:val="0"/>
          <w:numId w:val="90"/>
        </w:numPr>
        <w:ind w:left="340" w:hanging="142"/>
      </w:pPr>
      <w:r>
        <w:rPr>
          <w:b w:val="0"/>
          <w:i w:val="0"/>
        </w:rPr>
        <w:t>They ensure HEIs are legally compliant, financially sustainable, socially responsible, and globally competitive.</w:t>
      </w:r>
    </w:p>
    <w:p>
      <w:pPr>
        <w:pStyle w:val="ListBullet"/>
        <w:numPr>
          <w:ilvl w:val="0"/>
          <w:numId w:val="90"/>
        </w:numPr>
        <w:ind w:left="340" w:hanging="142"/>
      </w:pPr>
      <w:r>
        <w:rPr>
          <w:b w:val="0"/>
          <w:i w:val="0"/>
        </w:rPr>
        <w:t>This links directly to NEP 2020 reforms (sustainability in curricula &amp; governance) and multiple SDGs (4, 7, 11, 13, 17).</w:t>
      </w:r>
    </w:p>
    <w:p>
      <w:pPr>
        <w:pStyle w:val="Heading2"/>
      </w:pPr>
      <w:r>
        <w:t>Integrated Strategic Matrix – Environmental Factors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984"/>
        <w:gridCol w:w="3061"/>
        <w:gridCol w:w="2211"/>
        <w:gridCol w:w="2154"/>
      </w:tblGrid>
      <w:tr>
        <w:trPr>
          <w:tblHeader/>
          <w:cantSplit/>
        </w:trPr>
        <w:tc>
          <w:tcPr>
            <w:tcW w:type="dxa" w:w="1984"/>
            <w:vAlign w:val="center"/>
            <w:shd w:fill="1F3A5F"/>
          </w:tcPr>
          <w:p>
            <w:pPr>
              <w:keepNext/>
              <w:spacing w:after="40" w:line="276" w:lineRule="auto"/>
              <w:jc w:val="left"/>
            </w:pPr>
            <w:r>
              <w:rPr>
                <w:b/>
                <w:i w:val="0"/>
                <w:color w:val="FFFFFF"/>
              </w:rPr>
              <w:t>Policy Direction</w:t>
            </w:r>
          </w:p>
        </w:tc>
        <w:tc>
          <w:tcPr>
            <w:tcW w:type="dxa" w:w="3061"/>
            <w:vAlign w:val="center"/>
            <w:shd w:fill="1F3A5F"/>
          </w:tcPr>
          <w:p>
            <w:pPr>
              <w:keepNext/>
              <w:spacing w:after="40" w:line="276" w:lineRule="auto"/>
              <w:jc w:val="left"/>
            </w:pPr>
            <w:r>
              <w:rPr>
                <w:b/>
                <w:i w:val="0"/>
                <w:color w:val="FFFFFF"/>
              </w:rPr>
              <w:t>Strategic Actions</w:t>
            </w:r>
          </w:p>
        </w:tc>
        <w:tc>
          <w:tcPr>
            <w:tcW w:type="dxa" w:w="2211"/>
            <w:vAlign w:val="center"/>
            <w:shd w:fill="1F3A5F"/>
          </w:tcPr>
          <w:p>
            <w:pPr>
              <w:keepNext/>
              <w:spacing w:after="40" w:line="276" w:lineRule="auto"/>
              <w:jc w:val="left"/>
            </w:pPr>
            <w:r>
              <w:rPr>
                <w:b/>
                <w:i w:val="0"/>
                <w:color w:val="FFFFFF"/>
              </w:rPr>
              <w:t>Expected Outcomes</w:t>
            </w:r>
          </w:p>
        </w:tc>
        <w:tc>
          <w:tcPr>
            <w:tcW w:type="dxa" w:w="2154"/>
            <w:vAlign w:val="center"/>
            <w:shd w:fill="1F3A5F"/>
          </w:tcPr>
          <w:p>
            <w:pPr>
              <w:keepNext/>
              <w:spacing w:after="40" w:line="276" w:lineRule="auto"/>
              <w:jc w:val="left"/>
            </w:pPr>
            <w:r>
              <w:rPr>
                <w:b/>
                <w:i w:val="0"/>
                <w:color w:val="FFFFFF"/>
              </w:rPr>
              <w:t>KPIs (Indicators)</w:t>
            </w:r>
          </w:p>
        </w:tc>
      </w:tr>
      <w:tr>
        <w:trPr>
          <w:cantSplit/>
        </w:trPr>
        <w:tc>
          <w:tcPr>
            <w:tcW w:type="dxa" w:w="1984"/>
            <w:vAlign w:val="center"/>
            <w:shd w:fill="FFFFFF"/>
          </w:tcPr>
          <w:p>
            <w:pPr>
              <w:spacing w:after="40" w:line="276" w:lineRule="auto"/>
              <w:jc w:val="left"/>
            </w:pPr>
            <w:r>
              <w:rPr>
                <w:b w:val="0"/>
                <w:i w:val="0"/>
              </w:rPr>
              <w:t>Address climate change through institutional strategy</w:t>
            </w:r>
          </w:p>
        </w:tc>
        <w:tc>
          <w:tcPr>
            <w:tcW w:type="dxa" w:w="3061"/>
            <w:vAlign w:val="center"/>
            <w:shd w:fill="FFFFFF"/>
          </w:tcPr>
          <w:p>
            <w:pPr>
              <w:spacing w:after="40" w:line="276" w:lineRule="auto"/>
              <w:ind w:left="125" w:hanging="125"/>
              <w:jc w:val="left"/>
            </w:pPr>
            <w:r>
              <w:t xml:space="preserve">• </w:t>
            </w:r>
            <w:r>
              <w:rPr>
                <w:b w:val="0"/>
                <w:i w:val="0"/>
              </w:rPr>
              <w:t>Integrate sustainability into vision, mission, and curricula.</w:t>
            </w:r>
          </w:p>
          <w:p>
            <w:pPr>
              <w:spacing w:after="40" w:line="276" w:lineRule="auto"/>
              <w:ind w:left="125" w:hanging="125"/>
              <w:jc w:val="left"/>
            </w:pPr>
            <w:r>
              <w:t xml:space="preserve">• </w:t>
            </w:r>
            <w:r>
              <w:rPr>
                <w:b w:val="0"/>
                <w:i w:val="0"/>
              </w:rPr>
              <w:t>Align with SDGs (SDG-7, SDG-11, SDG-13).</w:t>
            </w:r>
          </w:p>
          <w:p>
            <w:pPr>
              <w:spacing w:after="40" w:line="276" w:lineRule="auto"/>
              <w:ind w:left="125" w:hanging="125"/>
              <w:jc w:val="left"/>
            </w:pPr>
            <w:r>
              <w:t xml:space="preserve">• </w:t>
            </w:r>
            <w:r>
              <w:rPr>
                <w:b w:val="0"/>
                <w:i w:val="0"/>
              </w:rPr>
              <w:t>Launch green campus masterplan.</w:t>
            </w:r>
          </w:p>
        </w:tc>
        <w:tc>
          <w:tcPr>
            <w:tcW w:type="dxa" w:w="2211"/>
            <w:vAlign w:val="center"/>
            <w:shd w:fill="FFFFFF"/>
          </w:tcPr>
          <w:p>
            <w:pPr>
              <w:spacing w:after="40" w:line="276" w:lineRule="auto"/>
              <w:jc w:val="left"/>
            </w:pPr>
            <w:r>
              <w:rPr>
                <w:b w:val="0"/>
                <w:i w:val="0"/>
              </w:rPr>
              <w:t>Institution recognized as climate-conscious &amp; sustainable.</w:t>
            </w:r>
          </w:p>
        </w:tc>
        <w:tc>
          <w:tcPr>
            <w:tcW w:type="dxa" w:w="2154"/>
            <w:vAlign w:val="center"/>
            <w:shd w:fill="FFFFFF"/>
          </w:tcPr>
          <w:p>
            <w:pPr>
              <w:spacing w:after="40" w:line="276" w:lineRule="auto"/>
              <w:ind w:left="125" w:hanging="125"/>
              <w:jc w:val="left"/>
            </w:pPr>
            <w:r>
              <w:t xml:space="preserve">• </w:t>
            </w:r>
            <w:r>
              <w:rPr>
                <w:b w:val="0"/>
                <w:i w:val="0"/>
              </w:rPr>
              <w:t>% programs with sustainability modules.</w:t>
            </w:r>
          </w:p>
          <w:p>
            <w:pPr>
              <w:spacing w:after="40" w:line="276" w:lineRule="auto"/>
              <w:ind w:left="125" w:hanging="125"/>
              <w:jc w:val="left"/>
            </w:pPr>
            <w:r>
              <w:t xml:space="preserve">• </w:t>
            </w:r>
            <w:r>
              <w:rPr>
                <w:b w:val="0"/>
                <w:i w:val="0"/>
              </w:rPr>
              <w:t>No. of climate-focused initiatives.</w:t>
            </w:r>
          </w:p>
          <w:p>
            <w:pPr>
              <w:spacing w:after="40" w:line="276" w:lineRule="auto"/>
              <w:ind w:left="125" w:hanging="125"/>
              <w:jc w:val="left"/>
            </w:pPr>
            <w:r>
              <w:t xml:space="preserve">• </w:t>
            </w:r>
            <w:r>
              <w:rPr>
                <w:b w:val="0"/>
                <w:i w:val="0"/>
              </w:rPr>
              <w:t>External recognition/​awards.</w:t>
            </w:r>
          </w:p>
        </w:tc>
      </w:tr>
      <w:tr>
        <w:trPr>
          <w:cantSplit/>
        </w:trPr>
        <w:tc>
          <w:tcPr>
            <w:tcW w:type="dxa" w:w="1984"/>
            <w:vAlign w:val="center"/>
            <w:shd w:fill="EDF2F7"/>
          </w:tcPr>
          <w:p>
            <w:pPr>
              <w:spacing w:after="40" w:line="276" w:lineRule="auto"/>
              <w:jc w:val="left"/>
            </w:pPr>
            <w:r>
              <w:rPr>
                <w:b w:val="0"/>
                <w:i w:val="0"/>
              </w:rPr>
              <w:t>Adopt green infrastructure practices</w:t>
            </w:r>
          </w:p>
        </w:tc>
        <w:tc>
          <w:tcPr>
            <w:tcW w:type="dxa" w:w="3061"/>
            <w:vAlign w:val="center"/>
            <w:shd w:fill="EDF2F7"/>
          </w:tcPr>
          <w:p>
            <w:pPr>
              <w:spacing w:after="40" w:line="276" w:lineRule="auto"/>
              <w:ind w:left="125" w:hanging="125"/>
              <w:jc w:val="left"/>
            </w:pPr>
            <w:r>
              <w:t xml:space="preserve">• </w:t>
            </w:r>
            <w:r>
              <w:rPr>
                <w:b w:val="0"/>
                <w:i w:val="0"/>
              </w:rPr>
              <w:t>Install solar power, rainwater harvesting, and waste segregation units.</w:t>
            </w:r>
          </w:p>
          <w:p>
            <w:pPr>
              <w:spacing w:after="40" w:line="276" w:lineRule="auto"/>
              <w:ind w:left="125" w:hanging="125"/>
              <w:jc w:val="left"/>
            </w:pPr>
            <w:r>
              <w:t xml:space="preserve">• </w:t>
            </w:r>
            <w:r>
              <w:rPr>
                <w:b w:val="0"/>
                <w:i w:val="0"/>
              </w:rPr>
              <w:t>Conduct regular energy &amp; water audits.</w:t>
            </w:r>
          </w:p>
          <w:p>
            <w:pPr>
              <w:spacing w:after="40" w:line="276" w:lineRule="auto"/>
              <w:ind w:left="125" w:hanging="125"/>
              <w:jc w:val="left"/>
            </w:pPr>
            <w:r>
              <w:t xml:space="preserve">• </w:t>
            </w:r>
            <w:r>
              <w:rPr>
                <w:b w:val="0"/>
                <w:i w:val="0"/>
              </w:rPr>
              <w:t>Transition to smart green buildings.</w:t>
            </w:r>
          </w:p>
        </w:tc>
        <w:tc>
          <w:tcPr>
            <w:tcW w:type="dxa" w:w="2211"/>
            <w:vAlign w:val="center"/>
            <w:shd w:fill="EDF2F7"/>
          </w:tcPr>
          <w:p>
            <w:pPr>
              <w:spacing w:after="40" w:line="276" w:lineRule="auto"/>
              <w:jc w:val="left"/>
            </w:pPr>
            <w:r>
              <w:rPr>
                <w:b w:val="0"/>
                <w:i w:val="0"/>
              </w:rPr>
              <w:t>Reduced carbon footprint; efficient campus operations.</w:t>
            </w:r>
          </w:p>
        </w:tc>
        <w:tc>
          <w:tcPr>
            <w:tcW w:type="dxa" w:w="2154"/>
            <w:vAlign w:val="center"/>
            <w:shd w:fill="EDF2F7"/>
          </w:tcPr>
          <w:p>
            <w:pPr>
              <w:spacing w:after="40" w:line="276" w:lineRule="auto"/>
              <w:ind w:left="125" w:hanging="125"/>
              <w:jc w:val="left"/>
            </w:pPr>
            <w:r>
              <w:t xml:space="preserve">• </w:t>
            </w:r>
            <w:r>
              <w:rPr>
                <w:b w:val="0"/>
                <w:i w:val="0"/>
              </w:rPr>
              <w:t>% renewable energy usage (≥50%).</w:t>
            </w:r>
          </w:p>
          <w:p>
            <w:pPr>
              <w:spacing w:after="40" w:line="276" w:lineRule="auto"/>
              <w:ind w:left="125" w:hanging="125"/>
              <w:jc w:val="left"/>
            </w:pPr>
            <w:r>
              <w:t xml:space="preserve">• </w:t>
            </w:r>
            <w:r>
              <w:rPr>
                <w:b w:val="0"/>
                <w:i w:val="0"/>
              </w:rPr>
              <w:t>Water recycling rate (≥70%).</w:t>
            </w:r>
          </w:p>
          <w:p>
            <w:pPr>
              <w:spacing w:after="40" w:line="276" w:lineRule="auto"/>
              <w:ind w:left="125" w:hanging="125"/>
              <w:jc w:val="left"/>
            </w:pPr>
            <w:r>
              <w:t xml:space="preserve">• </w:t>
            </w:r>
            <w:r>
              <w:rPr>
                <w:b w:val="0"/>
                <w:i w:val="0"/>
              </w:rPr>
              <w:t>Energy audit compliance score (≥90%).</w:t>
            </w:r>
          </w:p>
        </w:tc>
      </w:tr>
      <w:tr>
        <w:trPr>
          <w:cantSplit/>
        </w:trPr>
        <w:tc>
          <w:tcPr>
            <w:tcW w:type="dxa" w:w="1984"/>
            <w:vAlign w:val="center"/>
            <w:shd w:fill="FFFFFF"/>
          </w:tcPr>
          <w:p>
            <w:pPr>
              <w:spacing w:after="40" w:line="276" w:lineRule="auto"/>
              <w:jc w:val="left"/>
            </w:pPr>
            <w:r>
              <w:rPr>
                <w:b w:val="0"/>
                <w:i w:val="0"/>
              </w:rPr>
              <w:t>Respond to student/​community demand for eco-friendly campuses</w:t>
            </w:r>
          </w:p>
        </w:tc>
        <w:tc>
          <w:tcPr>
            <w:tcW w:type="dxa" w:w="3061"/>
            <w:vAlign w:val="center"/>
            <w:shd w:fill="FFFFFF"/>
          </w:tcPr>
          <w:p>
            <w:pPr>
              <w:spacing w:after="40" w:line="276" w:lineRule="auto"/>
              <w:ind w:left="125" w:hanging="125"/>
              <w:jc w:val="left"/>
            </w:pPr>
            <w:r>
              <w:t xml:space="preserve">• </w:t>
            </w:r>
            <w:r>
              <w:rPr>
                <w:b w:val="0"/>
                <w:i w:val="0"/>
              </w:rPr>
              <w:t>Establish sustainability clubs &amp; student-led eco-projects.</w:t>
            </w:r>
          </w:p>
          <w:p>
            <w:pPr>
              <w:spacing w:after="40" w:line="276" w:lineRule="auto"/>
              <w:ind w:left="125" w:hanging="125"/>
              <w:jc w:val="left"/>
            </w:pPr>
            <w:r>
              <w:t xml:space="preserve">• </w:t>
            </w:r>
            <w:r>
              <w:rPr>
                <w:b w:val="0"/>
                <w:i w:val="0"/>
              </w:rPr>
              <w:t>Conduct awareness campaigns.</w:t>
            </w:r>
          </w:p>
          <w:p>
            <w:pPr>
              <w:spacing w:after="40" w:line="276" w:lineRule="auto"/>
              <w:ind w:left="125" w:hanging="125"/>
              <w:jc w:val="left"/>
            </w:pPr>
            <w:r>
              <w:t xml:space="preserve">• </w:t>
            </w:r>
            <w:r>
              <w:rPr>
                <w:b w:val="0"/>
                <w:i w:val="0"/>
              </w:rPr>
              <w:t xml:space="preserve">create </w:t>
            </w:r>
            <w:r>
              <w:rPr>
                <w:b w:val="0"/>
                <w:i/>
              </w:rPr>
              <w:t>“green ambassadors”</w:t>
            </w:r>
            <w:r>
              <w:rPr>
                <w:b w:val="0"/>
                <w:i w:val="0"/>
              </w:rPr>
              <w:t xml:space="preserve"> program.</w:t>
            </w:r>
          </w:p>
        </w:tc>
        <w:tc>
          <w:tcPr>
            <w:tcW w:type="dxa" w:w="2211"/>
            <w:vAlign w:val="center"/>
            <w:shd w:fill="FFFFFF"/>
          </w:tcPr>
          <w:p>
            <w:pPr>
              <w:spacing w:after="40" w:line="276" w:lineRule="auto"/>
              <w:jc w:val="left"/>
            </w:pPr>
            <w:r>
              <w:rPr>
                <w:b w:val="0"/>
                <w:i w:val="0"/>
              </w:rPr>
              <w:t>Strong environmental culture among students &amp; stakeholders.</w:t>
            </w:r>
          </w:p>
        </w:tc>
        <w:tc>
          <w:tcPr>
            <w:tcW w:type="dxa" w:w="2154"/>
            <w:vAlign w:val="center"/>
            <w:shd w:fill="FFFFFF"/>
          </w:tcPr>
          <w:p>
            <w:pPr>
              <w:spacing w:after="40" w:line="276" w:lineRule="auto"/>
              <w:ind w:left="125" w:hanging="125"/>
              <w:jc w:val="left"/>
            </w:pPr>
            <w:r>
              <w:t xml:space="preserve">• </w:t>
            </w:r>
            <w:r>
              <w:rPr>
                <w:b w:val="0"/>
                <w:i w:val="0"/>
              </w:rPr>
              <w:t>No. of student-led sustainability projects.</w:t>
            </w:r>
          </w:p>
          <w:p>
            <w:pPr>
              <w:spacing w:after="40" w:line="276" w:lineRule="auto"/>
              <w:ind w:left="125" w:hanging="125"/>
              <w:jc w:val="left"/>
            </w:pPr>
            <w:r>
              <w:t xml:space="preserve">• </w:t>
            </w:r>
            <w:r>
              <w:rPr>
                <w:b w:val="0"/>
                <w:i w:val="0"/>
              </w:rPr>
              <w:t>% students engaged (≥70%).</w:t>
            </w:r>
          </w:p>
          <w:p>
            <w:pPr>
              <w:spacing w:after="40" w:line="276" w:lineRule="auto"/>
              <w:ind w:left="125" w:hanging="125"/>
              <w:jc w:val="left"/>
            </w:pPr>
            <w:r>
              <w:t xml:space="preserve">• </w:t>
            </w:r>
            <w:r>
              <w:rPr>
                <w:b w:val="0"/>
                <w:i w:val="0"/>
              </w:rPr>
              <w:t>Community satisfaction index (≥85%).</w:t>
            </w:r>
          </w:p>
        </w:tc>
      </w:tr>
      <w:tr>
        <w:trPr>
          <w:cantSplit/>
        </w:trPr>
        <w:tc>
          <w:tcPr>
            <w:tcW w:type="dxa" w:w="1984"/>
            <w:vAlign w:val="center"/>
            <w:shd w:fill="EDF2F7"/>
          </w:tcPr>
          <w:p>
            <w:pPr>
              <w:spacing w:after="40" w:line="276" w:lineRule="auto"/>
              <w:jc w:val="left"/>
            </w:pPr>
            <w:r>
              <w:rPr>
                <w:b w:val="0"/>
                <w:i w:val="0"/>
              </w:rPr>
              <w:t>Leverage funding opportunities for sustainability research</w:t>
            </w:r>
          </w:p>
        </w:tc>
        <w:tc>
          <w:tcPr>
            <w:tcW w:type="dxa" w:w="3061"/>
            <w:vAlign w:val="center"/>
            <w:shd w:fill="EDF2F7"/>
          </w:tcPr>
          <w:p>
            <w:pPr>
              <w:spacing w:after="40" w:line="276" w:lineRule="auto"/>
              <w:ind w:left="125" w:hanging="125"/>
              <w:jc w:val="left"/>
            </w:pPr>
            <w:r>
              <w:t xml:space="preserve">• </w:t>
            </w:r>
            <w:r>
              <w:rPr>
                <w:b w:val="0"/>
                <w:i w:val="0"/>
              </w:rPr>
              <w:t>Apply for climate &amp; sustainability grants (UN, CSR, Gov).</w:t>
            </w:r>
          </w:p>
          <w:p>
            <w:pPr>
              <w:spacing w:after="40" w:line="276" w:lineRule="auto"/>
              <w:ind w:left="125" w:hanging="125"/>
              <w:jc w:val="left"/>
            </w:pPr>
            <w:r>
              <w:t xml:space="preserve">• </w:t>
            </w:r>
            <w:r>
              <w:rPr>
                <w:b w:val="0"/>
                <w:i w:val="0"/>
              </w:rPr>
              <w:t>Establish centers of excellence in renewable energy &amp; green tech.</w:t>
            </w:r>
          </w:p>
          <w:p>
            <w:pPr>
              <w:spacing w:after="40" w:line="276" w:lineRule="auto"/>
              <w:ind w:left="125" w:hanging="125"/>
              <w:jc w:val="left"/>
            </w:pPr>
            <w:r>
              <w:t xml:space="preserve">• </w:t>
            </w:r>
            <w:r>
              <w:rPr>
                <w:b w:val="0"/>
                <w:i w:val="0"/>
              </w:rPr>
              <w:t>Partner with industry for clean tech projects.</w:t>
            </w:r>
          </w:p>
        </w:tc>
        <w:tc>
          <w:tcPr>
            <w:tcW w:type="dxa" w:w="2211"/>
            <w:vAlign w:val="center"/>
            <w:shd w:fill="EDF2F7"/>
          </w:tcPr>
          <w:p>
            <w:pPr>
              <w:spacing w:after="40" w:line="276" w:lineRule="auto"/>
              <w:jc w:val="left"/>
            </w:pPr>
            <w:r>
              <w:rPr>
                <w:b w:val="0"/>
                <w:i w:val="0"/>
              </w:rPr>
              <w:t>Increased research capacity; financial sustainability.</w:t>
            </w:r>
          </w:p>
        </w:tc>
        <w:tc>
          <w:tcPr>
            <w:tcW w:type="dxa" w:w="2154"/>
            <w:vAlign w:val="center"/>
            <w:shd w:fill="EDF2F7"/>
          </w:tcPr>
          <w:p>
            <w:pPr>
              <w:spacing w:after="40" w:line="276" w:lineRule="auto"/>
              <w:ind w:left="125" w:hanging="125"/>
              <w:jc w:val="left"/>
            </w:pPr>
            <w:r>
              <w:t xml:space="preserve">• </w:t>
            </w:r>
            <w:r>
              <w:rPr>
                <w:b w:val="0"/>
                <w:i w:val="0"/>
              </w:rPr>
              <w:t>No. of sustainability projects funded.</w:t>
            </w:r>
          </w:p>
          <w:p>
            <w:pPr>
              <w:spacing w:after="40" w:line="276" w:lineRule="auto"/>
              <w:ind w:left="125" w:hanging="125"/>
              <w:jc w:val="left"/>
            </w:pPr>
            <w:r>
              <w:t xml:space="preserve">• </w:t>
            </w:r>
            <w:r>
              <w:rPr>
                <w:b w:val="0"/>
                <w:i w:val="0"/>
              </w:rPr>
              <w:t>Research grants secured annually.</w:t>
            </w:r>
          </w:p>
          <w:p>
            <w:pPr>
              <w:spacing w:after="40" w:line="276" w:lineRule="auto"/>
              <w:ind w:left="125" w:hanging="125"/>
              <w:jc w:val="left"/>
            </w:pPr>
            <w:r>
              <w:t xml:space="preserve">• </w:t>
            </w:r>
            <w:r>
              <w:rPr>
                <w:b w:val="0"/>
                <w:i w:val="0"/>
              </w:rPr>
              <w:t>No. of industry partnerships.</w:t>
            </w:r>
          </w:p>
        </w:tc>
      </w:tr>
      <w:tr>
        <w:trPr>
          <w:cantSplit/>
        </w:trPr>
        <w:tc>
          <w:tcPr>
            <w:tcW w:type="dxa" w:w="1984"/>
            <w:vAlign w:val="center"/>
            <w:shd w:fill="FFFFFF"/>
          </w:tcPr>
          <w:p>
            <w:pPr>
              <w:spacing w:after="40" w:line="276" w:lineRule="auto"/>
              <w:jc w:val="left"/>
            </w:pPr>
            <w:r>
              <w:rPr>
                <w:b w:val="0"/>
                <w:i w:val="0"/>
              </w:rPr>
              <w:t>Ensure compliance with environmental regulations</w:t>
            </w:r>
          </w:p>
        </w:tc>
        <w:tc>
          <w:tcPr>
            <w:tcW w:type="dxa" w:w="3061"/>
            <w:vAlign w:val="center"/>
            <w:shd w:fill="FFFFFF"/>
          </w:tcPr>
          <w:p>
            <w:pPr>
              <w:spacing w:after="40" w:line="276" w:lineRule="auto"/>
              <w:ind w:left="125" w:hanging="125"/>
              <w:jc w:val="left"/>
            </w:pPr>
            <w:r>
              <w:t xml:space="preserve">• </w:t>
            </w:r>
            <w:r>
              <w:rPr>
                <w:b w:val="0"/>
                <w:i w:val="0"/>
              </w:rPr>
              <w:t>Conduct annual environmental audits.</w:t>
            </w:r>
          </w:p>
          <w:p>
            <w:pPr>
              <w:spacing w:after="40" w:line="276" w:lineRule="auto"/>
              <w:ind w:left="125" w:hanging="125"/>
              <w:jc w:val="left"/>
            </w:pPr>
            <w:r>
              <w:t xml:space="preserve">• </w:t>
            </w:r>
            <w:r>
              <w:rPr>
                <w:b w:val="0"/>
                <w:i w:val="0"/>
              </w:rPr>
              <w:t>Publish campus carbon footprint reports.</w:t>
            </w:r>
          </w:p>
          <w:p>
            <w:pPr>
              <w:spacing w:after="40" w:line="276" w:lineRule="auto"/>
              <w:ind w:left="125" w:hanging="125"/>
              <w:jc w:val="left"/>
            </w:pPr>
            <w:r>
              <w:t xml:space="preserve">• </w:t>
            </w:r>
            <w:r>
              <w:rPr>
                <w:b w:val="0"/>
                <w:i w:val="0"/>
              </w:rPr>
              <w:t>Create an Environmental Compliance Cell.</w:t>
            </w:r>
          </w:p>
        </w:tc>
        <w:tc>
          <w:tcPr>
            <w:tcW w:type="dxa" w:w="2211"/>
            <w:vAlign w:val="center"/>
            <w:shd w:fill="FFFFFF"/>
          </w:tcPr>
          <w:p>
            <w:pPr>
              <w:spacing w:after="40" w:line="276" w:lineRule="auto"/>
              <w:jc w:val="left"/>
            </w:pPr>
            <w:r>
              <w:rPr>
                <w:b w:val="0"/>
                <w:i w:val="0"/>
              </w:rPr>
              <w:t>Full legal compliance; zero violations.</w:t>
            </w:r>
          </w:p>
        </w:tc>
        <w:tc>
          <w:tcPr>
            <w:tcW w:type="dxa" w:w="2154"/>
            <w:vAlign w:val="center"/>
            <w:shd w:fill="FFFFFF"/>
          </w:tcPr>
          <w:p>
            <w:pPr>
              <w:spacing w:after="40" w:line="276" w:lineRule="auto"/>
              <w:ind w:left="125" w:hanging="125"/>
              <w:jc w:val="left"/>
            </w:pPr>
            <w:r>
              <w:t xml:space="preserve">• </w:t>
            </w:r>
            <w:r>
              <w:rPr>
                <w:b/>
                <w:i w:val="0"/>
              </w:rPr>
              <w:t>No. of violations (target:</w:t>
            </w:r>
            <w:r>
              <w:rPr>
                <w:b w:val="0"/>
                <w:i w:val="0"/>
              </w:rPr>
              <w:t xml:space="preserve"> 0).</w:t>
            </w:r>
          </w:p>
          <w:p>
            <w:pPr>
              <w:spacing w:after="40" w:line="276" w:lineRule="auto"/>
              <w:ind w:left="125" w:hanging="125"/>
              <w:jc w:val="left"/>
            </w:pPr>
            <w:r>
              <w:t xml:space="preserve">• </w:t>
            </w:r>
            <w:r>
              <w:rPr>
                <w:b w:val="0"/>
                <w:i w:val="0"/>
              </w:rPr>
              <w:t>Annual audit completion (100%).</w:t>
            </w:r>
          </w:p>
          <w:p>
            <w:pPr>
              <w:spacing w:after="40" w:line="276" w:lineRule="auto"/>
              <w:ind w:left="125" w:hanging="125"/>
              <w:jc w:val="left"/>
            </w:pPr>
            <w:r>
              <w:t xml:space="preserve">• </w:t>
            </w:r>
            <w:r>
              <w:rPr>
                <w:b w:val="0"/>
                <w:i w:val="0"/>
              </w:rPr>
              <w:t>Carbon footprint reduction rate.</w:t>
            </w:r>
          </w:p>
        </w:tc>
      </w:tr>
      <w:tr>
        <w:trPr>
          <w:cantSplit/>
        </w:trPr>
        <w:tc>
          <w:tcPr>
            <w:tcW w:type="dxa" w:w="1984"/>
            <w:vAlign w:val="center"/>
            <w:shd w:fill="EDF2F7"/>
          </w:tcPr>
          <w:p>
            <w:pPr>
              <w:spacing w:after="40" w:line="276" w:lineRule="auto"/>
              <w:jc w:val="left"/>
            </w:pPr>
            <w:r>
              <w:rPr>
                <w:b w:val="0"/>
                <w:i w:val="0"/>
              </w:rPr>
              <w:t>Align with global frameworks (Paris Agreement, UN SDGs)</w:t>
            </w:r>
          </w:p>
        </w:tc>
        <w:tc>
          <w:tcPr>
            <w:tcW w:type="dxa" w:w="3061"/>
            <w:vAlign w:val="center"/>
            <w:shd w:fill="EDF2F7"/>
          </w:tcPr>
          <w:p>
            <w:pPr>
              <w:spacing w:after="40" w:line="276" w:lineRule="auto"/>
              <w:ind w:left="125" w:hanging="125"/>
              <w:jc w:val="left"/>
            </w:pPr>
            <w:r>
              <w:t xml:space="preserve">• </w:t>
            </w:r>
            <w:r>
              <w:rPr>
                <w:b w:val="0"/>
                <w:i w:val="0"/>
              </w:rPr>
              <w:t>Embed Paris Agreement &amp; SDG targets in institutional policies.</w:t>
            </w:r>
          </w:p>
          <w:p>
            <w:pPr>
              <w:spacing w:after="40" w:line="276" w:lineRule="auto"/>
              <w:ind w:left="125" w:hanging="125"/>
              <w:jc w:val="left"/>
            </w:pPr>
            <w:r>
              <w:t xml:space="preserve">• </w:t>
            </w:r>
            <w:r>
              <w:rPr>
                <w:b w:val="0"/>
                <w:i w:val="0"/>
              </w:rPr>
              <w:t>Collaborate in global climate initiatives.</w:t>
            </w:r>
          </w:p>
          <w:p>
            <w:pPr>
              <w:spacing w:after="40" w:line="276" w:lineRule="auto"/>
              <w:ind w:left="125" w:hanging="125"/>
              <w:jc w:val="left"/>
            </w:pPr>
            <w:r>
              <w:t xml:space="preserve">• </w:t>
            </w:r>
            <w:r>
              <w:rPr>
                <w:b w:val="0"/>
                <w:i w:val="0"/>
              </w:rPr>
              <w:t>Join international green university networks.</w:t>
            </w:r>
          </w:p>
        </w:tc>
        <w:tc>
          <w:tcPr>
            <w:tcW w:type="dxa" w:w="2211"/>
            <w:vAlign w:val="center"/>
            <w:shd w:fill="EDF2F7"/>
          </w:tcPr>
          <w:p>
            <w:pPr>
              <w:spacing w:after="40" w:line="276" w:lineRule="auto"/>
              <w:jc w:val="left"/>
            </w:pPr>
            <w:r>
              <w:rPr>
                <w:b w:val="0"/>
                <w:i w:val="0"/>
              </w:rPr>
              <w:t>Global positioning as a sustainable HEI leader.</w:t>
            </w:r>
          </w:p>
        </w:tc>
        <w:tc>
          <w:tcPr>
            <w:tcW w:type="dxa" w:w="2154"/>
            <w:vAlign w:val="center"/>
            <w:shd w:fill="EDF2F7"/>
          </w:tcPr>
          <w:p>
            <w:pPr>
              <w:spacing w:after="40" w:line="276" w:lineRule="auto"/>
              <w:ind w:left="125" w:hanging="125"/>
              <w:jc w:val="left"/>
            </w:pPr>
            <w:r>
              <w:t xml:space="preserve">• </w:t>
            </w:r>
            <w:r>
              <w:rPr>
                <w:b w:val="0"/>
                <w:i w:val="0"/>
              </w:rPr>
              <w:t>No. of global sustainability memberships.</w:t>
            </w:r>
          </w:p>
          <w:p>
            <w:pPr>
              <w:spacing w:after="40" w:line="276" w:lineRule="auto"/>
              <w:ind w:left="125" w:hanging="125"/>
              <w:jc w:val="left"/>
            </w:pPr>
            <w:r>
              <w:t xml:space="preserve">• </w:t>
            </w:r>
            <w:r>
              <w:rPr>
                <w:b w:val="0"/>
                <w:i w:val="0"/>
              </w:rPr>
              <w:t>SDG alignment score (≥90%).</w:t>
            </w:r>
          </w:p>
          <w:p>
            <w:pPr>
              <w:spacing w:after="40" w:line="276" w:lineRule="auto"/>
              <w:ind w:left="125" w:hanging="125"/>
              <w:jc w:val="left"/>
            </w:pPr>
            <w:r>
              <w:t xml:space="preserve">• </w:t>
            </w:r>
            <w:r>
              <w:rPr>
                <w:b w:val="0"/>
                <w:i w:val="0"/>
              </w:rPr>
              <w:t>Ranking in green campus/​global sustainability indexes.</w:t>
            </w:r>
          </w:p>
        </w:tc>
      </w:tr>
    </w:tbl>
    <w:p>
      <w:pPr>
        <w:spacing w:after="40"/>
      </w:pPr>
    </w:p>
    <w:p>
      <w:pPr>
        <w:pStyle w:val="Heading1"/>
      </w:pPr>
      <w:r>
        <w:t>9. Strategic Roadmap with Timelines</w:t>
      </w:r>
    </w:p>
    <w:p>
      <w:pPr>
        <w:pStyle w:val="Heading2"/>
      </w:pPr>
      <w:r>
        <w:rPr>
          <w:i/>
        </w:rPr>
        <w:t>1. Political Dimension</w:t>
      </w:r>
    </w:p>
    <w:p>
      <w:pPr>
        <w:pStyle w:val="ListBullet"/>
        <w:numPr>
          <w:ilvl w:val="0"/>
          <w:numId w:val="90"/>
        </w:numPr>
        <w:ind w:left="340" w:hanging="142"/>
      </w:pPr>
      <w:r>
        <w:rPr>
          <w:b w:val="0"/>
          <w:i w:val="0"/>
        </w:rPr>
        <w:t>Short-Term (0–1 year)</w:t>
      </w:r>
    </w:p>
    <w:p>
      <w:pPr>
        <w:pStyle w:val="ListBullet2"/>
        <w:numPr>
          <w:ilvl w:val="1"/>
          <w:numId w:val="90"/>
        </w:numPr>
        <w:ind w:left="652" w:hanging="142"/>
      </w:pPr>
      <w:r>
        <w:rPr>
          <w:b w:val="0"/>
          <w:i w:val="0"/>
        </w:rPr>
        <w:t>Align institutional vision and mission with NEP 2020 and SDG goals.</w:t>
      </w:r>
    </w:p>
    <w:p>
      <w:pPr>
        <w:pStyle w:val="ListBullet2"/>
        <w:numPr>
          <w:ilvl w:val="1"/>
          <w:numId w:val="90"/>
        </w:numPr>
        <w:ind w:left="652" w:hanging="142"/>
      </w:pPr>
      <w:r>
        <w:rPr>
          <w:b w:val="0"/>
          <w:i w:val="0"/>
        </w:rPr>
        <w:t>Conduct workshops to sensitize faculty/students about new policies.</w:t>
      </w:r>
    </w:p>
    <w:p>
      <w:pPr>
        <w:pStyle w:val="ListBullet"/>
        <w:numPr>
          <w:ilvl w:val="0"/>
          <w:numId w:val="90"/>
        </w:numPr>
        <w:ind w:left="340" w:hanging="142"/>
      </w:pPr>
      <w:r>
        <w:rPr>
          <w:b w:val="0"/>
          <w:i w:val="0"/>
        </w:rPr>
        <w:t>Medium-Term (2–3 years)</w:t>
      </w:r>
    </w:p>
    <w:p>
      <w:pPr>
        <w:pStyle w:val="ListBullet2"/>
        <w:numPr>
          <w:ilvl w:val="1"/>
          <w:numId w:val="90"/>
        </w:numPr>
        <w:ind w:left="652" w:hanging="142"/>
      </w:pPr>
      <w:r>
        <w:rPr>
          <w:b w:val="0"/>
          <w:i w:val="0"/>
        </w:rPr>
        <w:t>Build partnerships with government for policy-driven projects.</w:t>
      </w:r>
    </w:p>
    <w:p>
      <w:pPr>
        <w:pStyle w:val="ListBullet2"/>
        <w:numPr>
          <w:ilvl w:val="1"/>
          <w:numId w:val="90"/>
        </w:numPr>
        <w:ind w:left="652" w:hanging="142"/>
      </w:pPr>
      <w:r>
        <w:rPr>
          <w:b w:val="0"/>
          <w:i w:val="0"/>
        </w:rPr>
        <w:t>Strengthen accreditation readiness (NAAC, NBA, QS).</w:t>
      </w:r>
    </w:p>
    <w:p>
      <w:pPr>
        <w:pStyle w:val="ListBullet"/>
        <w:numPr>
          <w:ilvl w:val="0"/>
          <w:numId w:val="90"/>
        </w:numPr>
        <w:ind w:left="340" w:hanging="142"/>
      </w:pPr>
      <w:r>
        <w:rPr>
          <w:b w:val="0"/>
          <w:i w:val="0"/>
        </w:rPr>
        <w:t>Long-Term (4–7 years)</w:t>
      </w:r>
    </w:p>
    <w:p>
      <w:pPr>
        <w:pStyle w:val="ListBullet2"/>
        <w:numPr>
          <w:ilvl w:val="1"/>
          <w:numId w:val="90"/>
        </w:numPr>
        <w:ind w:left="652" w:hanging="142"/>
      </w:pPr>
      <w:r>
        <w:rPr>
          <w:b w:val="0"/>
          <w:i w:val="0"/>
        </w:rPr>
        <w:t>Achieve recognition as a policy-aligned model institution.</w:t>
      </w:r>
    </w:p>
    <w:p>
      <w:pPr>
        <w:pStyle w:val="ListBullet2"/>
        <w:numPr>
          <w:ilvl w:val="1"/>
          <w:numId w:val="90"/>
        </w:numPr>
        <w:ind w:left="652" w:hanging="142"/>
      </w:pPr>
      <w:r>
        <w:rPr>
          <w:b w:val="0"/>
          <w:i w:val="0"/>
        </w:rPr>
        <w:t>Influence higher education reforms by contributing to national policy papers.</w:t>
      </w:r>
    </w:p>
    <w:p>
      <w:pPr>
        <w:pStyle w:val="Heading2"/>
      </w:pPr>
      <w:r>
        <w:rPr>
          <w:i/>
        </w:rPr>
        <w:t>2. Economic Dimension</w:t>
      </w:r>
    </w:p>
    <w:p>
      <w:pPr>
        <w:pStyle w:val="ListBullet"/>
        <w:numPr>
          <w:ilvl w:val="0"/>
          <w:numId w:val="90"/>
        </w:numPr>
        <w:ind w:left="340" w:hanging="142"/>
      </w:pPr>
      <w:r>
        <w:rPr>
          <w:b w:val="0"/>
          <w:i w:val="0"/>
        </w:rPr>
        <w:t>Short-Term</w:t>
      </w:r>
    </w:p>
    <w:p>
      <w:pPr>
        <w:pStyle w:val="ListBullet2"/>
        <w:numPr>
          <w:ilvl w:val="1"/>
          <w:numId w:val="90"/>
        </w:numPr>
        <w:ind w:left="652" w:hanging="142"/>
      </w:pPr>
      <w:r>
        <w:rPr>
          <w:b w:val="0"/>
          <w:i w:val="0"/>
        </w:rPr>
        <w:t>Launch alumni and CSR funding drives.</w:t>
      </w:r>
    </w:p>
    <w:p>
      <w:pPr>
        <w:pStyle w:val="ListBullet2"/>
        <w:numPr>
          <w:ilvl w:val="1"/>
          <w:numId w:val="90"/>
        </w:numPr>
        <w:ind w:left="652" w:hanging="142"/>
      </w:pPr>
      <w:r>
        <w:rPr>
          <w:b w:val="0"/>
          <w:i w:val="0"/>
        </w:rPr>
        <w:t>Initiate consultancy services to reduce dependency on government funds.</w:t>
      </w:r>
    </w:p>
    <w:p>
      <w:pPr>
        <w:pStyle w:val="ListBullet"/>
        <w:numPr>
          <w:ilvl w:val="0"/>
          <w:numId w:val="90"/>
        </w:numPr>
        <w:ind w:left="340" w:hanging="142"/>
      </w:pPr>
      <w:r>
        <w:rPr>
          <w:b w:val="0"/>
          <w:i w:val="0"/>
        </w:rPr>
        <w:t>Medium-Term</w:t>
      </w:r>
    </w:p>
    <w:p>
      <w:pPr>
        <w:pStyle w:val="ListBullet2"/>
        <w:numPr>
          <w:ilvl w:val="1"/>
          <w:numId w:val="90"/>
        </w:numPr>
        <w:ind w:left="652" w:hanging="142"/>
      </w:pPr>
      <w:r>
        <w:rPr>
          <w:b w:val="0"/>
          <w:i w:val="0"/>
        </w:rPr>
        <w:t>Create endowment funds and scholarships.</w:t>
      </w:r>
    </w:p>
    <w:p>
      <w:pPr>
        <w:pStyle w:val="ListBullet2"/>
        <w:numPr>
          <w:ilvl w:val="1"/>
          <w:numId w:val="90"/>
        </w:numPr>
        <w:ind w:left="652" w:hanging="142"/>
      </w:pPr>
      <w:r>
        <w:rPr>
          <w:b w:val="0"/>
          <w:i w:val="0"/>
        </w:rPr>
        <w:t>Develop industry-funded research labs and innovation hubs.</w:t>
      </w:r>
    </w:p>
    <w:p>
      <w:pPr>
        <w:pStyle w:val="ListBullet"/>
        <w:numPr>
          <w:ilvl w:val="0"/>
          <w:numId w:val="90"/>
        </w:numPr>
        <w:ind w:left="340" w:hanging="142"/>
      </w:pPr>
      <w:r>
        <w:rPr>
          <w:b w:val="0"/>
          <w:i w:val="0"/>
        </w:rPr>
        <w:t>Long-Term</w:t>
      </w:r>
    </w:p>
    <w:p>
      <w:pPr>
        <w:pStyle w:val="ListBullet2"/>
        <w:numPr>
          <w:ilvl w:val="1"/>
          <w:numId w:val="90"/>
        </w:numPr>
        <w:ind w:left="652" w:hanging="142"/>
      </w:pPr>
      <w:r>
        <w:rPr>
          <w:b w:val="0"/>
          <w:i w:val="0"/>
        </w:rPr>
        <w:t>Achieve financial sustainability with 40–50% non-government income.</w:t>
      </w:r>
    </w:p>
    <w:p>
      <w:pPr>
        <w:pStyle w:val="ListBullet2"/>
        <w:numPr>
          <w:ilvl w:val="1"/>
          <w:numId w:val="90"/>
        </w:numPr>
        <w:ind w:left="652" w:hanging="142"/>
      </w:pPr>
      <w:r>
        <w:rPr>
          <w:b w:val="0"/>
          <w:i w:val="0"/>
        </w:rPr>
        <w:t>Establish self-financing centers of excellence generating long-term revenue.</w:t>
      </w:r>
    </w:p>
    <w:p>
      <w:pPr>
        <w:pStyle w:val="Heading2"/>
      </w:pPr>
      <w:r>
        <w:rPr>
          <w:i/>
        </w:rPr>
        <w:t>3. Social Dimension</w:t>
      </w:r>
    </w:p>
    <w:p>
      <w:pPr>
        <w:pStyle w:val="ListBullet"/>
        <w:numPr>
          <w:ilvl w:val="0"/>
          <w:numId w:val="90"/>
        </w:numPr>
        <w:ind w:left="340" w:hanging="142"/>
      </w:pPr>
      <w:r>
        <w:rPr>
          <w:b w:val="0"/>
          <w:i w:val="0"/>
        </w:rPr>
        <w:t>Short-Term</w:t>
      </w:r>
    </w:p>
    <w:p>
      <w:pPr>
        <w:pStyle w:val="ListBullet2"/>
        <w:numPr>
          <w:ilvl w:val="1"/>
          <w:numId w:val="90"/>
        </w:numPr>
        <w:ind w:left="652" w:hanging="142"/>
      </w:pPr>
      <w:r>
        <w:rPr>
          <w:b w:val="0"/>
          <w:i w:val="0"/>
        </w:rPr>
        <w:t>Organize community outreach programs (health camps, literacy drives).</w:t>
      </w:r>
    </w:p>
    <w:p>
      <w:pPr>
        <w:pStyle w:val="ListBullet2"/>
        <w:numPr>
          <w:ilvl w:val="1"/>
          <w:numId w:val="90"/>
        </w:numPr>
        <w:ind w:left="652" w:hanging="142"/>
      </w:pPr>
      <w:r>
        <w:rPr>
          <w:b w:val="0"/>
          <w:i w:val="0"/>
        </w:rPr>
        <w:t>Introduce inclusivity and diversity awareness programs on campus.</w:t>
      </w:r>
    </w:p>
    <w:p>
      <w:pPr>
        <w:pStyle w:val="ListBullet"/>
        <w:numPr>
          <w:ilvl w:val="0"/>
          <w:numId w:val="90"/>
        </w:numPr>
        <w:ind w:left="340" w:hanging="142"/>
      </w:pPr>
      <w:r>
        <w:rPr>
          <w:b w:val="0"/>
          <w:i w:val="0"/>
        </w:rPr>
        <w:t>Medium-Term</w:t>
      </w:r>
    </w:p>
    <w:p>
      <w:pPr>
        <w:pStyle w:val="ListBullet2"/>
        <w:numPr>
          <w:ilvl w:val="1"/>
          <w:numId w:val="90"/>
        </w:numPr>
        <w:ind w:left="652" w:hanging="142"/>
      </w:pPr>
      <w:r>
        <w:rPr>
          <w:b w:val="0"/>
          <w:i w:val="0"/>
        </w:rPr>
        <w:t>Establish student/faculty exchange programs to increase global exposure.</w:t>
      </w:r>
    </w:p>
    <w:p>
      <w:pPr>
        <w:pStyle w:val="ListBullet2"/>
        <w:numPr>
          <w:ilvl w:val="1"/>
          <w:numId w:val="90"/>
        </w:numPr>
        <w:ind w:left="652" w:hanging="142"/>
      </w:pPr>
      <w:r>
        <w:rPr>
          <w:b w:val="0"/>
          <w:i w:val="0"/>
        </w:rPr>
        <w:t>Launch service-learning as part of the curriculum.</w:t>
      </w:r>
    </w:p>
    <w:p>
      <w:pPr>
        <w:pStyle w:val="ListBullet"/>
        <w:numPr>
          <w:ilvl w:val="0"/>
          <w:numId w:val="90"/>
        </w:numPr>
        <w:ind w:left="340" w:hanging="142"/>
      </w:pPr>
      <w:r>
        <w:rPr>
          <w:b w:val="0"/>
          <w:i w:val="0"/>
        </w:rPr>
        <w:t>Long-Term</w:t>
      </w:r>
    </w:p>
    <w:p>
      <w:pPr>
        <w:pStyle w:val="ListBullet2"/>
        <w:numPr>
          <w:ilvl w:val="1"/>
          <w:numId w:val="90"/>
        </w:numPr>
        <w:ind w:left="652" w:hanging="142"/>
      </w:pPr>
      <w:r>
        <w:rPr>
          <w:b w:val="0"/>
          <w:i w:val="0"/>
        </w:rPr>
        <w:t>Build reputation as a socially responsible and inclusive university.</w:t>
      </w:r>
    </w:p>
    <w:p>
      <w:pPr>
        <w:pStyle w:val="ListBullet2"/>
        <w:numPr>
          <w:ilvl w:val="1"/>
          <w:numId w:val="90"/>
        </w:numPr>
        <w:ind w:left="652" w:hanging="142"/>
      </w:pPr>
      <w:r>
        <w:rPr>
          <w:b w:val="0"/>
          <w:i w:val="0"/>
        </w:rPr>
        <w:t>Retain global talent by offering competitive opportunities and support.</w:t>
      </w:r>
    </w:p>
    <w:p>
      <w:pPr>
        <w:pStyle w:val="Heading2"/>
      </w:pPr>
      <w:r>
        <w:rPr>
          <w:i/>
        </w:rPr>
        <w:t>4. Technological Dimension</w:t>
      </w:r>
    </w:p>
    <w:p>
      <w:pPr>
        <w:pStyle w:val="ListBullet"/>
        <w:numPr>
          <w:ilvl w:val="0"/>
          <w:numId w:val="90"/>
        </w:numPr>
        <w:ind w:left="340" w:hanging="142"/>
      </w:pPr>
      <w:r>
        <w:rPr>
          <w:b w:val="0"/>
          <w:i w:val="0"/>
        </w:rPr>
        <w:t>Short-Term</w:t>
      </w:r>
    </w:p>
    <w:p>
      <w:pPr>
        <w:pStyle w:val="ListBullet2"/>
        <w:numPr>
          <w:ilvl w:val="1"/>
          <w:numId w:val="90"/>
        </w:numPr>
        <w:ind w:left="652" w:hanging="142"/>
      </w:pPr>
      <w:r>
        <w:rPr>
          <w:b w:val="0"/>
          <w:i w:val="0"/>
        </w:rPr>
        <w:t>Upgrade ICT systems, expand e-library, strengthen cybersecurity.</w:t>
      </w:r>
    </w:p>
    <w:p>
      <w:pPr>
        <w:pStyle w:val="ListBullet2"/>
        <w:numPr>
          <w:ilvl w:val="1"/>
          <w:numId w:val="90"/>
        </w:numPr>
        <w:ind w:left="652" w:hanging="142"/>
      </w:pPr>
      <w:r>
        <w:rPr>
          <w:b w:val="0"/>
          <w:i w:val="0"/>
        </w:rPr>
        <w:t>Start pilot programs with AI-driven dashboards for decision-making.</w:t>
      </w:r>
    </w:p>
    <w:p>
      <w:pPr>
        <w:pStyle w:val="ListBullet"/>
        <w:numPr>
          <w:ilvl w:val="0"/>
          <w:numId w:val="90"/>
        </w:numPr>
        <w:ind w:left="340" w:hanging="142"/>
      </w:pPr>
      <w:r>
        <w:rPr>
          <w:b w:val="0"/>
          <w:i w:val="0"/>
        </w:rPr>
        <w:t>Medium-Term</w:t>
      </w:r>
    </w:p>
    <w:p>
      <w:pPr>
        <w:pStyle w:val="ListBullet2"/>
        <w:numPr>
          <w:ilvl w:val="1"/>
          <w:numId w:val="90"/>
        </w:numPr>
        <w:ind w:left="652" w:hanging="142"/>
      </w:pPr>
      <w:r>
        <w:rPr>
          <w:b w:val="0"/>
          <w:i w:val="0"/>
        </w:rPr>
        <w:t>Introduce advanced labs (AI, VR/AR, IoT, cloud computing).</w:t>
      </w:r>
    </w:p>
    <w:p>
      <w:pPr>
        <w:pStyle w:val="ListBullet2"/>
        <w:numPr>
          <w:ilvl w:val="1"/>
          <w:numId w:val="90"/>
        </w:numPr>
        <w:ind w:left="652" w:hanging="142"/>
      </w:pPr>
      <w:r>
        <w:rPr>
          <w:b w:val="0"/>
          <w:i w:val="0"/>
        </w:rPr>
        <w:t>Regularly revise curriculum for tech-relevance.</w:t>
      </w:r>
    </w:p>
    <w:p>
      <w:pPr>
        <w:pStyle w:val="ListBullet"/>
        <w:numPr>
          <w:ilvl w:val="0"/>
          <w:numId w:val="90"/>
        </w:numPr>
        <w:ind w:left="340" w:hanging="142"/>
      </w:pPr>
      <w:r>
        <w:rPr>
          <w:b w:val="0"/>
          <w:i w:val="0"/>
        </w:rPr>
        <w:t>Long-Term</w:t>
      </w:r>
    </w:p>
    <w:p>
      <w:pPr>
        <w:pStyle w:val="ListBullet2"/>
        <w:numPr>
          <w:ilvl w:val="1"/>
          <w:numId w:val="90"/>
        </w:numPr>
        <w:ind w:left="652" w:hanging="142"/>
      </w:pPr>
      <w:r>
        <w:rPr>
          <w:b w:val="0"/>
          <w:i w:val="0"/>
        </w:rPr>
        <w:t>Establish a fully smart campus integrated with IoT and renewable tech.</w:t>
      </w:r>
    </w:p>
    <w:p>
      <w:pPr>
        <w:pStyle w:val="ListBullet2"/>
        <w:numPr>
          <w:ilvl w:val="1"/>
          <w:numId w:val="90"/>
        </w:numPr>
        <w:ind w:left="652" w:hanging="142"/>
      </w:pPr>
      <w:r>
        <w:rPr>
          <w:b w:val="0"/>
          <w:i w:val="0"/>
        </w:rPr>
        <w:t>Position institution as a global hub for tech-driven education.</w:t>
      </w:r>
    </w:p>
    <w:p>
      <w:pPr>
        <w:pStyle w:val="Heading2"/>
      </w:pPr>
      <w:r>
        <w:rPr>
          <w:i/>
        </w:rPr>
        <w:t>5. Legal Dimension</w:t>
      </w:r>
    </w:p>
    <w:p>
      <w:pPr>
        <w:pStyle w:val="ListBullet"/>
        <w:numPr>
          <w:ilvl w:val="0"/>
          <w:numId w:val="90"/>
        </w:numPr>
        <w:ind w:left="340" w:hanging="142"/>
      </w:pPr>
      <w:r>
        <w:rPr>
          <w:b w:val="0"/>
          <w:i w:val="0"/>
        </w:rPr>
        <w:t>Short-Term</w:t>
      </w:r>
    </w:p>
    <w:p>
      <w:pPr>
        <w:pStyle w:val="ListBullet2"/>
        <w:numPr>
          <w:ilvl w:val="1"/>
          <w:numId w:val="90"/>
        </w:numPr>
        <w:ind w:left="652" w:hanging="142"/>
      </w:pPr>
      <w:r>
        <w:rPr>
          <w:b w:val="0"/>
          <w:i w:val="0"/>
        </w:rPr>
        <w:t>Create a Legal Compliance Unit to monitor accreditation, labour, and data laws.</w:t>
      </w:r>
    </w:p>
    <w:p>
      <w:pPr>
        <w:pStyle w:val="ListBullet2"/>
        <w:numPr>
          <w:ilvl w:val="1"/>
          <w:numId w:val="90"/>
        </w:numPr>
        <w:ind w:left="652" w:hanging="142"/>
      </w:pPr>
      <w:r>
        <w:rPr>
          <w:b w:val="0"/>
          <w:i w:val="0"/>
        </w:rPr>
        <w:t>Draft institutional IPR and data governance policies.</w:t>
      </w:r>
    </w:p>
    <w:p>
      <w:pPr>
        <w:pStyle w:val="ListBullet"/>
        <w:numPr>
          <w:ilvl w:val="0"/>
          <w:numId w:val="90"/>
        </w:numPr>
        <w:ind w:left="340" w:hanging="142"/>
      </w:pPr>
      <w:r>
        <w:rPr>
          <w:b w:val="0"/>
          <w:i w:val="0"/>
        </w:rPr>
        <w:t>Medium-Term</w:t>
      </w:r>
    </w:p>
    <w:p>
      <w:pPr>
        <w:pStyle w:val="ListBullet2"/>
        <w:numPr>
          <w:ilvl w:val="1"/>
          <w:numId w:val="90"/>
        </w:numPr>
        <w:ind w:left="652" w:hanging="142"/>
      </w:pPr>
      <w:r>
        <w:rPr>
          <w:b w:val="0"/>
          <w:i w:val="0"/>
        </w:rPr>
        <w:t>Secure national/international accreditations (NAAC A++, NBA Tier-I, QS stars).</w:t>
      </w:r>
    </w:p>
    <w:p>
      <w:pPr>
        <w:pStyle w:val="ListBullet2"/>
        <w:numPr>
          <w:ilvl w:val="1"/>
          <w:numId w:val="90"/>
        </w:numPr>
        <w:ind w:left="652" w:hanging="142"/>
      </w:pPr>
      <w:r>
        <w:rPr>
          <w:b w:val="0"/>
          <w:i w:val="0"/>
        </w:rPr>
        <w:t>Build collaborations compliant with international education regulations.</w:t>
      </w:r>
    </w:p>
    <w:p>
      <w:pPr>
        <w:pStyle w:val="ListBullet"/>
        <w:numPr>
          <w:ilvl w:val="0"/>
          <w:numId w:val="90"/>
        </w:numPr>
        <w:ind w:left="340" w:hanging="142"/>
      </w:pPr>
      <w:r>
        <w:rPr>
          <w:b w:val="0"/>
          <w:i w:val="0"/>
        </w:rPr>
        <w:t>Long-Term</w:t>
      </w:r>
    </w:p>
    <w:p>
      <w:pPr>
        <w:pStyle w:val="ListBullet2"/>
        <w:numPr>
          <w:ilvl w:val="1"/>
          <w:numId w:val="90"/>
        </w:numPr>
        <w:ind w:left="652" w:hanging="142"/>
      </w:pPr>
      <w:r>
        <w:rPr>
          <w:b w:val="0"/>
          <w:i w:val="0"/>
        </w:rPr>
        <w:t>Maintain continuous compliance with global data laws (GDPR, AI ethics frameworks).</w:t>
      </w:r>
    </w:p>
    <w:p>
      <w:pPr>
        <w:pStyle w:val="ListBullet2"/>
        <w:numPr>
          <w:ilvl w:val="1"/>
          <w:numId w:val="90"/>
        </w:numPr>
        <w:ind w:left="652" w:hanging="142"/>
      </w:pPr>
      <w:r>
        <w:rPr>
          <w:b w:val="0"/>
          <w:i w:val="0"/>
        </w:rPr>
        <w:t>Recognized as a benchmark institution for accreditation and compliance.</w:t>
      </w:r>
    </w:p>
    <w:p>
      <w:pPr>
        <w:pStyle w:val="Heading2"/>
      </w:pPr>
      <w:r>
        <w:rPr>
          <w:i/>
        </w:rPr>
        <w:t>6. Environmental Dimension</w:t>
      </w:r>
    </w:p>
    <w:p>
      <w:pPr>
        <w:pStyle w:val="ListBullet"/>
        <w:numPr>
          <w:ilvl w:val="0"/>
          <w:numId w:val="90"/>
        </w:numPr>
        <w:ind w:left="340" w:hanging="142"/>
      </w:pPr>
      <w:r>
        <w:rPr>
          <w:b w:val="0"/>
          <w:i w:val="0"/>
        </w:rPr>
        <w:t>Short-Term</w:t>
      </w:r>
    </w:p>
    <w:p>
      <w:pPr>
        <w:pStyle w:val="ListBullet2"/>
        <w:numPr>
          <w:ilvl w:val="1"/>
          <w:numId w:val="90"/>
        </w:numPr>
        <w:ind w:left="652" w:hanging="142"/>
      </w:pPr>
      <w:r>
        <w:rPr>
          <w:b w:val="0"/>
          <w:i w:val="0"/>
        </w:rPr>
        <w:t>Begin renewable energy projects (solar rooftops, rainwater harvesting).</w:t>
      </w:r>
    </w:p>
    <w:p>
      <w:pPr>
        <w:pStyle w:val="ListBullet2"/>
        <w:numPr>
          <w:ilvl w:val="1"/>
          <w:numId w:val="90"/>
        </w:numPr>
        <w:ind w:left="652" w:hanging="142"/>
      </w:pPr>
      <w:r>
        <w:rPr>
          <w:b w:val="0"/>
          <w:i w:val="0"/>
        </w:rPr>
        <w:t>Launch awareness programs on sustainability for students/faculty.</w:t>
      </w:r>
    </w:p>
    <w:p>
      <w:pPr>
        <w:pStyle w:val="ListBullet"/>
        <w:numPr>
          <w:ilvl w:val="0"/>
          <w:numId w:val="90"/>
        </w:numPr>
        <w:ind w:left="340" w:hanging="142"/>
      </w:pPr>
      <w:r>
        <w:rPr>
          <w:b w:val="0"/>
          <w:i w:val="0"/>
        </w:rPr>
        <w:t>Medium-Term</w:t>
      </w:r>
    </w:p>
    <w:p>
      <w:pPr>
        <w:pStyle w:val="ListBullet2"/>
        <w:numPr>
          <w:ilvl w:val="1"/>
          <w:numId w:val="90"/>
        </w:numPr>
        <w:ind w:left="652" w:hanging="142"/>
      </w:pPr>
      <w:r>
        <w:rPr>
          <w:b w:val="0"/>
          <w:i w:val="0"/>
        </w:rPr>
        <w:t>Develop green-certified campus buildings.</w:t>
      </w:r>
    </w:p>
    <w:p>
      <w:pPr>
        <w:pStyle w:val="ListBullet2"/>
        <w:numPr>
          <w:ilvl w:val="1"/>
          <w:numId w:val="90"/>
        </w:numPr>
        <w:ind w:left="652" w:hanging="142"/>
      </w:pPr>
      <w:r>
        <w:rPr>
          <w:b w:val="0"/>
          <w:i w:val="0"/>
        </w:rPr>
        <w:t>Expand sustainability-focused research (climate, clean energy, waste management).</w:t>
      </w:r>
    </w:p>
    <w:p>
      <w:pPr>
        <w:pStyle w:val="ListBullet"/>
        <w:numPr>
          <w:ilvl w:val="0"/>
          <w:numId w:val="90"/>
        </w:numPr>
        <w:ind w:left="340" w:hanging="142"/>
      </w:pPr>
      <w:r>
        <w:rPr>
          <w:b w:val="0"/>
          <w:i w:val="0"/>
        </w:rPr>
        <w:t>Long-Term</w:t>
      </w:r>
    </w:p>
    <w:p>
      <w:pPr>
        <w:pStyle w:val="ListBullet2"/>
        <w:numPr>
          <w:ilvl w:val="1"/>
          <w:numId w:val="90"/>
        </w:numPr>
        <w:ind w:left="652" w:hanging="142"/>
      </w:pPr>
      <w:r>
        <w:rPr>
          <w:b w:val="0"/>
          <w:i w:val="0"/>
        </w:rPr>
        <w:t>Achieve carbon-neutral campus status.</w:t>
      </w:r>
    </w:p>
    <w:p>
      <w:pPr>
        <w:pStyle w:val="ListBullet2"/>
        <w:numPr>
          <w:ilvl w:val="1"/>
          <w:numId w:val="90"/>
        </w:numPr>
        <w:ind w:left="652" w:hanging="142"/>
      </w:pPr>
      <w:r>
        <w:rPr>
          <w:b w:val="0"/>
          <w:i w:val="0"/>
        </w:rPr>
        <w:t>Become a recognized leader in higher education sustainability practices.</w:t>
      </w:r>
    </w:p>
    <w:p>
      <w:pPr>
        <w:pStyle w:val="Heading1"/>
      </w:pPr>
      <w:r>
        <w:t>10. Strategic Objectives for a Strategic Development Plan</w:t>
      </w:r>
    </w:p>
    <w:p>
      <w:pPr>
        <w:pStyle w:val="Heading2"/>
      </w:pPr>
      <w:r>
        <w:rPr>
          <w:i/>
        </w:rPr>
        <w:t>1. Academic Excellence &amp; Curriculum Reform</w:t>
      </w:r>
    </w:p>
    <w:p>
      <w:pPr>
        <w:pStyle w:val="ListBullet"/>
        <w:numPr>
          <w:ilvl w:val="0"/>
          <w:numId w:val="90"/>
        </w:numPr>
        <w:ind w:left="340" w:hanging="142"/>
      </w:pPr>
      <w:r>
        <w:rPr>
          <w:b w:val="0"/>
          <w:i w:val="0"/>
        </w:rPr>
        <w:t>Align teaching—learning processes with NEP 2020 competency-based models.</w:t>
      </w:r>
    </w:p>
    <w:p>
      <w:pPr>
        <w:pStyle w:val="ListBullet"/>
        <w:numPr>
          <w:ilvl w:val="0"/>
          <w:numId w:val="90"/>
        </w:numPr>
        <w:ind w:left="340" w:hanging="142"/>
      </w:pPr>
      <w:r>
        <w:rPr>
          <w:b w:val="0"/>
          <w:i w:val="0"/>
        </w:rPr>
        <w:t>Integrate interdisciplinary and multidisciplinary courses.</w:t>
      </w:r>
    </w:p>
    <w:p>
      <w:pPr>
        <w:pStyle w:val="ListBullet"/>
        <w:numPr>
          <w:ilvl w:val="0"/>
          <w:numId w:val="90"/>
        </w:numPr>
        <w:ind w:left="340" w:hanging="142"/>
      </w:pPr>
      <w:r>
        <w:rPr>
          <w:b w:val="0"/>
          <w:i w:val="0"/>
        </w:rPr>
        <w:t>Introduce flexible learning pathways (credit banks, online/offline integration).</w:t>
      </w:r>
    </w:p>
    <w:p>
      <w:pPr>
        <w:pStyle w:val="ListBullet"/>
        <w:numPr>
          <w:ilvl w:val="0"/>
          <w:numId w:val="90"/>
        </w:numPr>
        <w:ind w:left="340" w:hanging="142"/>
      </w:pPr>
      <w:r>
        <w:rPr>
          <w:b w:val="0"/>
          <w:i w:val="0"/>
        </w:rPr>
        <w:t>Promote outcome-based education (OBE) linked to employability.</w:t>
      </w:r>
    </w:p>
    <w:p>
      <w:pPr>
        <w:pStyle w:val="Heading2"/>
      </w:pPr>
      <w:r>
        <w:rPr>
          <w:i/>
        </w:rPr>
        <w:t>2. Research, Innovation &amp; Knowledge Creation</w:t>
      </w:r>
    </w:p>
    <w:p>
      <w:pPr>
        <w:pStyle w:val="ListBullet"/>
        <w:numPr>
          <w:ilvl w:val="0"/>
          <w:numId w:val="90"/>
        </w:numPr>
        <w:ind w:left="340" w:hanging="142"/>
      </w:pPr>
      <w:r>
        <w:rPr>
          <w:b w:val="0"/>
          <w:i w:val="0"/>
        </w:rPr>
        <w:t>Establish centers of excellence in emerging domains (AI, sustainability, health tech).</w:t>
      </w:r>
    </w:p>
    <w:p>
      <w:pPr>
        <w:pStyle w:val="ListBullet"/>
        <w:numPr>
          <w:ilvl w:val="0"/>
          <w:numId w:val="90"/>
        </w:numPr>
        <w:ind w:left="340" w:hanging="142"/>
      </w:pPr>
      <w:r>
        <w:rPr>
          <w:b w:val="0"/>
          <w:i w:val="0"/>
        </w:rPr>
        <w:t>Enhance research output, patents, and publications.</w:t>
      </w:r>
    </w:p>
    <w:p>
      <w:pPr>
        <w:pStyle w:val="ListBullet"/>
        <w:numPr>
          <w:ilvl w:val="0"/>
          <w:numId w:val="90"/>
        </w:numPr>
        <w:ind w:left="340" w:hanging="142"/>
      </w:pPr>
      <w:r>
        <w:rPr>
          <w:b w:val="0"/>
          <w:i w:val="0"/>
        </w:rPr>
        <w:t>Promote collaborative research with industry and international institutions.</w:t>
      </w:r>
    </w:p>
    <w:p>
      <w:pPr>
        <w:pStyle w:val="ListBullet"/>
        <w:numPr>
          <w:ilvl w:val="0"/>
          <w:numId w:val="90"/>
        </w:numPr>
        <w:ind w:left="340" w:hanging="142"/>
      </w:pPr>
      <w:r>
        <w:rPr>
          <w:b w:val="0"/>
          <w:i w:val="0"/>
        </w:rPr>
        <w:t>Align research with SDGs (e.g., clean energy, quality education, sustainable communities).</w:t>
      </w:r>
    </w:p>
    <w:p>
      <w:pPr>
        <w:pStyle w:val="Heading2"/>
      </w:pPr>
      <w:r>
        <w:rPr>
          <w:i/>
        </w:rPr>
        <w:t>3. Sustainable Infrastructure &amp; Green Development</w:t>
      </w:r>
    </w:p>
    <w:p>
      <w:pPr>
        <w:pStyle w:val="ListBullet"/>
        <w:numPr>
          <w:ilvl w:val="0"/>
          <w:numId w:val="90"/>
        </w:numPr>
        <w:ind w:left="340" w:hanging="142"/>
      </w:pPr>
      <w:r>
        <w:rPr>
          <w:b w:val="0"/>
          <w:i w:val="0"/>
        </w:rPr>
        <w:t>Develop smart, ICT-enabled campuses.</w:t>
      </w:r>
    </w:p>
    <w:p>
      <w:pPr>
        <w:pStyle w:val="ListBullet"/>
        <w:numPr>
          <w:ilvl w:val="0"/>
          <w:numId w:val="90"/>
        </w:numPr>
        <w:ind w:left="340" w:hanging="142"/>
      </w:pPr>
      <w:r>
        <w:rPr>
          <w:b w:val="0"/>
          <w:i w:val="0"/>
        </w:rPr>
        <w:t>Adopt renewable energy, waste management, and water conservation systems.</w:t>
      </w:r>
    </w:p>
    <w:p>
      <w:pPr>
        <w:pStyle w:val="ListBullet"/>
        <w:numPr>
          <w:ilvl w:val="0"/>
          <w:numId w:val="90"/>
        </w:numPr>
        <w:ind w:left="340" w:hanging="142"/>
      </w:pPr>
      <w:r>
        <w:rPr>
          <w:b w:val="0"/>
          <w:i w:val="0"/>
        </w:rPr>
        <w:t>Build green-certified buildings and eco-friendly infrastructure.</w:t>
      </w:r>
    </w:p>
    <w:p>
      <w:pPr>
        <w:pStyle w:val="ListBullet"/>
        <w:numPr>
          <w:ilvl w:val="0"/>
          <w:numId w:val="90"/>
        </w:numPr>
        <w:ind w:left="340" w:hanging="142"/>
      </w:pPr>
      <w:r>
        <w:rPr>
          <w:b w:val="0"/>
          <w:i w:val="0"/>
        </w:rPr>
        <w:t>Aim for carbon-neutral operations by long-term planning.</w:t>
      </w:r>
    </w:p>
    <w:p>
      <w:pPr>
        <w:pStyle w:val="Heading2"/>
      </w:pPr>
      <w:r>
        <w:rPr>
          <w:i/>
        </w:rPr>
        <w:t>4. Governance, Quality Assurance &amp; Accreditation</w:t>
      </w:r>
    </w:p>
    <w:p>
      <w:pPr>
        <w:pStyle w:val="ListBullet"/>
        <w:numPr>
          <w:ilvl w:val="0"/>
          <w:numId w:val="90"/>
        </w:numPr>
        <w:ind w:left="340" w:hanging="142"/>
      </w:pPr>
      <w:r>
        <w:rPr>
          <w:b w:val="0"/>
          <w:i w:val="0"/>
        </w:rPr>
        <w:t>Establish strong IQAC (Internal Quality Assurance Cell).</w:t>
      </w:r>
    </w:p>
    <w:p>
      <w:pPr>
        <w:pStyle w:val="ListBullet"/>
        <w:numPr>
          <w:ilvl w:val="0"/>
          <w:numId w:val="90"/>
        </w:numPr>
        <w:ind w:left="340" w:hanging="142"/>
      </w:pPr>
      <w:r>
        <w:rPr>
          <w:b w:val="0"/>
          <w:i w:val="0"/>
        </w:rPr>
        <w:t>Achieve and maintain national and international accreditations (NAAC, NBA, QS, NIRF).</w:t>
      </w:r>
    </w:p>
    <w:p>
      <w:pPr>
        <w:pStyle w:val="ListBullet"/>
        <w:numPr>
          <w:ilvl w:val="0"/>
          <w:numId w:val="90"/>
        </w:numPr>
        <w:ind w:left="340" w:hanging="142"/>
      </w:pPr>
      <w:r>
        <w:rPr>
          <w:b w:val="0"/>
          <w:i w:val="0"/>
        </w:rPr>
        <w:t>Strengthen data-driven governance and transparency.</w:t>
      </w:r>
    </w:p>
    <w:p>
      <w:pPr>
        <w:pStyle w:val="ListBullet"/>
        <w:numPr>
          <w:ilvl w:val="0"/>
          <w:numId w:val="90"/>
        </w:numPr>
        <w:ind w:left="340" w:hanging="142"/>
      </w:pPr>
      <w:r>
        <w:rPr>
          <w:b w:val="0"/>
          <w:i w:val="0"/>
        </w:rPr>
        <w:t>Build a culture of continuous improvement and accountability.</w:t>
      </w:r>
    </w:p>
    <w:p>
      <w:pPr>
        <w:pStyle w:val="Heading2"/>
      </w:pPr>
      <w:r>
        <w:rPr>
          <w:i/>
        </w:rPr>
        <w:t>5. Financial Sustainability &amp; Resource Mobilization</w:t>
      </w:r>
    </w:p>
    <w:p>
      <w:pPr>
        <w:pStyle w:val="ListBullet"/>
        <w:numPr>
          <w:ilvl w:val="0"/>
          <w:numId w:val="90"/>
        </w:numPr>
        <w:ind w:left="340" w:hanging="142"/>
      </w:pPr>
      <w:r>
        <w:rPr>
          <w:b w:val="0"/>
          <w:i w:val="0"/>
        </w:rPr>
        <w:t>Diversify income through alumni contributions, CSR, and consultancy services.</w:t>
      </w:r>
    </w:p>
    <w:p>
      <w:pPr>
        <w:pStyle w:val="ListBullet"/>
        <w:numPr>
          <w:ilvl w:val="0"/>
          <w:numId w:val="90"/>
        </w:numPr>
        <w:ind w:left="340" w:hanging="142"/>
      </w:pPr>
      <w:r>
        <w:rPr>
          <w:b w:val="0"/>
          <w:i w:val="0"/>
        </w:rPr>
        <w:t>Establish endowment funds and scholarships.</w:t>
      </w:r>
    </w:p>
    <w:p>
      <w:pPr>
        <w:pStyle w:val="ListBullet"/>
        <w:numPr>
          <w:ilvl w:val="0"/>
          <w:numId w:val="90"/>
        </w:numPr>
        <w:ind w:left="340" w:hanging="142"/>
      </w:pPr>
      <w:r>
        <w:rPr>
          <w:b w:val="0"/>
          <w:i w:val="0"/>
        </w:rPr>
        <w:t>Foster public–private partnerships for infrastructure and research.</w:t>
      </w:r>
    </w:p>
    <w:p>
      <w:pPr>
        <w:pStyle w:val="ListBullet"/>
        <w:numPr>
          <w:ilvl w:val="0"/>
          <w:numId w:val="90"/>
        </w:numPr>
        <w:ind w:left="340" w:hanging="142"/>
      </w:pPr>
      <w:r>
        <w:rPr>
          <w:b w:val="0"/>
          <w:i w:val="0"/>
        </w:rPr>
        <w:t>Reduce dependence on government grants by developing self-sustaining initiatives.</w:t>
      </w:r>
    </w:p>
    <w:p>
      <w:pPr>
        <w:pStyle w:val="Heading2"/>
      </w:pPr>
      <w:r>
        <w:rPr>
          <w:i/>
        </w:rPr>
        <w:t>6. Community Engagement &amp; Social Responsibility</w:t>
      </w:r>
    </w:p>
    <w:p>
      <w:pPr>
        <w:pStyle w:val="ListBullet"/>
        <w:numPr>
          <w:ilvl w:val="0"/>
          <w:numId w:val="90"/>
        </w:numPr>
        <w:ind w:left="340" w:hanging="142"/>
      </w:pPr>
      <w:r>
        <w:rPr>
          <w:b w:val="0"/>
          <w:i w:val="0"/>
        </w:rPr>
        <w:t>Implement extension and outreach programs (healthcare, literacy, skill development).</w:t>
      </w:r>
    </w:p>
    <w:p>
      <w:pPr>
        <w:pStyle w:val="ListBullet"/>
        <w:numPr>
          <w:ilvl w:val="0"/>
          <w:numId w:val="90"/>
        </w:numPr>
        <w:ind w:left="340" w:hanging="142"/>
      </w:pPr>
      <w:r>
        <w:rPr>
          <w:b w:val="0"/>
          <w:i w:val="0"/>
        </w:rPr>
        <w:t>Develop institutional social responsibility (ISR) projects.</w:t>
      </w:r>
    </w:p>
    <w:p>
      <w:pPr>
        <w:pStyle w:val="ListBullet"/>
        <w:numPr>
          <w:ilvl w:val="0"/>
          <w:numId w:val="90"/>
        </w:numPr>
        <w:ind w:left="340" w:hanging="142"/>
      </w:pPr>
      <w:r>
        <w:rPr>
          <w:b w:val="0"/>
          <w:i w:val="0"/>
        </w:rPr>
        <w:t>Encourage student-led initiatives for societal transformation.</w:t>
      </w:r>
    </w:p>
    <w:p>
      <w:pPr>
        <w:pStyle w:val="ListBullet"/>
        <w:numPr>
          <w:ilvl w:val="0"/>
          <w:numId w:val="90"/>
        </w:numPr>
        <w:ind w:left="340" w:hanging="142"/>
      </w:pPr>
      <w:r>
        <w:rPr>
          <w:b w:val="0"/>
          <w:i w:val="0"/>
        </w:rPr>
        <w:t>Strengthen role of HEIs in local, regional, and national development.</w:t>
      </w:r>
    </w:p>
    <w:p>
      <w:pPr>
        <w:pStyle w:val="Heading2"/>
      </w:pPr>
      <w:r>
        <w:rPr>
          <w:i/>
        </w:rPr>
        <w:t>7. Globalization &amp; Internationalization</w:t>
      </w:r>
    </w:p>
    <w:p>
      <w:pPr>
        <w:pStyle w:val="ListBullet"/>
        <w:numPr>
          <w:ilvl w:val="0"/>
          <w:numId w:val="90"/>
        </w:numPr>
        <w:ind w:left="340" w:hanging="142"/>
      </w:pPr>
      <w:r>
        <w:rPr>
          <w:b w:val="0"/>
          <w:i w:val="0"/>
        </w:rPr>
        <w:t>Sign MoUs with global universities for collaboration.</w:t>
      </w:r>
    </w:p>
    <w:p>
      <w:pPr>
        <w:pStyle w:val="ListBullet"/>
        <w:numPr>
          <w:ilvl w:val="0"/>
          <w:numId w:val="90"/>
        </w:numPr>
        <w:ind w:left="340" w:hanging="142"/>
      </w:pPr>
      <w:r>
        <w:rPr>
          <w:b w:val="0"/>
          <w:i w:val="0"/>
        </w:rPr>
        <w:t>Launch student/faculty exchange programs.</w:t>
      </w:r>
    </w:p>
    <w:p>
      <w:pPr>
        <w:pStyle w:val="ListBullet"/>
        <w:numPr>
          <w:ilvl w:val="0"/>
          <w:numId w:val="90"/>
        </w:numPr>
        <w:ind w:left="340" w:hanging="142"/>
      </w:pPr>
      <w:r>
        <w:rPr>
          <w:b w:val="0"/>
          <w:i w:val="0"/>
        </w:rPr>
        <w:t>Host international conferences, summits, and research collaborations.</w:t>
      </w:r>
    </w:p>
    <w:p>
      <w:pPr>
        <w:pStyle w:val="ListBullet"/>
        <w:numPr>
          <w:ilvl w:val="0"/>
          <w:numId w:val="90"/>
        </w:numPr>
        <w:ind w:left="340" w:hanging="142"/>
      </w:pPr>
      <w:r>
        <w:rPr>
          <w:b w:val="0"/>
          <w:i w:val="0"/>
        </w:rPr>
        <w:t>Integrate global benchmarks into curriculum and research priorities.</w:t>
      </w:r>
    </w:p>
    <w:p>
      <w:pPr>
        <w:pStyle w:val="Heading2"/>
      </w:pPr>
      <w:r>
        <w:rPr>
          <w:i/>
        </w:rPr>
        <w:t>8. Technological Advancement &amp; Digital Transformation</w:t>
      </w:r>
    </w:p>
    <w:p>
      <w:pPr>
        <w:pStyle w:val="ListBullet"/>
        <w:numPr>
          <w:ilvl w:val="0"/>
          <w:numId w:val="90"/>
        </w:numPr>
        <w:ind w:left="340" w:hanging="142"/>
      </w:pPr>
      <w:r>
        <w:rPr>
          <w:b w:val="0"/>
          <w:i w:val="0"/>
        </w:rPr>
        <w:t>Incorporate AI, big data, cloud computing, VR/AR into teaching and administration.</w:t>
      </w:r>
    </w:p>
    <w:p>
      <w:pPr>
        <w:pStyle w:val="ListBullet"/>
        <w:numPr>
          <w:ilvl w:val="0"/>
          <w:numId w:val="90"/>
        </w:numPr>
        <w:ind w:left="340" w:hanging="142"/>
      </w:pPr>
      <w:r>
        <w:rPr>
          <w:b w:val="0"/>
          <w:i w:val="0"/>
        </w:rPr>
        <w:t>Develop smart classrooms and digital libraries.</w:t>
      </w:r>
    </w:p>
    <w:p>
      <w:pPr>
        <w:pStyle w:val="ListBullet"/>
        <w:numPr>
          <w:ilvl w:val="0"/>
          <w:numId w:val="90"/>
        </w:numPr>
        <w:ind w:left="340" w:hanging="142"/>
      </w:pPr>
      <w:r>
        <w:rPr>
          <w:b w:val="0"/>
          <w:i w:val="0"/>
        </w:rPr>
        <w:t>Strengthen cybersecurity and data governance frameworks.</w:t>
      </w:r>
    </w:p>
    <w:p>
      <w:pPr>
        <w:pStyle w:val="ListBullet"/>
        <w:numPr>
          <w:ilvl w:val="0"/>
          <w:numId w:val="90"/>
        </w:numPr>
        <w:ind w:left="340" w:hanging="142"/>
      </w:pPr>
      <w:r>
        <w:rPr>
          <w:b w:val="0"/>
          <w:i w:val="0"/>
        </w:rPr>
        <w:t>Train faculty/students in 21st-century digital competencies.</w:t>
      </w:r>
    </w:p>
    <w:p>
      <w:pPr>
        <w:pStyle w:val="Heading2"/>
      </w:pPr>
      <w:r>
        <w:rPr>
          <w:i/>
        </w:rPr>
        <w:t>9. Equity, Inclusion &amp; Student Development</w:t>
      </w:r>
    </w:p>
    <w:p>
      <w:pPr>
        <w:pStyle w:val="ListBullet"/>
        <w:numPr>
          <w:ilvl w:val="0"/>
          <w:numId w:val="90"/>
        </w:numPr>
        <w:ind w:left="340" w:hanging="142"/>
      </w:pPr>
      <w:r>
        <w:rPr>
          <w:b w:val="0"/>
          <w:i w:val="0"/>
        </w:rPr>
        <w:t>Ensure equitable access to education across socio-economic groups.</w:t>
      </w:r>
    </w:p>
    <w:p>
      <w:pPr>
        <w:pStyle w:val="ListBullet"/>
        <w:numPr>
          <w:ilvl w:val="0"/>
          <w:numId w:val="90"/>
        </w:numPr>
        <w:ind w:left="340" w:hanging="142"/>
      </w:pPr>
      <w:r>
        <w:rPr>
          <w:b w:val="0"/>
          <w:i w:val="0"/>
        </w:rPr>
        <w:t>Provide financial aid, scholarships, and mentorship to underrepresented groups.</w:t>
      </w:r>
    </w:p>
    <w:p>
      <w:pPr>
        <w:pStyle w:val="ListBullet"/>
        <w:numPr>
          <w:ilvl w:val="0"/>
          <w:numId w:val="90"/>
        </w:numPr>
        <w:ind w:left="340" w:hanging="142"/>
      </w:pPr>
      <w:r>
        <w:rPr>
          <w:b w:val="0"/>
          <w:i w:val="0"/>
        </w:rPr>
        <w:t>Promote diversity, inclusivity, and gender balance.</w:t>
      </w:r>
    </w:p>
    <w:p>
      <w:pPr>
        <w:pStyle w:val="ListBullet"/>
        <w:numPr>
          <w:ilvl w:val="0"/>
          <w:numId w:val="90"/>
        </w:numPr>
        <w:ind w:left="340" w:hanging="142"/>
      </w:pPr>
      <w:r>
        <w:rPr>
          <w:b w:val="0"/>
          <w:i w:val="0"/>
        </w:rPr>
        <w:t>Build holistic student support systems (counseling, career services, skill training).</w:t>
      </w:r>
    </w:p>
    <w:p>
      <w:pPr>
        <w:pStyle w:val="Heading2"/>
      </w:pPr>
      <w:r>
        <w:t>Strategic Objectives → Policy–Action–Outcome–KPI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757"/>
        <w:gridCol w:w="1928"/>
        <w:gridCol w:w="1928"/>
        <w:gridCol w:w="1871"/>
        <w:gridCol w:w="1928"/>
      </w:tblGrid>
      <w:tr>
        <w:trPr>
          <w:tblHeader/>
          <w:cantSplit/>
        </w:trPr>
        <w:tc>
          <w:tcPr>
            <w:tcW w:type="dxa" w:w="1757"/>
            <w:vAlign w:val="center"/>
            <w:shd w:fill="1F3A5F"/>
          </w:tcPr>
          <w:p>
            <w:pPr>
              <w:keepNext/>
              <w:spacing w:after="40" w:line="276" w:lineRule="auto"/>
              <w:jc w:val="left"/>
            </w:pPr>
            <w:r>
              <w:rPr>
                <w:b/>
                <w:i w:val="0"/>
                <w:color w:val="FFFFFF"/>
              </w:rPr>
              <w:t>Strategic Objective</w:t>
            </w:r>
          </w:p>
        </w:tc>
        <w:tc>
          <w:tcPr>
            <w:tcW w:type="dxa" w:w="1928"/>
            <w:vAlign w:val="center"/>
            <w:shd w:fill="1F3A5F"/>
          </w:tcPr>
          <w:p>
            <w:pPr>
              <w:keepNext/>
              <w:spacing w:after="40" w:line="276" w:lineRule="auto"/>
              <w:jc w:val="left"/>
            </w:pPr>
            <w:r>
              <w:rPr>
                <w:b/>
                <w:i w:val="0"/>
                <w:color w:val="FFFFFF"/>
              </w:rPr>
              <w:t>Policy Direction</w:t>
            </w:r>
          </w:p>
        </w:tc>
        <w:tc>
          <w:tcPr>
            <w:tcW w:type="dxa" w:w="1928"/>
            <w:vAlign w:val="center"/>
            <w:shd w:fill="1F3A5F"/>
          </w:tcPr>
          <w:p>
            <w:pPr>
              <w:keepNext/>
              <w:spacing w:after="40" w:line="276" w:lineRule="auto"/>
              <w:jc w:val="left"/>
            </w:pPr>
            <w:r>
              <w:rPr>
                <w:b/>
                <w:i w:val="0"/>
                <w:color w:val="FFFFFF"/>
              </w:rPr>
              <w:t>Strategic Actions</w:t>
            </w:r>
          </w:p>
        </w:tc>
        <w:tc>
          <w:tcPr>
            <w:tcW w:type="dxa" w:w="1871"/>
            <w:vAlign w:val="center"/>
            <w:shd w:fill="1F3A5F"/>
          </w:tcPr>
          <w:p>
            <w:pPr>
              <w:keepNext/>
              <w:spacing w:after="40" w:line="276" w:lineRule="auto"/>
              <w:jc w:val="left"/>
            </w:pPr>
            <w:r>
              <w:rPr>
                <w:b/>
                <w:i w:val="0"/>
                <w:color w:val="FFFFFF"/>
              </w:rPr>
              <w:t>Expected Outcomes</w:t>
            </w:r>
          </w:p>
        </w:tc>
        <w:tc>
          <w:tcPr>
            <w:tcW w:type="dxa" w:w="1928"/>
            <w:vAlign w:val="center"/>
            <w:shd w:fill="1F3A5F"/>
          </w:tcPr>
          <w:p>
            <w:pPr>
              <w:keepNext/>
              <w:spacing w:after="40" w:line="276" w:lineRule="auto"/>
              <w:jc w:val="left"/>
            </w:pPr>
            <w:r>
              <w:rPr>
                <w:b/>
                <w:i w:val="0"/>
                <w:color w:val="FFFFFF"/>
              </w:rPr>
              <w:t>KPIs (Key Performance Indicators)</w:t>
            </w:r>
          </w:p>
        </w:tc>
      </w:tr>
      <w:tr>
        <w:trPr>
          <w:cantSplit/>
        </w:trPr>
        <w:tc>
          <w:tcPr>
            <w:tcW w:type="dxa" w:w="1757"/>
            <w:vAlign w:val="center"/>
            <w:shd w:fill="FFFFFF"/>
          </w:tcPr>
          <w:p>
            <w:pPr>
              <w:spacing w:after="40" w:line="276" w:lineRule="auto"/>
              <w:jc w:val="left"/>
            </w:pPr>
            <w:r>
              <w:rPr>
                <w:b w:val="0"/>
                <w:i w:val="0"/>
              </w:rPr>
              <w:t>1. Academic Excellence &amp; Curriculum Reform</w:t>
            </w:r>
          </w:p>
        </w:tc>
        <w:tc>
          <w:tcPr>
            <w:tcW w:type="dxa" w:w="1928"/>
            <w:vAlign w:val="center"/>
            <w:shd w:fill="FFFFFF"/>
          </w:tcPr>
          <w:p>
            <w:pPr>
              <w:spacing w:after="40" w:line="276" w:lineRule="auto"/>
              <w:jc w:val="left"/>
            </w:pPr>
            <w:r>
              <w:rPr>
                <w:b w:val="0"/>
                <w:i w:val="0"/>
              </w:rPr>
              <w:t>Implement outcome-based and competency-driven education</w:t>
            </w:r>
          </w:p>
        </w:tc>
        <w:tc>
          <w:tcPr>
            <w:tcW w:type="dxa" w:w="1928"/>
            <w:vAlign w:val="center"/>
            <w:shd w:fill="FFFFFF"/>
          </w:tcPr>
          <w:p>
            <w:pPr>
              <w:spacing w:after="40" w:line="276" w:lineRule="auto"/>
              <w:ind w:left="125" w:hanging="125"/>
              <w:jc w:val="left"/>
            </w:pPr>
            <w:r>
              <w:t xml:space="preserve">• </w:t>
            </w:r>
            <w:r>
              <w:rPr>
                <w:b w:val="0"/>
                <w:i w:val="0"/>
              </w:rPr>
              <w:t>Revise curriculum to meet NEP 2020 standards.</w:t>
            </w:r>
          </w:p>
          <w:p>
            <w:pPr>
              <w:spacing w:after="40" w:line="276" w:lineRule="auto"/>
              <w:ind w:left="125" w:hanging="125"/>
              <w:jc w:val="left"/>
            </w:pPr>
            <w:r>
              <w:t xml:space="preserve">• </w:t>
            </w:r>
            <w:r>
              <w:rPr>
                <w:b w:val="0"/>
                <w:i w:val="0"/>
              </w:rPr>
              <w:t>Introduce interdisciplinary and flexible learning.</w:t>
            </w:r>
          </w:p>
          <w:p>
            <w:pPr>
              <w:spacing w:after="40" w:line="276" w:lineRule="auto"/>
              <w:ind w:left="125" w:hanging="125"/>
              <w:jc w:val="left"/>
            </w:pPr>
            <w:r>
              <w:t xml:space="preserve">• </w:t>
            </w:r>
            <w:r>
              <w:rPr>
                <w:b w:val="0"/>
                <w:i w:val="0"/>
              </w:rPr>
              <w:t>Promote credit-based academic bank.</w:t>
            </w:r>
          </w:p>
        </w:tc>
        <w:tc>
          <w:tcPr>
            <w:tcW w:type="dxa" w:w="1871"/>
            <w:vAlign w:val="center"/>
            <w:shd w:fill="FFFFFF"/>
          </w:tcPr>
          <w:p>
            <w:pPr>
              <w:spacing w:after="40" w:line="276" w:lineRule="auto"/>
              <w:ind w:left="125" w:hanging="125"/>
              <w:jc w:val="left"/>
            </w:pPr>
            <w:r>
              <w:t xml:space="preserve">• </w:t>
            </w:r>
            <w:r>
              <w:rPr>
                <w:b w:val="0"/>
                <w:i w:val="0"/>
              </w:rPr>
              <w:t>Improved teaching-learning outcomes.</w:t>
            </w:r>
          </w:p>
          <w:p>
            <w:pPr>
              <w:spacing w:after="40" w:line="276" w:lineRule="auto"/>
              <w:ind w:left="125" w:hanging="125"/>
              <w:jc w:val="left"/>
            </w:pPr>
            <w:r>
              <w:t xml:space="preserve">• </w:t>
            </w:r>
            <w:r>
              <w:rPr>
                <w:b w:val="0"/>
                <w:i w:val="0"/>
              </w:rPr>
              <w:t>Students equipped with 21st-century skills.</w:t>
            </w:r>
          </w:p>
          <w:p>
            <w:pPr>
              <w:spacing w:after="40" w:line="276" w:lineRule="auto"/>
              <w:ind w:left="125" w:hanging="125"/>
              <w:jc w:val="left"/>
            </w:pPr>
            <w:r>
              <w:t xml:space="preserve">• </w:t>
            </w:r>
            <w:r>
              <w:rPr>
                <w:b w:val="0"/>
                <w:i w:val="0"/>
              </w:rPr>
              <w:t>Higher employability.</w:t>
            </w:r>
          </w:p>
        </w:tc>
        <w:tc>
          <w:tcPr>
            <w:tcW w:type="dxa" w:w="1928"/>
            <w:vAlign w:val="center"/>
            <w:shd w:fill="FFFFFF"/>
          </w:tcPr>
          <w:p>
            <w:pPr>
              <w:spacing w:after="40" w:line="276" w:lineRule="auto"/>
              <w:ind w:left="125" w:hanging="125"/>
              <w:jc w:val="left"/>
            </w:pPr>
            <w:r>
              <w:t xml:space="preserve">• </w:t>
            </w:r>
            <w:r>
              <w:rPr>
                <w:b w:val="0"/>
                <w:i w:val="0"/>
              </w:rPr>
              <w:t>% of courses revised annually.</w:t>
            </w:r>
          </w:p>
          <w:p>
            <w:pPr>
              <w:spacing w:after="40" w:line="276" w:lineRule="auto"/>
              <w:ind w:left="125" w:hanging="125"/>
              <w:jc w:val="left"/>
            </w:pPr>
            <w:r>
              <w:t xml:space="preserve">• </w:t>
            </w:r>
            <w:r>
              <w:rPr>
                <w:b w:val="0"/>
                <w:i w:val="0"/>
              </w:rPr>
              <w:t>Student satisfaction index.</w:t>
            </w:r>
          </w:p>
          <w:p>
            <w:pPr>
              <w:spacing w:after="40" w:line="276" w:lineRule="auto"/>
              <w:ind w:left="125" w:hanging="125"/>
              <w:jc w:val="left"/>
            </w:pPr>
            <w:r>
              <w:t xml:space="preserve">• </w:t>
            </w:r>
            <w:r>
              <w:rPr>
                <w:b w:val="0"/>
                <w:i w:val="0"/>
              </w:rPr>
              <w:t>Graduate employability rate (%).</w:t>
            </w:r>
          </w:p>
          <w:p>
            <w:pPr>
              <w:spacing w:after="40" w:line="276" w:lineRule="auto"/>
              <w:ind w:left="125" w:hanging="125"/>
              <w:jc w:val="left"/>
            </w:pPr>
            <w:r>
              <w:t xml:space="preserve">• </w:t>
            </w:r>
            <w:r>
              <w:rPr>
                <w:b w:val="0"/>
                <w:i w:val="0"/>
              </w:rPr>
              <w:t>NAAC/​NBA accreditation scores.</w:t>
            </w:r>
          </w:p>
        </w:tc>
      </w:tr>
      <w:tr>
        <w:trPr>
          <w:cantSplit/>
        </w:trPr>
        <w:tc>
          <w:tcPr>
            <w:tcW w:type="dxa" w:w="1757"/>
            <w:vAlign w:val="center"/>
            <w:shd w:fill="EDF2F7"/>
          </w:tcPr>
          <w:p>
            <w:pPr>
              <w:spacing w:after="40" w:line="276" w:lineRule="auto"/>
              <w:jc w:val="left"/>
            </w:pPr>
            <w:r>
              <w:rPr>
                <w:b w:val="0"/>
                <w:i w:val="0"/>
              </w:rPr>
              <w:t>2. Research, Innovation &amp; Knowledge Creation</w:t>
            </w:r>
          </w:p>
        </w:tc>
        <w:tc>
          <w:tcPr>
            <w:tcW w:type="dxa" w:w="1928"/>
            <w:vAlign w:val="center"/>
            <w:shd w:fill="EDF2F7"/>
          </w:tcPr>
          <w:p>
            <w:pPr>
              <w:spacing w:after="40" w:line="276" w:lineRule="auto"/>
              <w:jc w:val="left"/>
            </w:pPr>
            <w:r>
              <w:rPr>
                <w:b w:val="0"/>
                <w:i w:val="0"/>
              </w:rPr>
              <w:t>Strengthen research ecosystem</w:t>
            </w:r>
          </w:p>
        </w:tc>
        <w:tc>
          <w:tcPr>
            <w:tcW w:type="dxa" w:w="1928"/>
            <w:vAlign w:val="center"/>
            <w:shd w:fill="EDF2F7"/>
          </w:tcPr>
          <w:p>
            <w:pPr>
              <w:spacing w:after="40" w:line="276" w:lineRule="auto"/>
              <w:ind w:left="125" w:hanging="125"/>
              <w:jc w:val="left"/>
            </w:pPr>
            <w:r>
              <w:t xml:space="preserve">• </w:t>
            </w:r>
            <w:r>
              <w:rPr>
                <w:b w:val="0"/>
                <w:i w:val="0"/>
              </w:rPr>
              <w:t>Establish Centers of Excellence.</w:t>
            </w:r>
          </w:p>
          <w:p>
            <w:pPr>
              <w:spacing w:after="40" w:line="276" w:lineRule="auto"/>
              <w:ind w:left="125" w:hanging="125"/>
              <w:jc w:val="left"/>
            </w:pPr>
            <w:r>
              <w:t xml:space="preserve">• </w:t>
            </w:r>
            <w:r>
              <w:rPr>
                <w:b w:val="0"/>
                <w:i w:val="0"/>
              </w:rPr>
              <w:t>Encourage patents/​publications.</w:t>
            </w:r>
          </w:p>
          <w:p>
            <w:pPr>
              <w:spacing w:after="40" w:line="276" w:lineRule="auto"/>
              <w:ind w:left="125" w:hanging="125"/>
              <w:jc w:val="left"/>
            </w:pPr>
            <w:r>
              <w:t xml:space="preserve">• </w:t>
            </w:r>
            <w:r>
              <w:rPr>
                <w:b w:val="0"/>
                <w:i w:val="0"/>
              </w:rPr>
              <w:t>Facilitate industry &amp; global research collaborations.</w:t>
            </w:r>
          </w:p>
          <w:p>
            <w:pPr>
              <w:spacing w:after="40" w:line="276" w:lineRule="auto"/>
              <w:ind w:left="125" w:hanging="125"/>
              <w:jc w:val="left"/>
            </w:pPr>
            <w:r>
              <w:t xml:space="preserve">• </w:t>
            </w:r>
            <w:r>
              <w:rPr>
                <w:b w:val="0"/>
                <w:i w:val="0"/>
              </w:rPr>
              <w:t>Align projects with SDGs.</w:t>
            </w:r>
          </w:p>
        </w:tc>
        <w:tc>
          <w:tcPr>
            <w:tcW w:type="dxa" w:w="1871"/>
            <w:vAlign w:val="center"/>
            <w:shd w:fill="EDF2F7"/>
          </w:tcPr>
          <w:p>
            <w:pPr>
              <w:spacing w:after="40" w:line="276" w:lineRule="auto"/>
              <w:ind w:left="125" w:hanging="125"/>
              <w:jc w:val="left"/>
            </w:pPr>
            <w:r>
              <w:t xml:space="preserve">• </w:t>
            </w:r>
            <w:r>
              <w:rPr>
                <w:b w:val="0"/>
                <w:i w:val="0"/>
              </w:rPr>
              <w:t>Growth in research output.</w:t>
            </w:r>
          </w:p>
          <w:p>
            <w:pPr>
              <w:spacing w:after="40" w:line="276" w:lineRule="auto"/>
              <w:ind w:left="125" w:hanging="125"/>
              <w:jc w:val="left"/>
            </w:pPr>
            <w:r>
              <w:t xml:space="preserve">• </w:t>
            </w:r>
            <w:r>
              <w:rPr>
                <w:b w:val="0"/>
                <w:i w:val="0"/>
              </w:rPr>
              <w:t>Enhanced global reputation.</w:t>
            </w:r>
          </w:p>
          <w:p>
            <w:pPr>
              <w:spacing w:after="40" w:line="276" w:lineRule="auto"/>
              <w:ind w:left="125" w:hanging="125"/>
              <w:jc w:val="left"/>
            </w:pPr>
            <w:r>
              <w:t xml:space="preserve">• </w:t>
            </w:r>
            <w:r>
              <w:rPr>
                <w:b w:val="0"/>
                <w:i w:val="0"/>
              </w:rPr>
              <w:t>Industry-relevant innovations.</w:t>
            </w:r>
          </w:p>
        </w:tc>
        <w:tc>
          <w:tcPr>
            <w:tcW w:type="dxa" w:w="1928"/>
            <w:vAlign w:val="center"/>
            <w:shd w:fill="EDF2F7"/>
          </w:tcPr>
          <w:p>
            <w:pPr>
              <w:spacing w:after="40" w:line="276" w:lineRule="auto"/>
              <w:ind w:left="125" w:hanging="125"/>
              <w:jc w:val="left"/>
            </w:pPr>
            <w:r>
              <w:t xml:space="preserve">• </w:t>
            </w:r>
            <w:r>
              <w:rPr>
                <w:b w:val="0"/>
                <w:i w:val="0"/>
              </w:rPr>
              <w:t>No. of patents filed per year.</w:t>
            </w:r>
          </w:p>
          <w:p>
            <w:pPr>
              <w:spacing w:after="40" w:line="276" w:lineRule="auto"/>
              <w:ind w:left="125" w:hanging="125"/>
              <w:jc w:val="left"/>
            </w:pPr>
            <w:r>
              <w:t xml:space="preserve">• </w:t>
            </w:r>
            <w:r>
              <w:rPr>
                <w:b w:val="0"/>
                <w:i w:val="0"/>
              </w:rPr>
              <w:t>Publications in Scopus/​SCl journals.</w:t>
            </w:r>
          </w:p>
          <w:p>
            <w:pPr>
              <w:spacing w:after="40" w:line="276" w:lineRule="auto"/>
              <w:ind w:left="125" w:hanging="125"/>
              <w:jc w:val="left"/>
            </w:pPr>
            <w:r>
              <w:t xml:space="preserve">• </w:t>
            </w:r>
            <w:r>
              <w:rPr>
                <w:b w:val="0"/>
                <w:i w:val="0"/>
              </w:rPr>
              <w:t>Research funding secured (₹/£).</w:t>
            </w:r>
          </w:p>
          <w:p>
            <w:pPr>
              <w:spacing w:after="40" w:line="276" w:lineRule="auto"/>
              <w:ind w:left="125" w:hanging="125"/>
              <w:jc w:val="left"/>
            </w:pPr>
            <w:r>
              <w:t xml:space="preserve">• </w:t>
            </w:r>
            <w:r>
              <w:rPr>
                <w:b w:val="0"/>
                <w:i w:val="0"/>
              </w:rPr>
              <w:t>Industry collaboration count.</w:t>
            </w:r>
          </w:p>
        </w:tc>
      </w:tr>
      <w:tr>
        <w:trPr>
          <w:cantSplit/>
        </w:trPr>
        <w:tc>
          <w:tcPr>
            <w:tcW w:type="dxa" w:w="1757"/>
            <w:vAlign w:val="center"/>
            <w:shd w:fill="FFFFFF"/>
          </w:tcPr>
          <w:p>
            <w:pPr>
              <w:spacing w:after="40" w:line="276" w:lineRule="auto"/>
              <w:jc w:val="left"/>
            </w:pPr>
            <w:r>
              <w:rPr>
                <w:b w:val="0"/>
                <w:i w:val="0"/>
              </w:rPr>
              <w:t>3. Sustainable Infrastructure &amp; Green Development</w:t>
            </w:r>
          </w:p>
        </w:tc>
        <w:tc>
          <w:tcPr>
            <w:tcW w:type="dxa" w:w="1928"/>
            <w:vAlign w:val="center"/>
            <w:shd w:fill="FFFFFF"/>
          </w:tcPr>
          <w:p>
            <w:pPr>
              <w:spacing w:after="40" w:line="276" w:lineRule="auto"/>
              <w:jc w:val="left"/>
            </w:pPr>
            <w:r>
              <w:rPr>
                <w:b w:val="0"/>
                <w:i w:val="0"/>
              </w:rPr>
              <w:t>Develop eco-friendly and smart campuses</w:t>
            </w:r>
          </w:p>
        </w:tc>
        <w:tc>
          <w:tcPr>
            <w:tcW w:type="dxa" w:w="1928"/>
            <w:vAlign w:val="center"/>
            <w:shd w:fill="FFFFFF"/>
          </w:tcPr>
          <w:p>
            <w:pPr>
              <w:spacing w:after="40" w:line="276" w:lineRule="auto"/>
              <w:ind w:left="125" w:hanging="125"/>
              <w:jc w:val="left"/>
            </w:pPr>
            <w:r>
              <w:t xml:space="preserve">• </w:t>
            </w:r>
            <w:r>
              <w:rPr>
                <w:b w:val="0"/>
                <w:i w:val="0"/>
              </w:rPr>
              <w:t>Adopt renewable energy and green buildings.</w:t>
            </w:r>
          </w:p>
          <w:p>
            <w:pPr>
              <w:spacing w:after="40" w:line="276" w:lineRule="auto"/>
              <w:ind w:left="125" w:hanging="125"/>
              <w:jc w:val="left"/>
            </w:pPr>
            <w:r>
              <w:t xml:space="preserve">• </w:t>
            </w:r>
            <w:r>
              <w:rPr>
                <w:b w:val="0"/>
                <w:i w:val="0"/>
              </w:rPr>
              <w:t>Implement waste &amp; water management.</w:t>
            </w:r>
          </w:p>
          <w:p>
            <w:pPr>
              <w:spacing w:after="40" w:line="276" w:lineRule="auto"/>
              <w:ind w:left="125" w:hanging="125"/>
              <w:jc w:val="left"/>
            </w:pPr>
            <w:r>
              <w:t xml:space="preserve">• </w:t>
            </w:r>
            <w:r>
              <w:rPr>
                <w:b w:val="0"/>
                <w:i w:val="0"/>
              </w:rPr>
              <w:t>Integrate ICT-enabled facilities.</w:t>
            </w:r>
          </w:p>
        </w:tc>
        <w:tc>
          <w:tcPr>
            <w:tcW w:type="dxa" w:w="1871"/>
            <w:vAlign w:val="center"/>
            <w:shd w:fill="FFFFFF"/>
          </w:tcPr>
          <w:p>
            <w:pPr>
              <w:spacing w:after="40" w:line="276" w:lineRule="auto"/>
              <w:ind w:left="125" w:hanging="125"/>
              <w:jc w:val="left"/>
            </w:pPr>
            <w:r>
              <w:t xml:space="preserve">• </w:t>
            </w:r>
            <w:r>
              <w:rPr>
                <w:b w:val="0"/>
                <w:i w:val="0"/>
              </w:rPr>
              <w:t>Reduced carbon footprint.</w:t>
            </w:r>
          </w:p>
          <w:p>
            <w:pPr>
              <w:spacing w:after="40" w:line="276" w:lineRule="auto"/>
              <w:ind w:left="125" w:hanging="125"/>
              <w:jc w:val="left"/>
            </w:pPr>
            <w:r>
              <w:t xml:space="preserve">• </w:t>
            </w:r>
            <w:r>
              <w:rPr>
                <w:b w:val="0"/>
                <w:i w:val="0"/>
              </w:rPr>
              <w:t>Improved resource efficiency.</w:t>
            </w:r>
          </w:p>
          <w:p>
            <w:pPr>
              <w:spacing w:after="40" w:line="276" w:lineRule="auto"/>
              <w:ind w:left="125" w:hanging="125"/>
              <w:jc w:val="left"/>
            </w:pPr>
            <w:r>
              <w:t xml:space="preserve">• </w:t>
            </w:r>
            <w:r>
              <w:rPr>
                <w:b w:val="0"/>
                <w:i w:val="0"/>
              </w:rPr>
              <w:t>Recognition as a green campus.</w:t>
            </w:r>
          </w:p>
        </w:tc>
        <w:tc>
          <w:tcPr>
            <w:tcW w:type="dxa" w:w="1928"/>
            <w:vAlign w:val="center"/>
            <w:shd w:fill="FFFFFF"/>
          </w:tcPr>
          <w:p>
            <w:pPr>
              <w:spacing w:after="40" w:line="276" w:lineRule="auto"/>
              <w:ind w:left="125" w:hanging="125"/>
              <w:jc w:val="left"/>
            </w:pPr>
            <w:r>
              <w:t xml:space="preserve">• </w:t>
            </w:r>
            <w:r>
              <w:rPr>
                <w:b w:val="0"/>
                <w:i w:val="0"/>
              </w:rPr>
              <w:t>% of campus energy from renewables.</w:t>
            </w:r>
          </w:p>
          <w:p>
            <w:pPr>
              <w:spacing w:after="40" w:line="276" w:lineRule="auto"/>
              <w:ind w:left="125" w:hanging="125"/>
              <w:jc w:val="left"/>
            </w:pPr>
            <w:r>
              <w:t xml:space="preserve">• </w:t>
            </w:r>
            <w:r>
              <w:rPr>
                <w:b w:val="0"/>
                <w:i w:val="0"/>
              </w:rPr>
              <w:t>Water/​energy savings per year.</w:t>
            </w:r>
          </w:p>
          <w:p>
            <w:pPr>
              <w:spacing w:after="40" w:line="276" w:lineRule="auto"/>
              <w:ind w:left="125" w:hanging="125"/>
              <w:jc w:val="left"/>
            </w:pPr>
            <w:r>
              <w:t xml:space="preserve">• </w:t>
            </w:r>
            <w:r>
              <w:rPr>
                <w:b w:val="0"/>
                <w:i w:val="0"/>
              </w:rPr>
              <w:t>Green certification obtained.</w:t>
            </w:r>
          </w:p>
          <w:p>
            <w:pPr>
              <w:spacing w:after="40" w:line="276" w:lineRule="auto"/>
              <w:ind w:left="125" w:hanging="125"/>
              <w:jc w:val="left"/>
            </w:pPr>
            <w:r>
              <w:t xml:space="preserve">• </w:t>
            </w:r>
            <w:r>
              <w:rPr>
                <w:b w:val="0"/>
                <w:i w:val="0"/>
              </w:rPr>
              <w:t>ICT-enabled classroom ratio.</w:t>
            </w:r>
          </w:p>
        </w:tc>
      </w:tr>
      <w:tr>
        <w:trPr>
          <w:cantSplit/>
        </w:trPr>
        <w:tc>
          <w:tcPr>
            <w:tcW w:type="dxa" w:w="1757"/>
            <w:vAlign w:val="center"/>
            <w:shd w:fill="EDF2F7"/>
          </w:tcPr>
          <w:p>
            <w:pPr>
              <w:spacing w:after="40" w:line="276" w:lineRule="auto"/>
              <w:jc w:val="left"/>
            </w:pPr>
            <w:r>
              <w:rPr>
                <w:b w:val="0"/>
                <w:i w:val="0"/>
              </w:rPr>
              <w:t>4. Governance, Quality Assurance &amp; Accreditation</w:t>
            </w:r>
          </w:p>
        </w:tc>
        <w:tc>
          <w:tcPr>
            <w:tcW w:type="dxa" w:w="1928"/>
            <w:vAlign w:val="center"/>
            <w:shd w:fill="EDF2F7"/>
          </w:tcPr>
          <w:p>
            <w:pPr>
              <w:spacing w:after="40" w:line="276" w:lineRule="auto"/>
              <w:jc w:val="left"/>
            </w:pPr>
            <w:r>
              <w:rPr>
                <w:b w:val="0"/>
                <w:i w:val="0"/>
              </w:rPr>
              <w:t>Strengthen governance and accountability</w:t>
            </w:r>
          </w:p>
        </w:tc>
        <w:tc>
          <w:tcPr>
            <w:tcW w:type="dxa" w:w="1928"/>
            <w:vAlign w:val="center"/>
            <w:shd w:fill="EDF2F7"/>
          </w:tcPr>
          <w:p>
            <w:pPr>
              <w:spacing w:after="40" w:line="276" w:lineRule="auto"/>
              <w:ind w:left="125" w:hanging="125"/>
              <w:jc w:val="left"/>
            </w:pPr>
            <w:r>
              <w:t xml:space="preserve">• </w:t>
            </w:r>
            <w:r>
              <w:rPr>
                <w:b w:val="0"/>
                <w:i w:val="0"/>
              </w:rPr>
              <w:t>Establish IQAC.</w:t>
            </w:r>
          </w:p>
          <w:p>
            <w:pPr>
              <w:spacing w:after="40" w:line="276" w:lineRule="auto"/>
              <w:ind w:left="125" w:hanging="125"/>
              <w:jc w:val="left"/>
            </w:pPr>
            <w:r>
              <w:t xml:space="preserve">• </w:t>
            </w:r>
            <w:r>
              <w:rPr>
                <w:b w:val="0"/>
                <w:i w:val="0"/>
              </w:rPr>
              <w:t>Digitize decision-making systems.</w:t>
            </w:r>
          </w:p>
          <w:p>
            <w:pPr>
              <w:spacing w:after="40" w:line="276" w:lineRule="auto"/>
              <w:ind w:left="125" w:hanging="125"/>
              <w:jc w:val="left"/>
            </w:pPr>
            <w:r>
              <w:t xml:space="preserve">• </w:t>
            </w:r>
            <w:r>
              <w:rPr>
                <w:b w:val="0"/>
                <w:i w:val="0"/>
              </w:rPr>
              <w:t>Benchmark policies to NAAC/​NBA/​QS.</w:t>
            </w:r>
          </w:p>
          <w:p>
            <w:pPr>
              <w:spacing w:after="40" w:line="276" w:lineRule="auto"/>
              <w:ind w:left="125" w:hanging="125"/>
              <w:jc w:val="left"/>
            </w:pPr>
            <w:r>
              <w:t xml:space="preserve">• </w:t>
            </w:r>
            <w:r>
              <w:rPr>
                <w:b w:val="0"/>
                <w:i w:val="0"/>
              </w:rPr>
              <w:t>Annual review and audits.</w:t>
            </w:r>
          </w:p>
        </w:tc>
        <w:tc>
          <w:tcPr>
            <w:tcW w:type="dxa" w:w="1871"/>
            <w:vAlign w:val="center"/>
            <w:shd w:fill="EDF2F7"/>
          </w:tcPr>
          <w:p>
            <w:pPr>
              <w:spacing w:after="40" w:line="276" w:lineRule="auto"/>
              <w:ind w:left="125" w:hanging="125"/>
              <w:jc w:val="left"/>
            </w:pPr>
            <w:r>
              <w:t xml:space="preserve">• </w:t>
            </w:r>
            <w:r>
              <w:rPr>
                <w:b w:val="0"/>
                <w:i w:val="0"/>
              </w:rPr>
              <w:t>Improved governance transparency.</w:t>
            </w:r>
          </w:p>
          <w:p>
            <w:pPr>
              <w:spacing w:after="40" w:line="276" w:lineRule="auto"/>
              <w:ind w:left="125" w:hanging="125"/>
              <w:jc w:val="left"/>
            </w:pPr>
            <w:r>
              <w:t xml:space="preserve">• </w:t>
            </w:r>
            <w:r>
              <w:rPr>
                <w:b w:val="0"/>
                <w:i w:val="0"/>
              </w:rPr>
              <w:t>Accreditation and ranking readiness.</w:t>
            </w:r>
          </w:p>
          <w:p>
            <w:pPr>
              <w:spacing w:after="40" w:line="276" w:lineRule="auto"/>
              <w:ind w:left="125" w:hanging="125"/>
              <w:jc w:val="left"/>
            </w:pPr>
            <w:r>
              <w:t xml:space="preserve">• </w:t>
            </w:r>
            <w:r>
              <w:rPr>
                <w:b w:val="0"/>
                <w:i w:val="0"/>
              </w:rPr>
              <w:t>Continuous quality culture.</w:t>
            </w:r>
          </w:p>
        </w:tc>
        <w:tc>
          <w:tcPr>
            <w:tcW w:type="dxa" w:w="1928"/>
            <w:vAlign w:val="center"/>
            <w:shd w:fill="EDF2F7"/>
          </w:tcPr>
          <w:p>
            <w:pPr>
              <w:spacing w:after="40" w:line="276" w:lineRule="auto"/>
              <w:ind w:left="125" w:hanging="125"/>
              <w:jc w:val="left"/>
            </w:pPr>
            <w:r>
              <w:t xml:space="preserve">• </w:t>
            </w:r>
            <w:r>
              <w:rPr>
                <w:b w:val="0"/>
                <w:i w:val="0"/>
              </w:rPr>
              <w:t>Accreditation grade/​score.</w:t>
            </w:r>
          </w:p>
          <w:p>
            <w:pPr>
              <w:spacing w:after="40" w:line="276" w:lineRule="auto"/>
              <w:ind w:left="125" w:hanging="125"/>
              <w:jc w:val="left"/>
            </w:pPr>
            <w:r>
              <w:t xml:space="preserve">• </w:t>
            </w:r>
            <w:r>
              <w:rPr>
                <w:b w:val="0"/>
                <w:i w:val="0"/>
              </w:rPr>
              <w:t>Decision-making turnaround time.</w:t>
            </w:r>
          </w:p>
          <w:p>
            <w:pPr>
              <w:spacing w:after="40" w:line="276" w:lineRule="auto"/>
              <w:ind w:left="125" w:hanging="125"/>
              <w:jc w:val="left"/>
            </w:pPr>
            <w:r>
              <w:t xml:space="preserve">• </w:t>
            </w:r>
            <w:r>
              <w:rPr>
                <w:b w:val="0"/>
                <w:i w:val="0"/>
              </w:rPr>
              <w:t>No. of policy audits conducted.</w:t>
            </w:r>
          </w:p>
          <w:p>
            <w:pPr>
              <w:spacing w:after="40" w:line="276" w:lineRule="auto"/>
              <w:ind w:left="125" w:hanging="125"/>
              <w:jc w:val="left"/>
            </w:pPr>
            <w:r>
              <w:t xml:space="preserve">• </w:t>
            </w:r>
            <w:r>
              <w:rPr>
                <w:b w:val="0"/>
                <w:i w:val="0"/>
              </w:rPr>
              <w:t>NIRF/​QS ranking iimprovement.</w:t>
            </w:r>
          </w:p>
        </w:tc>
      </w:tr>
      <w:tr>
        <w:trPr>
          <w:cantSplit/>
        </w:trPr>
        <w:tc>
          <w:tcPr>
            <w:tcW w:type="dxa" w:w="1757"/>
            <w:vAlign w:val="center"/>
            <w:shd w:fill="FFFFFF"/>
          </w:tcPr>
          <w:p>
            <w:pPr>
              <w:spacing w:after="40" w:line="276" w:lineRule="auto"/>
              <w:jc w:val="left"/>
            </w:pPr>
            <w:r>
              <w:rPr>
                <w:b w:val="0"/>
                <w:i w:val="0"/>
              </w:rPr>
              <w:t>5. Financial Sustainability &amp; Resource Mobilization</w:t>
            </w:r>
          </w:p>
        </w:tc>
        <w:tc>
          <w:tcPr>
            <w:tcW w:type="dxa" w:w="1928"/>
            <w:vAlign w:val="center"/>
            <w:shd w:fill="FFFFFF"/>
          </w:tcPr>
          <w:p>
            <w:pPr>
              <w:spacing w:after="40" w:line="276" w:lineRule="auto"/>
              <w:jc w:val="left"/>
            </w:pPr>
            <w:r>
              <w:rPr>
                <w:b w:val="0"/>
                <w:i w:val="0"/>
              </w:rPr>
              <w:t>Diversify funding and ensure resilience</w:t>
            </w:r>
          </w:p>
        </w:tc>
        <w:tc>
          <w:tcPr>
            <w:tcW w:type="dxa" w:w="1928"/>
            <w:vAlign w:val="center"/>
            <w:shd w:fill="FFFFFF"/>
          </w:tcPr>
          <w:p>
            <w:pPr>
              <w:spacing w:after="40" w:line="276" w:lineRule="auto"/>
              <w:ind w:left="125" w:hanging="125"/>
              <w:jc w:val="left"/>
            </w:pPr>
            <w:r>
              <w:t xml:space="preserve">• </w:t>
            </w:r>
            <w:r>
              <w:rPr>
                <w:b w:val="0"/>
                <w:i w:val="0"/>
              </w:rPr>
              <w:t>Launch alumni/​CSR campaigns.</w:t>
            </w:r>
          </w:p>
          <w:p>
            <w:pPr>
              <w:spacing w:after="40" w:line="276" w:lineRule="auto"/>
              <w:ind w:left="125" w:hanging="125"/>
              <w:jc w:val="left"/>
            </w:pPr>
            <w:r>
              <w:t xml:space="preserve">• </w:t>
            </w:r>
            <w:r>
              <w:rPr>
                <w:b w:val="0"/>
                <w:i w:val="0"/>
              </w:rPr>
              <w:t>Build endowment funds.</w:t>
            </w:r>
          </w:p>
          <w:p>
            <w:pPr>
              <w:spacing w:after="40" w:line="276" w:lineRule="auto"/>
              <w:ind w:left="125" w:hanging="125"/>
              <w:jc w:val="left"/>
            </w:pPr>
            <w:r>
              <w:t xml:space="preserve">• </w:t>
            </w:r>
            <w:r>
              <w:rPr>
                <w:b w:val="0"/>
                <w:i w:val="0"/>
              </w:rPr>
              <w:t>Expand consultancy services.</w:t>
            </w:r>
          </w:p>
          <w:p>
            <w:pPr>
              <w:spacing w:after="40" w:line="276" w:lineRule="auto"/>
              <w:ind w:left="125" w:hanging="125"/>
              <w:jc w:val="left"/>
            </w:pPr>
            <w:r>
              <w:t xml:space="preserve">• </w:t>
            </w:r>
            <w:r>
              <w:rPr>
                <w:b w:val="0"/>
                <w:i w:val="0"/>
              </w:rPr>
              <w:t>Develop PPP-based infrastructure.</w:t>
            </w:r>
          </w:p>
        </w:tc>
        <w:tc>
          <w:tcPr>
            <w:tcW w:type="dxa" w:w="1871"/>
            <w:vAlign w:val="center"/>
            <w:shd w:fill="FFFFFF"/>
          </w:tcPr>
          <w:p>
            <w:pPr>
              <w:spacing w:after="40" w:line="276" w:lineRule="auto"/>
              <w:ind w:left="125" w:hanging="125"/>
              <w:jc w:val="left"/>
            </w:pPr>
            <w:r>
              <w:t xml:space="preserve">• </w:t>
            </w:r>
            <w:r>
              <w:rPr>
                <w:b w:val="0"/>
                <w:i w:val="0"/>
              </w:rPr>
              <w:t>Stable multi-source funding.</w:t>
            </w:r>
          </w:p>
          <w:p>
            <w:pPr>
              <w:spacing w:after="40" w:line="276" w:lineRule="auto"/>
              <w:ind w:left="125" w:hanging="125"/>
              <w:jc w:val="left"/>
            </w:pPr>
            <w:r>
              <w:t xml:space="preserve">• </w:t>
            </w:r>
            <w:r>
              <w:rPr>
                <w:b w:val="0"/>
                <w:i w:val="0"/>
              </w:rPr>
              <w:t>Increased scholarships and research support.</w:t>
            </w:r>
          </w:p>
          <w:p>
            <w:pPr>
              <w:spacing w:after="40" w:line="276" w:lineRule="auto"/>
              <w:ind w:left="125" w:hanging="125"/>
              <w:jc w:val="left"/>
            </w:pPr>
            <w:r>
              <w:t xml:space="preserve">• </w:t>
            </w:r>
            <w:r>
              <w:rPr>
                <w:b w:val="0"/>
                <w:i w:val="0"/>
              </w:rPr>
              <w:t>Reduced dependency on government funds.</w:t>
            </w:r>
          </w:p>
        </w:tc>
        <w:tc>
          <w:tcPr>
            <w:tcW w:type="dxa" w:w="1928"/>
            <w:vAlign w:val="center"/>
            <w:shd w:fill="FFFFFF"/>
          </w:tcPr>
          <w:p>
            <w:pPr>
              <w:spacing w:after="40" w:line="276" w:lineRule="auto"/>
              <w:ind w:left="125" w:hanging="125"/>
              <w:jc w:val="left"/>
            </w:pPr>
            <w:r>
              <w:t xml:space="preserve">• </w:t>
            </w:r>
            <w:r>
              <w:rPr>
                <w:b w:val="0"/>
                <w:i w:val="0"/>
              </w:rPr>
              <w:t>% of non-government income.</w:t>
            </w:r>
          </w:p>
          <w:p>
            <w:pPr>
              <w:spacing w:after="40" w:line="276" w:lineRule="auto"/>
              <w:ind w:left="125" w:hanging="125"/>
              <w:jc w:val="left"/>
            </w:pPr>
            <w:r>
              <w:t xml:space="preserve">• </w:t>
            </w:r>
            <w:r>
              <w:rPr>
                <w:b w:val="0"/>
                <w:i w:val="0"/>
              </w:rPr>
              <w:t>Endowment fund growth(£).</w:t>
            </w:r>
          </w:p>
          <w:p>
            <w:pPr>
              <w:spacing w:after="40" w:line="276" w:lineRule="auto"/>
              <w:ind w:left="125" w:hanging="125"/>
              <w:jc w:val="left"/>
            </w:pPr>
            <w:r>
              <w:t xml:space="preserve">• </w:t>
            </w:r>
            <w:r>
              <w:rPr>
                <w:b w:val="0"/>
                <w:i w:val="0"/>
              </w:rPr>
              <w:t>No. of consultancy projects.</w:t>
            </w:r>
          </w:p>
          <w:p>
            <w:pPr>
              <w:spacing w:after="40" w:line="276" w:lineRule="auto"/>
              <w:ind w:left="125" w:hanging="125"/>
              <w:jc w:val="left"/>
            </w:pPr>
            <w:r>
              <w:t xml:space="preserve">• </w:t>
            </w:r>
            <w:r>
              <w:rPr>
                <w:b w:val="0"/>
                <w:i w:val="0"/>
              </w:rPr>
              <w:t>CSR/​industry contributions(£).</w:t>
            </w:r>
          </w:p>
        </w:tc>
      </w:tr>
      <w:tr>
        <w:trPr>
          <w:cantSplit/>
        </w:trPr>
        <w:tc>
          <w:tcPr>
            <w:tcW w:type="dxa" w:w="1757"/>
            <w:vAlign w:val="center"/>
            <w:shd w:fill="EDF2F7"/>
          </w:tcPr>
          <w:p>
            <w:pPr>
              <w:spacing w:after="40" w:line="276" w:lineRule="auto"/>
              <w:jc w:val="left"/>
            </w:pPr>
            <w:r>
              <w:rPr>
                <w:b w:val="0"/>
                <w:i w:val="0"/>
              </w:rPr>
              <w:t>6. Community Engagement &amp; Social Responsibility</w:t>
            </w:r>
          </w:p>
        </w:tc>
        <w:tc>
          <w:tcPr>
            <w:tcW w:type="dxa" w:w="1928"/>
            <w:vAlign w:val="center"/>
            <w:shd w:fill="EDF2F7"/>
          </w:tcPr>
          <w:p>
            <w:pPr>
              <w:spacing w:after="40" w:line="276" w:lineRule="auto"/>
              <w:jc w:val="left"/>
            </w:pPr>
            <w:r>
              <w:rPr>
                <w:b w:val="0"/>
                <w:i w:val="0"/>
              </w:rPr>
              <w:t>Institutionalize social impact</w:t>
            </w:r>
          </w:p>
        </w:tc>
        <w:tc>
          <w:tcPr>
            <w:tcW w:type="dxa" w:w="1928"/>
            <w:vAlign w:val="center"/>
            <w:shd w:fill="EDF2F7"/>
          </w:tcPr>
          <w:p>
            <w:pPr>
              <w:spacing w:after="40" w:line="276" w:lineRule="auto"/>
              <w:ind w:left="125" w:hanging="125"/>
              <w:jc w:val="left"/>
            </w:pPr>
            <w:r>
              <w:t xml:space="preserve">• </w:t>
            </w:r>
            <w:r>
              <w:rPr>
                <w:b w:val="0"/>
                <w:i w:val="0"/>
              </w:rPr>
              <w:t>Launch ISR projects.</w:t>
            </w:r>
          </w:p>
          <w:p>
            <w:pPr>
              <w:spacing w:after="40" w:line="276" w:lineRule="auto"/>
              <w:ind w:left="125" w:hanging="125"/>
              <w:jc w:val="left"/>
            </w:pPr>
            <w:r>
              <w:t xml:space="preserve">• </w:t>
            </w:r>
            <w:r>
              <w:rPr>
                <w:b w:val="0"/>
                <w:i w:val="0"/>
              </w:rPr>
              <w:t>Embed service-learning in curriculum.</w:t>
            </w:r>
          </w:p>
          <w:p>
            <w:pPr>
              <w:spacing w:after="40" w:line="276" w:lineRule="auto"/>
              <w:ind w:left="125" w:hanging="125"/>
              <w:jc w:val="left"/>
            </w:pPr>
            <w:r>
              <w:t xml:space="preserve">• </w:t>
            </w:r>
            <w:r>
              <w:rPr>
                <w:b w:val="0"/>
                <w:i w:val="0"/>
              </w:rPr>
              <w:t>Partner with local communities.</w:t>
            </w:r>
          </w:p>
        </w:tc>
        <w:tc>
          <w:tcPr>
            <w:tcW w:type="dxa" w:w="1871"/>
            <w:vAlign w:val="center"/>
            <w:shd w:fill="EDF2F7"/>
          </w:tcPr>
          <w:p>
            <w:pPr>
              <w:spacing w:after="40" w:line="276" w:lineRule="auto"/>
              <w:ind w:left="125" w:hanging="125"/>
              <w:jc w:val="left"/>
            </w:pPr>
            <w:r>
              <w:t xml:space="preserve">• </w:t>
            </w:r>
            <w:r>
              <w:rPr>
                <w:b w:val="0"/>
                <w:i w:val="0"/>
              </w:rPr>
              <w:t>Positive social transformation.</w:t>
            </w:r>
          </w:p>
          <w:p>
            <w:pPr>
              <w:spacing w:after="40" w:line="276" w:lineRule="auto"/>
              <w:ind w:left="125" w:hanging="125"/>
              <w:jc w:val="left"/>
            </w:pPr>
            <w:r>
              <w:t xml:space="preserve">• </w:t>
            </w:r>
            <w:r>
              <w:rPr>
                <w:b w:val="0"/>
                <w:i w:val="0"/>
              </w:rPr>
              <w:t>Strengthened town-gown relations.</w:t>
            </w:r>
          </w:p>
          <w:p>
            <w:pPr>
              <w:spacing w:after="40" w:line="276" w:lineRule="auto"/>
              <w:ind w:left="125" w:hanging="125"/>
              <w:jc w:val="left"/>
            </w:pPr>
            <w:r>
              <w:t xml:space="preserve">• </w:t>
            </w:r>
            <w:r>
              <w:rPr>
                <w:b w:val="0"/>
                <w:i w:val="0"/>
              </w:rPr>
              <w:t>Institutional contribution to SDGs.</w:t>
            </w:r>
          </w:p>
        </w:tc>
        <w:tc>
          <w:tcPr>
            <w:tcW w:type="dxa" w:w="1928"/>
            <w:vAlign w:val="center"/>
            <w:shd w:fill="EDF2F7"/>
          </w:tcPr>
          <w:p>
            <w:pPr>
              <w:spacing w:after="40" w:line="276" w:lineRule="auto"/>
              <w:ind w:left="125" w:hanging="125"/>
              <w:jc w:val="left"/>
            </w:pPr>
            <w:r>
              <w:t xml:space="preserve">• </w:t>
            </w:r>
            <w:r>
              <w:rPr>
                <w:b w:val="0"/>
                <w:i w:val="0"/>
              </w:rPr>
              <w:t>No. of ISR projects per year.</w:t>
            </w:r>
          </w:p>
          <w:p>
            <w:pPr>
              <w:spacing w:after="40" w:line="276" w:lineRule="auto"/>
              <w:ind w:left="125" w:hanging="125"/>
              <w:jc w:val="left"/>
            </w:pPr>
            <w:r>
              <w:t xml:space="preserve">• </w:t>
            </w:r>
            <w:r>
              <w:rPr>
                <w:b w:val="0"/>
                <w:i w:val="0"/>
              </w:rPr>
              <w:t>% of students in community service.</w:t>
            </w:r>
          </w:p>
          <w:p>
            <w:pPr>
              <w:spacing w:after="40" w:line="276" w:lineRule="auto"/>
              <w:ind w:left="125" w:hanging="125"/>
              <w:jc w:val="left"/>
            </w:pPr>
            <w:r>
              <w:t xml:space="preserve">• </w:t>
            </w:r>
            <w:r>
              <w:rPr>
                <w:b w:val="0"/>
                <w:i w:val="0"/>
              </w:rPr>
              <w:t>Beneficiaries impacted (count).</w:t>
            </w:r>
          </w:p>
          <w:p>
            <w:pPr>
              <w:spacing w:after="40" w:line="276" w:lineRule="auto"/>
              <w:ind w:left="125" w:hanging="125"/>
              <w:jc w:val="left"/>
            </w:pPr>
            <w:r>
              <w:t xml:space="preserve">• </w:t>
            </w:r>
            <w:r>
              <w:rPr>
                <w:b w:val="0"/>
                <w:i w:val="0"/>
              </w:rPr>
              <w:t>SDG contribution index.</w:t>
            </w:r>
          </w:p>
        </w:tc>
      </w:tr>
      <w:tr>
        <w:trPr>
          <w:cantSplit/>
        </w:trPr>
        <w:tc>
          <w:tcPr>
            <w:tcW w:type="dxa" w:w="1757"/>
            <w:vAlign w:val="center"/>
            <w:shd w:fill="FFFFFF"/>
          </w:tcPr>
          <w:p>
            <w:pPr>
              <w:spacing w:after="40" w:line="276" w:lineRule="auto"/>
              <w:jc w:val="left"/>
            </w:pPr>
            <w:r>
              <w:rPr>
                <w:b w:val="0"/>
                <w:i w:val="0"/>
              </w:rPr>
              <w:t>7. Globalization &amp; Internationalization</w:t>
            </w:r>
          </w:p>
        </w:tc>
        <w:tc>
          <w:tcPr>
            <w:tcW w:type="dxa" w:w="1928"/>
            <w:vAlign w:val="center"/>
            <w:shd w:fill="FFFFFF"/>
          </w:tcPr>
          <w:p>
            <w:pPr>
              <w:spacing w:after="40" w:line="276" w:lineRule="auto"/>
              <w:jc w:val="left"/>
            </w:pPr>
            <w:r>
              <w:rPr>
                <w:b w:val="0"/>
                <w:i w:val="0"/>
              </w:rPr>
              <w:t>Expand global partnerships</w:t>
            </w:r>
          </w:p>
        </w:tc>
        <w:tc>
          <w:tcPr>
            <w:tcW w:type="dxa" w:w="1928"/>
            <w:vAlign w:val="center"/>
            <w:shd w:fill="FFFFFF"/>
          </w:tcPr>
          <w:p>
            <w:pPr>
              <w:spacing w:after="40" w:line="276" w:lineRule="auto"/>
              <w:ind w:left="125" w:hanging="125"/>
              <w:jc w:val="left"/>
            </w:pPr>
            <w:r>
              <w:t xml:space="preserve">• </w:t>
            </w:r>
            <w:r>
              <w:rPr>
                <w:b w:val="0"/>
                <w:i w:val="0"/>
              </w:rPr>
              <w:t>Sign MoUs with foreign universities.</w:t>
            </w:r>
          </w:p>
          <w:p>
            <w:pPr>
              <w:spacing w:after="40" w:line="276" w:lineRule="auto"/>
              <w:ind w:left="125" w:hanging="125"/>
              <w:jc w:val="left"/>
            </w:pPr>
            <w:r>
              <w:t xml:space="preserve">• </w:t>
            </w:r>
            <w:r>
              <w:rPr>
                <w:b w:val="0"/>
                <w:i w:val="0"/>
              </w:rPr>
              <w:t>Launch exchange and dual-degree programs.</w:t>
            </w:r>
          </w:p>
          <w:p>
            <w:pPr>
              <w:spacing w:after="40" w:line="276" w:lineRule="auto"/>
              <w:ind w:left="125" w:hanging="125"/>
              <w:jc w:val="left"/>
            </w:pPr>
            <w:r>
              <w:t xml:space="preserve">• </w:t>
            </w:r>
            <w:r>
              <w:rPr>
                <w:b w:val="0"/>
                <w:i w:val="0"/>
              </w:rPr>
              <w:t>Host international conferences.</w:t>
            </w:r>
          </w:p>
        </w:tc>
        <w:tc>
          <w:tcPr>
            <w:tcW w:type="dxa" w:w="1871"/>
            <w:vAlign w:val="center"/>
            <w:shd w:fill="FFFFFF"/>
          </w:tcPr>
          <w:p>
            <w:pPr>
              <w:spacing w:after="40" w:line="276" w:lineRule="auto"/>
              <w:ind w:left="125" w:hanging="125"/>
              <w:jc w:val="left"/>
            </w:pPr>
            <w:r>
              <w:t xml:space="preserve">• </w:t>
            </w:r>
            <w:r>
              <w:rPr>
                <w:b w:val="0"/>
                <w:i w:val="0"/>
              </w:rPr>
              <w:t>Global visibility.</w:t>
            </w:r>
          </w:p>
          <w:p>
            <w:pPr>
              <w:spacing w:after="40" w:line="276" w:lineRule="auto"/>
              <w:ind w:left="125" w:hanging="125"/>
              <w:jc w:val="left"/>
            </w:pPr>
            <w:r>
              <w:t xml:space="preserve">• </w:t>
            </w:r>
            <w:r>
              <w:rPr>
                <w:b w:val="0"/>
                <w:i w:val="0"/>
              </w:rPr>
              <w:t>Cross-cultural academic environment.</w:t>
            </w:r>
          </w:p>
          <w:p>
            <w:pPr>
              <w:spacing w:after="40" w:line="276" w:lineRule="auto"/>
              <w:ind w:left="125" w:hanging="125"/>
              <w:jc w:val="left"/>
            </w:pPr>
            <w:r>
              <w:t xml:space="preserve">• </w:t>
            </w:r>
            <w:r>
              <w:rPr>
                <w:b w:val="0"/>
                <w:i w:val="0"/>
              </w:rPr>
              <w:t>Strong international collaborations.</w:t>
            </w:r>
          </w:p>
        </w:tc>
        <w:tc>
          <w:tcPr>
            <w:tcW w:type="dxa" w:w="1928"/>
            <w:vAlign w:val="center"/>
            <w:shd w:fill="FFFFFF"/>
          </w:tcPr>
          <w:p>
            <w:pPr>
              <w:spacing w:after="40" w:line="276" w:lineRule="auto"/>
              <w:ind w:left="125" w:hanging="125"/>
              <w:jc w:val="left"/>
            </w:pPr>
            <w:r>
              <w:t xml:space="preserve">• </w:t>
            </w:r>
            <w:r>
              <w:rPr>
                <w:b w:val="0"/>
                <w:i w:val="0"/>
              </w:rPr>
              <w:t>No. of MoUs signed.</w:t>
            </w:r>
          </w:p>
          <w:p>
            <w:pPr>
              <w:spacing w:after="40" w:line="276" w:lineRule="auto"/>
              <w:ind w:left="125" w:hanging="125"/>
              <w:jc w:val="left"/>
            </w:pPr>
            <w:r>
              <w:t xml:space="preserve">• </w:t>
            </w:r>
            <w:r>
              <w:rPr>
                <w:b w:val="0"/>
                <w:i w:val="0"/>
              </w:rPr>
              <w:t>Student/​faculty exchange count.</w:t>
            </w:r>
          </w:p>
          <w:p>
            <w:pPr>
              <w:spacing w:after="40" w:line="276" w:lineRule="auto"/>
              <w:ind w:left="125" w:hanging="125"/>
              <w:jc w:val="left"/>
            </w:pPr>
            <w:r>
              <w:t xml:space="preserve">• </w:t>
            </w:r>
            <w:r>
              <w:rPr>
                <w:b w:val="0"/>
                <w:i w:val="0"/>
              </w:rPr>
              <w:t>No. of international events hosted.</w:t>
            </w:r>
          </w:p>
          <w:p>
            <w:pPr>
              <w:spacing w:after="40" w:line="276" w:lineRule="auto"/>
              <w:ind w:left="125" w:hanging="125"/>
              <w:jc w:val="left"/>
            </w:pPr>
            <w:r>
              <w:t xml:space="preserve">• </w:t>
            </w:r>
            <w:r>
              <w:rPr>
                <w:b w:val="0"/>
                <w:i w:val="0"/>
              </w:rPr>
              <w:t>Global ranking improvement.</w:t>
            </w:r>
          </w:p>
        </w:tc>
      </w:tr>
      <w:tr>
        <w:trPr>
          <w:cantSplit/>
        </w:trPr>
        <w:tc>
          <w:tcPr>
            <w:tcW w:type="dxa" w:w="1757"/>
            <w:vAlign w:val="center"/>
            <w:shd w:fill="EDF2F7"/>
          </w:tcPr>
          <w:p>
            <w:pPr>
              <w:spacing w:after="40" w:line="276" w:lineRule="auto"/>
              <w:jc w:val="left"/>
            </w:pPr>
            <w:r>
              <w:rPr>
                <w:b w:val="0"/>
                <w:i w:val="0"/>
              </w:rPr>
              <w:t>8. Technological Advancement &amp; Digital Transformation</w:t>
            </w:r>
          </w:p>
        </w:tc>
        <w:tc>
          <w:tcPr>
            <w:tcW w:type="dxa" w:w="1928"/>
            <w:vAlign w:val="center"/>
            <w:shd w:fill="EDF2F7"/>
          </w:tcPr>
          <w:p>
            <w:pPr>
              <w:spacing w:after="40" w:line="276" w:lineRule="auto"/>
              <w:jc w:val="left"/>
            </w:pPr>
            <w:r>
              <w:rPr>
                <w:b w:val="0"/>
                <w:i w:val="0"/>
              </w:rPr>
              <w:t>Drive ICT and digital learning</w:t>
            </w:r>
          </w:p>
        </w:tc>
        <w:tc>
          <w:tcPr>
            <w:tcW w:type="dxa" w:w="1928"/>
            <w:vAlign w:val="center"/>
            <w:shd w:fill="EDF2F7"/>
          </w:tcPr>
          <w:p>
            <w:pPr>
              <w:spacing w:after="40" w:line="276" w:lineRule="auto"/>
              <w:ind w:left="125" w:hanging="125"/>
              <w:jc w:val="left"/>
            </w:pPr>
            <w:r>
              <w:t xml:space="preserve">• </w:t>
            </w:r>
            <w:r>
              <w:rPr>
                <w:b w:val="0"/>
                <w:i w:val="0"/>
              </w:rPr>
              <w:t>Introduce AI, VR/​AR, IoT in teaching.</w:t>
            </w:r>
          </w:p>
          <w:p>
            <w:pPr>
              <w:spacing w:after="40" w:line="276" w:lineRule="auto"/>
              <w:ind w:left="125" w:hanging="125"/>
              <w:jc w:val="left"/>
            </w:pPr>
            <w:r>
              <w:t xml:space="preserve">• </w:t>
            </w:r>
            <w:r>
              <w:rPr>
                <w:b w:val="0"/>
                <w:i w:val="0"/>
              </w:rPr>
              <w:t>Build smart classrooms &amp; digital libraries.</w:t>
            </w:r>
          </w:p>
          <w:p>
            <w:pPr>
              <w:spacing w:after="40" w:line="276" w:lineRule="auto"/>
              <w:ind w:left="125" w:hanging="125"/>
              <w:jc w:val="left"/>
            </w:pPr>
            <w:r>
              <w:t xml:space="preserve">• </w:t>
            </w:r>
            <w:r>
              <w:rPr>
                <w:b w:val="0"/>
                <w:i w:val="0"/>
              </w:rPr>
              <w:t>Strengthen cybersecurity.</w:t>
            </w:r>
          </w:p>
        </w:tc>
        <w:tc>
          <w:tcPr>
            <w:tcW w:type="dxa" w:w="1871"/>
            <w:vAlign w:val="center"/>
            <w:shd w:fill="EDF2F7"/>
          </w:tcPr>
          <w:p>
            <w:pPr>
              <w:spacing w:after="40" w:line="276" w:lineRule="auto"/>
              <w:ind w:left="125" w:hanging="125"/>
              <w:jc w:val="left"/>
            </w:pPr>
            <w:r>
              <w:t xml:space="preserve">• </w:t>
            </w:r>
            <w:r>
              <w:rPr>
                <w:b w:val="0"/>
                <w:i w:val="0"/>
              </w:rPr>
              <w:t>Tech-driven learning culture.</w:t>
            </w:r>
          </w:p>
          <w:p>
            <w:pPr>
              <w:spacing w:after="40" w:line="276" w:lineRule="auto"/>
              <w:ind w:left="125" w:hanging="125"/>
              <w:jc w:val="left"/>
            </w:pPr>
            <w:r>
              <w:t xml:space="preserve">• </w:t>
            </w:r>
            <w:r>
              <w:rPr>
                <w:b w:val="0"/>
                <w:i w:val="0"/>
              </w:rPr>
              <w:t>Safer digital ecosystem.</w:t>
            </w:r>
          </w:p>
          <w:p>
            <w:pPr>
              <w:spacing w:after="40" w:line="276" w:lineRule="auto"/>
              <w:ind w:left="125" w:hanging="125"/>
              <w:jc w:val="left"/>
            </w:pPr>
            <w:r>
              <w:t xml:space="preserve">• </w:t>
            </w:r>
            <w:r>
              <w:rPr>
                <w:b w:val="0"/>
                <w:i w:val="0"/>
              </w:rPr>
              <w:t>Improved research/​learning access.</w:t>
            </w:r>
          </w:p>
        </w:tc>
        <w:tc>
          <w:tcPr>
            <w:tcW w:type="dxa" w:w="1928"/>
            <w:vAlign w:val="center"/>
            <w:shd w:fill="EDF2F7"/>
          </w:tcPr>
          <w:p>
            <w:pPr>
              <w:spacing w:after="40" w:line="276" w:lineRule="auto"/>
              <w:ind w:left="125" w:hanging="125"/>
              <w:jc w:val="left"/>
            </w:pPr>
            <w:r>
              <w:t xml:space="preserve">• </w:t>
            </w:r>
            <w:r>
              <w:rPr>
                <w:b w:val="0"/>
                <w:i w:val="0"/>
              </w:rPr>
              <w:t>% of ICT-enabled courses.</w:t>
            </w:r>
          </w:p>
          <w:p>
            <w:pPr>
              <w:spacing w:after="40" w:line="276" w:lineRule="auto"/>
              <w:ind w:left="125" w:hanging="125"/>
              <w:jc w:val="left"/>
            </w:pPr>
            <w:r>
              <w:t xml:space="preserve">• </w:t>
            </w:r>
            <w:r>
              <w:rPr>
                <w:b w:val="0"/>
                <w:i w:val="0"/>
              </w:rPr>
              <w:t>No. of smart classrooms.</w:t>
            </w:r>
          </w:p>
          <w:p>
            <w:pPr>
              <w:spacing w:after="40" w:line="276" w:lineRule="auto"/>
              <w:ind w:left="125" w:hanging="125"/>
              <w:jc w:val="left"/>
            </w:pPr>
            <w:r>
              <w:t xml:space="preserve">• </w:t>
            </w:r>
            <w:r>
              <w:rPr>
                <w:b w:val="0"/>
                <w:i w:val="0"/>
              </w:rPr>
              <w:t>Cybersecurity incidents reduced.</w:t>
            </w:r>
          </w:p>
          <w:p>
            <w:pPr>
              <w:spacing w:after="40" w:line="276" w:lineRule="auto"/>
              <w:ind w:left="125" w:hanging="125"/>
              <w:jc w:val="left"/>
            </w:pPr>
            <w:r>
              <w:t xml:space="preserve">• </w:t>
            </w:r>
            <w:r>
              <w:rPr>
                <w:b w:val="0"/>
                <w:i w:val="0"/>
              </w:rPr>
              <w:t>Student/​faculty digital skill index.</w:t>
            </w:r>
          </w:p>
        </w:tc>
      </w:tr>
      <w:tr>
        <w:trPr>
          <w:cantSplit/>
        </w:trPr>
        <w:tc>
          <w:tcPr>
            <w:tcW w:type="dxa" w:w="1757"/>
            <w:vAlign w:val="center"/>
            <w:shd w:fill="FFFFFF"/>
          </w:tcPr>
          <w:p>
            <w:pPr>
              <w:spacing w:after="40" w:line="276" w:lineRule="auto"/>
              <w:jc w:val="left"/>
            </w:pPr>
            <w:r>
              <w:rPr>
                <w:b w:val="0"/>
                <w:i w:val="0"/>
              </w:rPr>
              <w:t>9. Equity, Inclusion &amp; Student Development</w:t>
            </w:r>
          </w:p>
        </w:tc>
        <w:tc>
          <w:tcPr>
            <w:tcW w:type="dxa" w:w="1928"/>
            <w:vAlign w:val="center"/>
            <w:shd w:fill="FFFFFF"/>
          </w:tcPr>
          <w:p>
            <w:pPr>
              <w:spacing w:after="40" w:line="276" w:lineRule="auto"/>
              <w:jc w:val="left"/>
            </w:pPr>
            <w:r>
              <w:rPr>
                <w:b w:val="0"/>
                <w:i w:val="0"/>
              </w:rPr>
              <w:t>Ensure inclusive and holistic education</w:t>
            </w:r>
          </w:p>
        </w:tc>
        <w:tc>
          <w:tcPr>
            <w:tcW w:type="dxa" w:w="1928"/>
            <w:vAlign w:val="center"/>
            <w:shd w:fill="FFFFFF"/>
          </w:tcPr>
          <w:p>
            <w:pPr>
              <w:spacing w:after="40" w:line="276" w:lineRule="auto"/>
              <w:ind w:left="125" w:hanging="125"/>
              <w:jc w:val="left"/>
            </w:pPr>
            <w:r>
              <w:t xml:space="preserve">• </w:t>
            </w:r>
            <w:r>
              <w:rPr>
                <w:b w:val="0"/>
                <w:i w:val="0"/>
              </w:rPr>
              <w:t>Provide scholarships/​financial aid.</w:t>
            </w:r>
          </w:p>
          <w:p>
            <w:pPr>
              <w:spacing w:after="40" w:line="276" w:lineRule="auto"/>
              <w:ind w:left="125" w:hanging="125"/>
              <w:jc w:val="left"/>
            </w:pPr>
            <w:r>
              <w:t xml:space="preserve">• </w:t>
            </w:r>
            <w:r>
              <w:rPr>
                <w:b w:val="0"/>
                <w:i w:val="0"/>
              </w:rPr>
              <w:t>Launch inclusivity and diversity programs.</w:t>
            </w:r>
          </w:p>
          <w:p>
            <w:pPr>
              <w:spacing w:after="40" w:line="276" w:lineRule="auto"/>
              <w:ind w:left="125" w:hanging="125"/>
              <w:jc w:val="left"/>
            </w:pPr>
            <w:r>
              <w:t xml:space="preserve">• </w:t>
            </w:r>
            <w:r>
              <w:rPr>
                <w:b w:val="0"/>
                <w:i w:val="0"/>
              </w:rPr>
              <w:t>Build counseling, mentoring, and career services.</w:t>
            </w:r>
          </w:p>
        </w:tc>
        <w:tc>
          <w:tcPr>
            <w:tcW w:type="dxa" w:w="1871"/>
            <w:vAlign w:val="center"/>
            <w:shd w:fill="FFFFFF"/>
          </w:tcPr>
          <w:p>
            <w:pPr>
              <w:spacing w:after="40" w:line="276" w:lineRule="auto"/>
              <w:ind w:left="125" w:hanging="125"/>
              <w:jc w:val="left"/>
            </w:pPr>
            <w:r>
              <w:t xml:space="preserve">• </w:t>
            </w:r>
            <w:r>
              <w:rPr>
                <w:b w:val="0"/>
                <w:i w:val="0"/>
              </w:rPr>
              <w:t>Equitable student success.</w:t>
            </w:r>
          </w:p>
          <w:p>
            <w:pPr>
              <w:spacing w:after="40" w:line="276" w:lineRule="auto"/>
              <w:ind w:left="125" w:hanging="125"/>
              <w:jc w:val="left"/>
            </w:pPr>
            <w:r>
              <w:t xml:space="preserve">• </w:t>
            </w:r>
            <w:r>
              <w:rPr>
                <w:b w:val="0"/>
                <w:i w:val="0"/>
              </w:rPr>
              <w:t>Higher retention and graduation rates.</w:t>
            </w:r>
          </w:p>
          <w:p>
            <w:pPr>
              <w:spacing w:after="40" w:line="276" w:lineRule="auto"/>
              <w:ind w:left="125" w:hanging="125"/>
              <w:jc w:val="left"/>
            </w:pPr>
            <w:r>
              <w:t xml:space="preserve">• </w:t>
            </w:r>
            <w:r>
              <w:rPr>
                <w:b w:val="0"/>
                <w:i w:val="0"/>
              </w:rPr>
              <w:t>Stronger institutional inclusivity.</w:t>
            </w:r>
          </w:p>
        </w:tc>
        <w:tc>
          <w:tcPr>
            <w:tcW w:type="dxa" w:w="1928"/>
            <w:vAlign w:val="center"/>
            <w:shd w:fill="FFFFFF"/>
          </w:tcPr>
          <w:p>
            <w:pPr>
              <w:spacing w:after="40" w:line="276" w:lineRule="auto"/>
              <w:ind w:left="125" w:hanging="125"/>
              <w:jc w:val="left"/>
            </w:pPr>
            <w:r>
              <w:t xml:space="preserve">• </w:t>
            </w:r>
            <w:r>
              <w:rPr>
                <w:b w:val="0"/>
                <w:i w:val="0"/>
              </w:rPr>
              <w:t>No. of scholarships awarded.</w:t>
            </w:r>
          </w:p>
          <w:p>
            <w:pPr>
              <w:spacing w:after="40" w:line="276" w:lineRule="auto"/>
              <w:ind w:left="125" w:hanging="125"/>
              <w:jc w:val="left"/>
            </w:pPr>
            <w:r>
              <w:t xml:space="preserve">• </w:t>
            </w:r>
            <w:r>
              <w:rPr>
                <w:b w:val="0"/>
                <w:i w:val="0"/>
              </w:rPr>
              <w:t>Student retention rate (%).</w:t>
            </w:r>
          </w:p>
          <w:p>
            <w:pPr>
              <w:spacing w:after="40" w:line="276" w:lineRule="auto"/>
              <w:ind w:left="125" w:hanging="125"/>
              <w:jc w:val="left"/>
            </w:pPr>
            <w:r>
              <w:t xml:space="preserve">• </w:t>
            </w:r>
            <w:r>
              <w:rPr>
                <w:b w:val="0"/>
                <w:i w:val="0"/>
              </w:rPr>
              <w:t>Diversity index.</w:t>
            </w:r>
          </w:p>
          <w:p>
            <w:pPr>
              <w:spacing w:after="40" w:line="276" w:lineRule="auto"/>
              <w:ind w:left="125" w:hanging="125"/>
              <w:jc w:val="left"/>
            </w:pPr>
            <w:r>
              <w:t xml:space="preserve">• </w:t>
            </w:r>
            <w:r>
              <w:rPr>
                <w:b w:val="0"/>
                <w:i w:val="0"/>
              </w:rPr>
              <w:t>Graduate success index.</w:t>
            </w:r>
          </w:p>
        </w:tc>
      </w:tr>
    </w:tbl>
    <w:p>
      <w:pPr>
        <w:spacing w:after="40"/>
      </w:pPr>
    </w:p>
    <w:p>
      <w:pPr>
        <w:pStyle w:val="Heading1"/>
      </w:pPr>
      <w:r>
        <w:t>11. Operational Goals for Strategic Development Plan</w:t>
      </w:r>
    </w:p>
    <w:p>
      <w:pPr>
        <w:pStyle w:val="Heading2"/>
      </w:pPr>
      <w:r>
        <w:rPr>
          <w:i/>
        </w:rPr>
        <w:t>1. Academic Excellence &amp; Curriculum Reform</w:t>
      </w:r>
    </w:p>
    <w:p>
      <w:pPr>
        <w:pStyle w:val="ListBullet"/>
        <w:numPr>
          <w:ilvl w:val="0"/>
          <w:numId w:val="90"/>
        </w:numPr>
        <w:ind w:left="340" w:hanging="142"/>
      </w:pPr>
      <w:r>
        <w:rPr>
          <w:b w:val="0"/>
          <w:i w:val="0"/>
        </w:rPr>
        <w:t>Revise 100% of curricula to outcome-based education standards by 2027.</w:t>
      </w:r>
    </w:p>
    <w:p>
      <w:pPr>
        <w:pStyle w:val="ListBullet"/>
        <w:numPr>
          <w:ilvl w:val="0"/>
          <w:numId w:val="90"/>
        </w:numPr>
        <w:ind w:left="340" w:hanging="142"/>
      </w:pPr>
      <w:r>
        <w:rPr>
          <w:b w:val="0"/>
          <w:i w:val="0"/>
        </w:rPr>
        <w:t>Achieve ≥85% student satisfaction in teaching-learning surveys annually.</w:t>
      </w:r>
    </w:p>
    <w:p>
      <w:pPr>
        <w:pStyle w:val="ListBullet"/>
        <w:numPr>
          <w:ilvl w:val="0"/>
          <w:numId w:val="90"/>
        </w:numPr>
        <w:ind w:left="340" w:hanging="142"/>
      </w:pPr>
      <w:r>
        <w:rPr>
          <w:b w:val="0"/>
          <w:i w:val="0"/>
        </w:rPr>
        <w:t>Introduce at least 3 interdisciplinary programs within the next 3 years.</w:t>
      </w:r>
    </w:p>
    <w:p>
      <w:pPr>
        <w:pStyle w:val="Heading2"/>
      </w:pPr>
      <w:r>
        <w:rPr>
          <w:i/>
        </w:rPr>
        <w:t>2. Research, Innovation &amp; Knowledge Creation</w:t>
      </w:r>
    </w:p>
    <w:p>
      <w:pPr>
        <w:pStyle w:val="ListBullet"/>
        <w:numPr>
          <w:ilvl w:val="0"/>
          <w:numId w:val="90"/>
        </w:numPr>
        <w:ind w:left="340" w:hanging="142"/>
      </w:pPr>
      <w:r>
        <w:rPr>
          <w:b w:val="0"/>
          <w:i w:val="0"/>
        </w:rPr>
        <w:t>Establish 2 Centers of Excellence (AI, Sustainability) by 2026.</w:t>
      </w:r>
    </w:p>
    <w:p>
      <w:pPr>
        <w:pStyle w:val="ListBullet"/>
        <w:numPr>
          <w:ilvl w:val="0"/>
          <w:numId w:val="90"/>
        </w:numPr>
        <w:ind w:left="340" w:hanging="142"/>
      </w:pPr>
      <w:r>
        <w:rPr>
          <w:b w:val="0"/>
          <w:i w:val="0"/>
        </w:rPr>
        <w:t>File minimum 10 patents per year by 2027.</w:t>
      </w:r>
    </w:p>
    <w:p>
      <w:pPr>
        <w:pStyle w:val="ListBullet"/>
        <w:numPr>
          <w:ilvl w:val="0"/>
          <w:numId w:val="90"/>
        </w:numPr>
        <w:ind w:left="340" w:hanging="142"/>
      </w:pPr>
      <w:r>
        <w:rPr>
          <w:b w:val="0"/>
          <w:i w:val="0"/>
        </w:rPr>
        <w:t>Secure ₹50 crore / £5 million in research funding over the next 5 years.</w:t>
      </w:r>
    </w:p>
    <w:p>
      <w:pPr>
        <w:pStyle w:val="Heading2"/>
      </w:pPr>
      <w:r>
        <w:rPr>
          <w:i/>
        </w:rPr>
        <w:t>3. Sustainable Infrastructure &amp; Green Development</w:t>
      </w:r>
    </w:p>
    <w:p>
      <w:pPr>
        <w:pStyle w:val="ListBullet"/>
        <w:numPr>
          <w:ilvl w:val="0"/>
          <w:numId w:val="90"/>
        </w:numPr>
        <w:ind w:left="340" w:hanging="142"/>
      </w:pPr>
      <w:r>
        <w:rPr>
          <w:b w:val="0"/>
          <w:i w:val="0"/>
        </w:rPr>
        <w:t>Convert 40% of campus energy use to renewable sources by 2026.</w:t>
      </w:r>
    </w:p>
    <w:p>
      <w:pPr>
        <w:pStyle w:val="ListBullet"/>
        <w:numPr>
          <w:ilvl w:val="0"/>
          <w:numId w:val="90"/>
        </w:numPr>
        <w:ind w:left="340" w:hanging="142"/>
      </w:pPr>
      <w:r>
        <w:rPr>
          <w:b w:val="0"/>
          <w:i w:val="0"/>
        </w:rPr>
        <w:t>Achieve Green Building Certification for at least 3 campus buildings by 2025.</w:t>
      </w:r>
    </w:p>
    <w:p>
      <w:pPr>
        <w:pStyle w:val="ListBullet"/>
        <w:numPr>
          <w:ilvl w:val="0"/>
          <w:numId w:val="90"/>
        </w:numPr>
        <w:ind w:left="340" w:hanging="142"/>
      </w:pPr>
      <w:r>
        <w:rPr>
          <w:b w:val="0"/>
          <w:i w:val="0"/>
        </w:rPr>
        <w:t>Implement campus-wide waste segregation with 90% compliance within 2 years.</w:t>
      </w:r>
    </w:p>
    <w:p>
      <w:pPr>
        <w:pStyle w:val="Heading2"/>
      </w:pPr>
      <w:r>
        <w:rPr>
          <w:i/>
        </w:rPr>
        <w:t>4. Governance, Quality Assurance &amp; Accreditation</w:t>
      </w:r>
    </w:p>
    <w:p>
      <w:pPr>
        <w:pStyle w:val="ListBullet"/>
        <w:numPr>
          <w:ilvl w:val="0"/>
          <w:numId w:val="90"/>
        </w:numPr>
        <w:ind w:left="340" w:hanging="142"/>
      </w:pPr>
      <w:r>
        <w:rPr>
          <w:b w:val="0"/>
          <w:i w:val="0"/>
        </w:rPr>
        <w:t>Achieve NAAC A++ accreditation within 5 years.</w:t>
      </w:r>
    </w:p>
    <w:p>
      <w:pPr>
        <w:pStyle w:val="ListBullet"/>
        <w:numPr>
          <w:ilvl w:val="0"/>
          <w:numId w:val="90"/>
        </w:numPr>
        <w:ind w:left="340" w:hanging="142"/>
      </w:pPr>
      <w:r>
        <w:rPr>
          <w:b w:val="0"/>
          <w:i w:val="0"/>
        </w:rPr>
        <w:t>Improve NIRF ranking by 10 positions annually.</w:t>
      </w:r>
    </w:p>
    <w:p>
      <w:pPr>
        <w:pStyle w:val="ListBullet"/>
        <w:numPr>
          <w:ilvl w:val="0"/>
          <w:numId w:val="90"/>
        </w:numPr>
        <w:ind w:left="340" w:hanging="142"/>
      </w:pPr>
      <w:r>
        <w:rPr>
          <w:b w:val="0"/>
          <w:i w:val="0"/>
        </w:rPr>
        <w:t>Ensure 100% departments submit annual quality reports on time.</w:t>
      </w:r>
    </w:p>
    <w:p>
      <w:pPr>
        <w:pStyle w:val="Heading2"/>
      </w:pPr>
      <w:r>
        <w:rPr>
          <w:i/>
        </w:rPr>
        <w:t>5. Financial Sustainability &amp; Resource Mobilization</w:t>
      </w:r>
    </w:p>
    <w:p>
      <w:pPr>
        <w:pStyle w:val="ListBullet"/>
        <w:numPr>
          <w:ilvl w:val="0"/>
          <w:numId w:val="90"/>
        </w:numPr>
        <w:ind w:left="340" w:hanging="142"/>
      </w:pPr>
      <w:r>
        <w:rPr>
          <w:b w:val="0"/>
          <w:i w:val="0"/>
        </w:rPr>
        <w:t>Generate 30% of revenue from non-government sources by 2027.</w:t>
      </w:r>
    </w:p>
    <w:p>
      <w:pPr>
        <w:pStyle w:val="ListBullet"/>
        <w:numPr>
          <w:ilvl w:val="0"/>
          <w:numId w:val="90"/>
        </w:numPr>
        <w:ind w:left="340" w:hanging="142"/>
      </w:pPr>
      <w:r>
        <w:rPr>
          <w:b w:val="0"/>
          <w:i w:val="0"/>
        </w:rPr>
        <w:t>Raise ₹10 crore / £1 million from alumni and CSR contributions in 3 years.</w:t>
      </w:r>
    </w:p>
    <w:p>
      <w:pPr>
        <w:pStyle w:val="ListBullet"/>
        <w:numPr>
          <w:ilvl w:val="0"/>
          <w:numId w:val="90"/>
        </w:numPr>
        <w:ind w:left="340" w:hanging="142"/>
      </w:pPr>
      <w:r>
        <w:rPr>
          <w:b w:val="0"/>
          <w:i w:val="0"/>
        </w:rPr>
        <w:t>Initiate 5 consultancy projects per year across departments.</w:t>
      </w:r>
    </w:p>
    <w:p>
      <w:pPr>
        <w:pStyle w:val="Heading2"/>
      </w:pPr>
      <w:r>
        <w:rPr>
          <w:i/>
        </w:rPr>
        <w:t>6. Community Engagement &amp; Social Responsibility</w:t>
      </w:r>
    </w:p>
    <w:p>
      <w:pPr>
        <w:pStyle w:val="ListBullet"/>
        <w:numPr>
          <w:ilvl w:val="0"/>
          <w:numId w:val="90"/>
        </w:numPr>
        <w:ind w:left="340" w:hanging="142"/>
      </w:pPr>
      <w:r>
        <w:rPr>
          <w:b w:val="0"/>
          <w:i w:val="0"/>
        </w:rPr>
        <w:t>Engage 80% of students in community service projects each academic year.</w:t>
      </w:r>
    </w:p>
    <w:p>
      <w:pPr>
        <w:pStyle w:val="ListBullet"/>
        <w:numPr>
          <w:ilvl w:val="0"/>
          <w:numId w:val="90"/>
        </w:numPr>
        <w:ind w:left="340" w:hanging="142"/>
      </w:pPr>
      <w:r>
        <w:rPr>
          <w:b w:val="0"/>
          <w:i w:val="0"/>
        </w:rPr>
        <w:t>Impact 10,000+ beneficiaries (through outreach programs) by 2027.</w:t>
      </w:r>
    </w:p>
    <w:p>
      <w:pPr>
        <w:pStyle w:val="ListBullet"/>
        <w:numPr>
          <w:ilvl w:val="0"/>
          <w:numId w:val="90"/>
        </w:numPr>
        <w:ind w:left="340" w:hanging="142"/>
      </w:pPr>
      <w:r>
        <w:rPr>
          <w:b w:val="0"/>
          <w:i w:val="0"/>
        </w:rPr>
        <w:t>Launch at least 2 Institutional Social Responsibility (ISR) projects annually.</w:t>
      </w:r>
    </w:p>
    <w:p>
      <w:pPr>
        <w:pStyle w:val="Heading2"/>
      </w:pPr>
      <w:r>
        <w:rPr>
          <w:i/>
        </w:rPr>
        <w:t>7. Globalization &amp; Internationalization</w:t>
      </w:r>
    </w:p>
    <w:p>
      <w:pPr>
        <w:pStyle w:val="ListBullet"/>
        <w:numPr>
          <w:ilvl w:val="0"/>
          <w:numId w:val="90"/>
        </w:numPr>
        <w:ind w:left="340" w:hanging="142"/>
      </w:pPr>
      <w:r>
        <w:rPr>
          <w:b w:val="0"/>
          <w:i w:val="0"/>
        </w:rPr>
        <w:t>Sign 20 MoUs with global universities by 2026.</w:t>
      </w:r>
    </w:p>
    <w:p>
      <w:pPr>
        <w:pStyle w:val="ListBullet"/>
        <w:numPr>
          <w:ilvl w:val="0"/>
          <w:numId w:val="90"/>
        </w:numPr>
        <w:ind w:left="340" w:hanging="142"/>
      </w:pPr>
      <w:r>
        <w:rPr>
          <w:b w:val="0"/>
          <w:i w:val="0"/>
        </w:rPr>
        <w:t>Facilitate 200 student/faculty exchanges within 5 years.</w:t>
      </w:r>
    </w:p>
    <w:p>
      <w:pPr>
        <w:pStyle w:val="ListBullet"/>
        <w:numPr>
          <w:ilvl w:val="0"/>
          <w:numId w:val="90"/>
        </w:numPr>
        <w:ind w:left="340" w:hanging="142"/>
      </w:pPr>
      <w:r>
        <w:rPr>
          <w:b w:val="0"/>
          <w:i w:val="0"/>
        </w:rPr>
        <w:t>Host 3 international academic events per year.</w:t>
      </w:r>
    </w:p>
    <w:p>
      <w:pPr>
        <w:pStyle w:val="Heading2"/>
      </w:pPr>
      <w:r>
        <w:rPr>
          <w:i/>
        </w:rPr>
        <w:t>8. Technological Advancement &amp; Digital Transformation</w:t>
      </w:r>
    </w:p>
    <w:p>
      <w:pPr>
        <w:pStyle w:val="ListBullet"/>
        <w:numPr>
          <w:ilvl w:val="0"/>
          <w:numId w:val="90"/>
        </w:numPr>
        <w:ind w:left="340" w:hanging="142"/>
      </w:pPr>
      <w:r>
        <w:rPr>
          <w:b w:val="0"/>
          <w:i w:val="0"/>
        </w:rPr>
        <w:t>Convert 70% of classrooms into smart classrooms by 2025.</w:t>
      </w:r>
    </w:p>
    <w:p>
      <w:pPr>
        <w:pStyle w:val="ListBullet"/>
        <w:numPr>
          <w:ilvl w:val="0"/>
          <w:numId w:val="90"/>
        </w:numPr>
        <w:ind w:left="340" w:hanging="142"/>
      </w:pPr>
      <w:r>
        <w:rPr>
          <w:b w:val="0"/>
          <w:i w:val="0"/>
        </w:rPr>
        <w:t>Implement AI-based learning dashboards across all departments by 2026.</w:t>
      </w:r>
    </w:p>
    <w:p>
      <w:pPr>
        <w:pStyle w:val="ListBullet"/>
        <w:numPr>
          <w:ilvl w:val="0"/>
          <w:numId w:val="90"/>
        </w:numPr>
        <w:ind w:left="340" w:hanging="142"/>
      </w:pPr>
      <w:r>
        <w:rPr>
          <w:b w:val="0"/>
          <w:i w:val="0"/>
        </w:rPr>
        <w:t>Train 100% of faculty in digital tools within 2 years.</w:t>
      </w:r>
    </w:p>
    <w:p>
      <w:pPr>
        <w:pStyle w:val="Heading2"/>
      </w:pPr>
      <w:r>
        <w:rPr>
          <w:i/>
        </w:rPr>
        <w:t>9. Equity, Inclusion &amp; Student Development</w:t>
      </w:r>
    </w:p>
    <w:p>
      <w:pPr>
        <w:pStyle w:val="ListBullet"/>
        <w:numPr>
          <w:ilvl w:val="0"/>
          <w:numId w:val="90"/>
        </w:numPr>
        <w:ind w:left="340" w:hanging="142"/>
      </w:pPr>
      <w:r>
        <w:rPr>
          <w:b w:val="0"/>
          <w:i w:val="0"/>
        </w:rPr>
        <w:t>Provide scholarships to at least 25% of enrolled students annually.</w:t>
      </w:r>
    </w:p>
    <w:p>
      <w:pPr>
        <w:pStyle w:val="ListBullet"/>
        <w:numPr>
          <w:ilvl w:val="0"/>
          <w:numId w:val="90"/>
        </w:numPr>
        <w:ind w:left="340" w:hanging="142"/>
      </w:pPr>
      <w:r>
        <w:rPr>
          <w:b w:val="0"/>
          <w:i w:val="0"/>
        </w:rPr>
        <w:t>Increase student retention rate to 95% by 2027.</w:t>
      </w:r>
    </w:p>
    <w:p>
      <w:pPr>
        <w:pStyle w:val="ListBullet"/>
        <w:numPr>
          <w:ilvl w:val="0"/>
          <w:numId w:val="90"/>
        </w:numPr>
        <w:ind w:left="340" w:hanging="142"/>
      </w:pPr>
      <w:r>
        <w:rPr>
          <w:b w:val="0"/>
          <w:i w:val="0"/>
        </w:rPr>
        <w:t>Launch student career center with 90% placement support within 3 years.</w:t>
      </w:r>
    </w:p>
    <w:p>
      <w:pPr/>
      <w:r>
        <w:rPr>
          <w:b/>
          <w:i w:val="0"/>
        </w:rPr>
        <w:t>These Operational Goals are:</w:t>
      </w:r>
    </w:p>
    <w:p>
      <w:pPr>
        <w:pStyle w:val="ListBullet"/>
        <w:numPr>
          <w:ilvl w:val="0"/>
          <w:numId w:val="90"/>
        </w:numPr>
        <w:ind w:left="340" w:hanging="142"/>
      </w:pPr>
      <w:r>
        <w:rPr>
          <w:b w:val="0"/>
          <w:i w:val="0"/>
        </w:rPr>
        <w:t>Specific (clear actions like MoUs, patents, renewable energy).</w:t>
      </w:r>
    </w:p>
    <w:p>
      <w:pPr>
        <w:pStyle w:val="ListBullet"/>
        <w:numPr>
          <w:ilvl w:val="0"/>
          <w:numId w:val="90"/>
        </w:numPr>
        <w:ind w:left="340" w:hanging="142"/>
      </w:pPr>
      <w:r>
        <w:rPr>
          <w:b w:val="0"/>
          <w:i w:val="0"/>
        </w:rPr>
        <w:t>Measurable (percentages, numbers, rankings, funding).</w:t>
      </w:r>
    </w:p>
    <w:p>
      <w:pPr>
        <w:pStyle w:val="ListBullet"/>
        <w:numPr>
          <w:ilvl w:val="0"/>
          <w:numId w:val="90"/>
        </w:numPr>
        <w:ind w:left="340" w:hanging="142"/>
      </w:pPr>
      <w:r>
        <w:rPr>
          <w:b w:val="0"/>
          <w:i w:val="0"/>
        </w:rPr>
        <w:t>Achievable (realistic with institutional capacity).</w:t>
      </w:r>
    </w:p>
    <w:p>
      <w:pPr>
        <w:pStyle w:val="ListBullet"/>
        <w:numPr>
          <w:ilvl w:val="0"/>
          <w:numId w:val="90"/>
        </w:numPr>
        <w:ind w:left="340" w:hanging="142"/>
      </w:pPr>
      <w:r>
        <w:rPr>
          <w:b w:val="0"/>
          <w:i w:val="0"/>
        </w:rPr>
        <w:t>Relevant (aligned with Strategic Objectives, NEP 2020, SDGs).</w:t>
      </w:r>
    </w:p>
    <w:p>
      <w:pPr>
        <w:pStyle w:val="ListBullet"/>
        <w:numPr>
          <w:ilvl w:val="0"/>
          <w:numId w:val="90"/>
        </w:numPr>
        <w:ind w:left="340" w:hanging="142"/>
      </w:pPr>
      <w:r>
        <w:rPr>
          <w:b/>
          <w:i w:val="0"/>
        </w:rPr>
        <w:t>Time-bound (clear deadlines:</w:t>
      </w:r>
      <w:r>
        <w:rPr>
          <w:b w:val="0"/>
          <w:i w:val="0"/>
        </w:rPr>
        <w:t xml:space="preserve"> 2 years, 3 years, 5 years).</w:t>
      </w:r>
    </w:p>
    <w:p>
      <w:pPr>
        <w:pStyle w:val="Heading2"/>
      </w:pPr>
      <w:r>
        <w:t>Performance Monitoring Table for Operational Goals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757"/>
        <w:gridCol w:w="1928"/>
        <w:gridCol w:w="1928"/>
        <w:gridCol w:w="1871"/>
        <w:gridCol w:w="1928"/>
      </w:tblGrid>
      <w:tr>
        <w:trPr>
          <w:tblHeader/>
          <w:cantSplit/>
        </w:trPr>
        <w:tc>
          <w:tcPr>
            <w:tcW w:type="dxa" w:w="1757"/>
            <w:vAlign w:val="center"/>
            <w:shd w:fill="1F3A5F"/>
          </w:tcPr>
          <w:p>
            <w:pPr>
              <w:keepNext/>
              <w:spacing w:after="40" w:line="276" w:lineRule="auto"/>
              <w:jc w:val="left"/>
            </w:pPr>
            <w:r>
              <w:rPr>
                <w:b/>
                <w:i w:val="0"/>
                <w:color w:val="FFFFFF"/>
              </w:rPr>
              <w:t>Operational Goal</w:t>
            </w:r>
          </w:p>
        </w:tc>
        <w:tc>
          <w:tcPr>
            <w:tcW w:type="dxa" w:w="1928"/>
            <w:vAlign w:val="center"/>
            <w:shd w:fill="1F3A5F"/>
          </w:tcPr>
          <w:p>
            <w:pPr>
              <w:keepNext/>
              <w:spacing w:after="40" w:line="276" w:lineRule="auto"/>
              <w:jc w:val="left"/>
            </w:pPr>
            <w:r>
              <w:rPr>
                <w:b/>
                <w:i w:val="0"/>
                <w:color w:val="FFFFFF"/>
              </w:rPr>
              <w:t>Action Steps</w:t>
            </w:r>
          </w:p>
        </w:tc>
        <w:tc>
          <w:tcPr>
            <w:tcW w:type="dxa" w:w="1928"/>
            <w:vAlign w:val="center"/>
            <w:shd w:fill="1F3A5F"/>
          </w:tcPr>
          <w:p>
            <w:pPr>
              <w:keepNext/>
              <w:spacing w:after="40" w:line="276" w:lineRule="auto"/>
              <w:jc w:val="left"/>
            </w:pPr>
            <w:r>
              <w:rPr>
                <w:b/>
                <w:i w:val="0"/>
                <w:color w:val="FFFFFF"/>
              </w:rPr>
              <w:t>KPI (Key Performance Indicator)</w:t>
            </w:r>
          </w:p>
        </w:tc>
        <w:tc>
          <w:tcPr>
            <w:tcW w:type="dxa" w:w="1871"/>
            <w:vAlign w:val="center"/>
            <w:shd w:fill="1F3A5F"/>
          </w:tcPr>
          <w:p>
            <w:pPr>
              <w:keepNext/>
              <w:spacing w:after="40" w:line="276" w:lineRule="auto"/>
              <w:jc w:val="left"/>
            </w:pPr>
            <w:r>
              <w:rPr>
                <w:b/>
                <w:i w:val="0"/>
                <w:color w:val="FFFFFF"/>
              </w:rPr>
              <w:t>Responsible Department/​Unit</w:t>
            </w:r>
          </w:p>
        </w:tc>
        <w:tc>
          <w:tcPr>
            <w:tcW w:type="dxa" w:w="1928"/>
            <w:vAlign w:val="center"/>
            <w:shd w:fill="1F3A5F"/>
          </w:tcPr>
          <w:p>
            <w:pPr>
              <w:keepNext/>
              <w:spacing w:after="40" w:line="276" w:lineRule="auto"/>
              <w:jc w:val="left"/>
            </w:pPr>
            <w:r>
              <w:rPr>
                <w:b/>
                <w:i w:val="0"/>
                <w:color w:val="FFFFFF"/>
              </w:rPr>
              <w:t>Timeline</w:t>
            </w:r>
          </w:p>
        </w:tc>
      </w:tr>
      <w:tr>
        <w:trPr>
          <w:cantSplit/>
        </w:trPr>
        <w:tc>
          <w:tcPr>
            <w:tcW w:type="dxa" w:w="1757"/>
            <w:vAlign w:val="center"/>
            <w:shd w:fill="FFFFFF"/>
          </w:tcPr>
          <w:p>
            <w:pPr>
              <w:spacing w:after="40" w:line="276" w:lineRule="auto"/>
              <w:jc w:val="left"/>
            </w:pPr>
            <w:r>
              <w:rPr>
                <w:b w:val="0"/>
                <w:i w:val="0"/>
              </w:rPr>
              <w:t>1. Revise curricula to OBE standards by 2027</w:t>
            </w:r>
          </w:p>
        </w:tc>
        <w:tc>
          <w:tcPr>
            <w:tcW w:type="dxa" w:w="1928"/>
            <w:vAlign w:val="center"/>
            <w:shd w:fill="FFFFFF"/>
          </w:tcPr>
          <w:p>
            <w:pPr>
              <w:spacing w:after="40" w:line="276" w:lineRule="auto"/>
              <w:jc w:val="left"/>
            </w:pPr>
            <w:r>
              <w:rPr>
                <w:b w:val="0"/>
                <w:i w:val="0"/>
              </w:rPr>
              <w:t>Conduct curriculum review workshops; integrate OBE framework</w:t>
            </w:r>
          </w:p>
        </w:tc>
        <w:tc>
          <w:tcPr>
            <w:tcW w:type="dxa" w:w="1928"/>
            <w:vAlign w:val="center"/>
            <w:shd w:fill="FFFFFF"/>
          </w:tcPr>
          <w:p>
            <w:pPr>
              <w:spacing w:after="40" w:line="276" w:lineRule="auto"/>
              <w:jc w:val="left"/>
            </w:pPr>
            <w:r>
              <w:rPr>
                <w:b/>
                <w:i w:val="0"/>
              </w:rPr>
              <w:t>% of curricula revised (Target:</w:t>
            </w:r>
            <w:r>
              <w:rPr>
                <w:b w:val="0"/>
                <w:i w:val="0"/>
              </w:rPr>
              <w:t xml:space="preserve"> 100%)</w:t>
            </w:r>
          </w:p>
        </w:tc>
        <w:tc>
          <w:tcPr>
            <w:tcW w:type="dxa" w:w="1871"/>
            <w:vAlign w:val="center"/>
            <w:shd w:fill="FFFFFF"/>
          </w:tcPr>
          <w:p>
            <w:pPr>
              <w:spacing w:after="40" w:line="276" w:lineRule="auto"/>
              <w:jc w:val="left"/>
            </w:pPr>
            <w:r>
              <w:rPr>
                <w:b w:val="0"/>
                <w:i w:val="0"/>
              </w:rPr>
              <w:t>Academic Council, Board of Studies</w:t>
            </w:r>
          </w:p>
        </w:tc>
        <w:tc>
          <w:tcPr>
            <w:tcW w:type="dxa" w:w="1928"/>
            <w:vAlign w:val="center"/>
            <w:shd w:fill="FFFFFF"/>
          </w:tcPr>
          <w:p>
            <w:pPr>
              <w:spacing w:after="40" w:line="276" w:lineRule="auto"/>
              <w:jc w:val="left"/>
            </w:pPr>
            <w:r>
              <w:rPr>
                <w:b w:val="0"/>
                <w:i w:val="0"/>
              </w:rPr>
              <w:t>2025-2027</w:t>
            </w:r>
          </w:p>
        </w:tc>
      </w:tr>
      <w:tr>
        <w:trPr>
          <w:cantSplit/>
        </w:trPr>
        <w:tc>
          <w:tcPr>
            <w:tcW w:type="dxa" w:w="1757"/>
            <w:vAlign w:val="center"/>
            <w:shd w:fill="EDF2F7"/>
          </w:tcPr>
          <w:p>
            <w:pPr>
              <w:spacing w:after="40" w:line="276" w:lineRule="auto"/>
              <w:jc w:val="left"/>
            </w:pPr>
            <w:r>
              <w:rPr>
                <w:b w:val="0"/>
                <w:i w:val="0"/>
              </w:rPr>
              <w:t>2. Achieve ≥85% student satisfaction annually</w:t>
            </w:r>
          </w:p>
        </w:tc>
        <w:tc>
          <w:tcPr>
            <w:tcW w:type="dxa" w:w="1928"/>
            <w:vAlign w:val="center"/>
            <w:shd w:fill="EDF2F7"/>
          </w:tcPr>
          <w:p>
            <w:pPr>
              <w:spacing w:after="40" w:line="276" w:lineRule="auto"/>
              <w:jc w:val="left"/>
            </w:pPr>
            <w:r>
              <w:rPr>
                <w:b w:val="0"/>
                <w:i w:val="0"/>
              </w:rPr>
              <w:t>Annual teaching-learning surveys; feedback-driven improvements</w:t>
            </w:r>
          </w:p>
        </w:tc>
        <w:tc>
          <w:tcPr>
            <w:tcW w:type="dxa" w:w="1928"/>
            <w:vAlign w:val="center"/>
            <w:shd w:fill="EDF2F7"/>
          </w:tcPr>
          <w:p>
            <w:pPr>
              <w:spacing w:after="40" w:line="276" w:lineRule="auto"/>
              <w:jc w:val="left"/>
            </w:pPr>
            <w:r>
              <w:rPr>
                <w:b w:val="0"/>
                <w:i w:val="0"/>
              </w:rPr>
              <w:t>Student satisfaction index (%)</w:t>
            </w:r>
          </w:p>
        </w:tc>
        <w:tc>
          <w:tcPr>
            <w:tcW w:type="dxa" w:w="1871"/>
            <w:vAlign w:val="center"/>
            <w:shd w:fill="EDF2F7"/>
          </w:tcPr>
          <w:p>
            <w:pPr>
              <w:spacing w:after="40" w:line="276" w:lineRule="auto"/>
              <w:jc w:val="left"/>
            </w:pPr>
            <w:r>
              <w:rPr>
                <w:b w:val="0"/>
                <w:i w:val="0"/>
              </w:rPr>
              <w:t>IQAC, Dean Academics</w:t>
            </w:r>
          </w:p>
        </w:tc>
        <w:tc>
          <w:tcPr>
            <w:tcW w:type="dxa" w:w="1928"/>
            <w:vAlign w:val="center"/>
            <w:shd w:fill="EDF2F7"/>
          </w:tcPr>
          <w:p>
            <w:pPr>
              <w:spacing w:after="40" w:line="276" w:lineRule="auto"/>
              <w:jc w:val="left"/>
            </w:pPr>
            <w:r>
              <w:rPr>
                <w:b w:val="0"/>
                <w:i w:val="0"/>
              </w:rPr>
              <w:t>Every Academic Year</w:t>
            </w:r>
          </w:p>
        </w:tc>
      </w:tr>
      <w:tr>
        <w:trPr>
          <w:cantSplit/>
        </w:trPr>
        <w:tc>
          <w:tcPr>
            <w:tcW w:type="dxa" w:w="1757"/>
            <w:vAlign w:val="center"/>
            <w:shd w:fill="FFFFFF"/>
          </w:tcPr>
          <w:p>
            <w:pPr>
              <w:spacing w:after="40" w:line="276" w:lineRule="auto"/>
              <w:jc w:val="left"/>
            </w:pPr>
            <w:r>
              <w:rPr>
                <w:b w:val="0"/>
                <w:i w:val="0"/>
              </w:rPr>
              <w:t>3. Introduce 3 interdisciplinary programs in 3 years</w:t>
            </w:r>
          </w:p>
        </w:tc>
        <w:tc>
          <w:tcPr>
            <w:tcW w:type="dxa" w:w="1928"/>
            <w:vAlign w:val="center"/>
            <w:shd w:fill="FFFFFF"/>
          </w:tcPr>
          <w:p>
            <w:pPr>
              <w:spacing w:after="40" w:line="276" w:lineRule="auto"/>
              <w:jc w:val="left"/>
            </w:pPr>
            <w:r>
              <w:rPr>
                <w:b w:val="0"/>
                <w:i w:val="0"/>
              </w:rPr>
              <w:t>Identify demand-driven areas; design and approve new courses</w:t>
            </w:r>
          </w:p>
        </w:tc>
        <w:tc>
          <w:tcPr>
            <w:tcW w:type="dxa" w:w="1928"/>
            <w:vAlign w:val="center"/>
            <w:shd w:fill="FFFFFF"/>
          </w:tcPr>
          <w:p>
            <w:pPr>
              <w:spacing w:after="40" w:line="276" w:lineRule="auto"/>
              <w:jc w:val="left"/>
            </w:pPr>
            <w:r>
              <w:rPr>
                <w:b/>
                <w:i w:val="0"/>
              </w:rPr>
              <w:t>No. of new interdisciplinary programs (Target:</w:t>
            </w:r>
            <w:r>
              <w:rPr>
                <w:b w:val="0"/>
                <w:i w:val="0"/>
              </w:rPr>
              <w:t xml:space="preserve"> 3)</w:t>
            </w:r>
          </w:p>
        </w:tc>
        <w:tc>
          <w:tcPr>
            <w:tcW w:type="dxa" w:w="1871"/>
            <w:vAlign w:val="center"/>
            <w:shd w:fill="FFFFFF"/>
          </w:tcPr>
          <w:p>
            <w:pPr>
              <w:spacing w:after="40" w:line="276" w:lineRule="auto"/>
              <w:jc w:val="left"/>
            </w:pPr>
            <w:r>
              <w:rPr>
                <w:b w:val="0"/>
                <w:i w:val="0"/>
              </w:rPr>
              <w:t>Curriculum Development Cell</w:t>
            </w:r>
          </w:p>
        </w:tc>
        <w:tc>
          <w:tcPr>
            <w:tcW w:type="dxa" w:w="1928"/>
            <w:vAlign w:val="center"/>
            <w:shd w:fill="FFFFFF"/>
          </w:tcPr>
          <w:p>
            <w:pPr>
              <w:spacing w:after="40" w:line="276" w:lineRule="auto"/>
              <w:jc w:val="left"/>
            </w:pPr>
            <w:r>
              <w:rPr>
                <w:b w:val="0"/>
                <w:i w:val="0"/>
              </w:rPr>
              <w:t>2023-2026</w:t>
            </w:r>
          </w:p>
        </w:tc>
      </w:tr>
      <w:tr>
        <w:trPr>
          <w:cantSplit/>
        </w:trPr>
        <w:tc>
          <w:tcPr>
            <w:tcW w:type="dxa" w:w="1757"/>
            <w:vAlign w:val="center"/>
            <w:shd w:fill="EDF2F7"/>
          </w:tcPr>
          <w:p>
            <w:pPr>
              <w:spacing w:after="40" w:line="276" w:lineRule="auto"/>
              <w:jc w:val="left"/>
            </w:pPr>
            <w:r>
              <w:rPr>
                <w:b w:val="0"/>
                <w:i w:val="0"/>
              </w:rPr>
              <w:t>4. Establish 2 Centers of Excellence by 2026</w:t>
            </w:r>
          </w:p>
        </w:tc>
        <w:tc>
          <w:tcPr>
            <w:tcW w:type="dxa" w:w="1928"/>
            <w:vAlign w:val="center"/>
            <w:shd w:fill="EDF2F7"/>
          </w:tcPr>
          <w:p>
            <w:pPr>
              <w:spacing w:after="40" w:line="276" w:lineRule="auto"/>
              <w:jc w:val="left"/>
            </w:pPr>
            <w:r>
              <w:rPr>
                <w:b w:val="0"/>
                <w:i w:val="0"/>
              </w:rPr>
              <w:t>Secure funding; recruit faculty; set up infrastructure</w:t>
            </w:r>
          </w:p>
        </w:tc>
        <w:tc>
          <w:tcPr>
            <w:tcW w:type="dxa" w:w="1928"/>
            <w:vAlign w:val="center"/>
            <w:shd w:fill="EDF2F7"/>
          </w:tcPr>
          <w:p>
            <w:pPr>
              <w:spacing w:after="40" w:line="276" w:lineRule="auto"/>
              <w:jc w:val="left"/>
            </w:pPr>
            <w:r>
              <w:rPr>
                <w:b/>
                <w:i w:val="0"/>
              </w:rPr>
              <w:t>No. of Centers of Excellence (Target:</w:t>
            </w:r>
            <w:r>
              <w:rPr>
                <w:b w:val="0"/>
                <w:i w:val="0"/>
              </w:rPr>
              <w:t xml:space="preserve"> 2)</w:t>
            </w:r>
          </w:p>
        </w:tc>
        <w:tc>
          <w:tcPr>
            <w:tcW w:type="dxa" w:w="1871"/>
            <w:vAlign w:val="center"/>
            <w:shd w:fill="EDF2F7"/>
          </w:tcPr>
          <w:p>
            <w:pPr>
              <w:spacing w:after="40" w:line="276" w:lineRule="auto"/>
              <w:jc w:val="left"/>
            </w:pPr>
            <w:r>
              <w:rPr>
                <w:b w:val="0"/>
                <w:i w:val="0"/>
              </w:rPr>
              <w:t>R&amp;D cell, Dean Research</w:t>
            </w:r>
          </w:p>
        </w:tc>
        <w:tc>
          <w:tcPr>
            <w:tcW w:type="dxa" w:w="1928"/>
            <w:vAlign w:val="center"/>
            <w:shd w:fill="EDF2F7"/>
          </w:tcPr>
          <w:p>
            <w:pPr>
              <w:spacing w:after="40" w:line="276" w:lineRule="auto"/>
              <w:jc w:val="left"/>
            </w:pPr>
            <w:r>
              <w:rPr>
                <w:b w:val="0"/>
                <w:i w:val="0"/>
              </w:rPr>
              <w:t>2024–2026</w:t>
            </w:r>
          </w:p>
        </w:tc>
      </w:tr>
      <w:tr>
        <w:trPr>
          <w:cantSplit/>
        </w:trPr>
        <w:tc>
          <w:tcPr>
            <w:tcW w:type="dxa" w:w="1757"/>
            <w:vAlign w:val="center"/>
            <w:shd w:fill="FFFFFF"/>
          </w:tcPr>
          <w:p>
            <w:pPr>
              <w:spacing w:after="40" w:line="276" w:lineRule="auto"/>
              <w:jc w:val="left"/>
            </w:pPr>
            <w:r>
              <w:rPr>
                <w:b w:val="0"/>
                <w:i w:val="0"/>
              </w:rPr>
              <w:t>5. File 10 patents per year by 2027</w:t>
            </w:r>
          </w:p>
        </w:tc>
        <w:tc>
          <w:tcPr>
            <w:tcW w:type="dxa" w:w="1928"/>
            <w:vAlign w:val="center"/>
            <w:shd w:fill="FFFFFF"/>
          </w:tcPr>
          <w:p>
            <w:pPr>
              <w:spacing w:after="40" w:line="276" w:lineRule="auto"/>
              <w:jc w:val="left"/>
            </w:pPr>
            <w:r>
              <w:rPr>
                <w:b w:val="0"/>
                <w:i w:val="0"/>
              </w:rPr>
              <w:t>Faculty/​student patent training workshops; innovation hubs</w:t>
            </w:r>
          </w:p>
        </w:tc>
        <w:tc>
          <w:tcPr>
            <w:tcW w:type="dxa" w:w="1928"/>
            <w:vAlign w:val="center"/>
            <w:shd w:fill="FFFFFF"/>
          </w:tcPr>
          <w:p>
            <w:pPr>
              <w:spacing w:after="40" w:line="276" w:lineRule="auto"/>
              <w:jc w:val="left"/>
            </w:pPr>
            <w:r>
              <w:rPr>
                <w:b/>
                <w:i w:val="0"/>
              </w:rPr>
              <w:t>No. of patents filed annually (Target:</w:t>
            </w:r>
            <w:r>
              <w:rPr>
                <w:b w:val="0"/>
                <w:i w:val="0"/>
              </w:rPr>
              <w:t xml:space="preserve"> 10)</w:t>
            </w:r>
          </w:p>
        </w:tc>
        <w:tc>
          <w:tcPr>
            <w:tcW w:type="dxa" w:w="1871"/>
            <w:vAlign w:val="center"/>
            <w:shd w:fill="FFFFFF"/>
          </w:tcPr>
          <w:p>
            <w:pPr>
              <w:spacing w:after="40" w:line="276" w:lineRule="auto"/>
              <w:jc w:val="left"/>
            </w:pPr>
            <w:r>
              <w:rPr>
                <w:b w:val="0"/>
                <w:i w:val="0"/>
              </w:rPr>
              <w:t>Innovation &amp; IPR Cell</w:t>
            </w:r>
          </w:p>
        </w:tc>
        <w:tc>
          <w:tcPr>
            <w:tcW w:type="dxa" w:w="1928"/>
            <w:vAlign w:val="center"/>
            <w:shd w:fill="FFFFFF"/>
          </w:tcPr>
          <w:p>
            <w:pPr>
              <w:spacing w:after="40" w:line="276" w:lineRule="auto"/>
              <w:jc w:val="left"/>
            </w:pPr>
            <w:r>
              <w:rPr>
                <w:b w:val="0"/>
                <w:i w:val="0"/>
              </w:rPr>
              <w:t>2025-2027</w:t>
            </w:r>
          </w:p>
        </w:tc>
      </w:tr>
      <w:tr>
        <w:trPr>
          <w:cantSplit/>
        </w:trPr>
        <w:tc>
          <w:tcPr>
            <w:tcW w:type="dxa" w:w="1757"/>
            <w:vAlign w:val="center"/>
            <w:shd w:fill="EDF2F7"/>
          </w:tcPr>
          <w:p>
            <w:pPr>
              <w:spacing w:after="40" w:line="276" w:lineRule="auto"/>
              <w:jc w:val="left"/>
            </w:pPr>
            <w:r>
              <w:rPr>
                <w:b w:val="0"/>
                <w:i w:val="0"/>
              </w:rPr>
              <w:t>6. Secure ₹50 crore/£5m research funding in 5 years</w:t>
            </w:r>
          </w:p>
        </w:tc>
        <w:tc>
          <w:tcPr>
            <w:tcW w:type="dxa" w:w="1928"/>
            <w:vAlign w:val="center"/>
            <w:shd w:fill="EDF2F7"/>
          </w:tcPr>
          <w:p>
            <w:pPr>
              <w:spacing w:after="40" w:line="276" w:lineRule="auto"/>
              <w:jc w:val="left"/>
            </w:pPr>
            <w:r>
              <w:rPr>
                <w:b w:val="0"/>
                <w:i w:val="0"/>
              </w:rPr>
              <w:t>Apply for national &amp; international grants</w:t>
            </w:r>
          </w:p>
        </w:tc>
        <w:tc>
          <w:tcPr>
            <w:tcW w:type="dxa" w:w="1928"/>
            <w:vAlign w:val="center"/>
            <w:shd w:fill="EDF2F7"/>
          </w:tcPr>
          <w:p>
            <w:pPr>
              <w:spacing w:after="40" w:line="276" w:lineRule="auto"/>
              <w:jc w:val="left"/>
            </w:pPr>
            <w:r>
              <w:rPr>
                <w:b w:val="0"/>
                <w:i w:val="0"/>
              </w:rPr>
              <w:t>Amount of funding secured</w:t>
            </w:r>
          </w:p>
        </w:tc>
        <w:tc>
          <w:tcPr>
            <w:tcW w:type="dxa" w:w="1871"/>
            <w:vAlign w:val="center"/>
            <w:shd w:fill="EDF2F7"/>
          </w:tcPr>
          <w:p>
            <w:pPr>
              <w:spacing w:after="40" w:line="276" w:lineRule="auto"/>
              <w:jc w:val="left"/>
            </w:pPr>
            <w:r>
              <w:rPr>
                <w:b w:val="0"/>
                <w:i w:val="0"/>
              </w:rPr>
              <w:t>Research &amp; Finance Office</w:t>
            </w:r>
          </w:p>
        </w:tc>
        <w:tc>
          <w:tcPr>
            <w:tcW w:type="dxa" w:w="1928"/>
            <w:vAlign w:val="center"/>
            <w:shd w:fill="EDF2F7"/>
          </w:tcPr>
          <w:p>
            <w:pPr>
              <w:spacing w:after="40" w:line="276" w:lineRule="auto"/>
              <w:jc w:val="left"/>
            </w:pPr>
            <w:r>
              <w:rPr>
                <w:b w:val="0"/>
                <w:i w:val="0"/>
              </w:rPr>
              <w:t>2023-2028</w:t>
            </w:r>
          </w:p>
        </w:tc>
      </w:tr>
      <w:tr>
        <w:trPr>
          <w:cantSplit/>
        </w:trPr>
        <w:tc>
          <w:tcPr>
            <w:tcW w:type="dxa" w:w="1757"/>
            <w:vAlign w:val="center"/>
            <w:shd w:fill="FFFFFF"/>
          </w:tcPr>
          <w:p>
            <w:pPr>
              <w:spacing w:after="40" w:line="276" w:lineRule="auto"/>
              <w:jc w:val="left"/>
            </w:pPr>
            <w:r>
              <w:rPr>
                <w:b w:val="0"/>
                <w:i w:val="0"/>
              </w:rPr>
              <w:t>7. Convert 40% of campus energy to renewable by 2026</w:t>
            </w:r>
          </w:p>
        </w:tc>
        <w:tc>
          <w:tcPr>
            <w:tcW w:type="dxa" w:w="1928"/>
            <w:vAlign w:val="center"/>
            <w:shd w:fill="FFFFFF"/>
          </w:tcPr>
          <w:p>
            <w:pPr>
              <w:spacing w:after="40" w:line="276" w:lineRule="auto"/>
              <w:jc w:val="left"/>
            </w:pPr>
            <w:r>
              <w:rPr>
                <w:b w:val="0"/>
                <w:i w:val="0"/>
              </w:rPr>
              <w:t>Install solar, wind, and green energy systems</w:t>
            </w:r>
          </w:p>
        </w:tc>
        <w:tc>
          <w:tcPr>
            <w:tcW w:type="dxa" w:w="1928"/>
            <w:vAlign w:val="center"/>
            <w:shd w:fill="FFFFFF"/>
          </w:tcPr>
          <w:p>
            <w:pPr>
              <w:spacing w:after="40" w:line="276" w:lineRule="auto"/>
              <w:jc w:val="left"/>
            </w:pPr>
            <w:r>
              <w:rPr>
                <w:b/>
                <w:i w:val="0"/>
              </w:rPr>
              <w:t>% renewable energy use (Target:</w:t>
            </w:r>
            <w:r>
              <w:rPr>
                <w:b w:val="0"/>
                <w:i w:val="0"/>
              </w:rPr>
              <w:t xml:space="preserve"> 40%)</w:t>
            </w:r>
          </w:p>
        </w:tc>
        <w:tc>
          <w:tcPr>
            <w:tcW w:type="dxa" w:w="1871"/>
            <w:vAlign w:val="center"/>
            <w:shd w:fill="FFFFFF"/>
          </w:tcPr>
          <w:p>
            <w:pPr>
              <w:spacing w:after="40" w:line="276" w:lineRule="auto"/>
              <w:jc w:val="left"/>
            </w:pPr>
            <w:r>
              <w:rPr>
                <w:b w:val="0"/>
                <w:i w:val="0"/>
              </w:rPr>
              <w:t>Estate &amp; Infrastructure Office</w:t>
            </w:r>
          </w:p>
        </w:tc>
        <w:tc>
          <w:tcPr>
            <w:tcW w:type="dxa" w:w="1928"/>
            <w:vAlign w:val="center"/>
            <w:shd w:fill="FFFFFF"/>
          </w:tcPr>
          <w:p>
            <w:pPr>
              <w:spacing w:after="40" w:line="276" w:lineRule="auto"/>
              <w:jc w:val="left"/>
            </w:pPr>
            <w:r>
              <w:rPr>
                <w:b w:val="0"/>
                <w:i w:val="0"/>
              </w:rPr>
              <w:t>2024-2026</w:t>
            </w:r>
          </w:p>
        </w:tc>
      </w:tr>
      <w:tr>
        <w:trPr>
          <w:cantSplit/>
        </w:trPr>
        <w:tc>
          <w:tcPr>
            <w:tcW w:type="dxa" w:w="1757"/>
            <w:vAlign w:val="center"/>
            <w:shd w:fill="EDF2F7"/>
          </w:tcPr>
          <w:p>
            <w:pPr>
              <w:spacing w:after="40" w:line="276" w:lineRule="auto"/>
              <w:jc w:val="left"/>
            </w:pPr>
            <w:r>
              <w:rPr>
                <w:b w:val="0"/>
                <w:i w:val="0"/>
              </w:rPr>
              <w:t>8. Achieve Green Building Certification for 3 buildings by 2025</w:t>
            </w:r>
          </w:p>
        </w:tc>
        <w:tc>
          <w:tcPr>
            <w:tcW w:type="dxa" w:w="1928"/>
            <w:vAlign w:val="center"/>
            <w:shd w:fill="EDF2F7"/>
          </w:tcPr>
          <w:p>
            <w:pPr>
              <w:spacing w:after="40" w:line="276" w:lineRule="auto"/>
              <w:jc w:val="left"/>
            </w:pPr>
            <w:r>
              <w:rPr>
                <w:b w:val="0"/>
                <w:i w:val="0"/>
              </w:rPr>
              <w:t>Renovate/​construct eco-friendly buildings</w:t>
            </w:r>
          </w:p>
        </w:tc>
        <w:tc>
          <w:tcPr>
            <w:tcW w:type="dxa" w:w="1928"/>
            <w:vAlign w:val="center"/>
            <w:shd w:fill="EDF2F7"/>
          </w:tcPr>
          <w:p>
            <w:pPr>
              <w:spacing w:after="40" w:line="276" w:lineRule="auto"/>
              <w:jc w:val="left"/>
            </w:pPr>
            <w:r>
              <w:rPr>
                <w:b/>
                <w:i w:val="0"/>
              </w:rPr>
              <w:t>No. of certified buildings (Target:</w:t>
            </w:r>
            <w:r>
              <w:rPr>
                <w:b w:val="0"/>
                <w:i w:val="0"/>
              </w:rPr>
              <w:t xml:space="preserve"> 3)</w:t>
            </w:r>
          </w:p>
        </w:tc>
        <w:tc>
          <w:tcPr>
            <w:tcW w:type="dxa" w:w="1871"/>
            <w:vAlign w:val="center"/>
            <w:shd w:fill="EDF2F7"/>
          </w:tcPr>
          <w:p>
            <w:pPr>
              <w:spacing w:after="40" w:line="276" w:lineRule="auto"/>
              <w:jc w:val="left"/>
            </w:pPr>
            <w:r>
              <w:rPr>
                <w:b w:val="0"/>
                <w:i w:val="0"/>
              </w:rPr>
              <w:t>Infrastructure &amp; Sustainability Cell</w:t>
            </w:r>
          </w:p>
        </w:tc>
        <w:tc>
          <w:tcPr>
            <w:tcW w:type="dxa" w:w="1928"/>
            <w:vAlign w:val="center"/>
            <w:shd w:fill="EDF2F7"/>
          </w:tcPr>
          <w:p>
            <w:pPr>
              <w:spacing w:after="40" w:line="276" w:lineRule="auto"/>
              <w:jc w:val="left"/>
            </w:pPr>
            <w:r>
              <w:rPr>
                <w:b w:val="0"/>
                <w:i w:val="0"/>
              </w:rPr>
              <w:t>2023-2025</w:t>
            </w:r>
          </w:p>
        </w:tc>
      </w:tr>
      <w:tr>
        <w:trPr>
          <w:cantSplit/>
        </w:trPr>
        <w:tc>
          <w:tcPr>
            <w:tcW w:type="dxa" w:w="1757"/>
            <w:vAlign w:val="center"/>
            <w:shd w:fill="FFFFFF"/>
          </w:tcPr>
          <w:p>
            <w:pPr>
              <w:spacing w:after="40" w:line="276" w:lineRule="auto"/>
              <w:jc w:val="left"/>
            </w:pPr>
            <w:r>
              <w:rPr>
                <w:b w:val="0"/>
                <w:i w:val="0"/>
              </w:rPr>
              <w:t>9. Achieve NAAC A++ accreditation in 5 years</w:t>
            </w:r>
          </w:p>
        </w:tc>
        <w:tc>
          <w:tcPr>
            <w:tcW w:type="dxa" w:w="1928"/>
            <w:vAlign w:val="center"/>
            <w:shd w:fill="FFFFFF"/>
          </w:tcPr>
          <w:p>
            <w:pPr>
              <w:spacing w:after="40" w:line="276" w:lineRule="auto"/>
              <w:jc w:val="left"/>
            </w:pPr>
            <w:r>
              <w:rPr>
                <w:b w:val="0"/>
                <w:i w:val="0"/>
              </w:rPr>
              <w:t>Strengthen IQAC, documentation, and compliance</w:t>
            </w:r>
          </w:p>
        </w:tc>
        <w:tc>
          <w:tcPr>
            <w:tcW w:type="dxa" w:w="1928"/>
            <w:vAlign w:val="center"/>
            <w:shd w:fill="FFFFFF"/>
          </w:tcPr>
          <w:p>
            <w:pPr>
              <w:spacing w:after="40" w:line="276" w:lineRule="auto"/>
              <w:jc w:val="left"/>
            </w:pPr>
            <w:r>
              <w:rPr>
                <w:b/>
                <w:i w:val="0"/>
              </w:rPr>
              <w:t>NAAC Grade (Target:</w:t>
            </w:r>
            <w:r>
              <w:rPr>
                <w:b w:val="0"/>
                <w:i w:val="0"/>
              </w:rPr>
              <w:t xml:space="preserve"> A++)</w:t>
            </w:r>
          </w:p>
        </w:tc>
        <w:tc>
          <w:tcPr>
            <w:tcW w:type="dxa" w:w="1871"/>
            <w:vAlign w:val="center"/>
            <w:shd w:fill="FFFFFF"/>
          </w:tcPr>
          <w:p>
            <w:pPr>
              <w:spacing w:after="40" w:line="276" w:lineRule="auto"/>
              <w:jc w:val="left"/>
            </w:pPr>
            <w:r>
              <w:rPr>
                <w:b w:val="0"/>
                <w:i w:val="0"/>
              </w:rPr>
              <w:t>IQAC, Accreditation Cell</w:t>
            </w:r>
          </w:p>
        </w:tc>
        <w:tc>
          <w:tcPr>
            <w:tcW w:type="dxa" w:w="1928"/>
            <w:vAlign w:val="center"/>
            <w:shd w:fill="FFFFFF"/>
          </w:tcPr>
          <w:p>
            <w:pPr>
              <w:spacing w:after="40" w:line="276" w:lineRule="auto"/>
              <w:jc w:val="left"/>
            </w:pPr>
            <w:r>
              <w:rPr>
                <w:b w:val="0"/>
                <w:i w:val="0"/>
              </w:rPr>
              <w:t>2023-2028</w:t>
            </w:r>
          </w:p>
        </w:tc>
      </w:tr>
      <w:tr>
        <w:trPr>
          <w:cantSplit/>
        </w:trPr>
        <w:tc>
          <w:tcPr>
            <w:tcW w:type="dxa" w:w="1757"/>
            <w:vAlign w:val="center"/>
            <w:shd w:fill="EDF2F7"/>
          </w:tcPr>
          <w:p>
            <w:pPr>
              <w:spacing w:after="40" w:line="276" w:lineRule="auto"/>
              <w:jc w:val="left"/>
            </w:pPr>
            <w:r>
              <w:rPr>
                <w:b w:val="0"/>
                <w:i w:val="0"/>
              </w:rPr>
              <w:t>10. Improve NIRF ranking by 10 positions annually</w:t>
            </w:r>
          </w:p>
        </w:tc>
        <w:tc>
          <w:tcPr>
            <w:tcW w:type="dxa" w:w="1928"/>
            <w:vAlign w:val="center"/>
            <w:shd w:fill="EDF2F7"/>
          </w:tcPr>
          <w:p>
            <w:pPr>
              <w:spacing w:after="40" w:line="276" w:lineRule="auto"/>
              <w:jc w:val="left"/>
            </w:pPr>
            <w:r>
              <w:rPr>
                <w:b w:val="0"/>
                <w:i w:val="0"/>
              </w:rPr>
              <w:t>Enhance research, teaching, and outreach metrics</w:t>
            </w:r>
          </w:p>
        </w:tc>
        <w:tc>
          <w:tcPr>
            <w:tcW w:type="dxa" w:w="1928"/>
            <w:vAlign w:val="center"/>
            <w:shd w:fill="EDF2F7"/>
          </w:tcPr>
          <w:p>
            <w:pPr>
              <w:spacing w:after="40" w:line="276" w:lineRule="auto"/>
              <w:jc w:val="left"/>
            </w:pPr>
            <w:r>
              <w:rPr>
                <w:b w:val="0"/>
                <w:i w:val="0"/>
              </w:rPr>
              <w:t>NIRF rank improvement per year</w:t>
            </w:r>
          </w:p>
        </w:tc>
        <w:tc>
          <w:tcPr>
            <w:tcW w:type="dxa" w:w="1871"/>
            <w:vAlign w:val="center"/>
            <w:shd w:fill="EDF2F7"/>
          </w:tcPr>
          <w:p>
            <w:pPr>
              <w:spacing w:after="40" w:line="276" w:lineRule="auto"/>
              <w:jc w:val="left"/>
            </w:pPr>
            <w:r>
              <w:rPr>
                <w:b w:val="0"/>
                <w:i w:val="0"/>
              </w:rPr>
              <w:t>Institutional Ranking Committee</w:t>
            </w:r>
          </w:p>
        </w:tc>
        <w:tc>
          <w:tcPr>
            <w:tcW w:type="dxa" w:w="1928"/>
            <w:vAlign w:val="center"/>
            <w:shd w:fill="EDF2F7"/>
          </w:tcPr>
          <w:p>
            <w:pPr>
              <w:spacing w:after="40" w:line="276" w:lineRule="auto"/>
              <w:jc w:val="left"/>
            </w:pPr>
            <w:r>
              <w:rPr>
                <w:b w:val="0"/>
                <w:i w:val="0"/>
              </w:rPr>
              <w:t>Annual</w:t>
            </w:r>
          </w:p>
        </w:tc>
      </w:tr>
      <w:tr>
        <w:trPr>
          <w:cantSplit/>
        </w:trPr>
        <w:tc>
          <w:tcPr>
            <w:tcW w:type="dxa" w:w="1757"/>
            <w:vAlign w:val="center"/>
            <w:shd w:fill="FFFFFF"/>
          </w:tcPr>
          <w:p>
            <w:pPr>
              <w:spacing w:after="40" w:line="276" w:lineRule="auto"/>
              <w:jc w:val="left"/>
            </w:pPr>
            <w:r>
              <w:rPr>
                <w:b w:val="0"/>
                <w:i w:val="0"/>
              </w:rPr>
              <w:t>11. Generate 30% of revenue from non-government sources by 2027</w:t>
            </w:r>
          </w:p>
        </w:tc>
        <w:tc>
          <w:tcPr>
            <w:tcW w:type="dxa" w:w="1928"/>
            <w:vAlign w:val="center"/>
            <w:shd w:fill="FFFFFF"/>
          </w:tcPr>
          <w:p>
            <w:pPr>
              <w:spacing w:after="40" w:line="276" w:lineRule="auto"/>
              <w:jc w:val="left"/>
            </w:pPr>
            <w:r>
              <w:rPr>
                <w:b w:val="0"/>
                <w:i w:val="0"/>
              </w:rPr>
              <w:t>Expand consultancy, ppps, alumni fundraising</w:t>
            </w:r>
          </w:p>
        </w:tc>
        <w:tc>
          <w:tcPr>
            <w:tcW w:type="dxa" w:w="1928"/>
            <w:vAlign w:val="center"/>
            <w:shd w:fill="FFFFFF"/>
          </w:tcPr>
          <w:p>
            <w:pPr>
              <w:spacing w:after="40" w:line="276" w:lineRule="auto"/>
              <w:jc w:val="left"/>
            </w:pPr>
            <w:r>
              <w:rPr>
                <w:b/>
                <w:i w:val="0"/>
              </w:rPr>
              <w:t>% of non-government income (Target:</w:t>
            </w:r>
            <w:r>
              <w:rPr>
                <w:b w:val="0"/>
                <w:i w:val="0"/>
              </w:rPr>
              <w:t xml:space="preserve"> 30%)</w:t>
            </w:r>
          </w:p>
        </w:tc>
        <w:tc>
          <w:tcPr>
            <w:tcW w:type="dxa" w:w="1871"/>
            <w:vAlign w:val="center"/>
            <w:shd w:fill="FFFFFF"/>
          </w:tcPr>
          <w:p>
            <w:pPr>
              <w:spacing w:after="40" w:line="276" w:lineRule="auto"/>
              <w:jc w:val="left"/>
            </w:pPr>
            <w:r>
              <w:rPr>
                <w:b w:val="0"/>
                <w:i w:val="0"/>
              </w:rPr>
              <w:t>Finance &amp; Alumni Office</w:t>
            </w:r>
          </w:p>
        </w:tc>
        <w:tc>
          <w:tcPr>
            <w:tcW w:type="dxa" w:w="1928"/>
            <w:vAlign w:val="center"/>
            <w:shd w:fill="FFFFFF"/>
          </w:tcPr>
          <w:p>
            <w:pPr>
              <w:spacing w:after="40" w:line="276" w:lineRule="auto"/>
              <w:jc w:val="left"/>
            </w:pPr>
            <w:r>
              <w:rPr>
                <w:b w:val="0"/>
                <w:i w:val="0"/>
              </w:rPr>
              <w:t>2023-2027</w:t>
            </w:r>
          </w:p>
        </w:tc>
      </w:tr>
      <w:tr>
        <w:trPr>
          <w:cantSplit/>
        </w:trPr>
        <w:tc>
          <w:tcPr>
            <w:tcW w:type="dxa" w:w="1757"/>
            <w:vAlign w:val="center"/>
            <w:shd w:fill="EDF2F7"/>
          </w:tcPr>
          <w:p>
            <w:pPr>
              <w:spacing w:after="40" w:line="276" w:lineRule="auto"/>
              <w:jc w:val="left"/>
            </w:pPr>
            <w:r>
              <w:rPr>
                <w:b w:val="0"/>
                <w:i w:val="0"/>
              </w:rPr>
              <w:t>12. Raise ₹10 crore/£1m from alumni &amp; CSR in 3 years</w:t>
            </w:r>
          </w:p>
        </w:tc>
        <w:tc>
          <w:tcPr>
            <w:tcW w:type="dxa" w:w="1928"/>
            <w:vAlign w:val="center"/>
            <w:shd w:fill="EDF2F7"/>
          </w:tcPr>
          <w:p>
            <w:pPr>
              <w:spacing w:after="40" w:line="276" w:lineRule="auto"/>
              <w:jc w:val="left"/>
            </w:pPr>
            <w:r>
              <w:rPr>
                <w:b w:val="0"/>
                <w:i w:val="0"/>
              </w:rPr>
              <w:t>Organize alumni campaigns, CSR partnerships</w:t>
            </w:r>
          </w:p>
        </w:tc>
        <w:tc>
          <w:tcPr>
            <w:tcW w:type="dxa" w:w="1928"/>
            <w:vAlign w:val="center"/>
            <w:shd w:fill="EDF2F7"/>
          </w:tcPr>
          <w:p>
            <w:pPr>
              <w:spacing w:after="40" w:line="276" w:lineRule="auto"/>
              <w:jc w:val="left"/>
            </w:pPr>
            <w:r>
              <w:rPr>
                <w:b w:val="0"/>
                <w:i w:val="0"/>
              </w:rPr>
              <w:t>Total funds raised</w:t>
            </w:r>
          </w:p>
        </w:tc>
        <w:tc>
          <w:tcPr>
            <w:tcW w:type="dxa" w:w="1871"/>
            <w:vAlign w:val="center"/>
            <w:shd w:fill="EDF2F7"/>
          </w:tcPr>
          <w:p>
            <w:pPr>
              <w:spacing w:after="40" w:line="276" w:lineRule="auto"/>
              <w:jc w:val="left"/>
            </w:pPr>
            <w:r>
              <w:rPr>
                <w:b w:val="0"/>
                <w:i w:val="0"/>
              </w:rPr>
              <w:t>Alumni Relations Office</w:t>
            </w:r>
          </w:p>
        </w:tc>
        <w:tc>
          <w:tcPr>
            <w:tcW w:type="dxa" w:w="1928"/>
            <w:vAlign w:val="center"/>
            <w:shd w:fill="EDF2F7"/>
          </w:tcPr>
          <w:p>
            <w:pPr>
              <w:spacing w:after="40" w:line="276" w:lineRule="auto"/>
              <w:jc w:val="left"/>
            </w:pPr>
            <w:r>
              <w:rPr>
                <w:b w:val="0"/>
                <w:i w:val="0"/>
              </w:rPr>
              <w:t>2023-2026</w:t>
            </w:r>
          </w:p>
        </w:tc>
      </w:tr>
      <w:tr>
        <w:trPr>
          <w:cantSplit/>
        </w:trPr>
        <w:tc>
          <w:tcPr>
            <w:tcW w:type="dxa" w:w="1757"/>
            <w:vAlign w:val="center"/>
            <w:shd w:fill="FFFFFF"/>
          </w:tcPr>
          <w:p>
            <w:pPr>
              <w:spacing w:after="40" w:line="276" w:lineRule="auto"/>
              <w:jc w:val="left"/>
            </w:pPr>
            <w:r>
              <w:rPr>
                <w:b w:val="0"/>
                <w:i w:val="0"/>
              </w:rPr>
              <w:t>13. Engage 80% of students in community service annually</w:t>
            </w:r>
          </w:p>
        </w:tc>
        <w:tc>
          <w:tcPr>
            <w:tcW w:type="dxa" w:w="1928"/>
            <w:vAlign w:val="center"/>
            <w:shd w:fill="FFFFFF"/>
          </w:tcPr>
          <w:p>
            <w:pPr>
              <w:spacing w:after="40" w:line="276" w:lineRule="auto"/>
              <w:jc w:val="left"/>
            </w:pPr>
            <w:r>
              <w:rPr>
                <w:b w:val="0"/>
                <w:i w:val="0"/>
              </w:rPr>
              <w:t>Launch ISR programs; credit-linked volunteering</w:t>
            </w:r>
          </w:p>
        </w:tc>
        <w:tc>
          <w:tcPr>
            <w:tcW w:type="dxa" w:w="1928"/>
            <w:vAlign w:val="center"/>
            <w:shd w:fill="FFFFFF"/>
          </w:tcPr>
          <w:p>
            <w:pPr>
              <w:spacing w:after="40" w:line="276" w:lineRule="auto"/>
              <w:jc w:val="left"/>
            </w:pPr>
            <w:r>
              <w:rPr>
                <w:b w:val="0"/>
                <w:i w:val="0"/>
              </w:rPr>
              <w:t>% of students in outreach activities</w:t>
            </w:r>
          </w:p>
        </w:tc>
        <w:tc>
          <w:tcPr>
            <w:tcW w:type="dxa" w:w="1871"/>
            <w:vAlign w:val="center"/>
            <w:shd w:fill="FFFFFF"/>
          </w:tcPr>
          <w:p>
            <w:pPr>
              <w:spacing w:after="40" w:line="276" w:lineRule="auto"/>
              <w:jc w:val="left"/>
            </w:pPr>
            <w:r>
              <w:rPr>
                <w:b w:val="0"/>
                <w:i w:val="0"/>
              </w:rPr>
              <w:t>Social Outreach cell, NSS</w:t>
            </w:r>
          </w:p>
        </w:tc>
        <w:tc>
          <w:tcPr>
            <w:tcW w:type="dxa" w:w="1928"/>
            <w:vAlign w:val="center"/>
            <w:shd w:fill="FFFFFF"/>
          </w:tcPr>
          <w:p>
            <w:pPr>
              <w:spacing w:after="40" w:line="276" w:lineRule="auto"/>
              <w:jc w:val="left"/>
            </w:pPr>
            <w:r>
              <w:rPr>
                <w:b w:val="0"/>
                <w:i w:val="0"/>
              </w:rPr>
              <w:t>Annual</w:t>
            </w:r>
          </w:p>
        </w:tc>
      </w:tr>
      <w:tr>
        <w:trPr>
          <w:cantSplit/>
        </w:trPr>
        <w:tc>
          <w:tcPr>
            <w:tcW w:type="dxa" w:w="1757"/>
            <w:vAlign w:val="center"/>
            <w:shd w:fill="EDF2F7"/>
          </w:tcPr>
          <w:p>
            <w:pPr>
              <w:spacing w:after="40" w:line="276" w:lineRule="auto"/>
              <w:jc w:val="left"/>
            </w:pPr>
            <w:r>
              <w:rPr>
                <w:b w:val="0"/>
                <w:i w:val="0"/>
              </w:rPr>
              <w:t>14. Impact 10,000 beneficiaries by 2027</w:t>
            </w:r>
          </w:p>
        </w:tc>
        <w:tc>
          <w:tcPr>
            <w:tcW w:type="dxa" w:w="1928"/>
            <w:vAlign w:val="center"/>
            <w:shd w:fill="EDF2F7"/>
          </w:tcPr>
          <w:p>
            <w:pPr>
              <w:spacing w:after="40" w:line="276" w:lineRule="auto"/>
              <w:jc w:val="left"/>
            </w:pPr>
            <w:r>
              <w:rPr>
                <w:b w:val="0"/>
                <w:i w:val="0"/>
              </w:rPr>
              <w:t>Organize health, literacy, sustainability drives</w:t>
            </w:r>
          </w:p>
        </w:tc>
        <w:tc>
          <w:tcPr>
            <w:tcW w:type="dxa" w:w="1928"/>
            <w:vAlign w:val="center"/>
            <w:shd w:fill="EDF2F7"/>
          </w:tcPr>
          <w:p>
            <w:pPr>
              <w:spacing w:after="40" w:line="276" w:lineRule="auto"/>
              <w:jc w:val="left"/>
            </w:pPr>
            <w:r>
              <w:rPr>
                <w:b w:val="0"/>
                <w:i w:val="0"/>
              </w:rPr>
              <w:t>No. of direct beneficiaries</w:t>
            </w:r>
          </w:p>
        </w:tc>
        <w:tc>
          <w:tcPr>
            <w:tcW w:type="dxa" w:w="1871"/>
            <w:vAlign w:val="center"/>
            <w:shd w:fill="EDF2F7"/>
          </w:tcPr>
          <w:p>
            <w:pPr>
              <w:spacing w:after="40" w:line="276" w:lineRule="auto"/>
              <w:jc w:val="left"/>
            </w:pPr>
            <w:r>
              <w:rPr>
                <w:b w:val="0"/>
                <w:i w:val="0"/>
              </w:rPr>
              <w:t>Outreach &amp; Extension Services</w:t>
            </w:r>
          </w:p>
        </w:tc>
        <w:tc>
          <w:tcPr>
            <w:tcW w:type="dxa" w:w="1928"/>
            <w:vAlign w:val="center"/>
            <w:shd w:fill="EDF2F7"/>
          </w:tcPr>
          <w:p>
            <w:pPr>
              <w:spacing w:after="40" w:line="276" w:lineRule="auto"/>
              <w:jc w:val="left"/>
            </w:pPr>
            <w:r>
              <w:rPr>
                <w:b w:val="0"/>
                <w:i w:val="0"/>
              </w:rPr>
              <w:t>2023-2027</w:t>
            </w:r>
          </w:p>
        </w:tc>
      </w:tr>
      <w:tr>
        <w:trPr>
          <w:cantSplit/>
        </w:trPr>
        <w:tc>
          <w:tcPr>
            <w:tcW w:type="dxa" w:w="1757"/>
            <w:vAlign w:val="center"/>
            <w:shd w:fill="FFFFFF"/>
          </w:tcPr>
          <w:p>
            <w:pPr>
              <w:spacing w:after="40" w:line="276" w:lineRule="auto"/>
              <w:jc w:val="left"/>
            </w:pPr>
            <w:r>
              <w:rPr>
                <w:b w:val="0"/>
                <w:i w:val="0"/>
              </w:rPr>
              <w:t>15. Sign 20 MoUs with global universities by 2026</w:t>
            </w:r>
          </w:p>
        </w:tc>
        <w:tc>
          <w:tcPr>
            <w:tcW w:type="dxa" w:w="1928"/>
            <w:vAlign w:val="center"/>
            <w:shd w:fill="FFFFFF"/>
          </w:tcPr>
          <w:p>
            <w:pPr>
              <w:spacing w:after="40" w:line="276" w:lineRule="auto"/>
              <w:jc w:val="left"/>
            </w:pPr>
            <w:r>
              <w:rPr>
                <w:b w:val="0"/>
                <w:i w:val="0"/>
              </w:rPr>
              <w:t>Identify global partners; formalize agreements</w:t>
            </w:r>
          </w:p>
        </w:tc>
        <w:tc>
          <w:tcPr>
            <w:tcW w:type="dxa" w:w="1928"/>
            <w:vAlign w:val="center"/>
            <w:shd w:fill="FFFFFF"/>
          </w:tcPr>
          <w:p>
            <w:pPr>
              <w:spacing w:after="40" w:line="276" w:lineRule="auto"/>
              <w:jc w:val="left"/>
            </w:pPr>
            <w:r>
              <w:rPr>
                <w:b/>
                <w:i w:val="0"/>
              </w:rPr>
              <w:t>No. of MoUs signed (Target:</w:t>
            </w:r>
            <w:r>
              <w:rPr>
                <w:b w:val="0"/>
                <w:i w:val="0"/>
              </w:rPr>
              <w:t xml:space="preserve"> 20)</w:t>
            </w:r>
          </w:p>
        </w:tc>
        <w:tc>
          <w:tcPr>
            <w:tcW w:type="dxa" w:w="1871"/>
            <w:vAlign w:val="center"/>
            <w:shd w:fill="FFFFFF"/>
          </w:tcPr>
          <w:p>
            <w:pPr>
              <w:spacing w:after="40" w:line="276" w:lineRule="auto"/>
              <w:jc w:val="left"/>
            </w:pPr>
            <w:r>
              <w:rPr>
                <w:b w:val="0"/>
                <w:i w:val="0"/>
              </w:rPr>
              <w:t>International Relations Office</w:t>
            </w:r>
          </w:p>
        </w:tc>
        <w:tc>
          <w:tcPr>
            <w:tcW w:type="dxa" w:w="1928"/>
            <w:vAlign w:val="center"/>
            <w:shd w:fill="FFFFFF"/>
          </w:tcPr>
          <w:p>
            <w:pPr>
              <w:spacing w:after="40" w:line="276" w:lineRule="auto"/>
              <w:jc w:val="left"/>
            </w:pPr>
            <w:r>
              <w:rPr>
                <w:b w:val="0"/>
                <w:i w:val="0"/>
              </w:rPr>
              <w:t>2023-2026</w:t>
            </w:r>
          </w:p>
        </w:tc>
      </w:tr>
      <w:tr>
        <w:trPr>
          <w:cantSplit/>
        </w:trPr>
        <w:tc>
          <w:tcPr>
            <w:tcW w:type="dxa" w:w="1757"/>
            <w:vAlign w:val="center"/>
            <w:shd w:fill="EDF2F7"/>
          </w:tcPr>
          <w:p>
            <w:pPr>
              <w:spacing w:after="40" w:line="276" w:lineRule="auto"/>
              <w:jc w:val="left"/>
            </w:pPr>
            <w:r>
              <w:rPr>
                <w:b w:val="0"/>
                <w:i w:val="0"/>
              </w:rPr>
              <w:t>16. Facilitate 200 student/​faculty exchanges in 5 years</w:t>
            </w:r>
          </w:p>
        </w:tc>
        <w:tc>
          <w:tcPr>
            <w:tcW w:type="dxa" w:w="1928"/>
            <w:vAlign w:val="center"/>
            <w:shd w:fill="EDF2F7"/>
          </w:tcPr>
          <w:p>
            <w:pPr>
              <w:spacing w:after="40" w:line="276" w:lineRule="auto"/>
              <w:jc w:val="left"/>
            </w:pPr>
            <w:r>
              <w:rPr>
                <w:b w:val="0"/>
                <w:i w:val="0"/>
              </w:rPr>
              <w:t>Exchange programs with partner institutions</w:t>
            </w:r>
          </w:p>
        </w:tc>
        <w:tc>
          <w:tcPr>
            <w:tcW w:type="dxa" w:w="1928"/>
            <w:vAlign w:val="center"/>
            <w:shd w:fill="EDF2F7"/>
          </w:tcPr>
          <w:p>
            <w:pPr>
              <w:spacing w:after="40" w:line="276" w:lineRule="auto"/>
              <w:jc w:val="left"/>
            </w:pPr>
            <w:r>
              <w:rPr>
                <w:b/>
                <w:i w:val="0"/>
              </w:rPr>
              <w:t>No. of exchanges (Target:</w:t>
            </w:r>
            <w:r>
              <w:rPr>
                <w:b w:val="0"/>
                <w:i w:val="0"/>
              </w:rPr>
              <w:t xml:space="preserve"> 200)</w:t>
            </w:r>
          </w:p>
        </w:tc>
        <w:tc>
          <w:tcPr>
            <w:tcW w:type="dxa" w:w="1871"/>
            <w:vAlign w:val="center"/>
            <w:shd w:fill="EDF2F7"/>
          </w:tcPr>
          <w:p>
            <w:pPr>
              <w:spacing w:after="40" w:line="276" w:lineRule="auto"/>
              <w:jc w:val="left"/>
            </w:pPr>
            <w:r>
              <w:rPr>
                <w:b w:val="0"/>
                <w:i w:val="0"/>
              </w:rPr>
              <w:t>International Relations Office</w:t>
            </w:r>
          </w:p>
        </w:tc>
        <w:tc>
          <w:tcPr>
            <w:tcW w:type="dxa" w:w="1928"/>
            <w:vAlign w:val="center"/>
            <w:shd w:fill="EDF2F7"/>
          </w:tcPr>
          <w:p>
            <w:pPr>
              <w:spacing w:after="40" w:line="276" w:lineRule="auto"/>
              <w:jc w:val="left"/>
            </w:pPr>
            <w:r>
              <w:rPr>
                <w:b w:val="0"/>
                <w:i w:val="0"/>
              </w:rPr>
              <w:t>2023-2028</w:t>
            </w:r>
          </w:p>
        </w:tc>
      </w:tr>
      <w:tr>
        <w:trPr>
          <w:cantSplit/>
        </w:trPr>
        <w:tc>
          <w:tcPr>
            <w:tcW w:type="dxa" w:w="1757"/>
            <w:vAlign w:val="center"/>
            <w:shd w:fill="FFFFFF"/>
          </w:tcPr>
          <w:p>
            <w:pPr>
              <w:spacing w:after="40" w:line="276" w:lineRule="auto"/>
              <w:jc w:val="left"/>
            </w:pPr>
            <w:r>
              <w:rPr>
                <w:b w:val="0"/>
                <w:i w:val="0"/>
              </w:rPr>
              <w:t>17. Convert 70% of classrooms into smart classrooms by 2025</w:t>
            </w:r>
          </w:p>
        </w:tc>
        <w:tc>
          <w:tcPr>
            <w:tcW w:type="dxa" w:w="1928"/>
            <w:vAlign w:val="center"/>
            <w:shd w:fill="FFFFFF"/>
          </w:tcPr>
          <w:p>
            <w:pPr>
              <w:spacing w:after="40" w:line="276" w:lineRule="auto"/>
              <w:jc w:val="left"/>
            </w:pPr>
            <w:r>
              <w:rPr>
                <w:b w:val="0"/>
                <w:i w:val="0"/>
              </w:rPr>
              <w:t>Install digital boards, projectors, ICT systems</w:t>
            </w:r>
          </w:p>
        </w:tc>
        <w:tc>
          <w:tcPr>
            <w:tcW w:type="dxa" w:w="1928"/>
            <w:vAlign w:val="center"/>
            <w:shd w:fill="FFFFFF"/>
          </w:tcPr>
          <w:p>
            <w:pPr>
              <w:spacing w:after="40" w:line="276" w:lineRule="auto"/>
              <w:jc w:val="left"/>
            </w:pPr>
            <w:r>
              <w:rPr>
                <w:b/>
                <w:i w:val="0"/>
              </w:rPr>
              <w:t>% of smart classrooms (Target:</w:t>
            </w:r>
            <w:r>
              <w:rPr>
                <w:b w:val="0"/>
                <w:i w:val="0"/>
              </w:rPr>
              <w:t xml:space="preserve"> 70%)</w:t>
            </w:r>
          </w:p>
        </w:tc>
        <w:tc>
          <w:tcPr>
            <w:tcW w:type="dxa" w:w="1871"/>
            <w:vAlign w:val="center"/>
            <w:shd w:fill="FFFFFF"/>
          </w:tcPr>
          <w:p>
            <w:pPr>
              <w:spacing w:after="40" w:line="276" w:lineRule="auto"/>
              <w:jc w:val="left"/>
            </w:pPr>
            <w:r>
              <w:rPr>
                <w:b w:val="0"/>
                <w:i w:val="0"/>
              </w:rPr>
              <w:t>IT Services &amp; Infrastructure Office</w:t>
            </w:r>
          </w:p>
        </w:tc>
        <w:tc>
          <w:tcPr>
            <w:tcW w:type="dxa" w:w="1928"/>
            <w:vAlign w:val="center"/>
            <w:shd w:fill="FFFFFF"/>
          </w:tcPr>
          <w:p>
            <w:pPr>
              <w:spacing w:after="40" w:line="276" w:lineRule="auto"/>
              <w:jc w:val="left"/>
            </w:pPr>
            <w:r>
              <w:rPr>
                <w:b w:val="0"/>
                <w:i w:val="0"/>
              </w:rPr>
              <w:t>2023-2025</w:t>
            </w:r>
          </w:p>
        </w:tc>
      </w:tr>
      <w:tr>
        <w:trPr>
          <w:cantSplit/>
        </w:trPr>
        <w:tc>
          <w:tcPr>
            <w:tcW w:type="dxa" w:w="1757"/>
            <w:vAlign w:val="center"/>
            <w:shd w:fill="EDF2F7"/>
          </w:tcPr>
          <w:p>
            <w:pPr>
              <w:spacing w:after="40" w:line="276" w:lineRule="auto"/>
              <w:jc w:val="left"/>
            </w:pPr>
            <w:r>
              <w:rPr>
                <w:b w:val="0"/>
                <w:i w:val="0"/>
              </w:rPr>
              <w:t>18. Train 100% of faculty in digital tools in 2 years</w:t>
            </w:r>
          </w:p>
        </w:tc>
        <w:tc>
          <w:tcPr>
            <w:tcW w:type="dxa" w:w="1928"/>
            <w:vAlign w:val="center"/>
            <w:shd w:fill="EDF2F7"/>
          </w:tcPr>
          <w:p>
            <w:pPr>
              <w:spacing w:after="40" w:line="276" w:lineRule="auto"/>
              <w:jc w:val="left"/>
            </w:pPr>
            <w:r>
              <w:rPr>
                <w:b w:val="0"/>
                <w:i w:val="0"/>
              </w:rPr>
              <w:t>Conduct workshops on AI, data tools, LMS</w:t>
            </w:r>
          </w:p>
        </w:tc>
        <w:tc>
          <w:tcPr>
            <w:tcW w:type="dxa" w:w="1928"/>
            <w:vAlign w:val="center"/>
            <w:shd w:fill="EDF2F7"/>
          </w:tcPr>
          <w:p>
            <w:pPr>
              <w:spacing w:after="40" w:line="276" w:lineRule="auto"/>
              <w:jc w:val="left"/>
            </w:pPr>
            <w:r>
              <w:rPr>
                <w:b/>
                <w:i w:val="0"/>
              </w:rPr>
              <w:t>% of faculty trained (Target:</w:t>
            </w:r>
            <w:r>
              <w:rPr>
                <w:b w:val="0"/>
                <w:i w:val="0"/>
              </w:rPr>
              <w:t xml:space="preserve"> 100%)</w:t>
            </w:r>
          </w:p>
        </w:tc>
        <w:tc>
          <w:tcPr>
            <w:tcW w:type="dxa" w:w="1871"/>
            <w:vAlign w:val="center"/>
            <w:shd w:fill="EDF2F7"/>
          </w:tcPr>
          <w:p>
            <w:pPr>
              <w:spacing w:after="40" w:line="276" w:lineRule="auto"/>
              <w:jc w:val="left"/>
            </w:pPr>
            <w:r>
              <w:rPr>
                <w:b w:val="0"/>
                <w:i w:val="0"/>
              </w:rPr>
              <w:t>HRD cell, Faculty Development Centre</w:t>
            </w:r>
          </w:p>
        </w:tc>
        <w:tc>
          <w:tcPr>
            <w:tcW w:type="dxa" w:w="1928"/>
            <w:vAlign w:val="center"/>
            <w:shd w:fill="EDF2F7"/>
          </w:tcPr>
          <w:p>
            <w:pPr>
              <w:spacing w:after="40" w:line="276" w:lineRule="auto"/>
              <w:jc w:val="left"/>
            </w:pPr>
            <w:r>
              <w:rPr>
                <w:b w:val="0"/>
                <w:i w:val="0"/>
              </w:rPr>
              <w:t>2023-2025</w:t>
            </w:r>
          </w:p>
        </w:tc>
      </w:tr>
      <w:tr>
        <w:trPr>
          <w:cantSplit/>
        </w:trPr>
        <w:tc>
          <w:tcPr>
            <w:tcW w:type="dxa" w:w="1757"/>
            <w:vAlign w:val="center"/>
            <w:shd w:fill="FFFFFF"/>
          </w:tcPr>
          <w:p>
            <w:pPr>
              <w:spacing w:after="40" w:line="276" w:lineRule="auto"/>
              <w:jc w:val="left"/>
            </w:pPr>
            <w:r>
              <w:rPr>
                <w:b w:val="0"/>
                <w:i w:val="0"/>
              </w:rPr>
              <w:t>19. Provide scholarships to 25% of students annually</w:t>
            </w:r>
          </w:p>
        </w:tc>
        <w:tc>
          <w:tcPr>
            <w:tcW w:type="dxa" w:w="1928"/>
            <w:vAlign w:val="center"/>
            <w:shd w:fill="FFFFFF"/>
          </w:tcPr>
          <w:p>
            <w:pPr>
              <w:spacing w:after="40" w:line="276" w:lineRule="auto"/>
              <w:jc w:val="left"/>
            </w:pPr>
            <w:r>
              <w:rPr>
                <w:b w:val="0"/>
                <w:i w:val="0"/>
              </w:rPr>
              <w:t>Expand financial aid through alumni/​CSR funds</w:t>
            </w:r>
          </w:p>
        </w:tc>
        <w:tc>
          <w:tcPr>
            <w:tcW w:type="dxa" w:w="1928"/>
            <w:vAlign w:val="center"/>
            <w:shd w:fill="FFFFFF"/>
          </w:tcPr>
          <w:p>
            <w:pPr>
              <w:spacing w:after="40" w:line="276" w:lineRule="auto"/>
              <w:jc w:val="left"/>
            </w:pPr>
            <w:r>
              <w:rPr>
                <w:b w:val="0"/>
                <w:i w:val="0"/>
              </w:rPr>
              <w:t>% of students receiving scholarships</w:t>
            </w:r>
          </w:p>
        </w:tc>
        <w:tc>
          <w:tcPr>
            <w:tcW w:type="dxa" w:w="1871"/>
            <w:vAlign w:val="center"/>
            <w:shd w:fill="FFFFFF"/>
          </w:tcPr>
          <w:p>
            <w:pPr>
              <w:spacing w:after="40" w:line="276" w:lineRule="auto"/>
              <w:jc w:val="left"/>
            </w:pPr>
            <w:r>
              <w:rPr>
                <w:b w:val="0"/>
                <w:i w:val="0"/>
              </w:rPr>
              <w:t>Student Welfare Office, Finance Office</w:t>
            </w:r>
          </w:p>
        </w:tc>
        <w:tc>
          <w:tcPr>
            <w:tcW w:type="dxa" w:w="1928"/>
            <w:vAlign w:val="center"/>
            <w:shd w:fill="FFFFFF"/>
          </w:tcPr>
          <w:p>
            <w:pPr>
              <w:spacing w:after="40" w:line="276" w:lineRule="auto"/>
              <w:jc w:val="left"/>
            </w:pPr>
            <w:r>
              <w:rPr>
                <w:b w:val="0"/>
                <w:i w:val="0"/>
              </w:rPr>
              <w:t>Annual</w:t>
            </w:r>
          </w:p>
        </w:tc>
      </w:tr>
      <w:tr>
        <w:trPr>
          <w:cantSplit/>
        </w:trPr>
        <w:tc>
          <w:tcPr>
            <w:tcW w:type="dxa" w:w="1757"/>
            <w:vAlign w:val="center"/>
            <w:shd w:fill="EDF2F7"/>
          </w:tcPr>
          <w:p>
            <w:pPr>
              <w:spacing w:after="40" w:line="276" w:lineRule="auto"/>
              <w:jc w:val="left"/>
            </w:pPr>
            <w:r>
              <w:rPr>
                <w:b w:val="0"/>
                <w:i w:val="0"/>
              </w:rPr>
              <w:t>20. Achieve 95% student retention by 2027</w:t>
            </w:r>
          </w:p>
        </w:tc>
        <w:tc>
          <w:tcPr>
            <w:tcW w:type="dxa" w:w="1928"/>
            <w:vAlign w:val="center"/>
            <w:shd w:fill="EDF2F7"/>
          </w:tcPr>
          <w:p>
            <w:pPr>
              <w:spacing w:after="40" w:line="276" w:lineRule="auto"/>
              <w:jc w:val="left"/>
            </w:pPr>
            <w:r>
              <w:rPr>
                <w:b w:val="0"/>
                <w:i w:val="0"/>
              </w:rPr>
              <w:t>Strengthen mentoring, counseling, and academic support</w:t>
            </w:r>
          </w:p>
        </w:tc>
        <w:tc>
          <w:tcPr>
            <w:tcW w:type="dxa" w:w="1928"/>
            <w:vAlign w:val="center"/>
            <w:shd w:fill="EDF2F7"/>
          </w:tcPr>
          <w:p>
            <w:pPr>
              <w:spacing w:after="40" w:line="276" w:lineRule="auto"/>
              <w:jc w:val="left"/>
            </w:pPr>
            <w:r>
              <w:rPr>
                <w:b w:val="0"/>
                <w:i w:val="0"/>
              </w:rPr>
              <w:t>Retention rate (%)</w:t>
            </w:r>
          </w:p>
        </w:tc>
        <w:tc>
          <w:tcPr>
            <w:tcW w:type="dxa" w:w="1871"/>
            <w:vAlign w:val="center"/>
            <w:shd w:fill="EDF2F7"/>
          </w:tcPr>
          <w:p>
            <w:pPr>
              <w:spacing w:after="40" w:line="276" w:lineRule="auto"/>
              <w:jc w:val="left"/>
            </w:pPr>
            <w:r>
              <w:rPr>
                <w:b w:val="0"/>
                <w:i w:val="0"/>
              </w:rPr>
              <w:t>Dean of Students, Counseling Centre</w:t>
            </w:r>
          </w:p>
        </w:tc>
        <w:tc>
          <w:tcPr>
            <w:tcW w:type="dxa" w:w="1928"/>
            <w:vAlign w:val="center"/>
            <w:shd w:fill="EDF2F7"/>
          </w:tcPr>
          <w:p>
            <w:pPr>
              <w:spacing w:after="40" w:line="276" w:lineRule="auto"/>
              <w:jc w:val="left"/>
            </w:pPr>
            <w:r>
              <w:rPr>
                <w:b w:val="0"/>
                <w:i w:val="0"/>
              </w:rPr>
              <w:t>2023-2027</w:t>
            </w:r>
          </w:p>
        </w:tc>
      </w:tr>
      <w:tr>
        <w:trPr>
          <w:cantSplit/>
        </w:trPr>
        <w:tc>
          <w:tcPr>
            <w:tcW w:type="dxa" w:w="1757"/>
            <w:vAlign w:val="center"/>
            <w:shd w:fill="FFFFFF"/>
          </w:tcPr>
          <w:p>
            <w:pPr>
              <w:spacing w:after="40" w:line="276" w:lineRule="auto"/>
              <w:jc w:val="left"/>
            </w:pPr>
            <w:r>
              <w:rPr>
                <w:b w:val="0"/>
                <w:i w:val="0"/>
              </w:rPr>
              <w:t>21. Ensure 90% placement support within 3 years</w:t>
            </w:r>
          </w:p>
        </w:tc>
        <w:tc>
          <w:tcPr>
            <w:tcW w:type="dxa" w:w="1928"/>
            <w:vAlign w:val="center"/>
            <w:shd w:fill="FFFFFF"/>
          </w:tcPr>
          <w:p>
            <w:pPr>
              <w:spacing w:after="40" w:line="276" w:lineRule="auto"/>
              <w:jc w:val="left"/>
            </w:pPr>
            <w:r>
              <w:rPr>
                <w:b w:val="0"/>
                <w:i w:val="0"/>
              </w:rPr>
              <w:t>Launch career cell, industry tie-ups, skill training</w:t>
            </w:r>
          </w:p>
        </w:tc>
        <w:tc>
          <w:tcPr>
            <w:tcW w:type="dxa" w:w="1928"/>
            <w:vAlign w:val="center"/>
            <w:shd w:fill="FFFFFF"/>
          </w:tcPr>
          <w:p>
            <w:pPr>
              <w:spacing w:after="40" w:line="276" w:lineRule="auto"/>
              <w:jc w:val="left"/>
            </w:pPr>
            <w:r>
              <w:rPr>
                <w:b w:val="0"/>
                <w:i w:val="0"/>
              </w:rPr>
              <w:t>Placement rate (% of graduates employed)</w:t>
            </w:r>
          </w:p>
        </w:tc>
        <w:tc>
          <w:tcPr>
            <w:tcW w:type="dxa" w:w="1871"/>
            <w:vAlign w:val="center"/>
            <w:shd w:fill="FFFFFF"/>
          </w:tcPr>
          <w:p>
            <w:pPr>
              <w:spacing w:after="40" w:line="276" w:lineRule="auto"/>
              <w:jc w:val="left"/>
            </w:pPr>
            <w:r>
              <w:rPr>
                <w:b w:val="0"/>
                <w:i w:val="0"/>
              </w:rPr>
              <w:t>Career Development Centre, Training &amp; Placement Office</w:t>
            </w:r>
          </w:p>
        </w:tc>
        <w:tc>
          <w:tcPr>
            <w:tcW w:type="dxa" w:w="1928"/>
            <w:vAlign w:val="center"/>
            <w:shd w:fill="FFFFFF"/>
          </w:tcPr>
          <w:p>
            <w:pPr>
              <w:spacing w:after="40" w:line="276" w:lineRule="auto"/>
              <w:jc w:val="left"/>
            </w:pPr>
            <w:r>
              <w:rPr>
                <w:b w:val="0"/>
                <w:i w:val="0"/>
              </w:rPr>
              <w:t>2023-2026</w:t>
            </w:r>
          </w:p>
        </w:tc>
      </w:tr>
    </w:tbl>
    <w:p>
      <w:pPr>
        <w:spacing w:after="40"/>
      </w:pPr>
    </w:p>
    <w:p>
      <w:pPr>
        <w:pStyle w:val="Heading1"/>
      </w:pPr>
      <w:r>
        <w:t>12. Action Plans &amp; Roadmaps (Phased Activities with Timelines)</w:t>
      </w:r>
    </w:p>
    <w:p>
      <w:pPr>
        <w:pStyle w:val="Heading2"/>
      </w:pPr>
      <w:r>
        <w:rPr>
          <w:i/>
        </w:rPr>
        <w:t>Phase 1: Foundation Building (Short-Term: 0–1 Year)</w:t>
      </w:r>
    </w:p>
    <w:p>
      <w:pPr>
        <w:pStyle w:val="ListBullet"/>
        <w:numPr>
          <w:ilvl w:val="0"/>
          <w:numId w:val="90"/>
        </w:numPr>
        <w:ind w:left="340" w:hanging="142"/>
      </w:pPr>
      <w:r>
        <w:rPr>
          <w:b/>
          <w:i w:val="0"/>
        </w:rPr>
        <w:t>Academic Excellence:</w:t>
      </w:r>
    </w:p>
    <w:p>
      <w:pPr>
        <w:pStyle w:val="ListBullet2"/>
        <w:numPr>
          <w:ilvl w:val="1"/>
          <w:numId w:val="90"/>
        </w:numPr>
        <w:ind w:left="652" w:hanging="142"/>
      </w:pPr>
      <w:r>
        <w:rPr>
          <w:b w:val="0"/>
          <w:i w:val="0"/>
        </w:rPr>
        <w:t>Review all curricula against NEP 2020 and SDG alignment.</w:t>
      </w:r>
    </w:p>
    <w:p>
      <w:pPr>
        <w:pStyle w:val="ListBullet2"/>
        <w:numPr>
          <w:ilvl w:val="1"/>
          <w:numId w:val="90"/>
        </w:numPr>
        <w:ind w:left="652" w:hanging="142"/>
      </w:pPr>
      <w:r>
        <w:rPr>
          <w:b w:val="0"/>
          <w:i w:val="0"/>
        </w:rPr>
        <w:t>Launch workshops on Outcome-Based Education (OBE).</w:t>
      </w:r>
    </w:p>
    <w:p>
      <w:pPr>
        <w:pStyle w:val="ListBullet"/>
        <w:numPr>
          <w:ilvl w:val="0"/>
          <w:numId w:val="90"/>
        </w:numPr>
        <w:ind w:left="340" w:hanging="142"/>
      </w:pPr>
      <w:r>
        <w:rPr>
          <w:b/>
          <w:i w:val="0"/>
        </w:rPr>
        <w:t>Research &amp; Innovation:</w:t>
      </w:r>
    </w:p>
    <w:p>
      <w:pPr>
        <w:pStyle w:val="ListBullet2"/>
        <w:numPr>
          <w:ilvl w:val="1"/>
          <w:numId w:val="90"/>
        </w:numPr>
        <w:ind w:left="652" w:hanging="142"/>
      </w:pPr>
      <w:r>
        <w:rPr>
          <w:b w:val="0"/>
          <w:i w:val="0"/>
        </w:rPr>
        <w:t>Establish innovation cells and IPR awareness workshops.</w:t>
      </w:r>
    </w:p>
    <w:p>
      <w:pPr>
        <w:pStyle w:val="ListBullet2"/>
        <w:numPr>
          <w:ilvl w:val="1"/>
          <w:numId w:val="90"/>
        </w:numPr>
        <w:ind w:left="652" w:hanging="142"/>
      </w:pPr>
      <w:r>
        <w:rPr>
          <w:b w:val="0"/>
          <w:i w:val="0"/>
        </w:rPr>
        <w:t>Apply for seed grants and small-scale funded projects.</w:t>
      </w:r>
    </w:p>
    <w:p>
      <w:pPr>
        <w:pStyle w:val="ListBullet"/>
        <w:numPr>
          <w:ilvl w:val="0"/>
          <w:numId w:val="90"/>
        </w:numPr>
        <w:ind w:left="340" w:hanging="142"/>
      </w:pPr>
      <w:r>
        <w:rPr>
          <w:b/>
          <w:i w:val="0"/>
        </w:rPr>
        <w:t>Infrastructure:</w:t>
      </w:r>
    </w:p>
    <w:p>
      <w:pPr>
        <w:pStyle w:val="ListBullet2"/>
        <w:numPr>
          <w:ilvl w:val="1"/>
          <w:numId w:val="90"/>
        </w:numPr>
        <w:ind w:left="652" w:hanging="142"/>
      </w:pPr>
      <w:r>
        <w:rPr>
          <w:b w:val="0"/>
          <w:i w:val="0"/>
        </w:rPr>
        <w:t>Upgrade ICT systems and convert 30% classrooms into smart classrooms.</w:t>
      </w:r>
    </w:p>
    <w:p>
      <w:pPr>
        <w:pStyle w:val="ListBullet2"/>
        <w:numPr>
          <w:ilvl w:val="1"/>
          <w:numId w:val="90"/>
        </w:numPr>
        <w:ind w:left="652" w:hanging="142"/>
      </w:pPr>
      <w:r>
        <w:rPr>
          <w:b w:val="0"/>
          <w:i w:val="0"/>
        </w:rPr>
        <w:t>Initiate renewable energy pilot projects (solar rooftops, rainwater harvesting).</w:t>
      </w:r>
    </w:p>
    <w:p>
      <w:pPr>
        <w:pStyle w:val="ListBullet"/>
        <w:numPr>
          <w:ilvl w:val="0"/>
          <w:numId w:val="90"/>
        </w:numPr>
        <w:ind w:left="340" w:hanging="142"/>
      </w:pPr>
      <w:r>
        <w:rPr>
          <w:b/>
          <w:i w:val="0"/>
        </w:rPr>
        <w:t>Governance &amp; QA:</w:t>
      </w:r>
    </w:p>
    <w:p>
      <w:pPr>
        <w:pStyle w:val="ListBullet2"/>
        <w:numPr>
          <w:ilvl w:val="1"/>
          <w:numId w:val="90"/>
        </w:numPr>
        <w:ind w:left="652" w:hanging="142"/>
      </w:pPr>
      <w:r>
        <w:rPr>
          <w:b w:val="0"/>
          <w:i w:val="0"/>
        </w:rPr>
        <w:t>Strengthen IQAC and set up digital monitoring dashboards.</w:t>
      </w:r>
    </w:p>
    <w:p>
      <w:pPr>
        <w:pStyle w:val="ListBullet2"/>
        <w:numPr>
          <w:ilvl w:val="1"/>
          <w:numId w:val="90"/>
        </w:numPr>
        <w:ind w:left="652" w:hanging="142"/>
      </w:pPr>
      <w:r>
        <w:rPr>
          <w:b w:val="0"/>
          <w:i w:val="0"/>
        </w:rPr>
        <w:t>Begin NAAC/NBA accreditation data collection.</w:t>
      </w:r>
    </w:p>
    <w:p>
      <w:pPr>
        <w:pStyle w:val="ListBullet"/>
        <w:numPr>
          <w:ilvl w:val="0"/>
          <w:numId w:val="90"/>
        </w:numPr>
        <w:ind w:left="340" w:hanging="142"/>
      </w:pPr>
      <w:r>
        <w:rPr>
          <w:b/>
          <w:i w:val="0"/>
        </w:rPr>
        <w:t>Community &amp; Social Responsibility:</w:t>
      </w:r>
    </w:p>
    <w:p>
      <w:pPr>
        <w:pStyle w:val="ListBullet2"/>
        <w:numPr>
          <w:ilvl w:val="1"/>
          <w:numId w:val="90"/>
        </w:numPr>
        <w:ind w:left="652" w:hanging="142"/>
      </w:pPr>
      <w:r>
        <w:rPr>
          <w:b w:val="0"/>
          <w:i w:val="0"/>
        </w:rPr>
        <w:t>Launch Institutional Social Responsibility (ISR) pilot projects.</w:t>
      </w:r>
    </w:p>
    <w:p>
      <w:pPr>
        <w:pStyle w:val="ListBullet2"/>
        <w:numPr>
          <w:ilvl w:val="1"/>
          <w:numId w:val="90"/>
        </w:numPr>
        <w:ind w:left="652" w:hanging="142"/>
      </w:pPr>
      <w:r>
        <w:rPr>
          <w:b w:val="0"/>
          <w:i w:val="0"/>
        </w:rPr>
        <w:t>Organize local outreach (health camps, literacy drives).</w:t>
      </w:r>
    </w:p>
    <w:p>
      <w:pPr>
        <w:pStyle w:val="Heading2"/>
      </w:pPr>
      <w:r>
        <w:rPr>
          <w:i/>
        </w:rPr>
        <w:t>Phase 2: Expansion &amp; Strengthening (Medium-Term: 2–3 Years)</w:t>
      </w:r>
    </w:p>
    <w:p>
      <w:pPr>
        <w:pStyle w:val="ListBullet"/>
        <w:numPr>
          <w:ilvl w:val="0"/>
          <w:numId w:val="90"/>
        </w:numPr>
        <w:ind w:left="340" w:hanging="142"/>
      </w:pPr>
      <w:r>
        <w:rPr>
          <w:b/>
          <w:i w:val="0"/>
        </w:rPr>
        <w:t>Academic Excellence:</w:t>
      </w:r>
    </w:p>
    <w:p>
      <w:pPr>
        <w:pStyle w:val="ListBullet2"/>
        <w:numPr>
          <w:ilvl w:val="1"/>
          <w:numId w:val="90"/>
        </w:numPr>
        <w:ind w:left="652" w:hanging="142"/>
      </w:pPr>
      <w:r>
        <w:rPr>
          <w:b w:val="0"/>
          <w:i w:val="0"/>
        </w:rPr>
        <w:t>Introduce interdisciplinary programs and flexible credit-based learning pathways.</w:t>
      </w:r>
    </w:p>
    <w:p>
      <w:pPr>
        <w:pStyle w:val="ListBullet2"/>
        <w:numPr>
          <w:ilvl w:val="1"/>
          <w:numId w:val="90"/>
        </w:numPr>
        <w:ind w:left="652" w:hanging="142"/>
      </w:pPr>
      <w:r>
        <w:rPr>
          <w:b w:val="0"/>
          <w:i w:val="0"/>
        </w:rPr>
        <w:t>Train 100% faculty in digital pedagogy and advanced tools.</w:t>
      </w:r>
    </w:p>
    <w:p>
      <w:pPr>
        <w:pStyle w:val="ListBullet"/>
        <w:numPr>
          <w:ilvl w:val="0"/>
          <w:numId w:val="90"/>
        </w:numPr>
        <w:ind w:left="340" w:hanging="142"/>
      </w:pPr>
      <w:r>
        <w:rPr>
          <w:b/>
          <w:i w:val="0"/>
        </w:rPr>
        <w:t>Research &amp; Innovation:</w:t>
      </w:r>
    </w:p>
    <w:p>
      <w:pPr>
        <w:pStyle w:val="ListBullet2"/>
        <w:numPr>
          <w:ilvl w:val="1"/>
          <w:numId w:val="90"/>
        </w:numPr>
        <w:ind w:left="652" w:hanging="142"/>
      </w:pPr>
      <w:r>
        <w:rPr>
          <w:b w:val="0"/>
          <w:i w:val="0"/>
        </w:rPr>
        <w:t>Establish 2 Centers of Excellence (e.g., AI, Sustainability).</w:t>
      </w:r>
    </w:p>
    <w:p>
      <w:pPr>
        <w:pStyle w:val="ListBullet2"/>
        <w:numPr>
          <w:ilvl w:val="1"/>
          <w:numId w:val="90"/>
        </w:numPr>
        <w:ind w:left="652" w:hanging="142"/>
      </w:pPr>
      <w:r>
        <w:rPr>
          <w:b w:val="0"/>
          <w:i w:val="0"/>
        </w:rPr>
        <w:t>File at least 10 patents annually and publish in indexed journals.</w:t>
      </w:r>
    </w:p>
    <w:p>
      <w:pPr>
        <w:pStyle w:val="ListBullet"/>
        <w:numPr>
          <w:ilvl w:val="0"/>
          <w:numId w:val="90"/>
        </w:numPr>
        <w:ind w:left="340" w:hanging="142"/>
      </w:pPr>
      <w:r>
        <w:rPr>
          <w:b/>
          <w:i w:val="0"/>
        </w:rPr>
        <w:t>Infrastructure:</w:t>
      </w:r>
    </w:p>
    <w:p>
      <w:pPr>
        <w:pStyle w:val="ListBullet2"/>
        <w:numPr>
          <w:ilvl w:val="1"/>
          <w:numId w:val="90"/>
        </w:numPr>
        <w:ind w:left="652" w:hanging="142"/>
      </w:pPr>
      <w:r>
        <w:rPr>
          <w:b w:val="0"/>
          <w:i w:val="0"/>
        </w:rPr>
        <w:t>Expand renewable energy to cover 40% of campus needs.</w:t>
      </w:r>
    </w:p>
    <w:p>
      <w:pPr>
        <w:pStyle w:val="ListBullet2"/>
        <w:numPr>
          <w:ilvl w:val="1"/>
          <w:numId w:val="90"/>
        </w:numPr>
        <w:ind w:left="652" w:hanging="142"/>
      </w:pPr>
      <w:r>
        <w:rPr>
          <w:b w:val="0"/>
          <w:i w:val="0"/>
        </w:rPr>
        <w:t>Obtain Green Certification for 3 campus buildings.</w:t>
      </w:r>
    </w:p>
    <w:p>
      <w:pPr>
        <w:pStyle w:val="ListBullet2"/>
        <w:numPr>
          <w:ilvl w:val="1"/>
          <w:numId w:val="90"/>
        </w:numPr>
        <w:ind w:left="652" w:hanging="142"/>
      </w:pPr>
      <w:r>
        <w:rPr>
          <w:b w:val="0"/>
          <w:i w:val="0"/>
        </w:rPr>
        <w:t>Establish advanced research labs (AI, VR/AR, IOT).</w:t>
      </w:r>
    </w:p>
    <w:p>
      <w:pPr>
        <w:pStyle w:val="ListBullet"/>
        <w:numPr>
          <w:ilvl w:val="0"/>
          <w:numId w:val="90"/>
        </w:numPr>
        <w:ind w:left="340" w:hanging="142"/>
      </w:pPr>
      <w:r>
        <w:rPr>
          <w:b/>
          <w:i w:val="0"/>
        </w:rPr>
        <w:t>Governance &amp; QA:</w:t>
      </w:r>
    </w:p>
    <w:p>
      <w:pPr>
        <w:pStyle w:val="ListBullet2"/>
        <w:numPr>
          <w:ilvl w:val="1"/>
          <w:numId w:val="90"/>
        </w:numPr>
        <w:ind w:left="652" w:hanging="142"/>
      </w:pPr>
      <w:r>
        <w:rPr>
          <w:b w:val="0"/>
          <w:i w:val="0"/>
        </w:rPr>
        <w:t>Achieve mid-level accreditations (NAAC A/A+, NBA Tier-I).</w:t>
      </w:r>
    </w:p>
    <w:p>
      <w:pPr>
        <w:pStyle w:val="ListBullet2"/>
        <w:numPr>
          <w:ilvl w:val="1"/>
          <w:numId w:val="90"/>
        </w:numPr>
        <w:ind w:left="652" w:hanging="142"/>
      </w:pPr>
      <w:r>
        <w:rPr>
          <w:b w:val="0"/>
          <w:i w:val="0"/>
        </w:rPr>
        <w:t>Implement full data-driven decision-making systems.</w:t>
      </w:r>
    </w:p>
    <w:p>
      <w:pPr>
        <w:pStyle w:val="ListBullet"/>
        <w:numPr>
          <w:ilvl w:val="0"/>
          <w:numId w:val="90"/>
        </w:numPr>
        <w:ind w:left="340" w:hanging="142"/>
      </w:pPr>
      <w:r>
        <w:rPr>
          <w:b/>
          <w:i w:val="0"/>
        </w:rPr>
        <w:t>Community &amp; Social Responsibility:</w:t>
      </w:r>
    </w:p>
    <w:p>
      <w:pPr>
        <w:pStyle w:val="ListBullet2"/>
        <w:numPr>
          <w:ilvl w:val="1"/>
          <w:numId w:val="90"/>
        </w:numPr>
        <w:ind w:left="652" w:hanging="142"/>
      </w:pPr>
      <w:r>
        <w:rPr>
          <w:b w:val="0"/>
          <w:i w:val="0"/>
        </w:rPr>
        <w:t>Embed service-learning into curriculum.</w:t>
      </w:r>
    </w:p>
    <w:p>
      <w:pPr>
        <w:pStyle w:val="ListBullet2"/>
        <w:numPr>
          <w:ilvl w:val="1"/>
          <w:numId w:val="90"/>
        </w:numPr>
        <w:ind w:left="652" w:hanging="142"/>
      </w:pPr>
      <w:r>
        <w:rPr>
          <w:b w:val="0"/>
          <w:i w:val="0"/>
        </w:rPr>
        <w:t>Scale outreach projects to impact 5,000 beneficiaries.</w:t>
      </w:r>
    </w:p>
    <w:p>
      <w:pPr>
        <w:pStyle w:val="ListBullet"/>
        <w:numPr>
          <w:ilvl w:val="0"/>
          <w:numId w:val="90"/>
        </w:numPr>
        <w:ind w:left="340" w:hanging="142"/>
      </w:pPr>
      <w:r>
        <w:rPr>
          <w:b/>
          <w:i w:val="0"/>
        </w:rPr>
        <w:t>Globalization &amp; Internationalization:</w:t>
      </w:r>
    </w:p>
    <w:p>
      <w:pPr>
        <w:pStyle w:val="ListBullet2"/>
        <w:numPr>
          <w:ilvl w:val="1"/>
          <w:numId w:val="90"/>
        </w:numPr>
        <w:ind w:left="652" w:hanging="142"/>
      </w:pPr>
      <w:r>
        <w:rPr>
          <w:b w:val="0"/>
          <w:i w:val="0"/>
        </w:rPr>
        <w:t>Sign 10 MoUs with international universities.</w:t>
      </w:r>
    </w:p>
    <w:p>
      <w:pPr>
        <w:pStyle w:val="ListBullet2"/>
        <w:numPr>
          <w:ilvl w:val="1"/>
          <w:numId w:val="90"/>
        </w:numPr>
        <w:ind w:left="652" w:hanging="142"/>
      </w:pPr>
      <w:r>
        <w:rPr>
          <w:b w:val="0"/>
          <w:i w:val="0"/>
        </w:rPr>
        <w:t>Host 2 international conferences annually.</w:t>
      </w:r>
    </w:p>
    <w:p>
      <w:pPr>
        <w:pStyle w:val="Heading2"/>
      </w:pPr>
      <w:r>
        <w:rPr>
          <w:i/>
        </w:rPr>
        <w:t>Phase 3: Leadership &amp; Sustainability (Long-Term: 4–7 Years)</w:t>
      </w:r>
    </w:p>
    <w:p>
      <w:pPr>
        <w:pStyle w:val="ListBullet"/>
        <w:numPr>
          <w:ilvl w:val="0"/>
          <w:numId w:val="90"/>
        </w:numPr>
        <w:ind w:left="340" w:hanging="142"/>
      </w:pPr>
      <w:r>
        <w:rPr>
          <w:b/>
          <w:i w:val="0"/>
        </w:rPr>
        <w:t>Academic Excellence:</w:t>
      </w:r>
    </w:p>
    <w:p>
      <w:pPr>
        <w:pStyle w:val="ListBullet2"/>
        <w:numPr>
          <w:ilvl w:val="1"/>
          <w:numId w:val="90"/>
        </w:numPr>
        <w:ind w:left="652" w:hanging="142"/>
      </w:pPr>
      <w:r>
        <w:rPr>
          <w:b w:val="0"/>
          <w:i w:val="0"/>
        </w:rPr>
        <w:t>Fully align academic system with NEP 2020 objectives.</w:t>
      </w:r>
    </w:p>
    <w:p>
      <w:pPr>
        <w:pStyle w:val="ListBullet2"/>
        <w:numPr>
          <w:ilvl w:val="1"/>
          <w:numId w:val="90"/>
        </w:numPr>
        <w:ind w:left="652" w:hanging="142"/>
      </w:pPr>
      <w:r>
        <w:rPr>
          <w:b w:val="0"/>
          <w:i w:val="0"/>
        </w:rPr>
        <w:t>Attain 95% graduate employability rate.</w:t>
      </w:r>
    </w:p>
    <w:p>
      <w:pPr>
        <w:pStyle w:val="ListBullet"/>
        <w:numPr>
          <w:ilvl w:val="0"/>
          <w:numId w:val="90"/>
        </w:numPr>
        <w:ind w:left="340" w:hanging="142"/>
      </w:pPr>
      <w:r>
        <w:rPr>
          <w:b/>
          <w:i w:val="0"/>
        </w:rPr>
        <w:t>Research &amp; Innovation:</w:t>
      </w:r>
    </w:p>
    <w:p>
      <w:pPr>
        <w:pStyle w:val="ListBullet2"/>
        <w:numPr>
          <w:ilvl w:val="1"/>
          <w:numId w:val="90"/>
        </w:numPr>
        <w:ind w:left="652" w:hanging="142"/>
      </w:pPr>
      <w:r>
        <w:rPr>
          <w:b w:val="0"/>
          <w:i w:val="0"/>
        </w:rPr>
        <w:t>Establish global research ecosystems with industry partnerships.</w:t>
      </w:r>
    </w:p>
    <w:p>
      <w:pPr>
        <w:pStyle w:val="ListBullet2"/>
        <w:numPr>
          <w:ilvl w:val="1"/>
          <w:numId w:val="90"/>
        </w:numPr>
        <w:ind w:left="652" w:hanging="142"/>
      </w:pPr>
      <w:r>
        <w:rPr>
          <w:b w:val="0"/>
          <w:i w:val="0"/>
        </w:rPr>
        <w:t>Secure ₹50 crore/£5 million research funding.</w:t>
      </w:r>
    </w:p>
    <w:p>
      <w:pPr>
        <w:pStyle w:val="ListBullet"/>
        <w:numPr>
          <w:ilvl w:val="0"/>
          <w:numId w:val="90"/>
        </w:numPr>
        <w:ind w:left="340" w:hanging="142"/>
      </w:pPr>
      <w:r>
        <w:rPr>
          <w:b/>
          <w:i w:val="0"/>
        </w:rPr>
        <w:t>Infrastructure:</w:t>
      </w:r>
    </w:p>
    <w:p>
      <w:pPr>
        <w:pStyle w:val="ListBullet2"/>
        <w:numPr>
          <w:ilvl w:val="1"/>
          <w:numId w:val="90"/>
        </w:numPr>
        <w:ind w:left="652" w:hanging="142"/>
      </w:pPr>
      <w:r>
        <w:rPr>
          <w:b w:val="0"/>
          <w:i w:val="0"/>
        </w:rPr>
        <w:t>Achieve carbon-neutral campus status.</w:t>
      </w:r>
    </w:p>
    <w:p>
      <w:pPr>
        <w:pStyle w:val="ListBullet2"/>
        <w:numPr>
          <w:ilvl w:val="1"/>
          <w:numId w:val="90"/>
        </w:numPr>
        <w:ind w:left="652" w:hanging="142"/>
      </w:pPr>
      <w:r>
        <w:rPr>
          <w:b w:val="0"/>
          <w:i w:val="0"/>
        </w:rPr>
        <w:t>Expand smart classrooms to 100% and IoT-enabled campus facilities.</w:t>
      </w:r>
    </w:p>
    <w:p>
      <w:pPr>
        <w:pStyle w:val="ListBullet"/>
        <w:numPr>
          <w:ilvl w:val="0"/>
          <w:numId w:val="90"/>
        </w:numPr>
        <w:ind w:left="340" w:hanging="142"/>
      </w:pPr>
      <w:r>
        <w:rPr>
          <w:b/>
          <w:i w:val="0"/>
        </w:rPr>
        <w:t>Governance &amp; QA:</w:t>
      </w:r>
    </w:p>
    <w:p>
      <w:pPr>
        <w:pStyle w:val="ListBullet2"/>
        <w:numPr>
          <w:ilvl w:val="1"/>
          <w:numId w:val="90"/>
        </w:numPr>
        <w:ind w:left="652" w:hanging="142"/>
      </w:pPr>
      <w:r>
        <w:rPr>
          <w:b w:val="0"/>
          <w:i w:val="0"/>
        </w:rPr>
        <w:t>Secure NAAC A++ and international accreditations (QS Stars, THE rankings).</w:t>
      </w:r>
    </w:p>
    <w:p>
      <w:pPr>
        <w:pStyle w:val="ListBullet2"/>
        <w:numPr>
          <w:ilvl w:val="1"/>
          <w:numId w:val="90"/>
        </w:numPr>
        <w:ind w:left="652" w:hanging="142"/>
      </w:pPr>
      <w:r>
        <w:rPr>
          <w:b w:val="0"/>
          <w:i w:val="0"/>
        </w:rPr>
        <w:t>Institutionalize a culture of continuous improvement.</w:t>
      </w:r>
    </w:p>
    <w:p>
      <w:pPr>
        <w:pStyle w:val="ListBullet"/>
        <w:numPr>
          <w:ilvl w:val="0"/>
          <w:numId w:val="90"/>
        </w:numPr>
        <w:ind w:left="340" w:hanging="142"/>
      </w:pPr>
      <w:r>
        <w:rPr>
          <w:b/>
          <w:i w:val="0"/>
        </w:rPr>
        <w:t>Community &amp; Social Responsibility:</w:t>
      </w:r>
    </w:p>
    <w:p>
      <w:pPr>
        <w:pStyle w:val="ListBullet2"/>
        <w:numPr>
          <w:ilvl w:val="1"/>
          <w:numId w:val="90"/>
        </w:numPr>
        <w:ind w:left="652" w:hanging="142"/>
      </w:pPr>
      <w:r>
        <w:rPr>
          <w:b w:val="0"/>
          <w:i w:val="0"/>
        </w:rPr>
        <w:t>Become a national leader in higher education community impact.</w:t>
      </w:r>
    </w:p>
    <w:p>
      <w:pPr>
        <w:pStyle w:val="ListBullet2"/>
        <w:numPr>
          <w:ilvl w:val="1"/>
          <w:numId w:val="90"/>
        </w:numPr>
        <w:ind w:left="652" w:hanging="142"/>
      </w:pPr>
      <w:r>
        <w:rPr>
          <w:b w:val="0"/>
          <w:i w:val="0"/>
        </w:rPr>
        <w:t>Impact over 10,000 beneficiaries annually.</w:t>
      </w:r>
    </w:p>
    <w:p>
      <w:pPr>
        <w:pStyle w:val="ListBullet"/>
        <w:numPr>
          <w:ilvl w:val="0"/>
          <w:numId w:val="90"/>
        </w:numPr>
        <w:ind w:left="340" w:hanging="142"/>
      </w:pPr>
      <w:r>
        <w:rPr>
          <w:b/>
          <w:i w:val="0"/>
        </w:rPr>
        <w:t>Globalization &amp; Internationalization:</w:t>
      </w:r>
    </w:p>
    <w:p>
      <w:pPr>
        <w:pStyle w:val="ListBullet2"/>
        <w:numPr>
          <w:ilvl w:val="1"/>
          <w:numId w:val="90"/>
        </w:numPr>
        <w:ind w:left="652" w:hanging="142"/>
      </w:pPr>
      <w:r>
        <w:rPr>
          <w:b w:val="0"/>
          <w:i w:val="0"/>
        </w:rPr>
        <w:t>Achieve 20+ active MoUs and 200 student/faculty exchanges.</w:t>
      </w:r>
    </w:p>
    <w:p>
      <w:pPr>
        <w:pStyle w:val="ListBullet2"/>
        <w:numPr>
          <w:ilvl w:val="1"/>
          <w:numId w:val="90"/>
        </w:numPr>
        <w:ind w:left="652" w:hanging="142"/>
      </w:pPr>
      <w:r>
        <w:rPr>
          <w:b w:val="0"/>
          <w:i w:val="0"/>
        </w:rPr>
        <w:t>Position institution among Top 500 Global Universities.</w:t>
      </w:r>
    </w:p>
    <w:p>
      <w:pPr>
        <w:pStyle w:val="ListBullet"/>
        <w:numPr>
          <w:ilvl w:val="0"/>
          <w:numId w:val="90"/>
        </w:numPr>
        <w:ind w:left="340" w:hanging="142"/>
      </w:pPr>
      <w:r>
        <w:rPr>
          <w:b/>
          <w:i w:val="0"/>
        </w:rPr>
        <w:t>Financial Sustainability:</w:t>
      </w:r>
    </w:p>
    <w:p>
      <w:pPr>
        <w:pStyle w:val="ListBullet2"/>
        <w:numPr>
          <w:ilvl w:val="1"/>
          <w:numId w:val="90"/>
        </w:numPr>
        <w:ind w:left="652" w:hanging="142"/>
      </w:pPr>
      <w:r>
        <w:rPr>
          <w:b w:val="0"/>
          <w:i w:val="0"/>
        </w:rPr>
        <w:t>Generate 30–40% of revenue from non-government sources.</w:t>
      </w:r>
    </w:p>
    <w:p>
      <w:pPr>
        <w:pStyle w:val="ListBullet2"/>
        <w:numPr>
          <w:ilvl w:val="1"/>
          <w:numId w:val="90"/>
        </w:numPr>
        <w:ind w:left="652" w:hanging="142"/>
      </w:pPr>
      <w:r>
        <w:rPr>
          <w:b w:val="0"/>
          <w:i w:val="0"/>
        </w:rPr>
        <w:t>Build long-term endowment and research funds.</w:t>
      </w:r>
    </w:p>
    <w:p>
      <w:pPr>
        <w:pStyle w:val="Heading1"/>
      </w:pPr>
      <w:r>
        <w:t>13. Resource Allocation Framework</w:t>
      </w:r>
    </w:p>
    <w:p>
      <w:pPr>
        <w:pStyle w:val="Heading2"/>
      </w:pPr>
      <w:r>
        <w:rPr>
          <w:i/>
        </w:rPr>
        <w:t>1. Budget Planning</w:t>
      </w:r>
    </w:p>
    <w:p>
      <w:pPr>
        <w:pStyle w:val="ListBullet"/>
        <w:numPr>
          <w:ilvl w:val="0"/>
          <w:numId w:val="90"/>
        </w:numPr>
        <w:ind w:left="340" w:hanging="142"/>
      </w:pPr>
      <w:r>
        <w:rPr>
          <w:b w:val="0"/>
          <w:i w:val="0"/>
        </w:rPr>
        <w:t>Academic Excellence</w:t>
      </w:r>
    </w:p>
    <w:p>
      <w:pPr>
        <w:pStyle w:val="ListBullet2"/>
        <w:numPr>
          <w:ilvl w:val="1"/>
          <w:numId w:val="90"/>
        </w:numPr>
        <w:ind w:left="652" w:hanging="142"/>
      </w:pPr>
      <w:r>
        <w:rPr>
          <w:b w:val="0"/>
          <w:i w:val="0"/>
        </w:rPr>
        <w:t>Curriculum reforms, faculty training, outcome-based education (OBE) adoption.</w:t>
      </w:r>
    </w:p>
    <w:p>
      <w:pPr>
        <w:pStyle w:val="ListBullet2"/>
        <w:numPr>
          <w:ilvl w:val="1"/>
          <w:numId w:val="90"/>
        </w:numPr>
        <w:ind w:left="652" w:hanging="142"/>
      </w:pPr>
      <w:r>
        <w:rPr>
          <w:b/>
          <w:i w:val="0"/>
        </w:rPr>
        <w:t>Estimated Budget:</w:t>
      </w:r>
      <w:r>
        <w:rPr>
          <w:b w:val="0"/>
          <w:i w:val="0"/>
        </w:rPr>
        <w:t xml:space="preserve"> 10–15% of annual institutional budget.</w:t>
      </w:r>
    </w:p>
    <w:p>
      <w:pPr>
        <w:pStyle w:val="ListBullet"/>
        <w:numPr>
          <w:ilvl w:val="0"/>
          <w:numId w:val="90"/>
        </w:numPr>
        <w:ind w:left="340" w:hanging="142"/>
      </w:pPr>
      <w:r>
        <w:rPr>
          <w:b w:val="0"/>
          <w:i w:val="0"/>
        </w:rPr>
        <w:t>Research &amp; Innovation</w:t>
      </w:r>
    </w:p>
    <w:p>
      <w:pPr>
        <w:pStyle w:val="ListBullet2"/>
        <w:numPr>
          <w:ilvl w:val="1"/>
          <w:numId w:val="90"/>
        </w:numPr>
        <w:ind w:left="652" w:hanging="142"/>
      </w:pPr>
      <w:r>
        <w:rPr>
          <w:b w:val="0"/>
          <w:i w:val="0"/>
        </w:rPr>
        <w:t>Establishment of Centers of Excellence, innovation hubs, IPR support.</w:t>
      </w:r>
    </w:p>
    <w:p>
      <w:pPr>
        <w:pStyle w:val="ListBullet2"/>
        <w:numPr>
          <w:ilvl w:val="1"/>
          <w:numId w:val="90"/>
        </w:numPr>
        <w:ind w:left="652" w:hanging="142"/>
      </w:pPr>
      <w:r>
        <w:rPr>
          <w:b/>
          <w:i w:val="0"/>
        </w:rPr>
        <w:t>Estimated Budget:</w:t>
      </w:r>
      <w:r>
        <w:rPr>
          <w:b w:val="0"/>
          <w:i w:val="0"/>
        </w:rPr>
        <w:t xml:space="preserve"> 20–25% (including grants, endowment, CSR contributions).</w:t>
      </w:r>
    </w:p>
    <w:p>
      <w:pPr>
        <w:pStyle w:val="ListBullet"/>
        <w:numPr>
          <w:ilvl w:val="0"/>
          <w:numId w:val="90"/>
        </w:numPr>
        <w:ind w:left="340" w:hanging="142"/>
      </w:pPr>
      <w:r>
        <w:rPr>
          <w:b w:val="0"/>
          <w:i w:val="0"/>
        </w:rPr>
        <w:t>Infrastructure Development</w:t>
      </w:r>
    </w:p>
    <w:p>
      <w:pPr>
        <w:pStyle w:val="ListBullet2"/>
        <w:numPr>
          <w:ilvl w:val="1"/>
          <w:numId w:val="90"/>
        </w:numPr>
        <w:ind w:left="652" w:hanging="142"/>
      </w:pPr>
      <w:r>
        <w:rPr>
          <w:b w:val="0"/>
          <w:i w:val="0"/>
        </w:rPr>
        <w:t>ICT upgrades, smart classrooms, green campus initiatives.</w:t>
      </w:r>
    </w:p>
    <w:p>
      <w:pPr>
        <w:pStyle w:val="ListBullet2"/>
        <w:numPr>
          <w:ilvl w:val="1"/>
          <w:numId w:val="90"/>
        </w:numPr>
        <w:ind w:left="652" w:hanging="142"/>
      </w:pPr>
      <w:r>
        <w:rPr>
          <w:b/>
          <w:i w:val="0"/>
        </w:rPr>
        <w:t>Estimated Budget:</w:t>
      </w:r>
      <w:r>
        <w:rPr>
          <w:b w:val="0"/>
          <w:i w:val="0"/>
        </w:rPr>
        <w:t xml:space="preserve"> 30–35% (capital expenditure + PPP models).</w:t>
      </w:r>
    </w:p>
    <w:p>
      <w:pPr>
        <w:pStyle w:val="ListBullet"/>
        <w:numPr>
          <w:ilvl w:val="0"/>
          <w:numId w:val="90"/>
        </w:numPr>
        <w:ind w:left="340" w:hanging="142"/>
      </w:pPr>
      <w:r>
        <w:rPr>
          <w:b w:val="0"/>
          <w:i w:val="0"/>
        </w:rPr>
        <w:t>Governance &amp; Quality Assurance</w:t>
      </w:r>
    </w:p>
    <w:p>
      <w:pPr>
        <w:pStyle w:val="ListBullet2"/>
        <w:numPr>
          <w:ilvl w:val="1"/>
          <w:numId w:val="90"/>
        </w:numPr>
        <w:ind w:left="652" w:hanging="142"/>
      </w:pPr>
      <w:r>
        <w:rPr>
          <w:b w:val="0"/>
          <w:i w:val="0"/>
        </w:rPr>
        <w:t>Accreditation readiness, audits, data-driven systems, training.</w:t>
      </w:r>
    </w:p>
    <w:p>
      <w:pPr>
        <w:pStyle w:val="ListBullet2"/>
        <w:numPr>
          <w:ilvl w:val="1"/>
          <w:numId w:val="90"/>
        </w:numPr>
        <w:ind w:left="652" w:hanging="142"/>
      </w:pPr>
      <w:r>
        <w:rPr>
          <w:b/>
          <w:i w:val="0"/>
        </w:rPr>
        <w:t>Estimated Budget:</w:t>
      </w:r>
      <w:r>
        <w:rPr>
          <w:b w:val="0"/>
          <w:i w:val="0"/>
        </w:rPr>
        <w:t xml:space="preserve"> 5–8%.</w:t>
      </w:r>
    </w:p>
    <w:p>
      <w:pPr>
        <w:pStyle w:val="ListBullet"/>
        <w:numPr>
          <w:ilvl w:val="0"/>
          <w:numId w:val="90"/>
        </w:numPr>
        <w:ind w:left="340" w:hanging="142"/>
      </w:pPr>
      <w:r>
        <w:rPr>
          <w:b w:val="0"/>
          <w:i w:val="0"/>
        </w:rPr>
        <w:t>Community Engagement &amp; ISR</w:t>
      </w:r>
    </w:p>
    <w:p>
      <w:pPr>
        <w:pStyle w:val="ListBullet2"/>
        <w:numPr>
          <w:ilvl w:val="1"/>
          <w:numId w:val="90"/>
        </w:numPr>
        <w:ind w:left="652" w:hanging="142"/>
      </w:pPr>
      <w:r>
        <w:rPr>
          <w:b w:val="0"/>
          <w:i w:val="0"/>
        </w:rPr>
        <w:t>Outreach projects, extension services, social initiatives.</w:t>
      </w:r>
    </w:p>
    <w:p>
      <w:pPr>
        <w:pStyle w:val="ListBullet2"/>
        <w:numPr>
          <w:ilvl w:val="1"/>
          <w:numId w:val="90"/>
        </w:numPr>
        <w:ind w:left="652" w:hanging="142"/>
      </w:pPr>
      <w:r>
        <w:rPr>
          <w:b/>
          <w:i w:val="0"/>
        </w:rPr>
        <w:t>Estimated Budget:</w:t>
      </w:r>
      <w:r>
        <w:rPr>
          <w:b w:val="0"/>
          <w:i w:val="0"/>
        </w:rPr>
        <w:t xml:space="preserve"> 3–5% (CSR support + institutional funds).</w:t>
      </w:r>
    </w:p>
    <w:p>
      <w:pPr>
        <w:pStyle w:val="ListBullet"/>
        <w:numPr>
          <w:ilvl w:val="0"/>
          <w:numId w:val="90"/>
        </w:numPr>
        <w:ind w:left="340" w:hanging="142"/>
      </w:pPr>
      <w:r>
        <w:rPr>
          <w:b w:val="0"/>
          <w:i w:val="0"/>
        </w:rPr>
        <w:t>Globalization &amp; Internationalization</w:t>
      </w:r>
    </w:p>
    <w:p>
      <w:pPr>
        <w:pStyle w:val="ListBullet2"/>
        <w:numPr>
          <w:ilvl w:val="1"/>
          <w:numId w:val="90"/>
        </w:numPr>
        <w:ind w:left="652" w:hanging="142"/>
      </w:pPr>
      <w:r>
        <w:rPr>
          <w:b w:val="0"/>
          <w:i w:val="0"/>
        </w:rPr>
        <w:t>MoUs, exchange programs, hosting global events.</w:t>
      </w:r>
    </w:p>
    <w:p>
      <w:pPr>
        <w:pStyle w:val="ListBullet2"/>
        <w:numPr>
          <w:ilvl w:val="1"/>
          <w:numId w:val="90"/>
        </w:numPr>
        <w:ind w:left="652" w:hanging="142"/>
      </w:pPr>
      <w:r>
        <w:rPr>
          <w:b/>
          <w:i w:val="0"/>
        </w:rPr>
        <w:t>Estimated Budget:</w:t>
      </w:r>
      <w:r>
        <w:rPr>
          <w:b w:val="0"/>
          <w:i w:val="0"/>
        </w:rPr>
        <w:t xml:space="preserve"> 5–7% (supported by foreign collaborations).</w:t>
      </w:r>
    </w:p>
    <w:p>
      <w:pPr>
        <w:pStyle w:val="ListBullet"/>
        <w:numPr>
          <w:ilvl w:val="0"/>
          <w:numId w:val="90"/>
        </w:numPr>
        <w:ind w:left="340" w:hanging="142"/>
      </w:pPr>
      <w:r>
        <w:rPr>
          <w:b w:val="0"/>
          <w:i w:val="0"/>
        </w:rPr>
        <w:t>Contingency/Resilience Fund</w:t>
      </w:r>
    </w:p>
    <w:p>
      <w:pPr>
        <w:pStyle w:val="ListBullet2"/>
        <w:numPr>
          <w:ilvl w:val="1"/>
          <w:numId w:val="90"/>
        </w:numPr>
        <w:ind w:left="652" w:hanging="142"/>
      </w:pPr>
      <w:r>
        <w:rPr>
          <w:b w:val="0"/>
          <w:i w:val="0"/>
        </w:rPr>
        <w:t>Risk management, emergency funds, innovation pilots.</w:t>
      </w:r>
    </w:p>
    <w:p>
      <w:pPr>
        <w:pStyle w:val="ListBullet2"/>
        <w:numPr>
          <w:ilvl w:val="1"/>
          <w:numId w:val="90"/>
        </w:numPr>
        <w:ind w:left="652" w:hanging="142"/>
      </w:pPr>
      <w:r>
        <w:rPr>
          <w:b/>
          <w:i w:val="0"/>
        </w:rPr>
        <w:t>Estimated Budget:</w:t>
      </w:r>
      <w:r>
        <w:rPr>
          <w:b w:val="0"/>
          <w:i w:val="0"/>
        </w:rPr>
        <w:t xml:space="preserve"> 5%.</w:t>
      </w:r>
    </w:p>
    <w:p>
      <w:pPr>
        <w:pStyle w:val="Heading2"/>
      </w:pPr>
      <w:r>
        <w:rPr>
          <w:i/>
        </w:rPr>
        <w:t>2. Manpower Requirements</w:t>
      </w:r>
    </w:p>
    <w:p>
      <w:pPr>
        <w:pStyle w:val="ListBullet"/>
        <w:numPr>
          <w:ilvl w:val="0"/>
          <w:numId w:val="90"/>
        </w:numPr>
        <w:ind w:left="340" w:hanging="142"/>
      </w:pPr>
      <w:r>
        <w:rPr>
          <w:b w:val="0"/>
          <w:i w:val="0"/>
        </w:rPr>
        <w:t>Faculty</w:t>
      </w:r>
    </w:p>
    <w:p>
      <w:pPr>
        <w:pStyle w:val="ListBullet2"/>
        <w:numPr>
          <w:ilvl w:val="1"/>
          <w:numId w:val="90"/>
        </w:numPr>
        <w:ind w:left="652" w:hanging="142"/>
      </w:pPr>
      <w:r>
        <w:rPr>
          <w:b/>
          <w:i w:val="0"/>
        </w:rPr>
        <w:t>Recruit additional faculty to achieve ideal faculty–student ratio (1:</w:t>
      </w:r>
      <w:r>
        <w:rPr>
          <w:b w:val="0"/>
          <w:i w:val="0"/>
        </w:rPr>
        <w:t>15 as per NAAC/NBA).</w:t>
      </w:r>
    </w:p>
    <w:p>
      <w:pPr>
        <w:pStyle w:val="ListBullet2"/>
        <w:numPr>
          <w:ilvl w:val="1"/>
          <w:numId w:val="90"/>
        </w:numPr>
        <w:ind w:left="652" w:hanging="142"/>
      </w:pPr>
      <w:r>
        <w:rPr>
          <w:b w:val="0"/>
          <w:i w:val="0"/>
        </w:rPr>
        <w:t>Train faculty in digital pedagogy, AI tools, interdisciplinary teaching.</w:t>
      </w:r>
    </w:p>
    <w:p>
      <w:pPr>
        <w:pStyle w:val="ListBullet"/>
        <w:numPr>
          <w:ilvl w:val="0"/>
          <w:numId w:val="90"/>
        </w:numPr>
        <w:ind w:left="340" w:hanging="142"/>
      </w:pPr>
      <w:r>
        <w:rPr>
          <w:b w:val="0"/>
          <w:i w:val="0"/>
        </w:rPr>
        <w:t>Administrative Staff</w:t>
      </w:r>
    </w:p>
    <w:p>
      <w:pPr>
        <w:pStyle w:val="ListBullet2"/>
        <w:numPr>
          <w:ilvl w:val="1"/>
          <w:numId w:val="90"/>
        </w:numPr>
        <w:ind w:left="652" w:hanging="142"/>
      </w:pPr>
      <w:r>
        <w:rPr>
          <w:b w:val="0"/>
          <w:i w:val="0"/>
        </w:rPr>
        <w:t>Expand staff for accreditation, data governance, finance, and international relations.</w:t>
      </w:r>
    </w:p>
    <w:p>
      <w:pPr>
        <w:pStyle w:val="ListBullet2"/>
        <w:numPr>
          <w:ilvl w:val="1"/>
          <w:numId w:val="90"/>
        </w:numPr>
        <w:ind w:left="652" w:hanging="142"/>
      </w:pPr>
      <w:r>
        <w:rPr>
          <w:b w:val="0"/>
          <w:i w:val="0"/>
        </w:rPr>
        <w:t>Create specialized units (IQAC Cell, Sustainability Cell, Innovation Cell).</w:t>
      </w:r>
    </w:p>
    <w:p>
      <w:pPr>
        <w:pStyle w:val="ListBullet"/>
        <w:numPr>
          <w:ilvl w:val="0"/>
          <w:numId w:val="90"/>
        </w:numPr>
        <w:ind w:left="340" w:hanging="142"/>
      </w:pPr>
      <w:r>
        <w:rPr>
          <w:b w:val="0"/>
          <w:i w:val="0"/>
        </w:rPr>
        <w:t>Technical Staff</w:t>
      </w:r>
    </w:p>
    <w:p>
      <w:pPr>
        <w:pStyle w:val="ListBullet2"/>
        <w:numPr>
          <w:ilvl w:val="1"/>
          <w:numId w:val="90"/>
        </w:numPr>
        <w:ind w:left="652" w:hanging="142"/>
      </w:pPr>
      <w:r>
        <w:rPr>
          <w:b w:val="0"/>
          <w:i w:val="0"/>
        </w:rPr>
        <w:t>ICT experts for smart classrooms, cybersecurity professionals, lab technicians.</w:t>
      </w:r>
    </w:p>
    <w:p>
      <w:pPr>
        <w:pStyle w:val="ListBullet2"/>
        <w:numPr>
          <w:ilvl w:val="1"/>
          <w:numId w:val="90"/>
        </w:numPr>
        <w:ind w:left="652" w:hanging="142"/>
      </w:pPr>
      <w:r>
        <w:rPr>
          <w:b w:val="0"/>
          <w:i w:val="0"/>
        </w:rPr>
        <w:t>Dedicated sustainability coordinators for green initiatives.</w:t>
      </w:r>
    </w:p>
    <w:p>
      <w:pPr>
        <w:pStyle w:val="ListBullet"/>
        <w:numPr>
          <w:ilvl w:val="0"/>
          <w:numId w:val="90"/>
        </w:numPr>
        <w:ind w:left="340" w:hanging="142"/>
      </w:pPr>
      <w:r>
        <w:rPr>
          <w:b w:val="0"/>
          <w:i w:val="0"/>
        </w:rPr>
        <w:t>Support Staff</w:t>
      </w:r>
    </w:p>
    <w:p>
      <w:pPr>
        <w:pStyle w:val="ListBullet2"/>
        <w:numPr>
          <w:ilvl w:val="1"/>
          <w:numId w:val="90"/>
        </w:numPr>
        <w:ind w:left="652" w:hanging="142"/>
      </w:pPr>
      <w:r>
        <w:rPr>
          <w:b w:val="0"/>
          <w:i w:val="0"/>
        </w:rPr>
        <w:t>Campus maintenance, green infrastructure management, community engagement officers.</w:t>
      </w:r>
    </w:p>
    <w:p>
      <w:pPr>
        <w:pStyle w:val="ListBullet"/>
        <w:numPr>
          <w:ilvl w:val="0"/>
          <w:numId w:val="90"/>
        </w:numPr>
        <w:ind w:left="340" w:hanging="142"/>
      </w:pPr>
      <w:r>
        <w:rPr>
          <w:b w:val="0"/>
          <w:i w:val="0"/>
        </w:rPr>
        <w:t>External Experts/Consultants</w:t>
      </w:r>
    </w:p>
    <w:p>
      <w:pPr>
        <w:pStyle w:val="ListBullet2"/>
        <w:numPr>
          <w:ilvl w:val="1"/>
          <w:numId w:val="90"/>
        </w:numPr>
        <w:ind w:left="652" w:hanging="142"/>
      </w:pPr>
      <w:r>
        <w:rPr>
          <w:b w:val="0"/>
          <w:i w:val="0"/>
        </w:rPr>
        <w:t>Policy advisors, industry mentors, international collaboration coordinators.</w:t>
      </w:r>
    </w:p>
    <w:p>
      <w:pPr>
        <w:pStyle w:val="Heading2"/>
      </w:pPr>
      <w:r>
        <w:rPr>
          <w:i/>
        </w:rPr>
        <w:t>3. Infrastructural Needs</w:t>
      </w:r>
    </w:p>
    <w:p>
      <w:pPr>
        <w:pStyle w:val="ListBullet"/>
        <w:numPr>
          <w:ilvl w:val="0"/>
          <w:numId w:val="90"/>
        </w:numPr>
        <w:ind w:left="340" w:hanging="142"/>
      </w:pPr>
      <w:r>
        <w:rPr>
          <w:b w:val="0"/>
          <w:i w:val="0"/>
        </w:rPr>
        <w:t>Academic Infrastructure</w:t>
      </w:r>
    </w:p>
    <w:p>
      <w:pPr>
        <w:pStyle w:val="ListBullet2"/>
        <w:numPr>
          <w:ilvl w:val="1"/>
          <w:numId w:val="90"/>
        </w:numPr>
        <w:ind w:left="652" w:hanging="142"/>
      </w:pPr>
      <w:r>
        <w:rPr>
          <w:b w:val="0"/>
          <w:i w:val="0"/>
        </w:rPr>
        <w:t>Smart classrooms, advanced digital libraries, modern laboratories (AI, VR/AR, IoT).</w:t>
      </w:r>
    </w:p>
    <w:p>
      <w:pPr>
        <w:pStyle w:val="ListBullet2"/>
        <w:numPr>
          <w:ilvl w:val="1"/>
          <w:numId w:val="90"/>
        </w:numPr>
        <w:ind w:left="652" w:hanging="142"/>
      </w:pPr>
      <w:r>
        <w:rPr>
          <w:b w:val="0"/>
          <w:i w:val="0"/>
        </w:rPr>
        <w:t>Interdisciplinary research centers with shared resources.</w:t>
      </w:r>
    </w:p>
    <w:p>
      <w:pPr>
        <w:pStyle w:val="ListBullet"/>
        <w:numPr>
          <w:ilvl w:val="0"/>
          <w:numId w:val="90"/>
        </w:numPr>
        <w:ind w:left="340" w:hanging="142"/>
      </w:pPr>
      <w:r>
        <w:rPr>
          <w:b w:val="0"/>
          <w:i w:val="0"/>
        </w:rPr>
        <w:t>ICT &amp; Digital Infrastructure</w:t>
      </w:r>
    </w:p>
    <w:p>
      <w:pPr>
        <w:pStyle w:val="ListBullet2"/>
        <w:numPr>
          <w:ilvl w:val="1"/>
          <w:numId w:val="90"/>
        </w:numPr>
        <w:ind w:left="652" w:hanging="142"/>
      </w:pPr>
      <w:r>
        <w:rPr>
          <w:b w:val="0"/>
          <w:i w:val="0"/>
        </w:rPr>
        <w:t>High-speed campus-wide internet, AI-driven dashboards, cloud-based ERP systems.</w:t>
      </w:r>
    </w:p>
    <w:p>
      <w:pPr>
        <w:pStyle w:val="ListBullet2"/>
        <w:numPr>
          <w:ilvl w:val="1"/>
          <w:numId w:val="90"/>
        </w:numPr>
        <w:ind w:left="652" w:hanging="142"/>
      </w:pPr>
      <w:r>
        <w:rPr>
          <w:b w:val="0"/>
          <w:i w:val="0"/>
        </w:rPr>
        <w:t>Cybersecurity frameworks and digital learning platforms (LMS).</w:t>
      </w:r>
    </w:p>
    <w:p>
      <w:pPr>
        <w:pStyle w:val="ListBullet"/>
        <w:numPr>
          <w:ilvl w:val="0"/>
          <w:numId w:val="90"/>
        </w:numPr>
        <w:ind w:left="340" w:hanging="142"/>
      </w:pPr>
      <w:r>
        <w:rPr>
          <w:b w:val="0"/>
          <w:i w:val="0"/>
        </w:rPr>
        <w:t>Sustainability Infrastructure</w:t>
      </w:r>
    </w:p>
    <w:p>
      <w:pPr>
        <w:pStyle w:val="ListBullet2"/>
        <w:numPr>
          <w:ilvl w:val="1"/>
          <w:numId w:val="90"/>
        </w:numPr>
        <w:ind w:left="652" w:hanging="142"/>
      </w:pPr>
      <w:r>
        <w:rPr>
          <w:b w:val="0"/>
          <w:i w:val="0"/>
        </w:rPr>
        <w:t>Renewable energy systems (solar, wind), rainwater harvesting, waste segregation units.</w:t>
      </w:r>
    </w:p>
    <w:p>
      <w:pPr>
        <w:pStyle w:val="ListBullet2"/>
        <w:numPr>
          <w:ilvl w:val="1"/>
          <w:numId w:val="90"/>
        </w:numPr>
        <w:ind w:left="652" w:hanging="142"/>
      </w:pPr>
      <w:r>
        <w:rPr>
          <w:b w:val="0"/>
          <w:i w:val="0"/>
        </w:rPr>
        <w:t>Green-certified academic and residential buildings.</w:t>
      </w:r>
    </w:p>
    <w:p>
      <w:pPr>
        <w:pStyle w:val="ListBullet"/>
        <w:numPr>
          <w:ilvl w:val="0"/>
          <w:numId w:val="90"/>
        </w:numPr>
        <w:ind w:left="340" w:hanging="142"/>
      </w:pPr>
      <w:r>
        <w:rPr>
          <w:b w:val="0"/>
          <w:i w:val="0"/>
        </w:rPr>
        <w:t>Student Development Facilities</w:t>
      </w:r>
    </w:p>
    <w:p>
      <w:pPr>
        <w:pStyle w:val="ListBullet2"/>
        <w:numPr>
          <w:ilvl w:val="1"/>
          <w:numId w:val="90"/>
        </w:numPr>
        <w:ind w:left="652" w:hanging="142"/>
      </w:pPr>
      <w:r>
        <w:rPr>
          <w:b w:val="0"/>
          <w:i w:val="0"/>
        </w:rPr>
        <w:t>Career guidance and placement centers.</w:t>
      </w:r>
    </w:p>
    <w:p>
      <w:pPr>
        <w:pStyle w:val="ListBullet2"/>
        <w:numPr>
          <w:ilvl w:val="1"/>
          <w:numId w:val="90"/>
        </w:numPr>
        <w:ind w:left="652" w:hanging="142"/>
      </w:pPr>
      <w:r>
        <w:rPr>
          <w:b w:val="0"/>
          <w:i w:val="0"/>
        </w:rPr>
        <w:t>Counseling, wellness, and inclusivity centers.</w:t>
      </w:r>
    </w:p>
    <w:p>
      <w:pPr>
        <w:pStyle w:val="ListBullet"/>
        <w:numPr>
          <w:ilvl w:val="0"/>
          <w:numId w:val="90"/>
        </w:numPr>
        <w:ind w:left="340" w:hanging="142"/>
      </w:pPr>
      <w:r>
        <w:rPr>
          <w:b w:val="0"/>
          <w:i w:val="0"/>
        </w:rPr>
        <w:t>Community Engagement Infrastructure</w:t>
      </w:r>
    </w:p>
    <w:p>
      <w:pPr>
        <w:pStyle w:val="ListBullet2"/>
        <w:numPr>
          <w:ilvl w:val="1"/>
          <w:numId w:val="90"/>
        </w:numPr>
        <w:ind w:left="652" w:hanging="142"/>
      </w:pPr>
      <w:r>
        <w:rPr>
          <w:b w:val="0"/>
          <w:i w:val="0"/>
        </w:rPr>
        <w:t>Dedicated ISR office, extension activity spaces, community training halls.</w:t>
      </w:r>
    </w:p>
    <w:p>
      <w:pPr>
        <w:pStyle w:val="ListBullet"/>
        <w:numPr>
          <w:ilvl w:val="0"/>
          <w:numId w:val="90"/>
        </w:numPr>
        <w:ind w:left="340" w:hanging="142"/>
      </w:pPr>
      <w:r>
        <w:rPr>
          <w:b w:val="0"/>
          <w:i w:val="0"/>
        </w:rPr>
        <w:t>Globalization Support Facilities</w:t>
      </w:r>
    </w:p>
    <w:p>
      <w:pPr>
        <w:pStyle w:val="ListBullet2"/>
        <w:numPr>
          <w:ilvl w:val="1"/>
          <w:numId w:val="90"/>
        </w:numPr>
        <w:ind w:left="652" w:hanging="142"/>
      </w:pPr>
      <w:r>
        <w:rPr>
          <w:b w:val="0"/>
          <w:i w:val="0"/>
        </w:rPr>
        <w:t>International student hostels, global academic collaboration office, language labs.</w:t>
      </w:r>
    </w:p>
    <w:p>
      <w:pPr>
        <w:pStyle w:val="Heading2"/>
      </w:pPr>
      <w:r>
        <w:t>Resource Allocation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984"/>
        <w:gridCol w:w="3061"/>
        <w:gridCol w:w="2211"/>
        <w:gridCol w:w="2154"/>
      </w:tblGrid>
      <w:tr>
        <w:trPr>
          <w:tblHeader/>
          <w:cantSplit/>
        </w:trPr>
        <w:tc>
          <w:tcPr>
            <w:tcW w:type="dxa" w:w="1984"/>
            <w:vAlign w:val="center"/>
            <w:shd w:fill="1F3A5F"/>
          </w:tcPr>
          <w:p>
            <w:pPr>
              <w:keepNext/>
              <w:spacing w:after="40" w:line="276" w:lineRule="auto"/>
              <w:jc w:val="left"/>
            </w:pPr>
            <w:r>
              <w:rPr>
                <w:b/>
                <w:i w:val="0"/>
                <w:color w:val="FFFFFF"/>
              </w:rPr>
              <w:t>Strategic Area</w:t>
            </w:r>
          </w:p>
        </w:tc>
        <w:tc>
          <w:tcPr>
            <w:tcW w:type="dxa" w:w="3061"/>
            <w:vAlign w:val="center"/>
            <w:shd w:fill="1F3A5F"/>
          </w:tcPr>
          <w:p>
            <w:pPr>
              <w:keepNext/>
              <w:spacing w:after="40" w:line="276" w:lineRule="auto"/>
              <w:jc w:val="left"/>
            </w:pPr>
            <w:r>
              <w:rPr>
                <w:b/>
                <w:i w:val="0"/>
                <w:color w:val="FFFFFF"/>
              </w:rPr>
              <w:t>Budget Allocation (% of Total)</w:t>
            </w:r>
          </w:p>
        </w:tc>
        <w:tc>
          <w:tcPr>
            <w:tcW w:type="dxa" w:w="2211"/>
            <w:vAlign w:val="center"/>
            <w:shd w:fill="1F3A5F"/>
          </w:tcPr>
          <w:p>
            <w:pPr>
              <w:keepNext/>
              <w:spacing w:after="40" w:line="276" w:lineRule="auto"/>
              <w:jc w:val="left"/>
            </w:pPr>
            <w:r>
              <w:rPr>
                <w:b/>
                <w:i w:val="0"/>
                <w:color w:val="FFFFFF"/>
              </w:rPr>
              <w:t>Manpower Requirements</w:t>
            </w:r>
          </w:p>
        </w:tc>
        <w:tc>
          <w:tcPr>
            <w:tcW w:type="dxa" w:w="2154"/>
            <w:vAlign w:val="center"/>
            <w:shd w:fill="1F3A5F"/>
          </w:tcPr>
          <w:p>
            <w:pPr>
              <w:keepNext/>
              <w:spacing w:after="40" w:line="276" w:lineRule="auto"/>
              <w:jc w:val="left"/>
            </w:pPr>
            <w:r>
              <w:rPr>
                <w:b/>
                <w:i w:val="0"/>
                <w:color w:val="FFFFFF"/>
              </w:rPr>
              <w:t>Infrastructural Needs</w:t>
            </w:r>
          </w:p>
        </w:tc>
      </w:tr>
      <w:tr>
        <w:trPr>
          <w:cantSplit/>
        </w:trPr>
        <w:tc>
          <w:tcPr>
            <w:tcW w:type="dxa" w:w="1984"/>
            <w:vAlign w:val="center"/>
            <w:shd w:fill="FFFFFF"/>
          </w:tcPr>
          <w:p>
            <w:pPr>
              <w:spacing w:after="40" w:line="276" w:lineRule="auto"/>
              <w:jc w:val="left"/>
            </w:pPr>
            <w:r>
              <w:rPr>
                <w:b w:val="0"/>
                <w:i w:val="0"/>
              </w:rPr>
              <w:t>Academic Excellence</w:t>
            </w:r>
          </w:p>
        </w:tc>
        <w:tc>
          <w:tcPr>
            <w:tcW w:type="dxa" w:w="3061"/>
            <w:vAlign w:val="center"/>
            <w:shd w:fill="FFFFFF"/>
          </w:tcPr>
          <w:p>
            <w:pPr>
              <w:spacing w:after="40" w:line="276" w:lineRule="auto"/>
              <w:jc w:val="left"/>
            </w:pPr>
            <w:r>
              <w:rPr>
                <w:b w:val="0"/>
                <w:i w:val="0"/>
              </w:rPr>
              <w:t>10-15%</w:t>
            </w:r>
          </w:p>
        </w:tc>
        <w:tc>
          <w:tcPr>
            <w:tcW w:type="dxa" w:w="2211"/>
            <w:vAlign w:val="center"/>
            <w:shd w:fill="FFFFFF"/>
          </w:tcPr>
          <w:p>
            <w:pPr>
              <w:spacing w:after="40" w:line="276" w:lineRule="auto"/>
              <w:ind w:left="125" w:hanging="125"/>
              <w:jc w:val="left"/>
            </w:pPr>
            <w:r>
              <w:t xml:space="preserve">• </w:t>
            </w:r>
            <w:r>
              <w:rPr>
                <w:b/>
                <w:i w:val="0"/>
              </w:rPr>
              <w:t>Recruit additional faculty to achieve 1:</w:t>
            </w:r>
            <w:r>
              <w:rPr>
                <w:b w:val="0"/>
                <w:i w:val="0"/>
              </w:rPr>
              <w:t>15 ratio.</w:t>
            </w:r>
          </w:p>
          <w:p>
            <w:pPr>
              <w:spacing w:after="40" w:line="276" w:lineRule="auto"/>
              <w:ind w:left="125" w:hanging="125"/>
              <w:jc w:val="left"/>
            </w:pPr>
            <w:r>
              <w:t xml:space="preserve">• </w:t>
            </w:r>
            <w:r>
              <w:rPr>
                <w:b w:val="0"/>
                <w:i w:val="0"/>
              </w:rPr>
              <w:t>Train faculty in OBE, digital pedagogy.</w:t>
            </w:r>
          </w:p>
          <w:p>
            <w:pPr>
              <w:spacing w:after="40" w:line="276" w:lineRule="auto"/>
              <w:ind w:left="125" w:hanging="125"/>
              <w:jc w:val="left"/>
            </w:pPr>
            <w:r>
              <w:t xml:space="preserve">• </w:t>
            </w:r>
            <w:r>
              <w:rPr>
                <w:b w:val="0"/>
                <w:i w:val="0"/>
              </w:rPr>
              <w:t>Curriculum development committees.</w:t>
            </w:r>
          </w:p>
        </w:tc>
        <w:tc>
          <w:tcPr>
            <w:tcW w:type="dxa" w:w="2154"/>
            <w:vAlign w:val="center"/>
            <w:shd w:fill="FFFFFF"/>
          </w:tcPr>
          <w:p>
            <w:pPr>
              <w:spacing w:after="40" w:line="276" w:lineRule="auto"/>
              <w:ind w:left="125" w:hanging="125"/>
              <w:jc w:val="left"/>
            </w:pPr>
            <w:r>
              <w:t xml:space="preserve">• </w:t>
            </w:r>
            <w:r>
              <w:rPr>
                <w:b w:val="0"/>
                <w:i w:val="0"/>
              </w:rPr>
              <w:t>Smart classrooms.</w:t>
            </w:r>
          </w:p>
          <w:p>
            <w:pPr>
              <w:spacing w:after="40" w:line="276" w:lineRule="auto"/>
              <w:ind w:left="125" w:hanging="125"/>
              <w:jc w:val="left"/>
            </w:pPr>
            <w:r>
              <w:t xml:space="preserve">• </w:t>
            </w:r>
            <w:r>
              <w:rPr>
                <w:b w:val="0"/>
                <w:i w:val="0"/>
              </w:rPr>
              <w:t>Digital libraries.</w:t>
            </w:r>
          </w:p>
          <w:p>
            <w:pPr>
              <w:spacing w:after="40" w:line="276" w:lineRule="auto"/>
              <w:ind w:left="125" w:hanging="125"/>
              <w:jc w:val="left"/>
            </w:pPr>
            <w:r>
              <w:t xml:space="preserve">• </w:t>
            </w:r>
            <w:r>
              <w:rPr>
                <w:b w:val="0"/>
                <w:i w:val="0"/>
              </w:rPr>
              <w:t>Modernized labs.</w:t>
            </w:r>
          </w:p>
        </w:tc>
      </w:tr>
      <w:tr>
        <w:trPr>
          <w:cantSplit/>
        </w:trPr>
        <w:tc>
          <w:tcPr>
            <w:tcW w:type="dxa" w:w="1984"/>
            <w:vAlign w:val="center"/>
            <w:shd w:fill="EDF2F7"/>
          </w:tcPr>
          <w:p>
            <w:pPr>
              <w:spacing w:after="40" w:line="276" w:lineRule="auto"/>
              <w:jc w:val="left"/>
            </w:pPr>
            <w:r>
              <w:rPr>
                <w:b w:val="0"/>
                <w:i w:val="0"/>
              </w:rPr>
              <w:t>Research &amp; Innovation</w:t>
            </w:r>
          </w:p>
        </w:tc>
        <w:tc>
          <w:tcPr>
            <w:tcW w:type="dxa" w:w="3061"/>
            <w:vAlign w:val="center"/>
            <w:shd w:fill="EDF2F7"/>
          </w:tcPr>
          <w:p>
            <w:pPr>
              <w:spacing w:after="40" w:line="276" w:lineRule="auto"/>
              <w:jc w:val="left"/>
            </w:pPr>
            <w:r>
              <w:rPr>
                <w:b w:val="0"/>
                <w:i w:val="0"/>
              </w:rPr>
              <w:t>20-25%</w:t>
            </w:r>
          </w:p>
        </w:tc>
        <w:tc>
          <w:tcPr>
            <w:tcW w:type="dxa" w:w="2211"/>
            <w:vAlign w:val="center"/>
            <w:shd w:fill="EDF2F7"/>
          </w:tcPr>
          <w:p>
            <w:pPr>
              <w:spacing w:after="40" w:line="276" w:lineRule="auto"/>
              <w:ind w:left="125" w:hanging="125"/>
              <w:jc w:val="left"/>
            </w:pPr>
            <w:r>
              <w:t xml:space="preserve">• </w:t>
            </w:r>
            <w:r>
              <w:rPr>
                <w:b w:val="0"/>
                <w:i w:val="0"/>
              </w:rPr>
              <w:t>Establish R&amp;D Cell &amp; Centers of Excellence staff.</w:t>
            </w:r>
          </w:p>
          <w:p>
            <w:pPr>
              <w:spacing w:after="40" w:line="276" w:lineRule="auto"/>
              <w:ind w:left="125" w:hanging="125"/>
              <w:jc w:val="left"/>
            </w:pPr>
            <w:r>
              <w:t xml:space="preserve">• </w:t>
            </w:r>
            <w:r>
              <w:rPr>
                <w:b w:val="0"/>
                <w:i w:val="0"/>
              </w:rPr>
              <w:t>Hire research associates, post-docs.</w:t>
            </w:r>
          </w:p>
          <w:p>
            <w:pPr>
              <w:spacing w:after="40" w:line="276" w:lineRule="auto"/>
              <w:ind w:left="125" w:hanging="125"/>
              <w:jc w:val="left"/>
            </w:pPr>
            <w:r>
              <w:t xml:space="preserve">• </w:t>
            </w:r>
            <w:r>
              <w:rPr>
                <w:b w:val="0"/>
                <w:i w:val="0"/>
              </w:rPr>
              <w:t>IPR cell and innovation hub coordinators.</w:t>
            </w:r>
          </w:p>
        </w:tc>
        <w:tc>
          <w:tcPr>
            <w:tcW w:type="dxa" w:w="2154"/>
            <w:vAlign w:val="center"/>
            <w:shd w:fill="EDF2F7"/>
          </w:tcPr>
          <w:p>
            <w:pPr>
              <w:spacing w:after="40" w:line="276" w:lineRule="auto"/>
              <w:ind w:left="125" w:hanging="125"/>
              <w:jc w:val="left"/>
            </w:pPr>
            <w:r>
              <w:t xml:space="preserve">• </w:t>
            </w:r>
            <w:r>
              <w:rPr>
                <w:b w:val="0"/>
                <w:i w:val="0"/>
              </w:rPr>
              <w:t>Advanced research labs (AI, VR/​AR, IoT).</w:t>
            </w:r>
          </w:p>
          <w:p>
            <w:pPr>
              <w:spacing w:after="40" w:line="276" w:lineRule="auto"/>
              <w:ind w:left="125" w:hanging="125"/>
              <w:jc w:val="left"/>
            </w:pPr>
            <w:r>
              <w:t xml:space="preserve">• </w:t>
            </w:r>
            <w:r>
              <w:rPr>
                <w:b w:val="0"/>
                <w:i w:val="0"/>
              </w:rPr>
              <w:t>Innovation &amp; incubation centers.</w:t>
            </w:r>
          </w:p>
          <w:p>
            <w:pPr>
              <w:spacing w:after="40" w:line="276" w:lineRule="auto"/>
              <w:ind w:left="125" w:hanging="125"/>
              <w:jc w:val="left"/>
            </w:pPr>
            <w:r>
              <w:t xml:space="preserve">• </w:t>
            </w:r>
            <w:r>
              <w:rPr>
                <w:b w:val="0"/>
                <w:i w:val="0"/>
              </w:rPr>
              <w:t>Patent support office.</w:t>
            </w:r>
          </w:p>
        </w:tc>
      </w:tr>
      <w:tr>
        <w:trPr>
          <w:cantSplit/>
        </w:trPr>
        <w:tc>
          <w:tcPr>
            <w:tcW w:type="dxa" w:w="1984"/>
            <w:vAlign w:val="center"/>
            <w:shd w:fill="FFFFFF"/>
          </w:tcPr>
          <w:p>
            <w:pPr>
              <w:spacing w:after="40" w:line="276" w:lineRule="auto"/>
              <w:jc w:val="left"/>
            </w:pPr>
            <w:r>
              <w:rPr>
                <w:b w:val="0"/>
                <w:i w:val="0"/>
              </w:rPr>
              <w:t>Infrastructure Development</w:t>
            </w:r>
          </w:p>
        </w:tc>
        <w:tc>
          <w:tcPr>
            <w:tcW w:type="dxa" w:w="3061"/>
            <w:vAlign w:val="center"/>
            <w:shd w:fill="FFFFFF"/>
          </w:tcPr>
          <w:p>
            <w:pPr>
              <w:spacing w:after="40" w:line="276" w:lineRule="auto"/>
              <w:jc w:val="left"/>
            </w:pPr>
            <w:r>
              <w:rPr>
                <w:b w:val="0"/>
                <w:i w:val="0"/>
              </w:rPr>
              <w:t>30-35%</w:t>
            </w:r>
          </w:p>
        </w:tc>
        <w:tc>
          <w:tcPr>
            <w:tcW w:type="dxa" w:w="2211"/>
            <w:vAlign w:val="center"/>
            <w:shd w:fill="FFFFFF"/>
          </w:tcPr>
          <w:p>
            <w:pPr>
              <w:spacing w:after="40" w:line="276" w:lineRule="auto"/>
              <w:ind w:left="125" w:hanging="125"/>
              <w:jc w:val="left"/>
            </w:pPr>
            <w:r>
              <w:t xml:space="preserve">• </w:t>
            </w:r>
            <w:r>
              <w:rPr>
                <w:b w:val="0"/>
                <w:i w:val="0"/>
              </w:rPr>
              <w:t>IT support team.</w:t>
            </w:r>
          </w:p>
          <w:p>
            <w:pPr>
              <w:spacing w:after="40" w:line="276" w:lineRule="auto"/>
              <w:ind w:left="125" w:hanging="125"/>
              <w:jc w:val="left"/>
            </w:pPr>
            <w:r>
              <w:t xml:space="preserve">• </w:t>
            </w:r>
            <w:r>
              <w:rPr>
                <w:b w:val="0"/>
                <w:i w:val="0"/>
              </w:rPr>
              <w:t>Lab technicians.</w:t>
            </w:r>
          </w:p>
          <w:p>
            <w:pPr>
              <w:spacing w:after="40" w:line="276" w:lineRule="auto"/>
              <w:ind w:left="125" w:hanging="125"/>
              <w:jc w:val="left"/>
            </w:pPr>
            <w:r>
              <w:t xml:space="preserve">• </w:t>
            </w:r>
            <w:r>
              <w:rPr>
                <w:b w:val="0"/>
                <w:i w:val="0"/>
              </w:rPr>
              <w:t>Sustainability officers.</w:t>
            </w:r>
          </w:p>
          <w:p>
            <w:pPr>
              <w:spacing w:after="40" w:line="276" w:lineRule="auto"/>
              <w:ind w:left="125" w:hanging="125"/>
              <w:jc w:val="left"/>
            </w:pPr>
            <w:r>
              <w:t xml:space="preserve">• </w:t>
            </w:r>
            <w:r>
              <w:rPr>
                <w:b w:val="0"/>
                <w:i w:val="0"/>
              </w:rPr>
              <w:t>Facility managers.</w:t>
            </w:r>
          </w:p>
        </w:tc>
        <w:tc>
          <w:tcPr>
            <w:tcW w:type="dxa" w:w="2154"/>
            <w:vAlign w:val="center"/>
            <w:shd w:fill="FFFFFF"/>
          </w:tcPr>
          <w:p>
            <w:pPr>
              <w:spacing w:after="40" w:line="276" w:lineRule="auto"/>
              <w:ind w:left="125" w:hanging="125"/>
              <w:jc w:val="left"/>
            </w:pPr>
            <w:r>
              <w:t xml:space="preserve">• </w:t>
            </w:r>
            <w:r>
              <w:rPr>
                <w:b w:val="0"/>
                <w:i w:val="0"/>
              </w:rPr>
              <w:t>Green-certified buildings.</w:t>
            </w:r>
          </w:p>
          <w:p>
            <w:pPr>
              <w:spacing w:after="40" w:line="276" w:lineRule="auto"/>
              <w:ind w:left="125" w:hanging="125"/>
              <w:jc w:val="left"/>
            </w:pPr>
            <w:r>
              <w:t xml:space="preserve">• </w:t>
            </w:r>
            <w:r>
              <w:rPr>
                <w:b w:val="0"/>
                <w:i w:val="0"/>
              </w:rPr>
              <w:t>Renewable energy systems.</w:t>
            </w:r>
          </w:p>
          <w:p>
            <w:pPr>
              <w:spacing w:after="40" w:line="276" w:lineRule="auto"/>
              <w:ind w:left="125" w:hanging="125"/>
              <w:jc w:val="left"/>
            </w:pPr>
            <w:r>
              <w:t xml:space="preserve">• </w:t>
            </w:r>
            <w:r>
              <w:rPr>
                <w:b w:val="0"/>
                <w:i w:val="0"/>
              </w:rPr>
              <w:t>ICT backbone (high-speed internet, ERP).</w:t>
            </w:r>
          </w:p>
        </w:tc>
      </w:tr>
      <w:tr>
        <w:trPr>
          <w:cantSplit/>
        </w:trPr>
        <w:tc>
          <w:tcPr>
            <w:tcW w:type="dxa" w:w="1984"/>
            <w:vAlign w:val="center"/>
            <w:shd w:fill="EDF2F7"/>
          </w:tcPr>
          <w:p>
            <w:pPr>
              <w:spacing w:after="40" w:line="276" w:lineRule="auto"/>
              <w:jc w:val="left"/>
            </w:pPr>
            <w:r>
              <w:rPr>
                <w:b w:val="0"/>
                <w:i w:val="0"/>
              </w:rPr>
              <w:t>Governance &amp; Quality Assurance</w:t>
            </w:r>
          </w:p>
        </w:tc>
        <w:tc>
          <w:tcPr>
            <w:tcW w:type="dxa" w:w="3061"/>
            <w:vAlign w:val="center"/>
            <w:shd w:fill="EDF2F7"/>
          </w:tcPr>
          <w:p>
            <w:pPr>
              <w:spacing w:after="40" w:line="276" w:lineRule="auto"/>
              <w:jc w:val="left"/>
            </w:pPr>
            <w:r>
              <w:rPr>
                <w:b w:val="0"/>
                <w:i w:val="0"/>
              </w:rPr>
              <w:t>5–8%</w:t>
            </w:r>
          </w:p>
        </w:tc>
        <w:tc>
          <w:tcPr>
            <w:tcW w:type="dxa" w:w="2211"/>
            <w:vAlign w:val="center"/>
            <w:shd w:fill="EDF2F7"/>
          </w:tcPr>
          <w:p>
            <w:pPr>
              <w:spacing w:after="40" w:line="276" w:lineRule="auto"/>
              <w:ind w:left="125" w:hanging="125"/>
              <w:jc w:val="left"/>
            </w:pPr>
            <w:r>
              <w:t xml:space="preserve">• </w:t>
            </w:r>
            <w:r>
              <w:rPr>
                <w:b w:val="0"/>
                <w:i w:val="0"/>
              </w:rPr>
              <w:t>IQAC staff.</w:t>
            </w:r>
          </w:p>
          <w:p>
            <w:pPr>
              <w:spacing w:after="40" w:line="276" w:lineRule="auto"/>
              <w:ind w:left="125" w:hanging="125"/>
              <w:jc w:val="left"/>
            </w:pPr>
            <w:r>
              <w:t xml:space="preserve">• </w:t>
            </w:r>
            <w:r>
              <w:rPr>
                <w:b w:val="0"/>
                <w:i w:val="0"/>
              </w:rPr>
              <w:t>Accreditation &amp; compliance officers.</w:t>
            </w:r>
          </w:p>
          <w:p>
            <w:pPr>
              <w:spacing w:after="40" w:line="276" w:lineRule="auto"/>
              <w:ind w:left="125" w:hanging="125"/>
              <w:jc w:val="left"/>
            </w:pPr>
            <w:r>
              <w:t xml:space="preserve">• </w:t>
            </w:r>
            <w:r>
              <w:rPr>
                <w:b w:val="0"/>
                <w:i w:val="0"/>
              </w:rPr>
              <w:t>Policy analysts.</w:t>
            </w:r>
          </w:p>
        </w:tc>
        <w:tc>
          <w:tcPr>
            <w:tcW w:type="dxa" w:w="2154"/>
            <w:vAlign w:val="center"/>
            <w:shd w:fill="EDF2F7"/>
          </w:tcPr>
          <w:p>
            <w:pPr>
              <w:spacing w:after="40" w:line="276" w:lineRule="auto"/>
              <w:ind w:left="125" w:hanging="125"/>
              <w:jc w:val="left"/>
            </w:pPr>
            <w:r>
              <w:t xml:space="preserve">• </w:t>
            </w:r>
            <w:r>
              <w:rPr>
                <w:b w:val="0"/>
                <w:i w:val="0"/>
              </w:rPr>
              <w:t>Digital dashboards for decision-making.</w:t>
            </w:r>
          </w:p>
          <w:p>
            <w:pPr>
              <w:spacing w:after="40" w:line="276" w:lineRule="auto"/>
              <w:ind w:left="125" w:hanging="125"/>
              <w:jc w:val="left"/>
            </w:pPr>
            <w:r>
              <w:t xml:space="preserve">• </w:t>
            </w:r>
            <w:r>
              <w:rPr>
                <w:b w:val="0"/>
                <w:i w:val="0"/>
              </w:rPr>
              <w:t>Document management systems.</w:t>
            </w:r>
          </w:p>
          <w:p>
            <w:pPr>
              <w:spacing w:after="40" w:line="276" w:lineRule="auto"/>
              <w:ind w:left="125" w:hanging="125"/>
              <w:jc w:val="left"/>
            </w:pPr>
            <w:r>
              <w:t xml:space="preserve">• </w:t>
            </w:r>
            <w:r>
              <w:rPr>
                <w:b w:val="0"/>
                <w:i w:val="0"/>
              </w:rPr>
              <w:t>Quality assurance offices.</w:t>
            </w:r>
          </w:p>
        </w:tc>
      </w:tr>
      <w:tr>
        <w:trPr>
          <w:cantSplit/>
        </w:trPr>
        <w:tc>
          <w:tcPr>
            <w:tcW w:type="dxa" w:w="1984"/>
            <w:vAlign w:val="center"/>
            <w:shd w:fill="FFFFFF"/>
          </w:tcPr>
          <w:p>
            <w:pPr>
              <w:spacing w:after="40" w:line="276" w:lineRule="auto"/>
              <w:jc w:val="left"/>
            </w:pPr>
            <w:r>
              <w:rPr>
                <w:b w:val="0"/>
                <w:i w:val="0"/>
              </w:rPr>
              <w:t>Community Engagement &amp; ISR</w:t>
            </w:r>
          </w:p>
        </w:tc>
        <w:tc>
          <w:tcPr>
            <w:tcW w:type="dxa" w:w="3061"/>
            <w:vAlign w:val="center"/>
            <w:shd w:fill="FFFFFF"/>
          </w:tcPr>
          <w:p>
            <w:pPr>
              <w:spacing w:after="40" w:line="276" w:lineRule="auto"/>
              <w:jc w:val="left"/>
            </w:pPr>
            <w:r>
              <w:rPr>
                <w:b w:val="0"/>
                <w:i w:val="0"/>
              </w:rPr>
              <w:t>3-5%</w:t>
            </w:r>
          </w:p>
        </w:tc>
        <w:tc>
          <w:tcPr>
            <w:tcW w:type="dxa" w:w="2211"/>
            <w:vAlign w:val="center"/>
            <w:shd w:fill="FFFFFF"/>
          </w:tcPr>
          <w:p>
            <w:pPr>
              <w:spacing w:after="40" w:line="276" w:lineRule="auto"/>
              <w:ind w:left="125" w:hanging="125"/>
              <w:jc w:val="left"/>
            </w:pPr>
            <w:r>
              <w:t xml:space="preserve">• </w:t>
            </w:r>
            <w:r>
              <w:rPr>
                <w:b w:val="0"/>
                <w:i w:val="0"/>
              </w:rPr>
              <w:t>Outreach coordinators.</w:t>
            </w:r>
          </w:p>
          <w:p>
            <w:pPr>
              <w:spacing w:after="40" w:line="276" w:lineRule="auto"/>
              <w:ind w:left="125" w:hanging="125"/>
              <w:jc w:val="left"/>
            </w:pPr>
            <w:r>
              <w:t xml:space="preserve">• </w:t>
            </w:r>
            <w:r>
              <w:rPr>
                <w:b w:val="0"/>
                <w:i w:val="0"/>
              </w:rPr>
              <w:t>Extension service staff.</w:t>
            </w:r>
          </w:p>
          <w:p>
            <w:pPr>
              <w:spacing w:after="40" w:line="276" w:lineRule="auto"/>
              <w:ind w:left="125" w:hanging="125"/>
              <w:jc w:val="left"/>
            </w:pPr>
            <w:r>
              <w:t xml:space="preserve">• </w:t>
            </w:r>
            <w:r>
              <w:rPr>
                <w:b w:val="0"/>
                <w:i w:val="0"/>
              </w:rPr>
              <w:t>Social project managers.</w:t>
            </w:r>
          </w:p>
        </w:tc>
        <w:tc>
          <w:tcPr>
            <w:tcW w:type="dxa" w:w="2154"/>
            <w:vAlign w:val="center"/>
            <w:shd w:fill="FFFFFF"/>
          </w:tcPr>
          <w:p>
            <w:pPr>
              <w:spacing w:after="40" w:line="276" w:lineRule="auto"/>
              <w:ind w:left="125" w:hanging="125"/>
              <w:jc w:val="left"/>
            </w:pPr>
            <w:r>
              <w:t xml:space="preserve">• </w:t>
            </w:r>
            <w:r>
              <w:rPr>
                <w:b w:val="0"/>
                <w:i w:val="0"/>
              </w:rPr>
              <w:t>ISR office.</w:t>
            </w:r>
          </w:p>
          <w:p>
            <w:pPr>
              <w:spacing w:after="40" w:line="276" w:lineRule="auto"/>
              <w:ind w:left="125" w:hanging="125"/>
              <w:jc w:val="left"/>
            </w:pPr>
            <w:r>
              <w:t xml:space="preserve">• </w:t>
            </w:r>
            <w:r>
              <w:rPr>
                <w:b w:val="0"/>
                <w:i w:val="0"/>
              </w:rPr>
              <w:t>Community training halls.</w:t>
            </w:r>
          </w:p>
          <w:p>
            <w:pPr>
              <w:spacing w:after="40" w:line="276" w:lineRule="auto"/>
              <w:ind w:left="125" w:hanging="125"/>
              <w:jc w:val="left"/>
            </w:pPr>
            <w:r>
              <w:t xml:space="preserve">• </w:t>
            </w:r>
            <w:r>
              <w:rPr>
                <w:b w:val="0"/>
                <w:i w:val="0"/>
              </w:rPr>
              <w:t>Extension activity spaces.</w:t>
            </w:r>
          </w:p>
        </w:tc>
      </w:tr>
      <w:tr>
        <w:trPr>
          <w:cantSplit/>
        </w:trPr>
        <w:tc>
          <w:tcPr>
            <w:tcW w:type="dxa" w:w="1984"/>
            <w:vAlign w:val="center"/>
            <w:shd w:fill="EDF2F7"/>
          </w:tcPr>
          <w:p>
            <w:pPr>
              <w:spacing w:after="40" w:line="276" w:lineRule="auto"/>
              <w:jc w:val="left"/>
            </w:pPr>
            <w:r>
              <w:rPr>
                <w:b w:val="0"/>
                <w:i w:val="0"/>
              </w:rPr>
              <w:t>Globalization &amp; Internationalization</w:t>
            </w:r>
          </w:p>
        </w:tc>
        <w:tc>
          <w:tcPr>
            <w:tcW w:type="dxa" w:w="3061"/>
            <w:vAlign w:val="center"/>
            <w:shd w:fill="EDF2F7"/>
          </w:tcPr>
          <w:p>
            <w:pPr>
              <w:spacing w:after="40" w:line="276" w:lineRule="auto"/>
              <w:jc w:val="left"/>
            </w:pPr>
            <w:r>
              <w:rPr>
                <w:b w:val="0"/>
                <w:i w:val="0"/>
              </w:rPr>
              <w:t>5–7%</w:t>
            </w:r>
          </w:p>
        </w:tc>
        <w:tc>
          <w:tcPr>
            <w:tcW w:type="dxa" w:w="2211"/>
            <w:vAlign w:val="center"/>
            <w:shd w:fill="EDF2F7"/>
          </w:tcPr>
          <w:p>
            <w:pPr>
              <w:spacing w:after="40" w:line="276" w:lineRule="auto"/>
              <w:ind w:left="125" w:hanging="125"/>
              <w:jc w:val="left"/>
            </w:pPr>
            <w:r>
              <w:t xml:space="preserve">• </w:t>
            </w:r>
            <w:r>
              <w:rPr>
                <w:b w:val="0"/>
                <w:i w:val="0"/>
              </w:rPr>
              <w:t>International relations office staff.</w:t>
            </w:r>
          </w:p>
          <w:p>
            <w:pPr>
              <w:spacing w:after="40" w:line="276" w:lineRule="auto"/>
              <w:ind w:left="125" w:hanging="125"/>
              <w:jc w:val="left"/>
            </w:pPr>
            <w:r>
              <w:t xml:space="preserve">• </w:t>
            </w:r>
            <w:r>
              <w:rPr>
                <w:b w:val="0"/>
                <w:i w:val="0"/>
              </w:rPr>
              <w:t>Language instructors.</w:t>
            </w:r>
          </w:p>
          <w:p>
            <w:pPr>
              <w:spacing w:after="40" w:line="276" w:lineRule="auto"/>
              <w:ind w:left="125" w:hanging="125"/>
              <w:jc w:val="left"/>
            </w:pPr>
            <w:r>
              <w:t xml:space="preserve">• </w:t>
            </w:r>
            <w:r>
              <w:rPr>
                <w:b w:val="0"/>
                <w:i w:val="0"/>
              </w:rPr>
              <w:t>Exchange program coordinators.</w:t>
            </w:r>
          </w:p>
        </w:tc>
        <w:tc>
          <w:tcPr>
            <w:tcW w:type="dxa" w:w="2154"/>
            <w:vAlign w:val="center"/>
            <w:shd w:fill="EDF2F7"/>
          </w:tcPr>
          <w:p>
            <w:pPr>
              <w:spacing w:after="40" w:line="276" w:lineRule="auto"/>
              <w:ind w:left="125" w:hanging="125"/>
              <w:jc w:val="left"/>
            </w:pPr>
            <w:r>
              <w:t xml:space="preserve">• </w:t>
            </w:r>
            <w:r>
              <w:rPr>
                <w:b w:val="0"/>
                <w:i w:val="0"/>
              </w:rPr>
              <w:t>International student hostels.</w:t>
            </w:r>
          </w:p>
          <w:p>
            <w:pPr>
              <w:spacing w:after="40" w:line="276" w:lineRule="auto"/>
              <w:ind w:left="125" w:hanging="125"/>
              <w:jc w:val="left"/>
            </w:pPr>
            <w:r>
              <w:t xml:space="preserve">• </w:t>
            </w:r>
            <w:r>
              <w:rPr>
                <w:b w:val="0"/>
                <w:i w:val="0"/>
              </w:rPr>
              <w:t>Language labs.</w:t>
            </w:r>
          </w:p>
          <w:p>
            <w:pPr>
              <w:spacing w:after="40" w:line="276" w:lineRule="auto"/>
              <w:ind w:left="125" w:hanging="125"/>
              <w:jc w:val="left"/>
            </w:pPr>
            <w:r>
              <w:t xml:space="preserve">• </w:t>
            </w:r>
            <w:r>
              <w:rPr>
                <w:b w:val="0"/>
                <w:i w:val="0"/>
              </w:rPr>
              <w:t>Global collaboration office.</w:t>
            </w:r>
          </w:p>
        </w:tc>
      </w:tr>
      <w:tr>
        <w:trPr>
          <w:cantSplit/>
        </w:trPr>
        <w:tc>
          <w:tcPr>
            <w:tcW w:type="dxa" w:w="1984"/>
            <w:vAlign w:val="center"/>
            <w:shd w:fill="FFFFFF"/>
          </w:tcPr>
          <w:p>
            <w:pPr>
              <w:spacing w:after="40" w:line="276" w:lineRule="auto"/>
              <w:jc w:val="left"/>
            </w:pPr>
            <w:r>
              <w:rPr>
                <w:b w:val="0"/>
                <w:i w:val="0"/>
              </w:rPr>
              <w:t>Financial Sustainability &amp; Resilience</w:t>
            </w:r>
          </w:p>
        </w:tc>
        <w:tc>
          <w:tcPr>
            <w:tcW w:type="dxa" w:w="3061"/>
            <w:vAlign w:val="center"/>
            <w:shd w:fill="FFFFFF"/>
          </w:tcPr>
          <w:p>
            <w:pPr>
              <w:spacing w:after="40" w:line="276" w:lineRule="auto"/>
              <w:jc w:val="left"/>
            </w:pPr>
            <w:r>
              <w:rPr>
                <w:b w:val="0"/>
                <w:i w:val="0"/>
              </w:rPr>
              <w:t>5%</w:t>
            </w:r>
          </w:p>
        </w:tc>
        <w:tc>
          <w:tcPr>
            <w:tcW w:type="dxa" w:w="2211"/>
            <w:vAlign w:val="center"/>
            <w:shd w:fill="FFFFFF"/>
          </w:tcPr>
          <w:p>
            <w:pPr>
              <w:spacing w:after="40" w:line="276" w:lineRule="auto"/>
              <w:ind w:left="125" w:hanging="125"/>
              <w:jc w:val="left"/>
            </w:pPr>
            <w:r>
              <w:t xml:space="preserve">• </w:t>
            </w:r>
            <w:r>
              <w:rPr>
                <w:b w:val="0"/>
                <w:i w:val="0"/>
              </w:rPr>
              <w:t>Finance managers.</w:t>
            </w:r>
          </w:p>
          <w:p>
            <w:pPr>
              <w:spacing w:after="40" w:line="276" w:lineRule="auto"/>
              <w:ind w:left="125" w:hanging="125"/>
              <w:jc w:val="left"/>
            </w:pPr>
            <w:r>
              <w:t xml:space="preserve">• </w:t>
            </w:r>
            <w:r>
              <w:rPr>
                <w:b w:val="0"/>
                <w:i w:val="0"/>
              </w:rPr>
              <w:t>Fundraising officers.</w:t>
            </w:r>
          </w:p>
          <w:p>
            <w:pPr>
              <w:spacing w:after="40" w:line="276" w:lineRule="auto"/>
              <w:ind w:left="125" w:hanging="125"/>
              <w:jc w:val="left"/>
            </w:pPr>
            <w:r>
              <w:t xml:space="preserve">• </w:t>
            </w:r>
            <w:r>
              <w:rPr>
                <w:b w:val="0"/>
                <w:i w:val="0"/>
              </w:rPr>
              <w:t>Alumni &amp; CSR coordinators.</w:t>
            </w:r>
          </w:p>
        </w:tc>
        <w:tc>
          <w:tcPr>
            <w:tcW w:type="dxa" w:w="2154"/>
            <w:vAlign w:val="center"/>
            <w:shd w:fill="FFFFFF"/>
          </w:tcPr>
          <w:p>
            <w:pPr>
              <w:spacing w:after="40" w:line="276" w:lineRule="auto"/>
              <w:ind w:left="125" w:hanging="125"/>
              <w:jc w:val="left"/>
            </w:pPr>
            <w:r>
              <w:t xml:space="preserve">• </w:t>
            </w:r>
            <w:r>
              <w:rPr>
                <w:b w:val="0"/>
                <w:i w:val="0"/>
              </w:rPr>
              <w:t>Endowment fund office.</w:t>
            </w:r>
          </w:p>
          <w:p>
            <w:pPr>
              <w:spacing w:after="40" w:line="276" w:lineRule="auto"/>
              <w:ind w:left="125" w:hanging="125"/>
              <w:jc w:val="left"/>
            </w:pPr>
            <w:r>
              <w:t xml:space="preserve">• </w:t>
            </w:r>
            <w:r>
              <w:rPr>
                <w:b w:val="0"/>
                <w:i w:val="0"/>
              </w:rPr>
              <w:t>Consultancy service hubs.</w:t>
            </w:r>
          </w:p>
          <w:p>
            <w:pPr>
              <w:spacing w:after="40" w:line="276" w:lineRule="auto"/>
              <w:ind w:left="125" w:hanging="125"/>
              <w:jc w:val="left"/>
            </w:pPr>
            <w:r>
              <w:t xml:space="preserve">• </w:t>
            </w:r>
            <w:r>
              <w:rPr>
                <w:b w:val="0"/>
                <w:i w:val="0"/>
              </w:rPr>
              <w:t>Risk management systems.</w:t>
            </w:r>
          </w:p>
        </w:tc>
      </w:tr>
    </w:tbl>
    <w:p>
      <w:pPr>
        <w:spacing w:after="40"/>
      </w:pPr>
    </w:p>
    <w:p>
      <w:pPr>
        <w:pStyle w:val="Heading1"/>
      </w:pPr>
      <w:r>
        <w:t>14. Monitoring &amp; Evaluation Framework</w:t>
      </w:r>
    </w:p>
    <w:p>
      <w:pPr>
        <w:pStyle w:val="Heading2"/>
      </w:pPr>
      <w:r>
        <w:rPr>
          <w:i/>
        </w:rPr>
        <w:t>1. Key Components</w:t>
      </w:r>
    </w:p>
    <w:p>
      <w:pPr>
        <w:pStyle w:val="ListBullet"/>
        <w:numPr>
          <w:ilvl w:val="0"/>
          <w:numId w:val="90"/>
        </w:numPr>
        <w:ind w:left="340" w:hanging="142"/>
      </w:pPr>
      <w:r>
        <w:rPr>
          <w:b/>
          <w:i w:val="0"/>
        </w:rPr>
        <w:t>KPIs (Key Performance Indicators):</w:t>
      </w:r>
      <w:r>
        <w:rPr>
          <w:b w:val="0"/>
          <w:i w:val="0"/>
        </w:rPr>
        <w:t xml:space="preserve"> Specific, quantifiable measures to track progress.</w:t>
      </w:r>
    </w:p>
    <w:p>
      <w:pPr>
        <w:pStyle w:val="ListBullet"/>
        <w:numPr>
          <w:ilvl w:val="0"/>
          <w:numId w:val="90"/>
        </w:numPr>
        <w:ind w:left="340" w:hanging="142"/>
      </w:pPr>
      <w:r>
        <w:rPr>
          <w:b/>
          <w:i w:val="0"/>
        </w:rPr>
        <w:t>Performance Indicators:</w:t>
      </w:r>
      <w:r>
        <w:rPr>
          <w:b w:val="0"/>
          <w:i w:val="0"/>
        </w:rPr>
        <w:t xml:space="preserve"> Broader outcome-based metrics linked to strategic and operational goals.</w:t>
      </w:r>
    </w:p>
    <w:p>
      <w:pPr>
        <w:pStyle w:val="ListBullet"/>
        <w:numPr>
          <w:ilvl w:val="0"/>
          <w:numId w:val="90"/>
        </w:numPr>
        <w:ind w:left="340" w:hanging="142"/>
      </w:pPr>
      <w:r>
        <w:rPr>
          <w:b/>
          <w:i w:val="0"/>
        </w:rPr>
        <w:t>Feedback Loops:</w:t>
      </w:r>
      <w:r>
        <w:rPr>
          <w:b w:val="0"/>
          <w:i w:val="0"/>
        </w:rPr>
        <w:t xml:space="preserve"> Mechanisms for continuous review, corrective action, and stakeholder input.</w:t>
      </w:r>
    </w:p>
    <w:p>
      <w:pPr>
        <w:pStyle w:val="Heading2"/>
      </w:pPr>
      <w:r>
        <w:rPr>
          <w:i/>
        </w:rPr>
        <w:t>2. Monitoring Mechanisms</w:t>
      </w:r>
    </w:p>
    <w:p>
      <w:pPr>
        <w:pStyle w:val="ListBullet"/>
        <w:numPr>
          <w:ilvl w:val="0"/>
          <w:numId w:val="90"/>
        </w:numPr>
        <w:ind w:left="340" w:hanging="142"/>
      </w:pPr>
      <w:r>
        <w:rPr>
          <w:b/>
          <w:i w:val="0"/>
        </w:rPr>
        <w:t>Quarterly Progress Reviews:</w:t>
      </w:r>
      <w:r>
        <w:rPr>
          <w:b w:val="0"/>
          <w:i w:val="0"/>
        </w:rPr>
        <w:t xml:space="preserve"> Departmental performance reports aligned with KPIs.</w:t>
      </w:r>
    </w:p>
    <w:p>
      <w:pPr>
        <w:pStyle w:val="ListBullet"/>
        <w:numPr>
          <w:ilvl w:val="0"/>
          <w:numId w:val="90"/>
        </w:numPr>
        <w:ind w:left="340" w:hanging="142"/>
      </w:pPr>
      <w:r>
        <w:rPr>
          <w:b/>
          <w:i w:val="0"/>
        </w:rPr>
        <w:t>Annual Institutional Audit:</w:t>
      </w:r>
      <w:r>
        <w:rPr>
          <w:b w:val="0"/>
          <w:i w:val="0"/>
        </w:rPr>
        <w:t xml:space="preserve"> Academic, financial, and administrative review.</w:t>
      </w:r>
    </w:p>
    <w:p>
      <w:pPr>
        <w:pStyle w:val="ListBullet"/>
        <w:numPr>
          <w:ilvl w:val="0"/>
          <w:numId w:val="90"/>
        </w:numPr>
        <w:ind w:left="340" w:hanging="142"/>
      </w:pPr>
      <w:r>
        <w:rPr>
          <w:b/>
          <w:i w:val="0"/>
        </w:rPr>
        <w:t>Digital Dashboards:</w:t>
      </w:r>
      <w:r>
        <w:rPr>
          <w:b w:val="0"/>
          <w:i w:val="0"/>
        </w:rPr>
        <w:t xml:space="preserve"> Real-time data tracking (student enrollment, research output, finances).</w:t>
      </w:r>
    </w:p>
    <w:p>
      <w:pPr>
        <w:pStyle w:val="ListBullet"/>
        <w:numPr>
          <w:ilvl w:val="0"/>
          <w:numId w:val="90"/>
        </w:numPr>
        <w:ind w:left="340" w:hanging="142"/>
      </w:pPr>
      <w:r>
        <w:rPr>
          <w:b/>
          <w:i w:val="0"/>
        </w:rPr>
        <w:t>Benchmarking:</w:t>
      </w:r>
      <w:r>
        <w:rPr>
          <w:b w:val="0"/>
          <w:i w:val="0"/>
        </w:rPr>
        <w:t xml:space="preserve"> Comparing institutional performance with peer universities (national/global).</w:t>
      </w:r>
    </w:p>
    <w:p>
      <w:pPr>
        <w:pStyle w:val="Heading2"/>
      </w:pPr>
      <w:r>
        <w:rPr>
          <w:i/>
        </w:rPr>
        <w:t>3. Evaluation Process</w:t>
      </w:r>
    </w:p>
    <w:p>
      <w:pPr>
        <w:pStyle w:val="ListBullet"/>
        <w:numPr>
          <w:ilvl w:val="0"/>
          <w:numId w:val="90"/>
        </w:numPr>
        <w:ind w:left="340" w:hanging="142"/>
      </w:pPr>
      <w:r>
        <w:rPr>
          <w:b w:val="0"/>
          <w:i w:val="0"/>
        </w:rPr>
        <w:t>Formative Evaluation (Ongoing)</w:t>
      </w:r>
    </w:p>
    <w:p>
      <w:pPr>
        <w:pStyle w:val="ListBullet2"/>
        <w:numPr>
          <w:ilvl w:val="1"/>
          <w:numId w:val="90"/>
        </w:numPr>
        <w:ind w:left="652" w:hanging="142"/>
      </w:pPr>
      <w:r>
        <w:rPr>
          <w:b w:val="0"/>
          <w:i w:val="0"/>
        </w:rPr>
        <w:t>Mid-year reviews for each department.</w:t>
      </w:r>
    </w:p>
    <w:p>
      <w:pPr>
        <w:pStyle w:val="ListBullet2"/>
        <w:numPr>
          <w:ilvl w:val="1"/>
          <w:numId w:val="90"/>
        </w:numPr>
        <w:ind w:left="652" w:hanging="142"/>
      </w:pPr>
      <w:r>
        <w:rPr>
          <w:b w:val="0"/>
          <w:i w:val="0"/>
        </w:rPr>
        <w:t>Tracking short-term targets (curriculum revisions, MoUs, outreach activities).</w:t>
      </w:r>
    </w:p>
    <w:p>
      <w:pPr>
        <w:pStyle w:val="ListBullet"/>
        <w:numPr>
          <w:ilvl w:val="0"/>
          <w:numId w:val="90"/>
        </w:numPr>
        <w:ind w:left="340" w:hanging="142"/>
      </w:pPr>
      <w:r>
        <w:rPr>
          <w:b w:val="0"/>
          <w:i w:val="0"/>
        </w:rPr>
        <w:t>Summative Evaluation (Year-End)</w:t>
      </w:r>
    </w:p>
    <w:p>
      <w:pPr>
        <w:pStyle w:val="ListBullet2"/>
        <w:numPr>
          <w:ilvl w:val="1"/>
          <w:numId w:val="90"/>
        </w:numPr>
        <w:ind w:left="652" w:hanging="142"/>
      </w:pPr>
      <w:r>
        <w:rPr>
          <w:b w:val="0"/>
          <w:i w:val="0"/>
        </w:rPr>
        <w:t>Annual KPI achievement analysis.</w:t>
      </w:r>
    </w:p>
    <w:p>
      <w:pPr>
        <w:pStyle w:val="ListBullet2"/>
        <w:numPr>
          <w:ilvl w:val="1"/>
          <w:numId w:val="90"/>
        </w:numPr>
        <w:ind w:left="652" w:hanging="142"/>
      </w:pPr>
      <w:r>
        <w:rPr>
          <w:b w:val="0"/>
          <w:i w:val="0"/>
        </w:rPr>
        <w:t>Assessment of long-term outcomes (research funding, accreditation, rankings).</w:t>
      </w:r>
    </w:p>
    <w:p>
      <w:pPr>
        <w:pStyle w:val="ListBullet"/>
        <w:numPr>
          <w:ilvl w:val="0"/>
          <w:numId w:val="90"/>
        </w:numPr>
        <w:ind w:left="340" w:hanging="142"/>
      </w:pPr>
      <w:r>
        <w:rPr>
          <w:b w:val="0"/>
          <w:i w:val="0"/>
        </w:rPr>
        <w:t>External Evaluation</w:t>
      </w:r>
    </w:p>
    <w:p>
      <w:pPr>
        <w:pStyle w:val="ListBullet2"/>
        <w:numPr>
          <w:ilvl w:val="1"/>
          <w:numId w:val="90"/>
        </w:numPr>
        <w:ind w:left="652" w:hanging="142"/>
      </w:pPr>
      <w:r>
        <w:rPr>
          <w:b w:val="0"/>
          <w:i w:val="0"/>
        </w:rPr>
        <w:t>Third-party audits (NAAC/NBA/NIRF).</w:t>
      </w:r>
    </w:p>
    <w:p>
      <w:pPr>
        <w:pStyle w:val="ListBullet2"/>
        <w:numPr>
          <w:ilvl w:val="1"/>
          <w:numId w:val="90"/>
        </w:numPr>
        <w:ind w:left="652" w:hanging="142"/>
      </w:pPr>
      <w:r>
        <w:rPr>
          <w:b w:val="0"/>
          <w:i w:val="0"/>
        </w:rPr>
        <w:t>Independent stakeholder surveys (students, faculty, alumni, employers).</w:t>
      </w:r>
    </w:p>
    <w:p>
      <w:pPr>
        <w:pStyle w:val="Heading2"/>
      </w:pPr>
      <w:r>
        <w:rPr>
          <w:i/>
        </w:rPr>
        <w:t>4. KPIs &amp; Performance Indicators (Examples)</w:t>
      </w:r>
    </w:p>
    <w:p>
      <w:pPr>
        <w:pStyle w:val="ListBullet"/>
        <w:numPr>
          <w:ilvl w:val="0"/>
          <w:numId w:val="90"/>
        </w:numPr>
        <w:ind w:left="340" w:hanging="142"/>
      </w:pPr>
      <w:r>
        <w:rPr>
          <w:b/>
          <w:i w:val="0"/>
        </w:rPr>
        <w:t>Academic Excellence:</w:t>
      </w:r>
      <w:r>
        <w:rPr>
          <w:b w:val="0"/>
          <w:i w:val="0"/>
        </w:rPr>
        <w:t xml:space="preserve"> % of curricula revised, student satisfaction index, employability rate.</w:t>
      </w:r>
    </w:p>
    <w:p>
      <w:pPr>
        <w:pStyle w:val="ListBullet"/>
        <w:numPr>
          <w:ilvl w:val="0"/>
          <w:numId w:val="90"/>
        </w:numPr>
        <w:ind w:left="340" w:hanging="142"/>
      </w:pPr>
      <w:r>
        <w:rPr>
          <w:b/>
          <w:i w:val="0"/>
        </w:rPr>
        <w:t>Research &amp; Innovation:</w:t>
      </w:r>
      <w:r>
        <w:rPr>
          <w:b w:val="0"/>
          <w:i w:val="0"/>
        </w:rPr>
        <w:t xml:space="preserve"> No. of patents filed, research grants secured, publications per faculty.</w:t>
      </w:r>
    </w:p>
    <w:p>
      <w:pPr>
        <w:pStyle w:val="ListBullet"/>
        <w:numPr>
          <w:ilvl w:val="0"/>
          <w:numId w:val="90"/>
        </w:numPr>
        <w:ind w:left="340" w:hanging="142"/>
      </w:pPr>
      <w:r>
        <w:rPr>
          <w:b/>
          <w:i w:val="0"/>
        </w:rPr>
        <w:t>Infrastructure:</w:t>
      </w:r>
      <w:r>
        <w:rPr>
          <w:b w:val="0"/>
          <w:i w:val="0"/>
        </w:rPr>
        <w:t xml:space="preserve"> % of smart classrooms, % renewable energy use, number of green-certified buildings.</w:t>
      </w:r>
    </w:p>
    <w:p>
      <w:pPr>
        <w:pStyle w:val="ListBullet"/>
        <w:numPr>
          <w:ilvl w:val="0"/>
          <w:numId w:val="90"/>
        </w:numPr>
        <w:ind w:left="340" w:hanging="142"/>
      </w:pPr>
      <w:r>
        <w:rPr>
          <w:b/>
          <w:i w:val="0"/>
        </w:rPr>
        <w:t>Governance:</w:t>
      </w:r>
      <w:r>
        <w:rPr>
          <w:b w:val="0"/>
          <w:i w:val="0"/>
        </w:rPr>
        <w:t xml:space="preserve"> Decision-making turnaround time, accreditation scores, audit compliance rate.</w:t>
      </w:r>
    </w:p>
    <w:p>
      <w:pPr>
        <w:pStyle w:val="ListBullet"/>
        <w:numPr>
          <w:ilvl w:val="0"/>
          <w:numId w:val="90"/>
        </w:numPr>
        <w:ind w:left="340" w:hanging="142"/>
      </w:pPr>
      <w:r>
        <w:rPr>
          <w:b/>
          <w:i w:val="0"/>
        </w:rPr>
        <w:t>Financial Sustainability:</w:t>
      </w:r>
      <w:r>
        <w:rPr>
          <w:b w:val="0"/>
          <w:i w:val="0"/>
        </w:rPr>
        <w:t xml:space="preserve"> % of non-government income, alumni/CSR contributions, consultancy revenue.</w:t>
      </w:r>
    </w:p>
    <w:p>
      <w:pPr>
        <w:pStyle w:val="ListBullet"/>
        <w:numPr>
          <w:ilvl w:val="0"/>
          <w:numId w:val="90"/>
        </w:numPr>
        <w:ind w:left="340" w:hanging="142"/>
      </w:pPr>
      <w:r>
        <w:rPr>
          <w:b/>
          <w:i w:val="0"/>
        </w:rPr>
        <w:t>Community Engagement:</w:t>
      </w:r>
      <w:r>
        <w:rPr>
          <w:b w:val="0"/>
          <w:i w:val="0"/>
        </w:rPr>
        <w:t xml:space="preserve"> % of students in ISR projects, number of beneficiaries, SDG impact index.</w:t>
      </w:r>
    </w:p>
    <w:p>
      <w:pPr>
        <w:pStyle w:val="ListBullet"/>
        <w:numPr>
          <w:ilvl w:val="0"/>
          <w:numId w:val="90"/>
        </w:numPr>
        <w:ind w:left="340" w:hanging="142"/>
      </w:pPr>
      <w:r>
        <w:rPr>
          <w:b/>
          <w:i w:val="0"/>
        </w:rPr>
        <w:t>Globalization:</w:t>
      </w:r>
      <w:r>
        <w:rPr>
          <w:b w:val="0"/>
          <w:i w:val="0"/>
        </w:rPr>
        <w:t xml:space="preserve"> No. of MoUs signed, international student/faculty ratio, global ranking improvement.</w:t>
      </w:r>
    </w:p>
    <w:p>
      <w:pPr>
        <w:pStyle w:val="ListBullet"/>
        <w:numPr>
          <w:ilvl w:val="0"/>
          <w:numId w:val="90"/>
        </w:numPr>
        <w:ind w:left="340" w:hanging="142"/>
      </w:pPr>
      <w:r>
        <w:rPr>
          <w:b/>
          <w:i w:val="0"/>
        </w:rPr>
        <w:t>Technology Adoption:</w:t>
      </w:r>
      <w:r>
        <w:rPr>
          <w:b w:val="0"/>
          <w:i w:val="0"/>
        </w:rPr>
        <w:t xml:space="preserve"> % ICT-enabled courses, cybersecurity incidents per year, digital literacy index.</w:t>
      </w:r>
    </w:p>
    <w:p>
      <w:pPr>
        <w:pStyle w:val="ListBullet"/>
        <w:numPr>
          <w:ilvl w:val="0"/>
          <w:numId w:val="90"/>
        </w:numPr>
        <w:ind w:left="340" w:hanging="142"/>
      </w:pPr>
      <w:r>
        <w:rPr>
          <w:b/>
          <w:i w:val="0"/>
        </w:rPr>
        <w:t>Equity &amp; Inclusion:</w:t>
      </w:r>
      <w:r>
        <w:rPr>
          <w:b w:val="0"/>
          <w:i w:val="0"/>
        </w:rPr>
        <w:t xml:space="preserve"> Diversity index, scholarship coverage (%), student retention rate.</w:t>
      </w:r>
    </w:p>
    <w:p>
      <w:pPr>
        <w:pStyle w:val="Heading2"/>
      </w:pPr>
      <w:r>
        <w:rPr>
          <w:i/>
        </w:rPr>
        <w:t>5. Feedback Loops</w:t>
      </w:r>
    </w:p>
    <w:p>
      <w:pPr>
        <w:pStyle w:val="ListBullet"/>
        <w:numPr>
          <w:ilvl w:val="0"/>
          <w:numId w:val="90"/>
        </w:numPr>
        <w:ind w:left="340" w:hanging="142"/>
      </w:pPr>
      <w:r>
        <w:rPr>
          <w:b w:val="0"/>
          <w:i w:val="0"/>
        </w:rPr>
        <w:t>Internal Feedback</w:t>
      </w:r>
    </w:p>
    <w:p>
      <w:pPr>
        <w:pStyle w:val="ListBullet2"/>
        <w:numPr>
          <w:ilvl w:val="1"/>
          <w:numId w:val="90"/>
        </w:numPr>
        <w:ind w:left="652" w:hanging="142"/>
      </w:pPr>
      <w:r>
        <w:rPr>
          <w:b w:val="0"/>
          <w:i w:val="0"/>
        </w:rPr>
        <w:t>Student surveys, faculty appraisals, staff feedback forums.</w:t>
      </w:r>
    </w:p>
    <w:p>
      <w:pPr>
        <w:pStyle w:val="ListBullet2"/>
        <w:numPr>
          <w:ilvl w:val="1"/>
          <w:numId w:val="90"/>
        </w:numPr>
        <w:ind w:left="652" w:hanging="142"/>
      </w:pPr>
      <w:r>
        <w:rPr>
          <w:b w:val="0"/>
          <w:i w:val="0"/>
        </w:rPr>
        <w:t>Departmental review meetings feeding into central IQAC.</w:t>
      </w:r>
    </w:p>
    <w:p>
      <w:pPr>
        <w:pStyle w:val="ListBullet"/>
        <w:numPr>
          <w:ilvl w:val="0"/>
          <w:numId w:val="90"/>
        </w:numPr>
        <w:ind w:left="340" w:hanging="142"/>
      </w:pPr>
      <w:r>
        <w:rPr>
          <w:b w:val="0"/>
          <w:i w:val="0"/>
        </w:rPr>
        <w:t>External Feedback</w:t>
      </w:r>
    </w:p>
    <w:p>
      <w:pPr>
        <w:pStyle w:val="ListBullet2"/>
        <w:numPr>
          <w:ilvl w:val="1"/>
          <w:numId w:val="90"/>
        </w:numPr>
        <w:ind w:left="652" w:hanging="142"/>
      </w:pPr>
      <w:r>
        <w:rPr>
          <w:b w:val="0"/>
          <w:i w:val="0"/>
        </w:rPr>
        <w:t>Alumni and employer surveys for graduate performance.</w:t>
      </w:r>
    </w:p>
    <w:p>
      <w:pPr>
        <w:pStyle w:val="ListBullet2"/>
        <w:numPr>
          <w:ilvl w:val="1"/>
          <w:numId w:val="90"/>
        </w:numPr>
        <w:ind w:left="652" w:hanging="142"/>
      </w:pPr>
      <w:r>
        <w:rPr>
          <w:b w:val="0"/>
          <w:i w:val="0"/>
        </w:rPr>
        <w:t>Community feedback on ISR projects.</w:t>
      </w:r>
    </w:p>
    <w:p>
      <w:pPr>
        <w:pStyle w:val="ListBullet"/>
        <w:numPr>
          <w:ilvl w:val="0"/>
          <w:numId w:val="90"/>
        </w:numPr>
        <w:ind w:left="340" w:hanging="142"/>
      </w:pPr>
      <w:r>
        <w:rPr>
          <w:b w:val="0"/>
          <w:i w:val="0"/>
        </w:rPr>
        <w:t>Corrective Action Mechanisms</w:t>
      </w:r>
    </w:p>
    <w:p>
      <w:pPr>
        <w:pStyle w:val="ListBullet2"/>
        <w:numPr>
          <w:ilvl w:val="1"/>
          <w:numId w:val="90"/>
        </w:numPr>
        <w:ind w:left="652" w:hanging="142"/>
      </w:pPr>
      <w:r>
        <w:rPr>
          <w:b w:val="0"/>
          <w:i w:val="0"/>
        </w:rPr>
        <w:t xml:space="preserve">Flagging </w:t>
      </w:r>
      <w:r>
        <w:rPr>
          <w:b w:val="0"/>
          <w:i/>
        </w:rPr>
        <w:t>“underperforming KPIs”</w:t>
      </w:r>
      <w:r>
        <w:rPr>
          <w:b w:val="0"/>
          <w:i w:val="0"/>
        </w:rPr>
        <w:t xml:space="preserve"> in dashboards (Red—yellow—Green system).</w:t>
      </w:r>
    </w:p>
    <w:p>
      <w:pPr>
        <w:pStyle w:val="ListBullet2"/>
        <w:numPr>
          <w:ilvl w:val="1"/>
          <w:numId w:val="90"/>
        </w:numPr>
        <w:ind w:left="652" w:hanging="142"/>
      </w:pPr>
      <w:r>
        <w:rPr>
          <w:b w:val="0"/>
          <w:i w:val="0"/>
        </w:rPr>
        <w:t>Mid-course corrections through revised strategies or resource allocation.</w:t>
      </w:r>
    </w:p>
    <w:p>
      <w:pPr>
        <w:pStyle w:val="ListBullet"/>
        <w:numPr>
          <w:ilvl w:val="0"/>
          <w:numId w:val="90"/>
        </w:numPr>
        <w:ind w:left="340" w:hanging="142"/>
      </w:pPr>
      <w:r>
        <w:rPr>
          <w:b w:val="0"/>
          <w:i w:val="0"/>
        </w:rPr>
        <w:t>Continuous Improvement Cycle (PDCA)</w:t>
      </w:r>
    </w:p>
    <w:p>
      <w:pPr>
        <w:pStyle w:val="ListBullet2"/>
        <w:numPr>
          <w:ilvl w:val="1"/>
          <w:numId w:val="90"/>
        </w:numPr>
        <w:ind w:left="652" w:hanging="142"/>
      </w:pPr>
      <w:r>
        <w:rPr>
          <w:b w:val="0"/>
          <w:i w:val="0"/>
        </w:rPr>
        <w:t>Plan → Do → Check → Act loop integrated across all departments.</w:t>
      </w:r>
    </w:p>
    <w:p>
      <w:pPr>
        <w:pStyle w:val="Heading1"/>
      </w:pPr>
      <w:r>
        <w:t>15. Balanced Scorecard Model for SDP</w:t>
      </w:r>
    </w:p>
    <w:p>
      <w:pPr>
        <w:pStyle w:val="Heading2"/>
      </w:pPr>
      <w:r>
        <w:rPr>
          <w:i/>
        </w:rPr>
        <w:t>1. Academic &amp; Learning (Internal Processes)</w:t>
      </w:r>
    </w:p>
    <w:p>
      <w:pPr>
        <w:pStyle w:val="ListBullet"/>
        <w:numPr>
          <w:ilvl w:val="0"/>
          <w:numId w:val="90"/>
        </w:numPr>
        <w:ind w:left="340" w:hanging="142"/>
      </w:pPr>
      <w:r>
        <w:rPr>
          <w:b/>
          <w:i w:val="0"/>
        </w:rPr>
        <w:t>Policy Focus:</w:t>
      </w:r>
      <w:r>
        <w:rPr>
          <w:b w:val="0"/>
          <w:i w:val="0"/>
        </w:rPr>
        <w:t xml:space="preserve"> Academic excellence, curriculum reforms, student success.</w:t>
      </w:r>
    </w:p>
    <w:p>
      <w:pPr>
        <w:pStyle w:val="ListBullet"/>
        <w:numPr>
          <w:ilvl w:val="0"/>
          <w:numId w:val="90"/>
        </w:numPr>
        <w:ind w:left="340" w:hanging="142"/>
      </w:pPr>
      <w:r>
        <w:rPr>
          <w:b/>
          <w:i w:val="0"/>
        </w:rPr>
        <w:t>Key Performance Indicators (KPIs):</w:t>
      </w:r>
    </w:p>
    <w:p>
      <w:pPr>
        <w:pStyle w:val="ListBullet2"/>
        <w:numPr>
          <w:ilvl w:val="1"/>
          <w:numId w:val="90"/>
        </w:numPr>
        <w:ind w:left="652" w:hanging="142"/>
      </w:pPr>
      <w:r>
        <w:rPr>
          <w:b w:val="0"/>
          <w:i w:val="0"/>
        </w:rPr>
        <w:t>% of curricula revised to OBE/NEP 2020 standards.</w:t>
      </w:r>
    </w:p>
    <w:p>
      <w:pPr>
        <w:pStyle w:val="ListBullet2"/>
        <w:numPr>
          <w:ilvl w:val="1"/>
          <w:numId w:val="90"/>
        </w:numPr>
        <w:ind w:left="652" w:hanging="142"/>
      </w:pPr>
      <w:r>
        <w:rPr>
          <w:b w:val="0"/>
          <w:i w:val="0"/>
        </w:rPr>
        <w:t>Student satisfaction index (%).</w:t>
      </w:r>
    </w:p>
    <w:p>
      <w:pPr>
        <w:pStyle w:val="ListBullet2"/>
        <w:numPr>
          <w:ilvl w:val="1"/>
          <w:numId w:val="90"/>
        </w:numPr>
        <w:ind w:left="652" w:hanging="142"/>
      </w:pPr>
      <w:r>
        <w:rPr>
          <w:b w:val="0"/>
          <w:i w:val="0"/>
        </w:rPr>
        <w:t>Graduate employability rate (%).</w:t>
      </w:r>
    </w:p>
    <w:p>
      <w:pPr>
        <w:pStyle w:val="ListBullet2"/>
        <w:numPr>
          <w:ilvl w:val="1"/>
          <w:numId w:val="90"/>
        </w:numPr>
        <w:ind w:left="652" w:hanging="142"/>
      </w:pPr>
      <w:r>
        <w:rPr>
          <w:b/>
          <w:i w:val="0"/>
        </w:rPr>
        <w:t>Faculty–student ratio (target:</w:t>
      </w:r>
      <w:r>
        <w:rPr>
          <w:b w:val="0"/>
          <w:i w:val="0"/>
        </w:rPr>
        <w:t xml:space="preserve"> 1:15).</w:t>
      </w:r>
    </w:p>
    <w:p>
      <w:pPr>
        <w:pStyle w:val="ListBullet"/>
        <w:numPr>
          <w:ilvl w:val="0"/>
          <w:numId w:val="90"/>
        </w:numPr>
        <w:ind w:left="340" w:hanging="142"/>
      </w:pPr>
      <w:r>
        <w:rPr>
          <w:b/>
          <w:i w:val="0"/>
        </w:rPr>
        <w:t>Feedback Loops:</w:t>
      </w:r>
    </w:p>
    <w:p>
      <w:pPr>
        <w:pStyle w:val="ListBullet2"/>
        <w:numPr>
          <w:ilvl w:val="1"/>
          <w:numId w:val="90"/>
        </w:numPr>
        <w:ind w:left="652" w:hanging="142"/>
      </w:pPr>
      <w:r>
        <w:rPr>
          <w:b w:val="0"/>
          <w:i w:val="0"/>
        </w:rPr>
        <w:t>Annual student feedback surveys.</w:t>
      </w:r>
    </w:p>
    <w:p>
      <w:pPr>
        <w:pStyle w:val="ListBullet2"/>
        <w:numPr>
          <w:ilvl w:val="1"/>
          <w:numId w:val="90"/>
        </w:numPr>
        <w:ind w:left="652" w:hanging="142"/>
      </w:pPr>
      <w:r>
        <w:rPr>
          <w:b w:val="0"/>
          <w:i w:val="0"/>
        </w:rPr>
        <w:t>Faculty appraisal and peer reviews.</w:t>
      </w:r>
    </w:p>
    <w:p>
      <w:pPr>
        <w:pStyle w:val="ListBullet2"/>
        <w:numPr>
          <w:ilvl w:val="1"/>
          <w:numId w:val="90"/>
        </w:numPr>
        <w:ind w:left="652" w:hanging="142"/>
      </w:pPr>
      <w:r>
        <w:rPr>
          <w:b w:val="0"/>
          <w:i w:val="0"/>
        </w:rPr>
        <w:t>Academic audit every semester.</w:t>
      </w:r>
    </w:p>
    <w:p>
      <w:pPr>
        <w:pStyle w:val="Heading2"/>
      </w:pPr>
      <w:r>
        <w:rPr>
          <w:i/>
        </w:rPr>
        <w:t>2. Research, Innovation &amp; Growth (Learning &amp; Development)</w:t>
      </w:r>
    </w:p>
    <w:p>
      <w:pPr>
        <w:pStyle w:val="ListBullet"/>
        <w:numPr>
          <w:ilvl w:val="0"/>
          <w:numId w:val="90"/>
        </w:numPr>
        <w:ind w:left="340" w:hanging="142"/>
      </w:pPr>
      <w:r>
        <w:rPr>
          <w:b/>
          <w:i w:val="0"/>
        </w:rPr>
        <w:t>Policy Focus:</w:t>
      </w:r>
      <w:r>
        <w:rPr>
          <w:b w:val="0"/>
          <w:i w:val="0"/>
        </w:rPr>
        <w:t xml:space="preserve"> Research output, innovation, global collaborations.</w:t>
      </w:r>
    </w:p>
    <w:p>
      <w:pPr>
        <w:pStyle w:val="ListBullet"/>
        <w:numPr>
          <w:ilvl w:val="0"/>
          <w:numId w:val="90"/>
        </w:numPr>
        <w:ind w:left="340" w:hanging="142"/>
      </w:pPr>
      <w:r>
        <w:rPr>
          <w:b/>
          <w:i w:val="0"/>
        </w:rPr>
        <w:t>KPIs:</w:t>
      </w:r>
    </w:p>
    <w:p>
      <w:pPr>
        <w:pStyle w:val="ListBullet2"/>
        <w:numPr>
          <w:ilvl w:val="1"/>
          <w:numId w:val="90"/>
        </w:numPr>
        <w:ind w:left="652" w:hanging="142"/>
      </w:pPr>
      <w:r>
        <w:rPr>
          <w:b w:val="0"/>
          <w:i w:val="0"/>
        </w:rPr>
        <w:t>No. of patents filed per year.</w:t>
      </w:r>
    </w:p>
    <w:p>
      <w:pPr>
        <w:pStyle w:val="ListBullet2"/>
        <w:numPr>
          <w:ilvl w:val="1"/>
          <w:numId w:val="90"/>
        </w:numPr>
        <w:ind w:left="652" w:hanging="142"/>
      </w:pPr>
      <w:r>
        <w:rPr>
          <w:b w:val="0"/>
          <w:i w:val="0"/>
        </w:rPr>
        <w:t>Research publications in indexed journals.</w:t>
      </w:r>
    </w:p>
    <w:p>
      <w:pPr>
        <w:pStyle w:val="ListBullet2"/>
        <w:numPr>
          <w:ilvl w:val="1"/>
          <w:numId w:val="90"/>
        </w:numPr>
        <w:ind w:left="652" w:hanging="142"/>
      </w:pPr>
      <w:r>
        <w:rPr>
          <w:b w:val="0"/>
          <w:i w:val="0"/>
        </w:rPr>
        <w:t>Research funding secured (₹/£).</w:t>
      </w:r>
    </w:p>
    <w:p>
      <w:pPr>
        <w:pStyle w:val="ListBullet2"/>
        <w:numPr>
          <w:ilvl w:val="1"/>
          <w:numId w:val="90"/>
        </w:numPr>
        <w:ind w:left="652" w:hanging="142"/>
      </w:pPr>
      <w:r>
        <w:rPr>
          <w:b w:val="0"/>
          <w:i w:val="0"/>
        </w:rPr>
        <w:t>No. of Centers of Excellence established.</w:t>
      </w:r>
    </w:p>
    <w:p>
      <w:pPr>
        <w:pStyle w:val="ListBullet"/>
        <w:numPr>
          <w:ilvl w:val="0"/>
          <w:numId w:val="90"/>
        </w:numPr>
        <w:ind w:left="340" w:hanging="142"/>
      </w:pPr>
      <w:r>
        <w:rPr>
          <w:b/>
          <w:i w:val="0"/>
        </w:rPr>
        <w:t>Feedback Loops:</w:t>
      </w:r>
    </w:p>
    <w:p>
      <w:pPr>
        <w:pStyle w:val="ListBullet2"/>
        <w:numPr>
          <w:ilvl w:val="1"/>
          <w:numId w:val="90"/>
        </w:numPr>
        <w:ind w:left="652" w:hanging="142"/>
      </w:pPr>
      <w:r>
        <w:rPr>
          <w:b w:val="0"/>
          <w:i w:val="0"/>
        </w:rPr>
        <w:t>R&amp;D progress reviews every 6 months.</w:t>
      </w:r>
    </w:p>
    <w:p>
      <w:pPr>
        <w:pStyle w:val="ListBullet2"/>
        <w:numPr>
          <w:ilvl w:val="1"/>
          <w:numId w:val="90"/>
        </w:numPr>
        <w:ind w:left="652" w:hanging="142"/>
      </w:pPr>
      <w:r>
        <w:rPr>
          <w:b w:val="0"/>
          <w:i w:val="0"/>
        </w:rPr>
        <w:t>Industry–academia advisory board inputs.</w:t>
      </w:r>
    </w:p>
    <w:p>
      <w:pPr>
        <w:pStyle w:val="ListBullet2"/>
        <w:numPr>
          <w:ilvl w:val="1"/>
          <w:numId w:val="90"/>
        </w:numPr>
        <w:ind w:left="652" w:hanging="142"/>
      </w:pPr>
      <w:r>
        <w:rPr>
          <w:b w:val="0"/>
          <w:i w:val="0"/>
        </w:rPr>
        <w:t>Researcher/alumni feedback on innovation hubs.</w:t>
      </w:r>
    </w:p>
    <w:p>
      <w:pPr>
        <w:pStyle w:val="Heading2"/>
      </w:pPr>
      <w:r>
        <w:rPr>
          <w:i/>
        </w:rPr>
        <w:t>3. Finance &amp; Resource Sustainability (Financial Perspective)</w:t>
      </w:r>
    </w:p>
    <w:p>
      <w:pPr>
        <w:pStyle w:val="ListBullet"/>
        <w:numPr>
          <w:ilvl w:val="0"/>
          <w:numId w:val="90"/>
        </w:numPr>
        <w:ind w:left="340" w:hanging="142"/>
      </w:pPr>
      <w:r>
        <w:rPr>
          <w:b/>
          <w:i w:val="0"/>
        </w:rPr>
        <w:t>Policy Focus:</w:t>
      </w:r>
      <w:r>
        <w:rPr>
          <w:b w:val="0"/>
          <w:i w:val="0"/>
        </w:rPr>
        <w:t xml:space="preserve"> Diversified revenue, financial resilience, efficient resource use.</w:t>
      </w:r>
    </w:p>
    <w:p>
      <w:pPr>
        <w:pStyle w:val="ListBullet"/>
        <w:numPr>
          <w:ilvl w:val="0"/>
          <w:numId w:val="90"/>
        </w:numPr>
        <w:ind w:left="340" w:hanging="142"/>
      </w:pPr>
      <w:r>
        <w:rPr>
          <w:b/>
          <w:i w:val="0"/>
        </w:rPr>
        <w:t>KPIs:</w:t>
      </w:r>
    </w:p>
    <w:p>
      <w:pPr>
        <w:pStyle w:val="ListBullet2"/>
        <w:numPr>
          <w:ilvl w:val="1"/>
          <w:numId w:val="90"/>
        </w:numPr>
        <w:ind w:left="652" w:hanging="142"/>
      </w:pPr>
      <w:r>
        <w:rPr>
          <w:b w:val="0"/>
          <w:i w:val="0"/>
        </w:rPr>
        <w:t>% of revenue from non-government sources.</w:t>
      </w:r>
    </w:p>
    <w:p>
      <w:pPr>
        <w:pStyle w:val="ListBullet2"/>
        <w:numPr>
          <w:ilvl w:val="1"/>
          <w:numId w:val="90"/>
        </w:numPr>
        <w:ind w:left="652" w:hanging="142"/>
      </w:pPr>
      <w:r>
        <w:rPr>
          <w:b w:val="0"/>
          <w:i w:val="0"/>
        </w:rPr>
        <w:t>Alumni/CSR contribution per year.</w:t>
      </w:r>
    </w:p>
    <w:p>
      <w:pPr>
        <w:pStyle w:val="ListBullet2"/>
        <w:numPr>
          <w:ilvl w:val="1"/>
          <w:numId w:val="90"/>
        </w:numPr>
        <w:ind w:left="652" w:hanging="142"/>
      </w:pPr>
      <w:r>
        <w:rPr>
          <w:b w:val="0"/>
          <w:i w:val="0"/>
        </w:rPr>
        <w:t>Endowment fund growth.</w:t>
      </w:r>
    </w:p>
    <w:p>
      <w:pPr>
        <w:pStyle w:val="ListBullet2"/>
        <w:numPr>
          <w:ilvl w:val="1"/>
          <w:numId w:val="90"/>
        </w:numPr>
        <w:ind w:left="652" w:hanging="142"/>
      </w:pPr>
      <w:r>
        <w:rPr>
          <w:b w:val="0"/>
          <w:i w:val="0"/>
        </w:rPr>
        <w:t>Consultancy income generated.</w:t>
      </w:r>
    </w:p>
    <w:p>
      <w:pPr>
        <w:pStyle w:val="ListBullet"/>
        <w:numPr>
          <w:ilvl w:val="0"/>
          <w:numId w:val="90"/>
        </w:numPr>
        <w:ind w:left="340" w:hanging="142"/>
      </w:pPr>
      <w:r>
        <w:rPr>
          <w:b/>
          <w:i w:val="0"/>
        </w:rPr>
        <w:t>Feedback Loops:</w:t>
      </w:r>
    </w:p>
    <w:p>
      <w:pPr>
        <w:pStyle w:val="ListBullet2"/>
        <w:numPr>
          <w:ilvl w:val="1"/>
          <w:numId w:val="90"/>
        </w:numPr>
        <w:ind w:left="652" w:hanging="142"/>
      </w:pPr>
      <w:r>
        <w:rPr>
          <w:b w:val="0"/>
          <w:i w:val="0"/>
        </w:rPr>
        <w:t>Quarterly financial audits.</w:t>
      </w:r>
    </w:p>
    <w:p>
      <w:pPr>
        <w:pStyle w:val="ListBullet2"/>
        <w:numPr>
          <w:ilvl w:val="1"/>
          <w:numId w:val="90"/>
        </w:numPr>
        <w:ind w:left="652" w:hanging="142"/>
      </w:pPr>
      <w:r>
        <w:rPr>
          <w:b w:val="0"/>
          <w:i w:val="0"/>
        </w:rPr>
        <w:t>Alumni &amp; donor feedback.</w:t>
      </w:r>
    </w:p>
    <w:p>
      <w:pPr>
        <w:pStyle w:val="ListBullet2"/>
        <w:numPr>
          <w:ilvl w:val="1"/>
          <w:numId w:val="90"/>
        </w:numPr>
        <w:ind w:left="652" w:hanging="142"/>
      </w:pPr>
      <w:r>
        <w:rPr>
          <w:b w:val="0"/>
          <w:i w:val="0"/>
        </w:rPr>
        <w:t>Benchmarking financial sustainability against peer institutions.</w:t>
      </w:r>
    </w:p>
    <w:p>
      <w:pPr>
        <w:pStyle w:val="Heading2"/>
      </w:pPr>
      <w:r>
        <w:rPr>
          <w:i/>
        </w:rPr>
        <w:t>4. Community, Globalization &amp; Sustainability (Stakeholder Perspective)</w:t>
      </w:r>
    </w:p>
    <w:p>
      <w:pPr>
        <w:pStyle w:val="ListBullet"/>
        <w:numPr>
          <w:ilvl w:val="0"/>
          <w:numId w:val="90"/>
        </w:numPr>
        <w:ind w:left="340" w:hanging="142"/>
      </w:pPr>
      <w:r>
        <w:rPr>
          <w:b/>
          <w:i w:val="0"/>
        </w:rPr>
        <w:t>Policy Focus:</w:t>
      </w:r>
      <w:r>
        <w:rPr>
          <w:b w:val="0"/>
          <w:i w:val="0"/>
        </w:rPr>
        <w:t xml:space="preserve"> Social responsibility, internationalization, environmental sustainability.</w:t>
      </w:r>
    </w:p>
    <w:p>
      <w:pPr>
        <w:pStyle w:val="ListBullet"/>
        <w:numPr>
          <w:ilvl w:val="0"/>
          <w:numId w:val="90"/>
        </w:numPr>
        <w:ind w:left="340" w:hanging="142"/>
      </w:pPr>
      <w:r>
        <w:rPr>
          <w:b/>
          <w:i w:val="0"/>
        </w:rPr>
        <w:t>KPIs:</w:t>
      </w:r>
    </w:p>
    <w:p>
      <w:pPr>
        <w:pStyle w:val="ListBullet2"/>
        <w:numPr>
          <w:ilvl w:val="1"/>
          <w:numId w:val="90"/>
        </w:numPr>
        <w:ind w:left="652" w:hanging="142"/>
      </w:pPr>
      <w:r>
        <w:rPr>
          <w:b w:val="0"/>
          <w:i w:val="0"/>
        </w:rPr>
        <w:t>% of students engaged in community service.</w:t>
      </w:r>
    </w:p>
    <w:p>
      <w:pPr>
        <w:pStyle w:val="ListBullet2"/>
        <w:numPr>
          <w:ilvl w:val="1"/>
          <w:numId w:val="90"/>
        </w:numPr>
        <w:ind w:left="652" w:hanging="142"/>
      </w:pPr>
      <w:r>
        <w:rPr>
          <w:b w:val="0"/>
          <w:i w:val="0"/>
        </w:rPr>
        <w:t>No. of MoUs signed with international universities.</w:t>
      </w:r>
    </w:p>
    <w:p>
      <w:pPr>
        <w:pStyle w:val="ListBullet2"/>
        <w:numPr>
          <w:ilvl w:val="1"/>
          <w:numId w:val="90"/>
        </w:numPr>
        <w:ind w:left="652" w:hanging="142"/>
      </w:pPr>
      <w:r>
        <w:rPr>
          <w:b w:val="0"/>
          <w:i w:val="0"/>
        </w:rPr>
        <w:t>International student/faculty ratio.</w:t>
      </w:r>
    </w:p>
    <w:p>
      <w:pPr>
        <w:pStyle w:val="ListBullet2"/>
        <w:numPr>
          <w:ilvl w:val="1"/>
          <w:numId w:val="90"/>
        </w:numPr>
        <w:ind w:left="652" w:hanging="142"/>
      </w:pPr>
      <w:r>
        <w:rPr>
          <w:b w:val="0"/>
          <w:i w:val="0"/>
        </w:rPr>
        <w:t>% of renewable energy use on campus.</w:t>
      </w:r>
    </w:p>
    <w:p>
      <w:pPr>
        <w:pStyle w:val="ListBullet2"/>
        <w:numPr>
          <w:ilvl w:val="1"/>
          <w:numId w:val="90"/>
        </w:numPr>
        <w:ind w:left="652" w:hanging="142"/>
      </w:pPr>
      <w:r>
        <w:rPr>
          <w:b w:val="0"/>
          <w:i w:val="0"/>
        </w:rPr>
        <w:t>No. of beneficiaries impacted annually by ISR programs.</w:t>
      </w:r>
    </w:p>
    <w:p>
      <w:pPr>
        <w:pStyle w:val="ListBullet"/>
        <w:numPr>
          <w:ilvl w:val="0"/>
          <w:numId w:val="90"/>
        </w:numPr>
        <w:ind w:left="340" w:hanging="142"/>
      </w:pPr>
      <w:r>
        <w:rPr>
          <w:b/>
          <w:i w:val="0"/>
        </w:rPr>
        <w:t>Feedback Loops:</w:t>
      </w:r>
    </w:p>
    <w:p>
      <w:pPr>
        <w:pStyle w:val="ListBullet2"/>
        <w:numPr>
          <w:ilvl w:val="1"/>
          <w:numId w:val="90"/>
        </w:numPr>
        <w:ind w:left="652" w:hanging="142"/>
      </w:pPr>
      <w:r>
        <w:rPr>
          <w:b w:val="0"/>
          <w:i w:val="0"/>
        </w:rPr>
        <w:t>Community stakeholder consultations.</w:t>
      </w:r>
    </w:p>
    <w:p>
      <w:pPr>
        <w:pStyle w:val="ListBullet2"/>
        <w:numPr>
          <w:ilvl w:val="1"/>
          <w:numId w:val="90"/>
        </w:numPr>
        <w:ind w:left="652" w:hanging="142"/>
      </w:pPr>
      <w:r>
        <w:rPr>
          <w:b w:val="0"/>
          <w:i w:val="0"/>
        </w:rPr>
        <w:t>International partner feedback surveys.</w:t>
      </w:r>
    </w:p>
    <w:p>
      <w:pPr>
        <w:pStyle w:val="ListBullet2"/>
        <w:numPr>
          <w:ilvl w:val="1"/>
          <w:numId w:val="90"/>
        </w:numPr>
        <w:ind w:left="652" w:hanging="142"/>
      </w:pPr>
      <w:r>
        <w:rPr>
          <w:b w:val="0"/>
          <w:i w:val="0"/>
        </w:rPr>
        <w:t>Annual sustainability/green audit reports.</w:t>
      </w:r>
    </w:p>
    <w:p>
      <w:pPr>
        <w:pStyle w:val="Heading2"/>
      </w:pPr>
      <w:r>
        <w:t>Balanced Scorecard Summary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984"/>
        <w:gridCol w:w="3061"/>
        <w:gridCol w:w="2211"/>
        <w:gridCol w:w="2154"/>
      </w:tblGrid>
      <w:tr>
        <w:trPr>
          <w:tblHeader/>
          <w:cantSplit/>
        </w:trPr>
        <w:tc>
          <w:tcPr>
            <w:tcW w:type="dxa" w:w="1984"/>
            <w:vAlign w:val="center"/>
            <w:shd w:fill="1F3A5F"/>
          </w:tcPr>
          <w:p>
            <w:pPr>
              <w:keepNext/>
              <w:spacing w:after="40" w:line="276" w:lineRule="auto"/>
              <w:jc w:val="left"/>
            </w:pPr>
            <w:r>
              <w:rPr>
                <w:b/>
                <w:i w:val="0"/>
                <w:color w:val="FFFFFF"/>
              </w:rPr>
              <w:t>Perspective</w:t>
            </w:r>
          </w:p>
        </w:tc>
        <w:tc>
          <w:tcPr>
            <w:tcW w:type="dxa" w:w="3061"/>
            <w:vAlign w:val="center"/>
            <w:shd w:fill="1F3A5F"/>
          </w:tcPr>
          <w:p>
            <w:pPr>
              <w:keepNext/>
              <w:spacing w:after="40" w:line="276" w:lineRule="auto"/>
              <w:jc w:val="left"/>
            </w:pPr>
            <w:r>
              <w:rPr>
                <w:b/>
                <w:i w:val="0"/>
                <w:color w:val="FFFFFF"/>
              </w:rPr>
              <w:t>Policy Focus</w:t>
            </w:r>
          </w:p>
        </w:tc>
        <w:tc>
          <w:tcPr>
            <w:tcW w:type="dxa" w:w="2211"/>
            <w:vAlign w:val="center"/>
            <w:shd w:fill="1F3A5F"/>
          </w:tcPr>
          <w:p>
            <w:pPr>
              <w:keepNext/>
              <w:spacing w:after="40" w:line="276" w:lineRule="auto"/>
              <w:jc w:val="left"/>
            </w:pPr>
            <w:r>
              <w:rPr>
                <w:b/>
                <w:i w:val="0"/>
                <w:color w:val="FFFFFF"/>
              </w:rPr>
              <w:t>KPIs (Examples)</w:t>
            </w:r>
          </w:p>
        </w:tc>
        <w:tc>
          <w:tcPr>
            <w:tcW w:type="dxa" w:w="2154"/>
            <w:vAlign w:val="center"/>
            <w:shd w:fill="1F3A5F"/>
          </w:tcPr>
          <w:p>
            <w:pPr>
              <w:keepNext/>
              <w:spacing w:after="40" w:line="276" w:lineRule="auto"/>
              <w:jc w:val="left"/>
            </w:pPr>
            <w:r>
              <w:rPr>
                <w:b/>
                <w:i w:val="0"/>
                <w:color w:val="FFFFFF"/>
              </w:rPr>
              <w:t>Feedback Mechanisms</w:t>
            </w:r>
          </w:p>
        </w:tc>
      </w:tr>
      <w:tr>
        <w:trPr>
          <w:cantSplit/>
        </w:trPr>
        <w:tc>
          <w:tcPr>
            <w:tcW w:type="dxa" w:w="1984"/>
            <w:vAlign w:val="center"/>
            <w:shd w:fill="FFFFFF"/>
          </w:tcPr>
          <w:p>
            <w:pPr>
              <w:spacing w:after="40" w:line="276" w:lineRule="auto"/>
              <w:jc w:val="left"/>
            </w:pPr>
            <w:r>
              <w:rPr>
                <w:b w:val="0"/>
                <w:i w:val="0"/>
              </w:rPr>
              <w:t>Academic &amp; Learning</w:t>
            </w:r>
          </w:p>
        </w:tc>
        <w:tc>
          <w:tcPr>
            <w:tcW w:type="dxa" w:w="3061"/>
            <w:vAlign w:val="center"/>
            <w:shd w:fill="FFFFFF"/>
          </w:tcPr>
          <w:p>
            <w:pPr>
              <w:spacing w:after="40" w:line="276" w:lineRule="auto"/>
              <w:jc w:val="left"/>
            </w:pPr>
            <w:r>
              <w:rPr>
                <w:b w:val="0"/>
                <w:i w:val="0"/>
              </w:rPr>
              <w:t>Curriculum reform, teaching quality</w:t>
            </w:r>
          </w:p>
        </w:tc>
        <w:tc>
          <w:tcPr>
            <w:tcW w:type="dxa" w:w="2211"/>
            <w:vAlign w:val="center"/>
            <w:shd w:fill="FFFFFF"/>
          </w:tcPr>
          <w:p>
            <w:pPr>
              <w:spacing w:after="40" w:line="276" w:lineRule="auto"/>
              <w:jc w:val="left"/>
            </w:pPr>
            <w:r>
              <w:rPr>
                <w:b w:val="0"/>
                <w:i w:val="0"/>
              </w:rPr>
              <w:t>% curricula revised, student satisfaction index, employability rate</w:t>
            </w:r>
          </w:p>
        </w:tc>
        <w:tc>
          <w:tcPr>
            <w:tcW w:type="dxa" w:w="2154"/>
            <w:vAlign w:val="center"/>
            <w:shd w:fill="FFFFFF"/>
          </w:tcPr>
          <w:p>
            <w:pPr>
              <w:spacing w:after="40" w:line="276" w:lineRule="auto"/>
              <w:jc w:val="left"/>
            </w:pPr>
            <w:r>
              <w:rPr>
                <w:b w:val="0"/>
                <w:i w:val="0"/>
              </w:rPr>
              <w:t>Student surveys, faculty appraisals, academic audits</w:t>
            </w:r>
          </w:p>
        </w:tc>
      </w:tr>
      <w:tr>
        <w:trPr>
          <w:cantSplit/>
        </w:trPr>
        <w:tc>
          <w:tcPr>
            <w:tcW w:type="dxa" w:w="1984"/>
            <w:vAlign w:val="center"/>
            <w:shd w:fill="EDF2F7"/>
          </w:tcPr>
          <w:p>
            <w:pPr>
              <w:spacing w:after="40" w:line="276" w:lineRule="auto"/>
              <w:jc w:val="left"/>
            </w:pPr>
            <w:r>
              <w:rPr>
                <w:b w:val="0"/>
                <w:i w:val="0"/>
              </w:rPr>
              <w:t>Research &amp; Innovation</w:t>
            </w:r>
          </w:p>
        </w:tc>
        <w:tc>
          <w:tcPr>
            <w:tcW w:type="dxa" w:w="3061"/>
            <w:vAlign w:val="center"/>
            <w:shd w:fill="EDF2F7"/>
          </w:tcPr>
          <w:p>
            <w:pPr>
              <w:spacing w:after="40" w:line="276" w:lineRule="auto"/>
              <w:jc w:val="left"/>
            </w:pPr>
            <w:r>
              <w:rPr>
                <w:b w:val="0"/>
                <w:i w:val="0"/>
              </w:rPr>
              <w:t>Knowledge creation, patents, global collaborations</w:t>
            </w:r>
          </w:p>
        </w:tc>
        <w:tc>
          <w:tcPr>
            <w:tcW w:type="dxa" w:w="2211"/>
            <w:vAlign w:val="center"/>
            <w:shd w:fill="EDF2F7"/>
          </w:tcPr>
          <w:p>
            <w:pPr>
              <w:spacing w:after="40" w:line="276" w:lineRule="auto"/>
              <w:jc w:val="left"/>
            </w:pPr>
            <w:r>
              <w:rPr>
                <w:b w:val="0"/>
                <w:i w:val="0"/>
              </w:rPr>
              <w:t>Patents filed, indexed publications, research funding, CoEs</w:t>
            </w:r>
          </w:p>
        </w:tc>
        <w:tc>
          <w:tcPr>
            <w:tcW w:type="dxa" w:w="2154"/>
            <w:vAlign w:val="center"/>
            <w:shd w:fill="EDF2F7"/>
          </w:tcPr>
          <w:p>
            <w:pPr>
              <w:spacing w:after="40" w:line="276" w:lineRule="auto"/>
              <w:jc w:val="left"/>
            </w:pPr>
            <w:r>
              <w:rPr>
                <w:b w:val="0"/>
                <w:i w:val="0"/>
              </w:rPr>
              <w:t>R&amp;D reviews, industry advisory inputs, alumni researcher feedback</w:t>
            </w:r>
          </w:p>
        </w:tc>
      </w:tr>
      <w:tr>
        <w:trPr>
          <w:cantSplit/>
        </w:trPr>
        <w:tc>
          <w:tcPr>
            <w:tcW w:type="dxa" w:w="1984"/>
            <w:vAlign w:val="center"/>
            <w:shd w:fill="FFFFFF"/>
          </w:tcPr>
          <w:p>
            <w:pPr>
              <w:spacing w:after="40" w:line="276" w:lineRule="auto"/>
              <w:jc w:val="left"/>
            </w:pPr>
            <w:r>
              <w:rPr>
                <w:b w:val="0"/>
                <w:i w:val="0"/>
              </w:rPr>
              <w:t>Finance &amp; Resources</w:t>
            </w:r>
          </w:p>
        </w:tc>
        <w:tc>
          <w:tcPr>
            <w:tcW w:type="dxa" w:w="3061"/>
            <w:vAlign w:val="center"/>
            <w:shd w:fill="FFFFFF"/>
          </w:tcPr>
          <w:p>
            <w:pPr>
              <w:spacing w:after="40" w:line="276" w:lineRule="auto"/>
              <w:jc w:val="left"/>
            </w:pPr>
            <w:r>
              <w:rPr>
                <w:b w:val="0"/>
                <w:i w:val="0"/>
              </w:rPr>
              <w:t>Financial sustainability, diversified income</w:t>
            </w:r>
          </w:p>
        </w:tc>
        <w:tc>
          <w:tcPr>
            <w:tcW w:type="dxa" w:w="2211"/>
            <w:vAlign w:val="center"/>
            <w:shd w:fill="FFFFFF"/>
          </w:tcPr>
          <w:p>
            <w:pPr>
              <w:spacing w:after="40" w:line="276" w:lineRule="auto"/>
              <w:jc w:val="left"/>
            </w:pPr>
            <w:r>
              <w:rPr>
                <w:b w:val="0"/>
                <w:i w:val="0"/>
              </w:rPr>
              <w:t>% non-government revenue, CSR/​alumni funds, endowment growth</w:t>
            </w:r>
          </w:p>
        </w:tc>
        <w:tc>
          <w:tcPr>
            <w:tcW w:type="dxa" w:w="2154"/>
            <w:vAlign w:val="center"/>
            <w:shd w:fill="FFFFFF"/>
          </w:tcPr>
          <w:p>
            <w:pPr>
              <w:spacing w:after="40" w:line="276" w:lineRule="auto"/>
              <w:jc w:val="left"/>
            </w:pPr>
            <w:r>
              <w:rPr>
                <w:b w:val="0"/>
                <w:i w:val="0"/>
              </w:rPr>
              <w:t>Financial audits, donor feedback, benchmarking</w:t>
            </w:r>
          </w:p>
        </w:tc>
      </w:tr>
      <w:tr>
        <w:trPr>
          <w:cantSplit/>
        </w:trPr>
        <w:tc>
          <w:tcPr>
            <w:tcW w:type="dxa" w:w="1984"/>
            <w:vAlign w:val="center"/>
            <w:shd w:fill="EDF2F7"/>
          </w:tcPr>
          <w:p>
            <w:pPr>
              <w:spacing w:after="40" w:line="276" w:lineRule="auto"/>
              <w:jc w:val="left"/>
            </w:pPr>
            <w:r>
              <w:rPr>
                <w:b w:val="0"/>
                <w:i w:val="0"/>
              </w:rPr>
              <w:t>Community &amp; Globalization</w:t>
            </w:r>
          </w:p>
        </w:tc>
        <w:tc>
          <w:tcPr>
            <w:tcW w:type="dxa" w:w="3061"/>
            <w:vAlign w:val="center"/>
            <w:shd w:fill="EDF2F7"/>
          </w:tcPr>
          <w:p>
            <w:pPr>
              <w:spacing w:after="40" w:line="276" w:lineRule="auto"/>
              <w:jc w:val="left"/>
            </w:pPr>
            <w:r>
              <w:rPr>
                <w:b w:val="0"/>
                <w:i w:val="0"/>
              </w:rPr>
              <w:t>ISR, internationalization, sustainability</w:t>
            </w:r>
          </w:p>
        </w:tc>
        <w:tc>
          <w:tcPr>
            <w:tcW w:type="dxa" w:w="2211"/>
            <w:vAlign w:val="center"/>
            <w:shd w:fill="EDF2F7"/>
          </w:tcPr>
          <w:p>
            <w:pPr>
              <w:spacing w:after="40" w:line="276" w:lineRule="auto"/>
              <w:jc w:val="left"/>
            </w:pPr>
            <w:r>
              <w:rPr>
                <w:b w:val="0"/>
                <w:i w:val="0"/>
              </w:rPr>
              <w:t>Students in ISR, MoUs signed, renewable energy use, global rankings</w:t>
            </w:r>
          </w:p>
        </w:tc>
        <w:tc>
          <w:tcPr>
            <w:tcW w:type="dxa" w:w="2154"/>
            <w:vAlign w:val="center"/>
            <w:shd w:fill="EDF2F7"/>
          </w:tcPr>
          <w:p>
            <w:pPr>
              <w:spacing w:after="40" w:line="276" w:lineRule="auto"/>
              <w:jc w:val="left"/>
            </w:pPr>
            <w:r>
              <w:rPr>
                <w:b w:val="0"/>
                <w:i w:val="0"/>
              </w:rPr>
              <w:t>Community consultations, partner surveys, sustainability audits</w:t>
            </w:r>
          </w:p>
        </w:tc>
      </w:tr>
    </w:tbl>
    <w:p>
      <w:pPr>
        <w:spacing w:after="40"/>
      </w:pPr>
    </w:p>
    <w:p>
      <w:pPr>
        <w:pStyle w:val="Heading1"/>
      </w:pPr>
      <w:r>
        <w:t>16. Phase 1: Assessment &amp; Diagnosis</w:t>
      </w:r>
    </w:p>
    <w:p>
      <w:pPr>
        <w:pStyle w:val="Heading2"/>
      </w:pPr>
      <w:r>
        <w:rPr>
          <w:i/>
        </w:rPr>
        <w:t>1. Purpose</w:t>
      </w:r>
    </w:p>
    <w:p>
      <w:pPr>
        <w:pStyle w:val="ListBullet"/>
        <w:numPr>
          <w:ilvl w:val="0"/>
          <w:numId w:val="90"/>
        </w:numPr>
        <w:ind w:left="340" w:hanging="142"/>
      </w:pPr>
      <w:r>
        <w:rPr>
          <w:b w:val="0"/>
          <w:i w:val="0"/>
        </w:rPr>
        <w:t>To establish a baseline understanding of the institution’s current status.</w:t>
      </w:r>
    </w:p>
    <w:p>
      <w:pPr>
        <w:pStyle w:val="ListBullet"/>
        <w:numPr>
          <w:ilvl w:val="0"/>
          <w:numId w:val="90"/>
        </w:numPr>
        <w:ind w:left="340" w:hanging="142"/>
      </w:pPr>
      <w:r>
        <w:rPr>
          <w:b w:val="0"/>
          <w:i w:val="0"/>
        </w:rPr>
        <w:t>To identify strengths, weaknesses, opportunities, and threats (SWOT).</w:t>
      </w:r>
    </w:p>
    <w:p>
      <w:pPr>
        <w:pStyle w:val="ListBullet"/>
        <w:numPr>
          <w:ilvl w:val="0"/>
          <w:numId w:val="90"/>
        </w:numPr>
        <w:ind w:left="340" w:hanging="142"/>
      </w:pPr>
      <w:r>
        <w:rPr>
          <w:b w:val="0"/>
          <w:i w:val="0"/>
        </w:rPr>
        <w:t>To analyze external environment (PESTLE) for risks and opportunities.</w:t>
      </w:r>
    </w:p>
    <w:p>
      <w:pPr>
        <w:pStyle w:val="ListBullet"/>
        <w:numPr>
          <w:ilvl w:val="0"/>
          <w:numId w:val="90"/>
        </w:numPr>
        <w:ind w:left="340" w:hanging="142"/>
      </w:pPr>
      <w:r>
        <w:rPr>
          <w:b w:val="0"/>
          <w:i w:val="0"/>
        </w:rPr>
        <w:t>To provide an evidence-based foundation for setting realistic strategic objectives.</w:t>
      </w:r>
    </w:p>
    <w:p>
      <w:pPr>
        <w:pStyle w:val="Heading2"/>
      </w:pPr>
      <w:r>
        <w:rPr>
          <w:i/>
        </w:rPr>
        <w:t>2. Key Activities</w:t>
      </w:r>
    </w:p>
    <w:p>
      <w:pPr>
        <w:pStyle w:val="ListBullet"/>
        <w:numPr>
          <w:ilvl w:val="0"/>
          <w:numId w:val="90"/>
        </w:numPr>
        <w:ind w:left="340" w:hanging="142"/>
      </w:pPr>
      <w:r>
        <w:rPr>
          <w:b w:val="0"/>
          <w:i w:val="0"/>
        </w:rPr>
        <w:t>Stakeholder Consultations</w:t>
      </w:r>
    </w:p>
    <w:p>
      <w:pPr>
        <w:pStyle w:val="ListBullet2"/>
        <w:numPr>
          <w:ilvl w:val="1"/>
          <w:numId w:val="90"/>
        </w:numPr>
        <w:ind w:left="652" w:hanging="142"/>
      </w:pPr>
      <w:r>
        <w:rPr>
          <w:b w:val="0"/>
          <w:i w:val="0"/>
        </w:rPr>
        <w:t>Engage faculty, students, alumni, community, and industry partners.</w:t>
      </w:r>
    </w:p>
    <w:p>
      <w:pPr>
        <w:pStyle w:val="ListBullet2"/>
        <w:numPr>
          <w:ilvl w:val="1"/>
          <w:numId w:val="90"/>
        </w:numPr>
        <w:ind w:left="652" w:hanging="142"/>
      </w:pPr>
      <w:r>
        <w:rPr>
          <w:b w:val="0"/>
          <w:i w:val="0"/>
        </w:rPr>
        <w:t>Collect insights on expectations, challenges, and opportunities.</w:t>
      </w:r>
    </w:p>
    <w:p>
      <w:pPr>
        <w:pStyle w:val="ListBullet"/>
        <w:numPr>
          <w:ilvl w:val="0"/>
          <w:numId w:val="90"/>
        </w:numPr>
        <w:ind w:left="340" w:hanging="142"/>
      </w:pPr>
      <w:r>
        <w:rPr>
          <w:b w:val="0"/>
          <w:i w:val="0"/>
        </w:rPr>
        <w:t>Internal Audit &amp; Data Collection</w:t>
      </w:r>
    </w:p>
    <w:p>
      <w:pPr>
        <w:pStyle w:val="ListBullet2"/>
        <w:numPr>
          <w:ilvl w:val="1"/>
          <w:numId w:val="90"/>
        </w:numPr>
        <w:ind w:left="652" w:hanging="142"/>
      </w:pPr>
      <w:r>
        <w:rPr>
          <w:b w:val="0"/>
          <w:i w:val="0"/>
        </w:rPr>
        <w:t>Review academic performance, faculty–student ratio, infrastructure, research output.</w:t>
      </w:r>
    </w:p>
    <w:p>
      <w:pPr>
        <w:pStyle w:val="ListBullet2"/>
        <w:numPr>
          <w:ilvl w:val="1"/>
          <w:numId w:val="90"/>
        </w:numPr>
        <w:ind w:left="652" w:hanging="142"/>
      </w:pPr>
      <w:r>
        <w:rPr>
          <w:b w:val="0"/>
          <w:i w:val="0"/>
        </w:rPr>
        <w:t>Evaluate financial sustainability and governance efficiency.</w:t>
      </w:r>
    </w:p>
    <w:p>
      <w:pPr>
        <w:pStyle w:val="ListBullet2"/>
        <w:numPr>
          <w:ilvl w:val="1"/>
          <w:numId w:val="90"/>
        </w:numPr>
        <w:ind w:left="652" w:hanging="142"/>
      </w:pPr>
      <w:r>
        <w:rPr>
          <w:b w:val="0"/>
          <w:i w:val="0"/>
        </w:rPr>
        <w:t>Assess accreditation readiness (NAAC, NBA, QS, NIRF benchmarks).</w:t>
      </w:r>
    </w:p>
    <w:p>
      <w:pPr>
        <w:pStyle w:val="ListBullet"/>
        <w:numPr>
          <w:ilvl w:val="0"/>
          <w:numId w:val="90"/>
        </w:numPr>
        <w:ind w:left="340" w:hanging="142"/>
      </w:pPr>
      <w:r>
        <w:rPr>
          <w:b w:val="0"/>
          <w:i w:val="0"/>
        </w:rPr>
        <w:t>SWOT Analysis</w:t>
      </w:r>
    </w:p>
    <w:p>
      <w:pPr>
        <w:pStyle w:val="ListBullet2"/>
        <w:numPr>
          <w:ilvl w:val="1"/>
          <w:numId w:val="90"/>
        </w:numPr>
        <w:ind w:left="652" w:hanging="142"/>
      </w:pPr>
      <w:r>
        <w:rPr>
          <w:b w:val="0"/>
          <w:i w:val="0"/>
        </w:rPr>
        <w:t>Identify institutional strengths, internal gaps, external opportunities, and threats.</w:t>
      </w:r>
    </w:p>
    <w:p>
      <w:pPr>
        <w:pStyle w:val="ListBullet"/>
        <w:numPr>
          <w:ilvl w:val="0"/>
          <w:numId w:val="90"/>
        </w:numPr>
        <w:ind w:left="340" w:hanging="142"/>
      </w:pPr>
      <w:r>
        <w:rPr>
          <w:b w:val="0"/>
          <w:i w:val="0"/>
        </w:rPr>
        <w:t>PESTLE Analysis</w:t>
      </w:r>
    </w:p>
    <w:p>
      <w:pPr>
        <w:pStyle w:val="ListBullet2"/>
        <w:numPr>
          <w:ilvl w:val="1"/>
          <w:numId w:val="90"/>
        </w:numPr>
        <w:ind w:left="652" w:hanging="142"/>
      </w:pPr>
      <w:r>
        <w:rPr>
          <w:b w:val="0"/>
          <w:i w:val="0"/>
        </w:rPr>
        <w:t>Examine political, economic, social, technological, legal, and environmental drivers.</w:t>
      </w:r>
    </w:p>
    <w:p>
      <w:pPr>
        <w:pStyle w:val="ListBullet"/>
        <w:numPr>
          <w:ilvl w:val="0"/>
          <w:numId w:val="90"/>
        </w:numPr>
        <w:ind w:left="340" w:hanging="142"/>
      </w:pPr>
      <w:r>
        <w:rPr>
          <w:b w:val="0"/>
          <w:i w:val="0"/>
        </w:rPr>
        <w:t>Benchmarking</w:t>
      </w:r>
    </w:p>
    <w:p>
      <w:pPr>
        <w:pStyle w:val="ListBullet2"/>
        <w:numPr>
          <w:ilvl w:val="1"/>
          <w:numId w:val="90"/>
        </w:numPr>
        <w:ind w:left="652" w:hanging="142"/>
      </w:pPr>
      <w:r>
        <w:rPr>
          <w:b w:val="0"/>
          <w:i w:val="0"/>
        </w:rPr>
        <w:t>Compare with peer institutions nationally and internationally.</w:t>
      </w:r>
    </w:p>
    <w:p>
      <w:pPr>
        <w:pStyle w:val="ListBullet2"/>
        <w:numPr>
          <w:ilvl w:val="1"/>
          <w:numId w:val="90"/>
        </w:numPr>
        <w:ind w:left="652" w:hanging="142"/>
      </w:pPr>
      <w:r>
        <w:rPr>
          <w:b w:val="0"/>
          <w:i w:val="0"/>
        </w:rPr>
        <w:t>Study best practices in curriculum, research, infrastructure, and governance.</w:t>
      </w:r>
    </w:p>
    <w:p>
      <w:pPr>
        <w:pStyle w:val="Heading2"/>
      </w:pPr>
      <w:r>
        <w:rPr>
          <w:i/>
        </w:rPr>
        <w:t>3. Tools &amp; Techniques</w:t>
      </w:r>
    </w:p>
    <w:p>
      <w:pPr>
        <w:pStyle w:val="ListBullet"/>
        <w:numPr>
          <w:ilvl w:val="0"/>
          <w:numId w:val="90"/>
        </w:numPr>
        <w:ind w:left="340" w:hanging="142"/>
      </w:pPr>
      <w:r>
        <w:rPr>
          <w:b w:val="0"/>
          <w:i w:val="0"/>
        </w:rPr>
        <w:t>Surveys and Questionnaires (students, faculty, alumni, employers).</w:t>
      </w:r>
    </w:p>
    <w:p>
      <w:pPr>
        <w:pStyle w:val="ListBullet"/>
        <w:numPr>
          <w:ilvl w:val="0"/>
          <w:numId w:val="90"/>
        </w:numPr>
        <w:ind w:left="340" w:hanging="142"/>
      </w:pPr>
      <w:r>
        <w:rPr>
          <w:b w:val="0"/>
          <w:i w:val="0"/>
        </w:rPr>
        <w:t>Focus Group Discussions (FGDs) with stakeholders.</w:t>
      </w:r>
    </w:p>
    <w:p>
      <w:pPr>
        <w:pStyle w:val="ListBullet"/>
        <w:numPr>
          <w:ilvl w:val="0"/>
          <w:numId w:val="90"/>
        </w:numPr>
        <w:ind w:left="340" w:hanging="142"/>
      </w:pPr>
      <w:r>
        <w:rPr>
          <w:b w:val="0"/>
          <w:i w:val="0"/>
        </w:rPr>
        <w:t>Data Dashboards for performance metrics (enrollments, placements, funding).</w:t>
      </w:r>
    </w:p>
    <w:p>
      <w:pPr>
        <w:pStyle w:val="ListBullet"/>
        <w:numPr>
          <w:ilvl w:val="0"/>
          <w:numId w:val="90"/>
        </w:numPr>
        <w:ind w:left="340" w:hanging="142"/>
      </w:pPr>
      <w:r>
        <w:rPr>
          <w:b w:val="0"/>
          <w:i w:val="0"/>
        </w:rPr>
        <w:t>Accreditation Gap Analysis (NAAC/NBA compliance mapping).</w:t>
      </w:r>
    </w:p>
    <w:p>
      <w:pPr>
        <w:pStyle w:val="ListBullet"/>
        <w:numPr>
          <w:ilvl w:val="0"/>
          <w:numId w:val="90"/>
        </w:numPr>
        <w:ind w:left="340" w:hanging="142"/>
      </w:pPr>
      <w:r>
        <w:rPr>
          <w:b w:val="0"/>
          <w:i w:val="0"/>
        </w:rPr>
        <w:t>Trend Analysis using past 3–5 years institutional performance data.</w:t>
      </w:r>
    </w:p>
    <w:p>
      <w:pPr>
        <w:pStyle w:val="Heading2"/>
      </w:pPr>
      <w:r>
        <w:t>4. Outputs/Deliverables</w:t>
      </w:r>
    </w:p>
    <w:p>
      <w:pPr>
        <w:pStyle w:val="ListBullet"/>
        <w:numPr>
          <w:ilvl w:val="0"/>
          <w:numId w:val="90"/>
        </w:numPr>
        <w:ind w:left="340" w:hanging="142"/>
      </w:pPr>
      <w:r>
        <w:rPr>
          <w:b w:val="0"/>
          <w:i w:val="0"/>
        </w:rPr>
        <w:t>Institutional Diagnostic Report (summary of findings).</w:t>
      </w:r>
    </w:p>
    <w:p>
      <w:pPr>
        <w:pStyle w:val="ListBullet"/>
        <w:numPr>
          <w:ilvl w:val="0"/>
          <w:numId w:val="90"/>
        </w:numPr>
        <w:ind w:left="340" w:hanging="142"/>
      </w:pPr>
      <w:r>
        <w:rPr>
          <w:b w:val="0"/>
          <w:i w:val="0"/>
        </w:rPr>
        <w:t>SWOT &amp; PESTLE Matrices.</w:t>
      </w:r>
    </w:p>
    <w:p>
      <w:pPr>
        <w:pStyle w:val="ListBullet"/>
        <w:numPr>
          <w:ilvl w:val="0"/>
          <w:numId w:val="90"/>
        </w:numPr>
        <w:ind w:left="340" w:hanging="142"/>
      </w:pPr>
      <w:r>
        <w:rPr>
          <w:b w:val="0"/>
          <w:i w:val="0"/>
        </w:rPr>
        <w:t>Baseline KPIs for academic, research, finance, and social dimensions.</w:t>
      </w:r>
    </w:p>
    <w:p>
      <w:pPr>
        <w:pStyle w:val="ListBullet"/>
        <w:numPr>
          <w:ilvl w:val="0"/>
          <w:numId w:val="90"/>
        </w:numPr>
        <w:ind w:left="340" w:hanging="142"/>
      </w:pPr>
      <w:r>
        <w:rPr>
          <w:b w:val="0"/>
          <w:i w:val="0"/>
        </w:rPr>
        <w:t>Gap Analysis Report (highlighting areas requiring immediate intervention).</w:t>
      </w:r>
    </w:p>
    <w:p>
      <w:pPr>
        <w:pStyle w:val="ListBullet"/>
        <w:numPr>
          <w:ilvl w:val="0"/>
          <w:numId w:val="90"/>
        </w:numPr>
        <w:ind w:left="340" w:hanging="142"/>
      </w:pPr>
      <w:r>
        <w:rPr>
          <w:b w:val="0"/>
          <w:i w:val="0"/>
        </w:rPr>
        <w:t>Strategic Priority Recommendations (foundation for Phase 2 planning).</w:t>
      </w:r>
    </w:p>
    <w:p>
      <w:pPr>
        <w:pStyle w:val="Heading2"/>
      </w:pPr>
      <w:r>
        <w:rPr>
          <w:i/>
        </w:rPr>
        <w:t>5. Timeline (Short-Term: 0–1 Year)</w:t>
      </w:r>
    </w:p>
    <w:p>
      <w:pPr>
        <w:pStyle w:val="ListBullet"/>
        <w:numPr>
          <w:ilvl w:val="0"/>
          <w:numId w:val="90"/>
        </w:numPr>
        <w:ind w:left="340" w:hanging="142"/>
      </w:pPr>
      <w:r>
        <w:rPr>
          <w:b/>
          <w:i w:val="0"/>
        </w:rPr>
        <w:t>Months 1–3:</w:t>
      </w:r>
      <w:r>
        <w:rPr>
          <w:b w:val="0"/>
          <w:i w:val="0"/>
        </w:rPr>
        <w:t xml:space="preserve"> Data collection, stakeholder engagement, baseline assessment.</w:t>
      </w:r>
    </w:p>
    <w:p>
      <w:pPr>
        <w:pStyle w:val="ListBullet"/>
        <w:numPr>
          <w:ilvl w:val="0"/>
          <w:numId w:val="90"/>
        </w:numPr>
        <w:ind w:left="340" w:hanging="142"/>
      </w:pPr>
      <w:r>
        <w:rPr>
          <w:b/>
          <w:i w:val="0"/>
        </w:rPr>
        <w:t>Months 4–6:</w:t>
      </w:r>
      <w:r>
        <w:rPr>
          <w:b w:val="0"/>
          <w:i w:val="0"/>
        </w:rPr>
        <w:t xml:space="preserve"> SWOT &amp; PESTLE completion, benchmarking with peers.</w:t>
      </w:r>
    </w:p>
    <w:p>
      <w:pPr>
        <w:pStyle w:val="ListBullet"/>
        <w:numPr>
          <w:ilvl w:val="0"/>
          <w:numId w:val="90"/>
        </w:numPr>
        <w:ind w:left="340" w:hanging="142"/>
      </w:pPr>
      <w:r>
        <w:rPr>
          <w:b/>
          <w:i w:val="0"/>
        </w:rPr>
        <w:t>Months 7–9:</w:t>
      </w:r>
      <w:r>
        <w:rPr>
          <w:b w:val="0"/>
          <w:i w:val="0"/>
        </w:rPr>
        <w:t xml:space="preserve"> Draft diagnostic report, validation with stakeholders.</w:t>
      </w:r>
    </w:p>
    <w:p>
      <w:pPr>
        <w:pStyle w:val="ListBullet"/>
        <w:numPr>
          <w:ilvl w:val="0"/>
          <w:numId w:val="90"/>
        </w:numPr>
        <w:ind w:left="340" w:hanging="142"/>
      </w:pPr>
      <w:r>
        <w:rPr>
          <w:b/>
          <w:i w:val="0"/>
        </w:rPr>
        <w:t>Months 10–12:</w:t>
      </w:r>
      <w:r>
        <w:rPr>
          <w:b w:val="0"/>
          <w:i w:val="0"/>
        </w:rPr>
        <w:t xml:space="preserve"> Final diagnostic report, presentation to leadership, and approval for Phase 2.</w:t>
      </w:r>
    </w:p>
    <w:p>
      <w:pPr>
        <w:pStyle w:val="Heading2"/>
      </w:pPr>
      <w:r>
        <w:t>Phase 1: Assessment &amp; Diagnosis – Checklist Table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757"/>
        <w:gridCol w:w="1928"/>
        <w:gridCol w:w="1928"/>
        <w:gridCol w:w="1871"/>
        <w:gridCol w:w="1928"/>
      </w:tblGrid>
      <w:tr>
        <w:trPr>
          <w:tblHeader/>
          <w:cantSplit/>
        </w:trPr>
        <w:tc>
          <w:tcPr>
            <w:tcW w:type="dxa" w:w="1757"/>
            <w:vAlign w:val="center"/>
            <w:shd w:fill="1F3A5F"/>
          </w:tcPr>
          <w:p>
            <w:pPr>
              <w:keepNext/>
              <w:spacing w:after="40" w:line="276" w:lineRule="auto"/>
              <w:jc w:val="left"/>
            </w:pPr>
            <w:r>
              <w:rPr>
                <w:b/>
                <w:i w:val="0"/>
                <w:color w:val="FFFFFF"/>
              </w:rPr>
              <w:t>Step/​Task</w:t>
            </w:r>
          </w:p>
        </w:tc>
        <w:tc>
          <w:tcPr>
            <w:tcW w:type="dxa" w:w="1928"/>
            <w:vAlign w:val="center"/>
            <w:shd w:fill="1F3A5F"/>
          </w:tcPr>
          <w:p>
            <w:pPr>
              <w:keepNext/>
              <w:spacing w:after="40" w:line="276" w:lineRule="auto"/>
              <w:jc w:val="left"/>
            </w:pPr>
            <w:r>
              <w:rPr>
                <w:b/>
                <w:i w:val="0"/>
                <w:color w:val="FFFFFF"/>
              </w:rPr>
              <w:t>Action Description</w:t>
            </w:r>
          </w:p>
        </w:tc>
        <w:tc>
          <w:tcPr>
            <w:tcW w:type="dxa" w:w="1928"/>
            <w:vAlign w:val="center"/>
            <w:shd w:fill="1F3A5F"/>
          </w:tcPr>
          <w:p>
            <w:pPr>
              <w:keepNext/>
              <w:spacing w:after="40" w:line="276" w:lineRule="auto"/>
              <w:jc w:val="left"/>
            </w:pPr>
            <w:r>
              <w:rPr>
                <w:b/>
                <w:i w:val="0"/>
                <w:color w:val="FFFFFF"/>
              </w:rPr>
              <w:t>Responsible Unit/​Team</w:t>
            </w:r>
          </w:p>
        </w:tc>
        <w:tc>
          <w:tcPr>
            <w:tcW w:type="dxa" w:w="1871"/>
            <w:vAlign w:val="center"/>
            <w:shd w:fill="1F3A5F"/>
          </w:tcPr>
          <w:p>
            <w:pPr>
              <w:keepNext/>
              <w:spacing w:after="40" w:line="276" w:lineRule="auto"/>
              <w:jc w:val="left"/>
            </w:pPr>
            <w:r>
              <w:rPr>
                <w:b/>
                <w:i w:val="0"/>
                <w:color w:val="FFFFFF"/>
              </w:rPr>
              <w:t>Deliverable/​Output</w:t>
            </w:r>
          </w:p>
        </w:tc>
        <w:tc>
          <w:tcPr>
            <w:tcW w:type="dxa" w:w="1928"/>
            <w:vAlign w:val="center"/>
            <w:shd w:fill="1F3A5F"/>
          </w:tcPr>
          <w:p>
            <w:pPr>
              <w:keepNext/>
              <w:spacing w:after="40" w:line="276" w:lineRule="auto"/>
              <w:jc w:val="left"/>
            </w:pPr>
            <w:r>
              <w:rPr>
                <w:b/>
                <w:i w:val="0"/>
                <w:color w:val="FFFFFF"/>
              </w:rPr>
              <w:t>Timeline</w:t>
            </w:r>
          </w:p>
        </w:tc>
      </w:tr>
      <w:tr>
        <w:trPr>
          <w:cantSplit/>
        </w:trPr>
        <w:tc>
          <w:tcPr>
            <w:tcW w:type="dxa" w:w="1757"/>
            <w:vAlign w:val="center"/>
            <w:shd w:fill="FFFFFF"/>
          </w:tcPr>
          <w:p>
            <w:pPr>
              <w:spacing w:after="40" w:line="276" w:lineRule="auto"/>
              <w:jc w:val="left"/>
            </w:pPr>
            <w:r>
              <w:rPr>
                <w:b w:val="0"/>
                <w:i w:val="0"/>
              </w:rPr>
              <w:t>1. Form Planning Committee</w:t>
            </w:r>
          </w:p>
        </w:tc>
        <w:tc>
          <w:tcPr>
            <w:tcW w:type="dxa" w:w="1928"/>
            <w:vAlign w:val="center"/>
            <w:shd w:fill="FFFFFF"/>
          </w:tcPr>
          <w:p>
            <w:pPr>
              <w:spacing w:after="40" w:line="276" w:lineRule="auto"/>
              <w:jc w:val="left"/>
            </w:pPr>
            <w:r>
              <w:rPr>
                <w:b w:val="0"/>
                <w:i w:val="0"/>
              </w:rPr>
              <w:t>Constitute Strategic Planning Committee with faculty, admin, students, alumni, industry reps</w:t>
            </w:r>
          </w:p>
        </w:tc>
        <w:tc>
          <w:tcPr>
            <w:tcW w:type="dxa" w:w="1928"/>
            <w:vAlign w:val="center"/>
            <w:shd w:fill="FFFFFF"/>
          </w:tcPr>
          <w:p>
            <w:pPr>
              <w:spacing w:after="40" w:line="276" w:lineRule="auto"/>
              <w:jc w:val="left"/>
            </w:pPr>
            <w:r>
              <w:rPr>
                <w:b w:val="0"/>
                <w:i w:val="0"/>
              </w:rPr>
              <w:t>Institutional Leadership (VC/​Director, Registrar)</w:t>
            </w:r>
          </w:p>
        </w:tc>
        <w:tc>
          <w:tcPr>
            <w:tcW w:type="dxa" w:w="1871"/>
            <w:vAlign w:val="center"/>
            <w:shd w:fill="FFFFFF"/>
          </w:tcPr>
          <w:p>
            <w:pPr>
              <w:spacing w:after="40" w:line="276" w:lineRule="auto"/>
              <w:jc w:val="left"/>
            </w:pPr>
            <w:r>
              <w:rPr>
                <w:b w:val="0"/>
                <w:i w:val="0"/>
              </w:rPr>
              <w:t>Committee notification/​order</w:t>
            </w:r>
          </w:p>
        </w:tc>
        <w:tc>
          <w:tcPr>
            <w:tcW w:type="dxa" w:w="1928"/>
            <w:vAlign w:val="center"/>
            <w:shd w:fill="FFFFFF"/>
          </w:tcPr>
          <w:p>
            <w:pPr>
              <w:spacing w:after="40" w:line="276" w:lineRule="auto"/>
              <w:jc w:val="left"/>
            </w:pPr>
            <w:r>
              <w:rPr>
                <w:b w:val="0"/>
                <w:i w:val="0"/>
              </w:rPr>
              <w:t>Week 1</w:t>
            </w:r>
          </w:p>
        </w:tc>
      </w:tr>
      <w:tr>
        <w:trPr>
          <w:cantSplit/>
        </w:trPr>
        <w:tc>
          <w:tcPr>
            <w:tcW w:type="dxa" w:w="1757"/>
            <w:vAlign w:val="center"/>
            <w:shd w:fill="EDF2F7"/>
          </w:tcPr>
          <w:p>
            <w:pPr>
              <w:spacing w:after="40" w:line="276" w:lineRule="auto"/>
              <w:jc w:val="left"/>
            </w:pPr>
            <w:r>
              <w:rPr>
                <w:b w:val="0"/>
                <w:i w:val="0"/>
              </w:rPr>
              <w:t>2. Define Scope &amp; Objectives</w:t>
            </w:r>
          </w:p>
        </w:tc>
        <w:tc>
          <w:tcPr>
            <w:tcW w:type="dxa" w:w="1928"/>
            <w:vAlign w:val="center"/>
            <w:shd w:fill="EDF2F7"/>
          </w:tcPr>
          <w:p>
            <w:pPr>
              <w:spacing w:after="40" w:line="276" w:lineRule="auto"/>
              <w:jc w:val="left"/>
            </w:pPr>
            <w:r>
              <w:rPr>
                <w:b w:val="0"/>
                <w:i w:val="0"/>
              </w:rPr>
              <w:t>Clarify purpose, focus areas, and expected outcomes of assessment</w:t>
            </w:r>
          </w:p>
        </w:tc>
        <w:tc>
          <w:tcPr>
            <w:tcW w:type="dxa" w:w="1928"/>
            <w:vAlign w:val="center"/>
            <w:shd w:fill="EDF2F7"/>
          </w:tcPr>
          <w:p>
            <w:pPr>
              <w:spacing w:after="40" w:line="276" w:lineRule="auto"/>
              <w:jc w:val="left"/>
            </w:pPr>
            <w:r>
              <w:rPr>
                <w:b w:val="0"/>
                <w:i w:val="0"/>
              </w:rPr>
              <w:t>Planning Committee</w:t>
            </w:r>
          </w:p>
        </w:tc>
        <w:tc>
          <w:tcPr>
            <w:tcW w:type="dxa" w:w="1871"/>
            <w:vAlign w:val="center"/>
            <w:shd w:fill="EDF2F7"/>
          </w:tcPr>
          <w:p>
            <w:pPr>
              <w:spacing w:after="40" w:line="276" w:lineRule="auto"/>
              <w:jc w:val="left"/>
            </w:pPr>
            <w:r>
              <w:rPr>
                <w:b w:val="0"/>
                <w:i w:val="0"/>
              </w:rPr>
              <w:t>Scope document &amp; terms of reference</w:t>
            </w:r>
          </w:p>
        </w:tc>
        <w:tc>
          <w:tcPr>
            <w:tcW w:type="dxa" w:w="1928"/>
            <w:vAlign w:val="center"/>
            <w:shd w:fill="EDF2F7"/>
          </w:tcPr>
          <w:p>
            <w:pPr>
              <w:spacing w:after="40" w:line="276" w:lineRule="auto"/>
              <w:jc w:val="left"/>
            </w:pPr>
            <w:r>
              <w:rPr>
                <w:b w:val="0"/>
                <w:i w:val="0"/>
              </w:rPr>
              <w:t>Week 2</w:t>
            </w:r>
          </w:p>
        </w:tc>
      </w:tr>
      <w:tr>
        <w:trPr>
          <w:cantSplit/>
        </w:trPr>
        <w:tc>
          <w:tcPr>
            <w:tcW w:type="dxa" w:w="1757"/>
            <w:vAlign w:val="center"/>
            <w:shd w:fill="FFFFFF"/>
          </w:tcPr>
          <w:p>
            <w:pPr>
              <w:spacing w:after="40" w:line="276" w:lineRule="auto"/>
              <w:jc w:val="left"/>
            </w:pPr>
            <w:r>
              <w:rPr>
                <w:b w:val="0"/>
                <w:i w:val="0"/>
              </w:rPr>
              <w:t>3. Data Collection –Academic</w:t>
            </w:r>
          </w:p>
        </w:tc>
        <w:tc>
          <w:tcPr>
            <w:tcW w:type="dxa" w:w="1928"/>
            <w:vAlign w:val="center"/>
            <w:shd w:fill="FFFFFF"/>
          </w:tcPr>
          <w:p>
            <w:pPr>
              <w:spacing w:after="40" w:line="276" w:lineRule="auto"/>
              <w:jc w:val="left"/>
            </w:pPr>
            <w:r>
              <w:rPr>
                <w:b w:val="0"/>
                <w:i w:val="0"/>
              </w:rPr>
              <w:t>Gather info on programs, faculty–student ratio, results, placements</w:t>
            </w:r>
          </w:p>
        </w:tc>
        <w:tc>
          <w:tcPr>
            <w:tcW w:type="dxa" w:w="1928"/>
            <w:vAlign w:val="center"/>
            <w:shd w:fill="FFFFFF"/>
          </w:tcPr>
          <w:p>
            <w:pPr>
              <w:spacing w:after="40" w:line="276" w:lineRule="auto"/>
              <w:jc w:val="left"/>
            </w:pPr>
            <w:r>
              <w:rPr>
                <w:b w:val="0"/>
                <w:i w:val="0"/>
              </w:rPr>
              <w:t>Academic Council, Dean Academics</w:t>
            </w:r>
          </w:p>
        </w:tc>
        <w:tc>
          <w:tcPr>
            <w:tcW w:type="dxa" w:w="1871"/>
            <w:vAlign w:val="center"/>
            <w:shd w:fill="FFFFFF"/>
          </w:tcPr>
          <w:p>
            <w:pPr>
              <w:spacing w:after="40" w:line="276" w:lineRule="auto"/>
              <w:jc w:val="left"/>
            </w:pPr>
            <w:r>
              <w:rPr>
                <w:b w:val="0"/>
                <w:i w:val="0"/>
              </w:rPr>
              <w:t>Academic performance baseline</w:t>
            </w:r>
          </w:p>
        </w:tc>
        <w:tc>
          <w:tcPr>
            <w:tcW w:type="dxa" w:w="1928"/>
            <w:vAlign w:val="center"/>
            <w:shd w:fill="FFFFFF"/>
          </w:tcPr>
          <w:p>
            <w:pPr>
              <w:spacing w:after="40" w:line="276" w:lineRule="auto"/>
              <w:jc w:val="left"/>
            </w:pPr>
            <w:r>
              <w:rPr>
                <w:b w:val="0"/>
                <w:i w:val="0"/>
              </w:rPr>
              <w:t>Month 1</w:t>
            </w:r>
          </w:p>
        </w:tc>
      </w:tr>
      <w:tr>
        <w:trPr>
          <w:cantSplit/>
        </w:trPr>
        <w:tc>
          <w:tcPr>
            <w:tcW w:type="dxa" w:w="1757"/>
            <w:vAlign w:val="center"/>
            <w:shd w:fill="EDF2F7"/>
          </w:tcPr>
          <w:p>
            <w:pPr>
              <w:spacing w:after="40" w:line="276" w:lineRule="auto"/>
              <w:jc w:val="left"/>
            </w:pPr>
            <w:r>
              <w:rPr>
                <w:b w:val="0"/>
                <w:i w:val="0"/>
              </w:rPr>
              <w:t>4. Data Collection –Research</w:t>
            </w:r>
          </w:p>
        </w:tc>
        <w:tc>
          <w:tcPr>
            <w:tcW w:type="dxa" w:w="1928"/>
            <w:vAlign w:val="center"/>
            <w:shd w:fill="EDF2F7"/>
          </w:tcPr>
          <w:p>
            <w:pPr>
              <w:spacing w:after="40" w:line="276" w:lineRule="auto"/>
              <w:jc w:val="left"/>
            </w:pPr>
            <w:r>
              <w:rPr>
                <w:b w:val="0"/>
                <w:i w:val="0"/>
              </w:rPr>
              <w:t>Compile publications, patents, funding received, research collaborations</w:t>
            </w:r>
          </w:p>
        </w:tc>
        <w:tc>
          <w:tcPr>
            <w:tcW w:type="dxa" w:w="1928"/>
            <w:vAlign w:val="center"/>
            <w:shd w:fill="EDF2F7"/>
          </w:tcPr>
          <w:p>
            <w:pPr>
              <w:spacing w:after="40" w:line="276" w:lineRule="auto"/>
              <w:jc w:val="left"/>
            </w:pPr>
            <w:r>
              <w:rPr>
                <w:b w:val="0"/>
                <w:i w:val="0"/>
              </w:rPr>
              <w:t>R&amp;D cell, Dean Research</w:t>
            </w:r>
          </w:p>
        </w:tc>
        <w:tc>
          <w:tcPr>
            <w:tcW w:type="dxa" w:w="1871"/>
            <w:vAlign w:val="center"/>
            <w:shd w:fill="EDF2F7"/>
          </w:tcPr>
          <w:p>
            <w:pPr>
              <w:spacing w:after="40" w:line="276" w:lineRule="auto"/>
              <w:jc w:val="left"/>
            </w:pPr>
            <w:r>
              <w:rPr>
                <w:b w:val="0"/>
                <w:i w:val="0"/>
              </w:rPr>
              <w:t>Research baseline report</w:t>
            </w:r>
          </w:p>
        </w:tc>
        <w:tc>
          <w:tcPr>
            <w:tcW w:type="dxa" w:w="1928"/>
            <w:vAlign w:val="center"/>
            <w:shd w:fill="EDF2F7"/>
          </w:tcPr>
          <w:p>
            <w:pPr>
              <w:spacing w:after="40" w:line="276" w:lineRule="auto"/>
              <w:jc w:val="left"/>
            </w:pPr>
            <w:r>
              <w:rPr>
                <w:b w:val="0"/>
                <w:i w:val="0"/>
              </w:rPr>
              <w:t>Month 1</w:t>
            </w:r>
          </w:p>
        </w:tc>
      </w:tr>
      <w:tr>
        <w:trPr>
          <w:cantSplit/>
        </w:trPr>
        <w:tc>
          <w:tcPr>
            <w:tcW w:type="dxa" w:w="1757"/>
            <w:vAlign w:val="center"/>
            <w:shd w:fill="FFFFFF"/>
          </w:tcPr>
          <w:p>
            <w:pPr>
              <w:spacing w:after="40" w:line="276" w:lineRule="auto"/>
              <w:jc w:val="left"/>
            </w:pPr>
            <w:r>
              <w:rPr>
                <w:b w:val="0"/>
                <w:i w:val="0"/>
              </w:rPr>
              <w:t>5. Data Collection –Finance</w:t>
            </w:r>
          </w:p>
        </w:tc>
        <w:tc>
          <w:tcPr>
            <w:tcW w:type="dxa" w:w="1928"/>
            <w:vAlign w:val="center"/>
            <w:shd w:fill="FFFFFF"/>
          </w:tcPr>
          <w:p>
            <w:pPr>
              <w:spacing w:after="40" w:line="276" w:lineRule="auto"/>
              <w:jc w:val="left"/>
            </w:pPr>
            <w:r>
              <w:rPr>
                <w:b w:val="0"/>
                <w:i w:val="0"/>
              </w:rPr>
              <w:t>Review budget allocation, income sources, alumni/​CSR contributions</w:t>
            </w:r>
          </w:p>
        </w:tc>
        <w:tc>
          <w:tcPr>
            <w:tcW w:type="dxa" w:w="1928"/>
            <w:vAlign w:val="center"/>
            <w:shd w:fill="FFFFFF"/>
          </w:tcPr>
          <w:p>
            <w:pPr>
              <w:spacing w:after="40" w:line="276" w:lineRule="auto"/>
              <w:jc w:val="left"/>
            </w:pPr>
            <w:r>
              <w:rPr>
                <w:b w:val="0"/>
                <w:i w:val="0"/>
              </w:rPr>
              <w:t>Finance Office</w:t>
            </w:r>
          </w:p>
        </w:tc>
        <w:tc>
          <w:tcPr>
            <w:tcW w:type="dxa" w:w="1871"/>
            <w:vAlign w:val="center"/>
            <w:shd w:fill="FFFFFF"/>
          </w:tcPr>
          <w:p>
            <w:pPr>
              <w:spacing w:after="40" w:line="276" w:lineRule="auto"/>
              <w:jc w:val="left"/>
            </w:pPr>
            <w:r>
              <w:rPr>
                <w:b w:val="0"/>
                <w:i w:val="0"/>
              </w:rPr>
              <w:t>Financial health report</w:t>
            </w:r>
          </w:p>
        </w:tc>
        <w:tc>
          <w:tcPr>
            <w:tcW w:type="dxa" w:w="1928"/>
            <w:vAlign w:val="center"/>
            <w:shd w:fill="FFFFFF"/>
          </w:tcPr>
          <w:p>
            <w:pPr>
              <w:spacing w:after="40" w:line="276" w:lineRule="auto"/>
              <w:jc w:val="left"/>
            </w:pPr>
            <w:r>
              <w:rPr>
                <w:b w:val="0"/>
                <w:i w:val="0"/>
              </w:rPr>
              <w:t>Month 2</w:t>
            </w:r>
          </w:p>
        </w:tc>
      </w:tr>
      <w:tr>
        <w:trPr>
          <w:cantSplit/>
        </w:trPr>
        <w:tc>
          <w:tcPr>
            <w:tcW w:type="dxa" w:w="1757"/>
            <w:vAlign w:val="center"/>
            <w:shd w:fill="EDF2F7"/>
          </w:tcPr>
          <w:p>
            <w:pPr>
              <w:spacing w:after="40" w:line="276" w:lineRule="auto"/>
              <w:jc w:val="left"/>
            </w:pPr>
            <w:r>
              <w:rPr>
                <w:b w:val="0"/>
                <w:i w:val="0"/>
              </w:rPr>
              <w:t>6. Data Collection –Infrastructure</w:t>
            </w:r>
          </w:p>
        </w:tc>
        <w:tc>
          <w:tcPr>
            <w:tcW w:type="dxa" w:w="1928"/>
            <w:vAlign w:val="center"/>
            <w:shd w:fill="EDF2F7"/>
          </w:tcPr>
          <w:p>
            <w:pPr>
              <w:spacing w:after="40" w:line="276" w:lineRule="auto"/>
              <w:jc w:val="left"/>
            </w:pPr>
            <w:r>
              <w:rPr>
                <w:b w:val="0"/>
                <w:i w:val="0"/>
              </w:rPr>
              <w:t>Audit ICT facilities, labs, classrooms, green initiatives</w:t>
            </w:r>
          </w:p>
        </w:tc>
        <w:tc>
          <w:tcPr>
            <w:tcW w:type="dxa" w:w="1928"/>
            <w:vAlign w:val="center"/>
            <w:shd w:fill="EDF2F7"/>
          </w:tcPr>
          <w:p>
            <w:pPr>
              <w:spacing w:after="40" w:line="276" w:lineRule="auto"/>
              <w:jc w:val="left"/>
            </w:pPr>
            <w:r>
              <w:rPr>
                <w:b w:val="0"/>
                <w:i w:val="0"/>
              </w:rPr>
              <w:t>Estate &amp; Infrastructure Office</w:t>
            </w:r>
          </w:p>
        </w:tc>
        <w:tc>
          <w:tcPr>
            <w:tcW w:type="dxa" w:w="1871"/>
            <w:vAlign w:val="center"/>
            <w:shd w:fill="EDF2F7"/>
          </w:tcPr>
          <w:p>
            <w:pPr>
              <w:spacing w:after="40" w:line="276" w:lineRule="auto"/>
              <w:jc w:val="left"/>
            </w:pPr>
            <w:r>
              <w:rPr>
                <w:b w:val="0"/>
                <w:i w:val="0"/>
              </w:rPr>
              <w:t>Infrastructure audit report</w:t>
            </w:r>
          </w:p>
        </w:tc>
        <w:tc>
          <w:tcPr>
            <w:tcW w:type="dxa" w:w="1928"/>
            <w:vAlign w:val="center"/>
            <w:shd w:fill="EDF2F7"/>
          </w:tcPr>
          <w:p>
            <w:pPr>
              <w:spacing w:after="40" w:line="276" w:lineRule="auto"/>
              <w:jc w:val="left"/>
            </w:pPr>
            <w:r>
              <w:rPr>
                <w:b w:val="0"/>
                <w:i w:val="0"/>
              </w:rPr>
              <w:t>Month 2</w:t>
            </w:r>
          </w:p>
        </w:tc>
      </w:tr>
      <w:tr>
        <w:trPr>
          <w:cantSplit/>
        </w:trPr>
        <w:tc>
          <w:tcPr>
            <w:tcW w:type="dxa" w:w="1757"/>
            <w:vAlign w:val="center"/>
            <w:shd w:fill="FFFFFF"/>
          </w:tcPr>
          <w:p>
            <w:pPr>
              <w:spacing w:after="40" w:line="276" w:lineRule="auto"/>
              <w:jc w:val="left"/>
            </w:pPr>
            <w:r>
              <w:rPr>
                <w:b w:val="0"/>
                <w:i w:val="0"/>
              </w:rPr>
              <w:t>7. Accreditation Gap Analysis</w:t>
            </w:r>
          </w:p>
        </w:tc>
        <w:tc>
          <w:tcPr>
            <w:tcW w:type="dxa" w:w="1928"/>
            <w:vAlign w:val="center"/>
            <w:shd w:fill="FFFFFF"/>
          </w:tcPr>
          <w:p>
            <w:pPr>
              <w:spacing w:after="40" w:line="276" w:lineRule="auto"/>
              <w:jc w:val="left"/>
            </w:pPr>
            <w:r>
              <w:rPr>
                <w:b w:val="0"/>
                <w:i w:val="0"/>
              </w:rPr>
              <w:t>Map compliance against NAAC/​NBA/​NIRF/​QS standards</w:t>
            </w:r>
          </w:p>
        </w:tc>
        <w:tc>
          <w:tcPr>
            <w:tcW w:type="dxa" w:w="1928"/>
            <w:vAlign w:val="center"/>
            <w:shd w:fill="FFFFFF"/>
          </w:tcPr>
          <w:p>
            <w:pPr>
              <w:spacing w:after="40" w:line="276" w:lineRule="auto"/>
              <w:jc w:val="left"/>
            </w:pPr>
            <w:r>
              <w:rPr>
                <w:b w:val="0"/>
                <w:i w:val="0"/>
              </w:rPr>
              <w:t>IQAC, Accreditation Cell</w:t>
            </w:r>
          </w:p>
        </w:tc>
        <w:tc>
          <w:tcPr>
            <w:tcW w:type="dxa" w:w="1871"/>
            <w:vAlign w:val="center"/>
            <w:shd w:fill="FFFFFF"/>
          </w:tcPr>
          <w:p>
            <w:pPr>
              <w:spacing w:after="40" w:line="276" w:lineRule="auto"/>
              <w:jc w:val="left"/>
            </w:pPr>
            <w:r>
              <w:rPr>
                <w:b w:val="0"/>
                <w:i w:val="0"/>
              </w:rPr>
              <w:t>Accreditation readiness report</w:t>
            </w:r>
          </w:p>
        </w:tc>
        <w:tc>
          <w:tcPr>
            <w:tcW w:type="dxa" w:w="1928"/>
            <w:vAlign w:val="center"/>
            <w:shd w:fill="FFFFFF"/>
          </w:tcPr>
          <w:p>
            <w:pPr>
              <w:spacing w:after="40" w:line="276" w:lineRule="auto"/>
              <w:jc w:val="left"/>
            </w:pPr>
            <w:r>
              <w:rPr>
                <w:b w:val="0"/>
                <w:i w:val="0"/>
              </w:rPr>
              <w:t>Month 3</w:t>
            </w:r>
          </w:p>
        </w:tc>
      </w:tr>
      <w:tr>
        <w:trPr>
          <w:cantSplit/>
        </w:trPr>
        <w:tc>
          <w:tcPr>
            <w:tcW w:type="dxa" w:w="1757"/>
            <w:vAlign w:val="center"/>
            <w:shd w:fill="EDF2F7"/>
          </w:tcPr>
          <w:p>
            <w:pPr>
              <w:spacing w:after="40" w:line="276" w:lineRule="auto"/>
              <w:jc w:val="left"/>
            </w:pPr>
            <w:r>
              <w:rPr>
                <w:b w:val="0"/>
                <w:i w:val="0"/>
              </w:rPr>
              <w:t>8. Stakeholder Consultations</w:t>
            </w:r>
          </w:p>
        </w:tc>
        <w:tc>
          <w:tcPr>
            <w:tcW w:type="dxa" w:w="1928"/>
            <w:vAlign w:val="center"/>
            <w:shd w:fill="EDF2F7"/>
          </w:tcPr>
          <w:p>
            <w:pPr>
              <w:spacing w:after="40" w:line="276" w:lineRule="auto"/>
              <w:jc w:val="left"/>
            </w:pPr>
            <w:r>
              <w:rPr>
                <w:b w:val="0"/>
                <w:i w:val="0"/>
              </w:rPr>
              <w:t>Conduct surveys, FGDs, interviews with students, faculty, alumni, employers</w:t>
            </w:r>
          </w:p>
        </w:tc>
        <w:tc>
          <w:tcPr>
            <w:tcW w:type="dxa" w:w="1928"/>
            <w:vAlign w:val="center"/>
            <w:shd w:fill="EDF2F7"/>
          </w:tcPr>
          <w:p>
            <w:pPr>
              <w:spacing w:after="40" w:line="276" w:lineRule="auto"/>
              <w:jc w:val="left"/>
            </w:pPr>
            <w:r>
              <w:rPr>
                <w:b w:val="0"/>
                <w:i w:val="0"/>
              </w:rPr>
              <w:t>IQAC, Student Affairs, Alumni Office</w:t>
            </w:r>
          </w:p>
        </w:tc>
        <w:tc>
          <w:tcPr>
            <w:tcW w:type="dxa" w:w="1871"/>
            <w:vAlign w:val="center"/>
            <w:shd w:fill="EDF2F7"/>
          </w:tcPr>
          <w:p>
            <w:pPr>
              <w:spacing w:after="40" w:line="276" w:lineRule="auto"/>
              <w:jc w:val="left"/>
            </w:pPr>
            <w:r>
              <w:rPr>
                <w:b w:val="0"/>
                <w:i w:val="0"/>
              </w:rPr>
              <w:t>Stakeholder feedback summary</w:t>
            </w:r>
          </w:p>
        </w:tc>
        <w:tc>
          <w:tcPr>
            <w:tcW w:type="dxa" w:w="1928"/>
            <w:vAlign w:val="center"/>
            <w:shd w:fill="EDF2F7"/>
          </w:tcPr>
          <w:p>
            <w:pPr>
              <w:spacing w:after="40" w:line="276" w:lineRule="auto"/>
              <w:jc w:val="left"/>
            </w:pPr>
            <w:r>
              <w:rPr>
                <w:b w:val="0"/>
                <w:i w:val="0"/>
              </w:rPr>
              <w:t>Month 3</w:t>
            </w:r>
          </w:p>
        </w:tc>
      </w:tr>
      <w:tr>
        <w:trPr>
          <w:cantSplit/>
        </w:trPr>
        <w:tc>
          <w:tcPr>
            <w:tcW w:type="dxa" w:w="1757"/>
            <w:vAlign w:val="center"/>
            <w:shd w:fill="FFFFFF"/>
          </w:tcPr>
          <w:p>
            <w:pPr>
              <w:spacing w:after="40" w:line="276" w:lineRule="auto"/>
              <w:jc w:val="left"/>
            </w:pPr>
            <w:r>
              <w:rPr>
                <w:b w:val="0"/>
                <w:i w:val="0"/>
              </w:rPr>
              <w:t>9. SWOT Analysis</w:t>
            </w:r>
          </w:p>
        </w:tc>
        <w:tc>
          <w:tcPr>
            <w:tcW w:type="dxa" w:w="1928"/>
            <w:vAlign w:val="center"/>
            <w:shd w:fill="FFFFFF"/>
          </w:tcPr>
          <w:p>
            <w:pPr>
              <w:spacing w:after="40" w:line="276" w:lineRule="auto"/>
              <w:jc w:val="left"/>
            </w:pPr>
            <w:r>
              <w:rPr>
                <w:b w:val="0"/>
                <w:i w:val="0"/>
              </w:rPr>
              <w:t>Identify internal strengths, weaknesses, opportunities, threats</w:t>
            </w:r>
          </w:p>
        </w:tc>
        <w:tc>
          <w:tcPr>
            <w:tcW w:type="dxa" w:w="1928"/>
            <w:vAlign w:val="center"/>
            <w:shd w:fill="FFFFFF"/>
          </w:tcPr>
          <w:p>
            <w:pPr>
              <w:spacing w:after="40" w:line="276" w:lineRule="auto"/>
              <w:jc w:val="left"/>
            </w:pPr>
            <w:r>
              <w:rPr>
                <w:b w:val="0"/>
                <w:i w:val="0"/>
              </w:rPr>
              <w:t>Strategic Planning Committee</w:t>
            </w:r>
          </w:p>
        </w:tc>
        <w:tc>
          <w:tcPr>
            <w:tcW w:type="dxa" w:w="1871"/>
            <w:vAlign w:val="center"/>
            <w:shd w:fill="FFFFFF"/>
          </w:tcPr>
          <w:p>
            <w:pPr>
              <w:spacing w:after="40" w:line="276" w:lineRule="auto"/>
              <w:jc w:val="left"/>
            </w:pPr>
            <w:r>
              <w:rPr>
                <w:b w:val="0"/>
                <w:i w:val="0"/>
              </w:rPr>
              <w:t>SWOT matrix</w:t>
            </w:r>
          </w:p>
        </w:tc>
        <w:tc>
          <w:tcPr>
            <w:tcW w:type="dxa" w:w="1928"/>
            <w:vAlign w:val="center"/>
            <w:shd w:fill="FFFFFF"/>
          </w:tcPr>
          <w:p>
            <w:pPr>
              <w:spacing w:after="40" w:line="276" w:lineRule="auto"/>
              <w:jc w:val="left"/>
            </w:pPr>
            <w:r>
              <w:rPr>
                <w:b w:val="0"/>
                <w:i w:val="0"/>
              </w:rPr>
              <w:t>Month 4</w:t>
            </w:r>
          </w:p>
        </w:tc>
      </w:tr>
      <w:tr>
        <w:trPr>
          <w:cantSplit/>
        </w:trPr>
        <w:tc>
          <w:tcPr>
            <w:tcW w:type="dxa" w:w="1757"/>
            <w:vAlign w:val="center"/>
            <w:shd w:fill="EDF2F7"/>
          </w:tcPr>
          <w:p>
            <w:pPr>
              <w:spacing w:after="40" w:line="276" w:lineRule="auto"/>
              <w:jc w:val="left"/>
            </w:pPr>
            <w:r>
              <w:rPr>
                <w:b w:val="0"/>
                <w:i w:val="0"/>
              </w:rPr>
              <w:t>10. PESTLE Analysis</w:t>
            </w:r>
          </w:p>
        </w:tc>
        <w:tc>
          <w:tcPr>
            <w:tcW w:type="dxa" w:w="1928"/>
            <w:vAlign w:val="center"/>
            <w:shd w:fill="EDF2F7"/>
          </w:tcPr>
          <w:p>
            <w:pPr>
              <w:spacing w:after="40" w:line="276" w:lineRule="auto"/>
              <w:jc w:val="left"/>
            </w:pPr>
            <w:r>
              <w:rPr>
                <w:b w:val="0"/>
                <w:i w:val="0"/>
              </w:rPr>
              <w:t>Assess external political, economic, social, technological, legal, environmental factors</w:t>
            </w:r>
          </w:p>
        </w:tc>
        <w:tc>
          <w:tcPr>
            <w:tcW w:type="dxa" w:w="1928"/>
            <w:vAlign w:val="center"/>
            <w:shd w:fill="EDF2F7"/>
          </w:tcPr>
          <w:p>
            <w:pPr>
              <w:spacing w:after="40" w:line="276" w:lineRule="auto"/>
              <w:jc w:val="left"/>
            </w:pPr>
            <w:r>
              <w:rPr>
                <w:b w:val="0"/>
                <w:i w:val="0"/>
              </w:rPr>
              <w:t>Strategic Planning Committee</w:t>
            </w:r>
          </w:p>
        </w:tc>
        <w:tc>
          <w:tcPr>
            <w:tcW w:type="dxa" w:w="1871"/>
            <w:vAlign w:val="center"/>
            <w:shd w:fill="EDF2F7"/>
          </w:tcPr>
          <w:p>
            <w:pPr>
              <w:spacing w:after="40" w:line="276" w:lineRule="auto"/>
              <w:jc w:val="left"/>
            </w:pPr>
            <w:r>
              <w:rPr>
                <w:b w:val="0"/>
                <w:i w:val="0"/>
              </w:rPr>
              <w:t>PESTLE matrix</w:t>
            </w:r>
          </w:p>
        </w:tc>
        <w:tc>
          <w:tcPr>
            <w:tcW w:type="dxa" w:w="1928"/>
            <w:vAlign w:val="center"/>
            <w:shd w:fill="EDF2F7"/>
          </w:tcPr>
          <w:p>
            <w:pPr>
              <w:spacing w:after="40" w:line="276" w:lineRule="auto"/>
              <w:jc w:val="left"/>
            </w:pPr>
            <w:r>
              <w:rPr>
                <w:b w:val="0"/>
                <w:i w:val="0"/>
              </w:rPr>
              <w:t>Month 4</w:t>
            </w:r>
          </w:p>
        </w:tc>
      </w:tr>
      <w:tr>
        <w:trPr>
          <w:cantSplit/>
        </w:trPr>
        <w:tc>
          <w:tcPr>
            <w:tcW w:type="dxa" w:w="1757"/>
            <w:vAlign w:val="center"/>
            <w:shd w:fill="FFFFFF"/>
          </w:tcPr>
          <w:p>
            <w:pPr>
              <w:spacing w:after="40" w:line="276" w:lineRule="auto"/>
              <w:jc w:val="left"/>
            </w:pPr>
            <w:r>
              <w:rPr>
                <w:b w:val="0"/>
                <w:i w:val="0"/>
              </w:rPr>
              <w:t>11. Benchmarking</w:t>
            </w:r>
          </w:p>
        </w:tc>
        <w:tc>
          <w:tcPr>
            <w:tcW w:type="dxa" w:w="1928"/>
            <w:vAlign w:val="center"/>
            <w:shd w:fill="FFFFFF"/>
          </w:tcPr>
          <w:p>
            <w:pPr>
              <w:spacing w:after="40" w:line="276" w:lineRule="auto"/>
              <w:jc w:val="left"/>
            </w:pPr>
            <w:r>
              <w:rPr>
                <w:b w:val="0"/>
                <w:i w:val="0"/>
              </w:rPr>
              <w:t>Compare with peer institutions (national &amp; international best practices)</w:t>
            </w:r>
          </w:p>
        </w:tc>
        <w:tc>
          <w:tcPr>
            <w:tcW w:type="dxa" w:w="1928"/>
            <w:vAlign w:val="center"/>
            <w:shd w:fill="FFFFFF"/>
          </w:tcPr>
          <w:p>
            <w:pPr>
              <w:spacing w:after="40" w:line="276" w:lineRule="auto"/>
              <w:jc w:val="left"/>
            </w:pPr>
            <w:r>
              <w:rPr>
                <w:b w:val="0"/>
                <w:i w:val="0"/>
              </w:rPr>
              <w:t>Planning &amp; Ranking Committee</w:t>
            </w:r>
          </w:p>
        </w:tc>
        <w:tc>
          <w:tcPr>
            <w:tcW w:type="dxa" w:w="1871"/>
            <w:vAlign w:val="center"/>
            <w:shd w:fill="FFFFFF"/>
          </w:tcPr>
          <w:p>
            <w:pPr>
              <w:spacing w:after="40" w:line="276" w:lineRule="auto"/>
              <w:jc w:val="left"/>
            </w:pPr>
            <w:r>
              <w:rPr>
                <w:b w:val="0"/>
                <w:i w:val="0"/>
              </w:rPr>
              <w:t>Benchmarking report</w:t>
            </w:r>
          </w:p>
        </w:tc>
        <w:tc>
          <w:tcPr>
            <w:tcW w:type="dxa" w:w="1928"/>
            <w:vAlign w:val="center"/>
            <w:shd w:fill="FFFFFF"/>
          </w:tcPr>
          <w:p>
            <w:pPr>
              <w:spacing w:after="40" w:line="276" w:lineRule="auto"/>
              <w:jc w:val="left"/>
            </w:pPr>
            <w:r>
              <w:rPr>
                <w:b w:val="0"/>
                <w:i w:val="0"/>
              </w:rPr>
              <w:t>Month 5</w:t>
            </w:r>
          </w:p>
        </w:tc>
      </w:tr>
      <w:tr>
        <w:trPr>
          <w:cantSplit/>
        </w:trPr>
        <w:tc>
          <w:tcPr>
            <w:tcW w:type="dxa" w:w="1757"/>
            <w:vAlign w:val="center"/>
            <w:shd w:fill="EDF2F7"/>
          </w:tcPr>
          <w:p>
            <w:pPr>
              <w:spacing w:after="40" w:line="276" w:lineRule="auto"/>
              <w:jc w:val="left"/>
            </w:pPr>
            <w:r>
              <w:rPr>
                <w:b w:val="0"/>
                <w:i w:val="0"/>
              </w:rPr>
              <w:t>12. Draft Diagnostic Report</w:t>
            </w:r>
          </w:p>
        </w:tc>
        <w:tc>
          <w:tcPr>
            <w:tcW w:type="dxa" w:w="1928"/>
            <w:vAlign w:val="center"/>
            <w:shd w:fill="EDF2F7"/>
          </w:tcPr>
          <w:p>
            <w:pPr>
              <w:spacing w:after="40" w:line="276" w:lineRule="auto"/>
              <w:jc w:val="left"/>
            </w:pPr>
            <w:r>
              <w:rPr>
                <w:b w:val="0"/>
                <w:i w:val="0"/>
              </w:rPr>
              <w:t>Integrate academic, research, finance, infra, SWOT &amp; PESTLE findings</w:t>
            </w:r>
          </w:p>
        </w:tc>
        <w:tc>
          <w:tcPr>
            <w:tcW w:type="dxa" w:w="1928"/>
            <w:vAlign w:val="center"/>
            <w:shd w:fill="EDF2F7"/>
          </w:tcPr>
          <w:p>
            <w:pPr>
              <w:spacing w:after="40" w:line="276" w:lineRule="auto"/>
              <w:jc w:val="left"/>
            </w:pPr>
            <w:r>
              <w:rPr>
                <w:b w:val="0"/>
                <w:i w:val="0"/>
              </w:rPr>
              <w:t>Planning Committee</w:t>
            </w:r>
          </w:p>
        </w:tc>
        <w:tc>
          <w:tcPr>
            <w:tcW w:type="dxa" w:w="1871"/>
            <w:vAlign w:val="center"/>
            <w:shd w:fill="EDF2F7"/>
          </w:tcPr>
          <w:p>
            <w:pPr>
              <w:spacing w:after="40" w:line="276" w:lineRule="auto"/>
              <w:jc w:val="left"/>
            </w:pPr>
            <w:r>
              <w:rPr>
                <w:b w:val="0"/>
                <w:i w:val="0"/>
              </w:rPr>
              <w:t>Draft institutional diagnostic report</w:t>
            </w:r>
          </w:p>
        </w:tc>
        <w:tc>
          <w:tcPr>
            <w:tcW w:type="dxa" w:w="1928"/>
            <w:vAlign w:val="center"/>
            <w:shd w:fill="EDF2F7"/>
          </w:tcPr>
          <w:p>
            <w:pPr>
              <w:spacing w:after="40" w:line="276" w:lineRule="auto"/>
              <w:jc w:val="left"/>
            </w:pPr>
            <w:r>
              <w:rPr>
                <w:b w:val="0"/>
                <w:i w:val="0"/>
              </w:rPr>
              <w:t>Month 6</w:t>
            </w:r>
          </w:p>
        </w:tc>
      </w:tr>
      <w:tr>
        <w:trPr>
          <w:cantSplit/>
        </w:trPr>
        <w:tc>
          <w:tcPr>
            <w:tcW w:type="dxa" w:w="1757"/>
            <w:vAlign w:val="center"/>
            <w:shd w:fill="FFFFFF"/>
          </w:tcPr>
          <w:p>
            <w:pPr>
              <w:spacing w:after="40" w:line="276" w:lineRule="auto"/>
              <w:jc w:val="left"/>
            </w:pPr>
            <w:r>
              <w:rPr>
                <w:b w:val="0"/>
                <w:i w:val="0"/>
              </w:rPr>
              <w:t>13. Validation &amp; Feedback</w:t>
            </w:r>
          </w:p>
        </w:tc>
        <w:tc>
          <w:tcPr>
            <w:tcW w:type="dxa" w:w="1928"/>
            <w:vAlign w:val="center"/>
            <w:shd w:fill="FFFFFF"/>
          </w:tcPr>
          <w:p>
            <w:pPr>
              <w:spacing w:after="40" w:line="276" w:lineRule="auto"/>
              <w:jc w:val="left"/>
            </w:pPr>
            <w:r>
              <w:rPr>
                <w:b w:val="0"/>
                <w:i w:val="0"/>
              </w:rPr>
              <w:t>Present draft to stakeholders for review and suggestions</w:t>
            </w:r>
          </w:p>
        </w:tc>
        <w:tc>
          <w:tcPr>
            <w:tcW w:type="dxa" w:w="1928"/>
            <w:vAlign w:val="center"/>
            <w:shd w:fill="FFFFFF"/>
          </w:tcPr>
          <w:p>
            <w:pPr>
              <w:spacing w:after="40" w:line="276" w:lineRule="auto"/>
              <w:jc w:val="left"/>
            </w:pPr>
            <w:r>
              <w:rPr>
                <w:b w:val="0"/>
                <w:i w:val="0"/>
              </w:rPr>
              <w:t>Leadership, IQAC, Faculty Council</w:t>
            </w:r>
          </w:p>
        </w:tc>
        <w:tc>
          <w:tcPr>
            <w:tcW w:type="dxa" w:w="1871"/>
            <w:vAlign w:val="center"/>
            <w:shd w:fill="FFFFFF"/>
          </w:tcPr>
          <w:p>
            <w:pPr>
              <w:spacing w:after="40" w:line="276" w:lineRule="auto"/>
              <w:jc w:val="left"/>
            </w:pPr>
            <w:r>
              <w:rPr>
                <w:b w:val="0"/>
                <w:i w:val="0"/>
              </w:rPr>
              <w:t>Validated draft with revisions</w:t>
            </w:r>
          </w:p>
        </w:tc>
        <w:tc>
          <w:tcPr>
            <w:tcW w:type="dxa" w:w="1928"/>
            <w:vAlign w:val="center"/>
            <w:shd w:fill="FFFFFF"/>
          </w:tcPr>
          <w:p>
            <w:pPr>
              <w:spacing w:after="40" w:line="276" w:lineRule="auto"/>
              <w:jc w:val="left"/>
            </w:pPr>
            <w:r>
              <w:rPr>
                <w:b w:val="0"/>
                <w:i w:val="0"/>
              </w:rPr>
              <w:t>Month 7</w:t>
            </w:r>
          </w:p>
        </w:tc>
      </w:tr>
      <w:tr>
        <w:trPr>
          <w:cantSplit/>
        </w:trPr>
        <w:tc>
          <w:tcPr>
            <w:tcW w:type="dxa" w:w="1757"/>
            <w:vAlign w:val="center"/>
            <w:shd w:fill="EDF2F7"/>
          </w:tcPr>
          <w:p>
            <w:pPr>
              <w:spacing w:after="40" w:line="276" w:lineRule="auto"/>
              <w:jc w:val="left"/>
            </w:pPr>
            <w:r>
              <w:rPr>
                <w:b w:val="0"/>
                <w:i w:val="0"/>
              </w:rPr>
              <w:t>14. Final Diagnostic Report</w:t>
            </w:r>
          </w:p>
        </w:tc>
        <w:tc>
          <w:tcPr>
            <w:tcW w:type="dxa" w:w="1928"/>
            <w:vAlign w:val="center"/>
            <w:shd w:fill="EDF2F7"/>
          </w:tcPr>
          <w:p>
            <w:pPr>
              <w:spacing w:after="40" w:line="276" w:lineRule="auto"/>
              <w:jc w:val="left"/>
            </w:pPr>
            <w:r>
              <w:rPr>
                <w:b w:val="0"/>
                <w:i w:val="0"/>
              </w:rPr>
              <w:t>Finalize report, highlight strategic priorities for Phase 2</w:t>
            </w:r>
          </w:p>
        </w:tc>
        <w:tc>
          <w:tcPr>
            <w:tcW w:type="dxa" w:w="1928"/>
            <w:vAlign w:val="center"/>
            <w:shd w:fill="EDF2F7"/>
          </w:tcPr>
          <w:p>
            <w:pPr>
              <w:spacing w:after="40" w:line="276" w:lineRule="auto"/>
              <w:jc w:val="left"/>
            </w:pPr>
            <w:r>
              <w:rPr>
                <w:b w:val="0"/>
                <w:i w:val="0"/>
              </w:rPr>
              <w:t>Strategic Planning Committee</w:t>
            </w:r>
          </w:p>
        </w:tc>
        <w:tc>
          <w:tcPr>
            <w:tcW w:type="dxa" w:w="1871"/>
            <w:vAlign w:val="center"/>
            <w:shd w:fill="EDF2F7"/>
          </w:tcPr>
          <w:p>
            <w:pPr>
              <w:spacing w:after="40" w:line="276" w:lineRule="auto"/>
              <w:jc w:val="left"/>
            </w:pPr>
            <w:r>
              <w:rPr>
                <w:b w:val="0"/>
                <w:i w:val="0"/>
              </w:rPr>
              <w:t>Institutional Diagnostic Report</w:t>
            </w:r>
          </w:p>
        </w:tc>
        <w:tc>
          <w:tcPr>
            <w:tcW w:type="dxa" w:w="1928"/>
            <w:vAlign w:val="center"/>
            <w:shd w:fill="EDF2F7"/>
          </w:tcPr>
          <w:p>
            <w:pPr>
              <w:spacing w:after="40" w:line="276" w:lineRule="auto"/>
              <w:jc w:val="left"/>
            </w:pPr>
            <w:r>
              <w:rPr>
                <w:b w:val="0"/>
                <w:i w:val="0"/>
              </w:rPr>
              <w:t>Month 8</w:t>
            </w:r>
          </w:p>
        </w:tc>
      </w:tr>
      <w:tr>
        <w:trPr>
          <w:cantSplit/>
        </w:trPr>
        <w:tc>
          <w:tcPr>
            <w:tcW w:type="dxa" w:w="1757"/>
            <w:vAlign w:val="center"/>
            <w:shd w:fill="FFFFFF"/>
          </w:tcPr>
          <w:p>
            <w:pPr>
              <w:spacing w:after="40" w:line="276" w:lineRule="auto"/>
              <w:jc w:val="left"/>
            </w:pPr>
            <w:r>
              <w:rPr>
                <w:b w:val="0"/>
                <w:i w:val="0"/>
              </w:rPr>
              <w:t>15. Approval &amp; Transition</w:t>
            </w:r>
          </w:p>
        </w:tc>
        <w:tc>
          <w:tcPr>
            <w:tcW w:type="dxa" w:w="1928"/>
            <w:vAlign w:val="center"/>
            <w:shd w:fill="FFFFFF"/>
          </w:tcPr>
          <w:p>
            <w:pPr>
              <w:spacing w:after="40" w:line="276" w:lineRule="auto"/>
              <w:jc w:val="left"/>
            </w:pPr>
            <w:r>
              <w:rPr>
                <w:b w:val="0"/>
                <w:i w:val="0"/>
              </w:rPr>
              <w:t>Submit report to Governing Body/​BoG for approval</w:t>
            </w:r>
          </w:p>
        </w:tc>
        <w:tc>
          <w:tcPr>
            <w:tcW w:type="dxa" w:w="1928"/>
            <w:vAlign w:val="center"/>
            <w:shd w:fill="FFFFFF"/>
          </w:tcPr>
          <w:p>
            <w:pPr>
              <w:spacing w:after="40" w:line="276" w:lineRule="auto"/>
              <w:jc w:val="left"/>
            </w:pPr>
            <w:r>
              <w:rPr>
                <w:b w:val="0"/>
                <w:i w:val="0"/>
              </w:rPr>
              <w:t>Institutional Leadership</w:t>
            </w:r>
          </w:p>
        </w:tc>
        <w:tc>
          <w:tcPr>
            <w:tcW w:type="dxa" w:w="1871"/>
            <w:vAlign w:val="center"/>
            <w:shd w:fill="FFFFFF"/>
          </w:tcPr>
          <w:p>
            <w:pPr>
              <w:spacing w:after="40" w:line="276" w:lineRule="auto"/>
              <w:jc w:val="left"/>
            </w:pPr>
            <w:r>
              <w:rPr>
                <w:b w:val="0"/>
                <w:i w:val="0"/>
              </w:rPr>
              <w:t>Approved foundation for Phase 2 (Strategy Formulation)</w:t>
            </w:r>
          </w:p>
        </w:tc>
        <w:tc>
          <w:tcPr>
            <w:tcW w:type="dxa" w:w="1928"/>
            <w:vAlign w:val="center"/>
            <w:shd w:fill="FFFFFF"/>
          </w:tcPr>
          <w:p>
            <w:pPr>
              <w:spacing w:after="40" w:line="276" w:lineRule="auto"/>
              <w:jc w:val="left"/>
            </w:pPr>
            <w:r>
              <w:rPr>
                <w:b w:val="0"/>
                <w:i w:val="0"/>
              </w:rPr>
              <w:t>Month 9</w:t>
            </w:r>
          </w:p>
        </w:tc>
      </w:tr>
    </w:tbl>
    <w:p>
      <w:pPr>
        <w:spacing w:after="40"/>
      </w:pPr>
    </w:p>
    <w:p>
      <w:pPr>
        <w:pStyle w:val="Heading2"/>
      </w:pPr>
      <w:r>
        <w:t>Phase 1: Assessment &amp; Diagnosis – RACI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757"/>
        <w:gridCol w:w="1928"/>
        <w:gridCol w:w="1928"/>
        <w:gridCol w:w="1871"/>
        <w:gridCol w:w="1928"/>
      </w:tblGrid>
      <w:tr>
        <w:trPr>
          <w:tblHeader/>
          <w:cantSplit/>
        </w:trPr>
        <w:tc>
          <w:tcPr>
            <w:tcW w:type="dxa" w:w="1757"/>
            <w:vAlign w:val="center"/>
            <w:shd w:fill="1F3A5F"/>
          </w:tcPr>
          <w:p>
            <w:pPr>
              <w:keepNext/>
              <w:spacing w:after="40" w:line="276" w:lineRule="auto"/>
              <w:jc w:val="left"/>
            </w:pPr>
            <w:r>
              <w:rPr>
                <w:b/>
                <w:i w:val="0"/>
                <w:color w:val="FFFFFF"/>
              </w:rPr>
              <w:t>Task / Activity</w:t>
            </w:r>
          </w:p>
        </w:tc>
        <w:tc>
          <w:tcPr>
            <w:tcW w:type="dxa" w:w="1928"/>
            <w:vAlign w:val="center"/>
            <w:shd w:fill="1F3A5F"/>
          </w:tcPr>
          <w:p>
            <w:pPr>
              <w:keepNext/>
              <w:spacing w:after="40" w:line="276" w:lineRule="auto"/>
              <w:jc w:val="left"/>
            </w:pPr>
            <w:r>
              <w:rPr>
                <w:b/>
                <w:i w:val="0"/>
                <w:color w:val="FFFFFF"/>
              </w:rPr>
              <w:t>Responsible (R)</w:t>
            </w:r>
          </w:p>
        </w:tc>
        <w:tc>
          <w:tcPr>
            <w:tcW w:type="dxa" w:w="1928"/>
            <w:vAlign w:val="center"/>
            <w:shd w:fill="1F3A5F"/>
          </w:tcPr>
          <w:p>
            <w:pPr>
              <w:keepNext/>
              <w:spacing w:after="40" w:line="276" w:lineRule="auto"/>
              <w:jc w:val="left"/>
            </w:pPr>
            <w:r>
              <w:rPr>
                <w:b/>
                <w:i w:val="0"/>
                <w:color w:val="FFFFFF"/>
              </w:rPr>
              <w:t>Accountable (A)</w:t>
            </w:r>
          </w:p>
        </w:tc>
        <w:tc>
          <w:tcPr>
            <w:tcW w:type="dxa" w:w="1871"/>
            <w:vAlign w:val="center"/>
            <w:shd w:fill="1F3A5F"/>
          </w:tcPr>
          <w:p>
            <w:pPr>
              <w:keepNext/>
              <w:spacing w:after="40" w:line="276" w:lineRule="auto"/>
              <w:jc w:val="left"/>
            </w:pPr>
            <w:r>
              <w:rPr>
                <w:b/>
                <w:i w:val="0"/>
                <w:color w:val="FFFFFF"/>
              </w:rPr>
              <w:t>Consulted (C)</w:t>
            </w:r>
          </w:p>
        </w:tc>
        <w:tc>
          <w:tcPr>
            <w:tcW w:type="dxa" w:w="1928"/>
            <w:vAlign w:val="center"/>
            <w:shd w:fill="1F3A5F"/>
          </w:tcPr>
          <w:p>
            <w:pPr>
              <w:keepNext/>
              <w:spacing w:after="40" w:line="276" w:lineRule="auto"/>
              <w:jc w:val="left"/>
            </w:pPr>
            <w:r>
              <w:rPr>
                <w:b/>
                <w:i w:val="0"/>
                <w:color w:val="FFFFFF"/>
              </w:rPr>
              <w:t>Informed (I)</w:t>
            </w:r>
          </w:p>
        </w:tc>
      </w:tr>
      <w:tr>
        <w:trPr>
          <w:cantSplit/>
        </w:trPr>
        <w:tc>
          <w:tcPr>
            <w:tcW w:type="dxa" w:w="1757"/>
            <w:vAlign w:val="center"/>
            <w:shd w:fill="FFFFFF"/>
          </w:tcPr>
          <w:p>
            <w:pPr>
              <w:spacing w:after="40" w:line="276" w:lineRule="auto"/>
              <w:jc w:val="left"/>
            </w:pPr>
            <w:r>
              <w:rPr>
                <w:b w:val="0"/>
                <w:i w:val="0"/>
              </w:rPr>
              <w:t>Conduct institutional audit (academic, research, finance, governance)</w:t>
            </w:r>
          </w:p>
        </w:tc>
        <w:tc>
          <w:tcPr>
            <w:tcW w:type="dxa" w:w="1928"/>
            <w:vAlign w:val="center"/>
            <w:shd w:fill="FFFFFF"/>
          </w:tcPr>
          <w:p>
            <w:pPr>
              <w:spacing w:after="40" w:line="276" w:lineRule="auto"/>
              <w:jc w:val="left"/>
            </w:pPr>
            <w:r>
              <w:rPr>
                <w:b w:val="0"/>
                <w:i w:val="0"/>
              </w:rPr>
              <w:t>IQAC, Institutional Research Office</w:t>
            </w:r>
          </w:p>
        </w:tc>
        <w:tc>
          <w:tcPr>
            <w:tcW w:type="dxa" w:w="1928"/>
            <w:vAlign w:val="center"/>
            <w:shd w:fill="FFFFFF"/>
          </w:tcPr>
          <w:p>
            <w:pPr>
              <w:spacing w:after="40" w:line="276" w:lineRule="auto"/>
              <w:jc w:val="left"/>
            </w:pPr>
            <w:r>
              <w:rPr>
                <w:b w:val="0"/>
                <w:i w:val="0"/>
              </w:rPr>
              <w:t>Vice-Chancellor (VC)</w:t>
            </w:r>
          </w:p>
        </w:tc>
        <w:tc>
          <w:tcPr>
            <w:tcW w:type="dxa" w:w="1871"/>
            <w:vAlign w:val="center"/>
            <w:shd w:fill="FFFFFF"/>
          </w:tcPr>
          <w:p>
            <w:pPr>
              <w:spacing w:after="40" w:line="276" w:lineRule="auto"/>
              <w:jc w:val="left"/>
            </w:pPr>
            <w:r>
              <w:rPr>
                <w:b w:val="0"/>
                <w:i w:val="0"/>
              </w:rPr>
              <w:t>Deans, Department Heads</w:t>
            </w:r>
          </w:p>
        </w:tc>
        <w:tc>
          <w:tcPr>
            <w:tcW w:type="dxa" w:w="1928"/>
            <w:vAlign w:val="center"/>
            <w:shd w:fill="FFFFFF"/>
          </w:tcPr>
          <w:p>
            <w:pPr>
              <w:spacing w:after="40" w:line="276" w:lineRule="auto"/>
              <w:jc w:val="left"/>
            </w:pPr>
            <w:r>
              <w:rPr>
                <w:b w:val="0"/>
                <w:i w:val="0"/>
              </w:rPr>
              <w:t>Governing Body, Faculty, Students</w:t>
            </w:r>
          </w:p>
        </w:tc>
      </w:tr>
      <w:tr>
        <w:trPr>
          <w:cantSplit/>
        </w:trPr>
        <w:tc>
          <w:tcPr>
            <w:tcW w:type="dxa" w:w="1757"/>
            <w:vAlign w:val="center"/>
            <w:shd w:fill="EDF2F7"/>
          </w:tcPr>
          <w:p>
            <w:pPr>
              <w:spacing w:after="40" w:line="276" w:lineRule="auto"/>
              <w:jc w:val="left"/>
            </w:pPr>
            <w:r>
              <w:rPr>
                <w:b w:val="0"/>
                <w:i w:val="0"/>
              </w:rPr>
              <w:t>Perform SWOT analysis</w:t>
            </w:r>
          </w:p>
        </w:tc>
        <w:tc>
          <w:tcPr>
            <w:tcW w:type="dxa" w:w="1928"/>
            <w:vAlign w:val="center"/>
            <w:shd w:fill="EDF2F7"/>
          </w:tcPr>
          <w:p>
            <w:pPr>
              <w:spacing w:after="40" w:line="276" w:lineRule="auto"/>
              <w:jc w:val="left"/>
            </w:pPr>
            <w:r>
              <w:rPr>
                <w:b w:val="0"/>
                <w:i w:val="0"/>
              </w:rPr>
              <w:t>Strategic Planning cell, IQAC</w:t>
            </w:r>
          </w:p>
        </w:tc>
        <w:tc>
          <w:tcPr>
            <w:tcW w:type="dxa" w:w="1928"/>
            <w:vAlign w:val="center"/>
            <w:shd w:fill="EDF2F7"/>
          </w:tcPr>
          <w:p>
            <w:pPr>
              <w:spacing w:after="40" w:line="276" w:lineRule="auto"/>
              <w:jc w:val="left"/>
            </w:pPr>
            <w:r>
              <w:rPr>
                <w:b w:val="0"/>
                <w:i w:val="0"/>
              </w:rPr>
              <w:t>Registrar</w:t>
            </w:r>
          </w:p>
        </w:tc>
        <w:tc>
          <w:tcPr>
            <w:tcW w:type="dxa" w:w="1871"/>
            <w:vAlign w:val="center"/>
            <w:shd w:fill="EDF2F7"/>
          </w:tcPr>
          <w:p>
            <w:pPr>
              <w:spacing w:after="40" w:line="276" w:lineRule="auto"/>
              <w:jc w:val="left"/>
            </w:pPr>
            <w:r>
              <w:rPr>
                <w:b w:val="0"/>
                <w:i w:val="0"/>
              </w:rPr>
              <w:t>Faculty Experts, External Advisors</w:t>
            </w:r>
          </w:p>
        </w:tc>
        <w:tc>
          <w:tcPr>
            <w:tcW w:type="dxa" w:w="1928"/>
            <w:vAlign w:val="center"/>
            <w:shd w:fill="EDF2F7"/>
          </w:tcPr>
          <w:p>
            <w:pPr>
              <w:spacing w:after="40" w:line="276" w:lineRule="auto"/>
              <w:jc w:val="left"/>
            </w:pPr>
            <w:r>
              <w:rPr>
                <w:b w:val="0"/>
                <w:i w:val="0"/>
              </w:rPr>
              <w:t>Governing Body, Departments</w:t>
            </w:r>
          </w:p>
        </w:tc>
      </w:tr>
      <w:tr>
        <w:trPr>
          <w:cantSplit/>
        </w:trPr>
        <w:tc>
          <w:tcPr>
            <w:tcW w:type="dxa" w:w="1757"/>
            <w:vAlign w:val="center"/>
            <w:shd w:fill="FFFFFF"/>
          </w:tcPr>
          <w:p>
            <w:pPr>
              <w:spacing w:after="40" w:line="276" w:lineRule="auto"/>
              <w:jc w:val="left"/>
            </w:pPr>
            <w:r>
              <w:rPr>
                <w:b w:val="0"/>
                <w:i w:val="0"/>
              </w:rPr>
              <w:t>Perform PESTLE analysis</w:t>
            </w:r>
          </w:p>
        </w:tc>
        <w:tc>
          <w:tcPr>
            <w:tcW w:type="dxa" w:w="1928"/>
            <w:vAlign w:val="center"/>
            <w:shd w:fill="FFFFFF"/>
          </w:tcPr>
          <w:p>
            <w:pPr>
              <w:spacing w:after="40" w:line="276" w:lineRule="auto"/>
              <w:jc w:val="left"/>
            </w:pPr>
            <w:r>
              <w:rPr>
                <w:b w:val="0"/>
                <w:i w:val="0"/>
              </w:rPr>
              <w:t>Institutional Research Office</w:t>
            </w:r>
          </w:p>
        </w:tc>
        <w:tc>
          <w:tcPr>
            <w:tcW w:type="dxa" w:w="1928"/>
            <w:vAlign w:val="center"/>
            <w:shd w:fill="FFFFFF"/>
          </w:tcPr>
          <w:p>
            <w:pPr>
              <w:spacing w:after="40" w:line="276" w:lineRule="auto"/>
              <w:jc w:val="left"/>
            </w:pPr>
            <w:r>
              <w:rPr>
                <w:b w:val="0"/>
                <w:i w:val="0"/>
              </w:rPr>
              <w:t>vc</w:t>
            </w:r>
          </w:p>
        </w:tc>
        <w:tc>
          <w:tcPr>
            <w:tcW w:type="dxa" w:w="1871"/>
            <w:vAlign w:val="center"/>
            <w:shd w:fill="FFFFFF"/>
          </w:tcPr>
          <w:p>
            <w:pPr>
              <w:spacing w:after="40" w:line="276" w:lineRule="auto"/>
              <w:jc w:val="left"/>
            </w:pPr>
            <w:r>
              <w:rPr>
                <w:b w:val="0"/>
                <w:i w:val="0"/>
              </w:rPr>
              <w:t>Policy Experts, Accreditation Consultants</w:t>
            </w:r>
          </w:p>
        </w:tc>
        <w:tc>
          <w:tcPr>
            <w:tcW w:type="dxa" w:w="1928"/>
            <w:vAlign w:val="center"/>
            <w:shd w:fill="FFFFFF"/>
          </w:tcPr>
          <w:p>
            <w:pPr>
              <w:spacing w:after="40" w:line="276" w:lineRule="auto"/>
              <w:jc w:val="left"/>
            </w:pPr>
            <w:r>
              <w:rPr>
                <w:b w:val="0"/>
                <w:i w:val="0"/>
              </w:rPr>
              <w:t>Governing Body, Stakeholders</w:t>
            </w:r>
          </w:p>
        </w:tc>
      </w:tr>
      <w:tr>
        <w:trPr>
          <w:cantSplit/>
        </w:trPr>
        <w:tc>
          <w:tcPr>
            <w:tcW w:type="dxa" w:w="1757"/>
            <w:vAlign w:val="center"/>
            <w:shd w:fill="EDF2F7"/>
          </w:tcPr>
          <w:p>
            <w:pPr>
              <w:spacing w:after="40" w:line="276" w:lineRule="auto"/>
              <w:jc w:val="left"/>
            </w:pPr>
            <w:r>
              <w:rPr>
                <w:b w:val="0"/>
                <w:i w:val="0"/>
              </w:rPr>
              <w:t>Review accreditation readiness (NAAC, NBA, NIRF, QS)</w:t>
            </w:r>
          </w:p>
        </w:tc>
        <w:tc>
          <w:tcPr>
            <w:tcW w:type="dxa" w:w="1928"/>
            <w:vAlign w:val="center"/>
            <w:shd w:fill="EDF2F7"/>
          </w:tcPr>
          <w:p>
            <w:pPr>
              <w:spacing w:after="40" w:line="276" w:lineRule="auto"/>
              <w:jc w:val="left"/>
            </w:pPr>
            <w:r>
              <w:rPr>
                <w:b w:val="0"/>
                <w:i w:val="0"/>
              </w:rPr>
              <w:t>Accreditation Cell</w:t>
            </w:r>
          </w:p>
        </w:tc>
        <w:tc>
          <w:tcPr>
            <w:tcW w:type="dxa" w:w="1928"/>
            <w:vAlign w:val="center"/>
            <w:shd w:fill="EDF2F7"/>
          </w:tcPr>
          <w:p>
            <w:pPr>
              <w:spacing w:after="40" w:line="276" w:lineRule="auto"/>
              <w:jc w:val="left"/>
            </w:pPr>
            <w:r>
              <w:rPr>
                <w:b w:val="0"/>
                <w:i w:val="0"/>
              </w:rPr>
              <w:t>Registrar</w:t>
            </w:r>
          </w:p>
        </w:tc>
        <w:tc>
          <w:tcPr>
            <w:tcW w:type="dxa" w:w="1871"/>
            <w:vAlign w:val="center"/>
            <w:shd w:fill="EDF2F7"/>
          </w:tcPr>
          <w:p>
            <w:pPr>
              <w:spacing w:after="40" w:line="276" w:lineRule="auto"/>
              <w:jc w:val="left"/>
            </w:pPr>
            <w:r>
              <w:rPr>
                <w:b w:val="0"/>
                <w:i w:val="0"/>
              </w:rPr>
              <w:t>Deans, Department Heads</w:t>
            </w:r>
          </w:p>
        </w:tc>
        <w:tc>
          <w:tcPr>
            <w:tcW w:type="dxa" w:w="1928"/>
            <w:vAlign w:val="center"/>
            <w:shd w:fill="EDF2F7"/>
          </w:tcPr>
          <w:p>
            <w:pPr>
              <w:spacing w:after="40" w:line="276" w:lineRule="auto"/>
              <w:jc w:val="left"/>
            </w:pPr>
            <w:r>
              <w:rPr>
                <w:b w:val="0"/>
                <w:i w:val="0"/>
              </w:rPr>
              <w:t>Governing Body, Faculty</w:t>
            </w:r>
          </w:p>
        </w:tc>
      </w:tr>
      <w:tr>
        <w:trPr>
          <w:cantSplit/>
        </w:trPr>
        <w:tc>
          <w:tcPr>
            <w:tcW w:type="dxa" w:w="1757"/>
            <w:vAlign w:val="center"/>
            <w:shd w:fill="FFFFFF"/>
          </w:tcPr>
          <w:p>
            <w:pPr>
              <w:spacing w:after="40" w:line="276" w:lineRule="auto"/>
              <w:jc w:val="left"/>
            </w:pPr>
            <w:r>
              <w:rPr>
                <w:b w:val="0"/>
                <w:i w:val="0"/>
              </w:rPr>
              <w:t>Stakeholder consultations (students, alumni, industry, community)</w:t>
            </w:r>
          </w:p>
        </w:tc>
        <w:tc>
          <w:tcPr>
            <w:tcW w:type="dxa" w:w="1928"/>
            <w:vAlign w:val="center"/>
            <w:shd w:fill="FFFFFF"/>
          </w:tcPr>
          <w:p>
            <w:pPr>
              <w:spacing w:after="40" w:line="276" w:lineRule="auto"/>
              <w:jc w:val="left"/>
            </w:pPr>
            <w:r>
              <w:rPr>
                <w:b w:val="0"/>
                <w:i w:val="0"/>
              </w:rPr>
              <w:t>PR Office, Student Affairs</w:t>
            </w:r>
          </w:p>
        </w:tc>
        <w:tc>
          <w:tcPr>
            <w:tcW w:type="dxa" w:w="1928"/>
            <w:vAlign w:val="center"/>
            <w:shd w:fill="FFFFFF"/>
          </w:tcPr>
          <w:p>
            <w:pPr>
              <w:spacing w:after="40" w:line="276" w:lineRule="auto"/>
              <w:jc w:val="left"/>
            </w:pPr>
            <w:r>
              <w:rPr>
                <w:b w:val="0"/>
                <w:i w:val="0"/>
              </w:rPr>
              <w:t>Registrar</w:t>
            </w:r>
          </w:p>
        </w:tc>
        <w:tc>
          <w:tcPr>
            <w:tcW w:type="dxa" w:w="1871"/>
            <w:vAlign w:val="center"/>
            <w:shd w:fill="FFFFFF"/>
          </w:tcPr>
          <w:p>
            <w:pPr>
              <w:spacing w:after="40" w:line="276" w:lineRule="auto"/>
              <w:jc w:val="left"/>
            </w:pPr>
            <w:r>
              <w:rPr>
                <w:b w:val="0"/>
                <w:i w:val="0"/>
              </w:rPr>
              <w:t>Alumni Office, Industry Advisory Board, NGOs</w:t>
            </w:r>
          </w:p>
        </w:tc>
        <w:tc>
          <w:tcPr>
            <w:tcW w:type="dxa" w:w="1928"/>
            <w:vAlign w:val="center"/>
            <w:shd w:fill="FFFFFF"/>
          </w:tcPr>
          <w:p>
            <w:pPr>
              <w:spacing w:after="40" w:line="276" w:lineRule="auto"/>
              <w:jc w:val="left"/>
            </w:pPr>
            <w:r>
              <w:rPr>
                <w:b w:val="0"/>
                <w:i w:val="0"/>
              </w:rPr>
              <w:t>Governing Body, Faculty, Students</w:t>
            </w:r>
          </w:p>
        </w:tc>
      </w:tr>
      <w:tr>
        <w:trPr>
          <w:cantSplit/>
        </w:trPr>
        <w:tc>
          <w:tcPr>
            <w:tcW w:type="dxa" w:w="1757"/>
            <w:vAlign w:val="center"/>
            <w:shd w:fill="EDF2F7"/>
          </w:tcPr>
          <w:p>
            <w:pPr>
              <w:spacing w:after="40" w:line="276" w:lineRule="auto"/>
              <w:jc w:val="left"/>
            </w:pPr>
            <w:r>
              <w:rPr>
                <w:b w:val="0"/>
                <w:i w:val="0"/>
              </w:rPr>
              <w:t>Collect baseline data (student enrollments, faculty profile, funding, infra)</w:t>
            </w:r>
          </w:p>
        </w:tc>
        <w:tc>
          <w:tcPr>
            <w:tcW w:type="dxa" w:w="1928"/>
            <w:vAlign w:val="center"/>
            <w:shd w:fill="EDF2F7"/>
          </w:tcPr>
          <w:p>
            <w:pPr>
              <w:spacing w:after="40" w:line="276" w:lineRule="auto"/>
              <w:jc w:val="left"/>
            </w:pPr>
            <w:r>
              <w:rPr>
                <w:b w:val="0"/>
                <w:i w:val="0"/>
              </w:rPr>
              <w:t>Institutional Research Office</w:t>
            </w:r>
          </w:p>
        </w:tc>
        <w:tc>
          <w:tcPr>
            <w:tcW w:type="dxa" w:w="1928"/>
            <w:vAlign w:val="center"/>
            <w:shd w:fill="EDF2F7"/>
          </w:tcPr>
          <w:p>
            <w:pPr>
              <w:spacing w:after="40" w:line="276" w:lineRule="auto"/>
              <w:jc w:val="left"/>
            </w:pPr>
            <w:r>
              <w:rPr>
                <w:b w:val="0"/>
                <w:i w:val="0"/>
              </w:rPr>
              <w:t>Registrar</w:t>
            </w:r>
          </w:p>
        </w:tc>
        <w:tc>
          <w:tcPr>
            <w:tcW w:type="dxa" w:w="1871"/>
            <w:vAlign w:val="center"/>
            <w:shd w:fill="EDF2F7"/>
          </w:tcPr>
          <w:p>
            <w:pPr>
              <w:spacing w:after="40" w:line="276" w:lineRule="auto"/>
              <w:jc w:val="left"/>
            </w:pPr>
            <w:r>
              <w:rPr>
                <w:b w:val="0"/>
                <w:i w:val="0"/>
              </w:rPr>
              <w:t>HR Office, Finance Office, IT Office</w:t>
            </w:r>
          </w:p>
        </w:tc>
        <w:tc>
          <w:tcPr>
            <w:tcW w:type="dxa" w:w="1928"/>
            <w:vAlign w:val="center"/>
            <w:shd w:fill="EDF2F7"/>
          </w:tcPr>
          <w:p>
            <w:pPr>
              <w:spacing w:after="40" w:line="276" w:lineRule="auto"/>
              <w:jc w:val="left"/>
            </w:pPr>
            <w:r>
              <w:rPr>
                <w:b w:val="0"/>
                <w:i w:val="0"/>
              </w:rPr>
              <w:t>Governing Body</w:t>
            </w:r>
          </w:p>
        </w:tc>
      </w:tr>
      <w:tr>
        <w:trPr>
          <w:cantSplit/>
        </w:trPr>
        <w:tc>
          <w:tcPr>
            <w:tcW w:type="dxa" w:w="1757"/>
            <w:vAlign w:val="center"/>
            <w:shd w:fill="FFFFFF"/>
          </w:tcPr>
          <w:p>
            <w:pPr>
              <w:spacing w:after="40" w:line="276" w:lineRule="auto"/>
              <w:jc w:val="left"/>
            </w:pPr>
            <w:r>
              <w:rPr>
                <w:b w:val="0"/>
                <w:i w:val="0"/>
              </w:rPr>
              <w:t>Prepare gap analysis report</w:t>
            </w:r>
          </w:p>
        </w:tc>
        <w:tc>
          <w:tcPr>
            <w:tcW w:type="dxa" w:w="1928"/>
            <w:vAlign w:val="center"/>
            <w:shd w:fill="FFFFFF"/>
          </w:tcPr>
          <w:p>
            <w:pPr>
              <w:spacing w:after="40" w:line="276" w:lineRule="auto"/>
              <w:jc w:val="left"/>
            </w:pPr>
            <w:r>
              <w:rPr>
                <w:b w:val="0"/>
                <w:i w:val="0"/>
              </w:rPr>
              <w:t>IQAC, Research Office</w:t>
            </w:r>
          </w:p>
        </w:tc>
        <w:tc>
          <w:tcPr>
            <w:tcW w:type="dxa" w:w="1928"/>
            <w:vAlign w:val="center"/>
            <w:shd w:fill="FFFFFF"/>
          </w:tcPr>
          <w:p>
            <w:pPr>
              <w:spacing w:after="40" w:line="276" w:lineRule="auto"/>
              <w:jc w:val="left"/>
            </w:pPr>
            <w:r>
              <w:rPr>
                <w:b w:val="0"/>
                <w:i w:val="0"/>
              </w:rPr>
              <w:t>vc</w:t>
            </w:r>
          </w:p>
        </w:tc>
        <w:tc>
          <w:tcPr>
            <w:tcW w:type="dxa" w:w="1871"/>
            <w:vAlign w:val="center"/>
            <w:shd w:fill="FFFFFF"/>
          </w:tcPr>
          <w:p>
            <w:pPr>
              <w:spacing w:after="40" w:line="276" w:lineRule="auto"/>
              <w:jc w:val="left"/>
            </w:pPr>
            <w:r>
              <w:rPr>
                <w:b w:val="0"/>
                <w:i w:val="0"/>
              </w:rPr>
              <w:t>Deans, Steering Committee</w:t>
            </w:r>
          </w:p>
        </w:tc>
        <w:tc>
          <w:tcPr>
            <w:tcW w:type="dxa" w:w="1928"/>
            <w:vAlign w:val="center"/>
            <w:shd w:fill="FFFFFF"/>
          </w:tcPr>
          <w:p>
            <w:pPr>
              <w:spacing w:after="40" w:line="276" w:lineRule="auto"/>
              <w:jc w:val="left"/>
            </w:pPr>
            <w:r>
              <w:rPr>
                <w:b w:val="0"/>
                <w:i w:val="0"/>
              </w:rPr>
              <w:t>Governing Body, Faculty</w:t>
            </w:r>
          </w:p>
        </w:tc>
      </w:tr>
      <w:tr>
        <w:trPr>
          <w:cantSplit/>
        </w:trPr>
        <w:tc>
          <w:tcPr>
            <w:tcW w:type="dxa" w:w="1757"/>
            <w:vAlign w:val="center"/>
            <w:shd w:fill="EDF2F7"/>
          </w:tcPr>
          <w:p>
            <w:pPr>
              <w:spacing w:after="40" w:line="276" w:lineRule="auto"/>
              <w:jc w:val="left"/>
            </w:pPr>
            <w:r>
              <w:rPr>
                <w:b w:val="0"/>
                <w:i w:val="0"/>
              </w:rPr>
              <w:t>Draft initial risk register (financial, governance, tech, environment)</w:t>
            </w:r>
          </w:p>
        </w:tc>
        <w:tc>
          <w:tcPr>
            <w:tcW w:type="dxa" w:w="1928"/>
            <w:vAlign w:val="center"/>
            <w:shd w:fill="EDF2F7"/>
          </w:tcPr>
          <w:p>
            <w:pPr>
              <w:spacing w:after="40" w:line="276" w:lineRule="auto"/>
              <w:jc w:val="left"/>
            </w:pPr>
            <w:r>
              <w:rPr>
                <w:b w:val="0"/>
                <w:i w:val="0"/>
              </w:rPr>
              <w:t>Risk Management Committee</w:t>
            </w:r>
          </w:p>
        </w:tc>
        <w:tc>
          <w:tcPr>
            <w:tcW w:type="dxa" w:w="1928"/>
            <w:vAlign w:val="center"/>
            <w:shd w:fill="EDF2F7"/>
          </w:tcPr>
          <w:p>
            <w:pPr>
              <w:spacing w:after="40" w:line="276" w:lineRule="auto"/>
              <w:jc w:val="left"/>
            </w:pPr>
            <w:r>
              <w:rPr>
                <w:b w:val="0"/>
                <w:i w:val="0"/>
              </w:rPr>
              <w:t>Registrar</w:t>
            </w:r>
          </w:p>
        </w:tc>
        <w:tc>
          <w:tcPr>
            <w:tcW w:type="dxa" w:w="1871"/>
            <w:vAlign w:val="center"/>
            <w:shd w:fill="EDF2F7"/>
          </w:tcPr>
          <w:p>
            <w:pPr>
              <w:spacing w:after="40" w:line="276" w:lineRule="auto"/>
              <w:jc w:val="left"/>
            </w:pPr>
            <w:r>
              <w:rPr>
                <w:b w:val="0"/>
                <w:i w:val="0"/>
              </w:rPr>
              <w:t>Finance, Infra, IT, HR Committees</w:t>
            </w:r>
          </w:p>
        </w:tc>
        <w:tc>
          <w:tcPr>
            <w:tcW w:type="dxa" w:w="1928"/>
            <w:vAlign w:val="center"/>
            <w:shd w:fill="EDF2F7"/>
          </w:tcPr>
          <w:p>
            <w:pPr>
              <w:spacing w:after="40" w:line="276" w:lineRule="auto"/>
              <w:jc w:val="left"/>
            </w:pPr>
            <w:r>
              <w:rPr>
                <w:b w:val="0"/>
                <w:i w:val="0"/>
              </w:rPr>
              <w:t>Governing Body</w:t>
            </w:r>
          </w:p>
        </w:tc>
      </w:tr>
      <w:tr>
        <w:trPr>
          <w:cantSplit/>
        </w:trPr>
        <w:tc>
          <w:tcPr>
            <w:tcW w:type="dxa" w:w="1757"/>
            <w:vAlign w:val="center"/>
            <w:shd w:fill="FFFFFF"/>
          </w:tcPr>
          <w:p>
            <w:pPr>
              <w:spacing w:after="40" w:line="276" w:lineRule="auto"/>
              <w:jc w:val="left"/>
            </w:pPr>
            <w:r>
              <w:rPr>
                <w:b w:val="0"/>
                <w:i w:val="0"/>
              </w:rPr>
              <w:t>Submit Assessment &amp; Diagnosis Report</w:t>
            </w:r>
          </w:p>
        </w:tc>
        <w:tc>
          <w:tcPr>
            <w:tcW w:type="dxa" w:w="1928"/>
            <w:vAlign w:val="center"/>
            <w:shd w:fill="FFFFFF"/>
          </w:tcPr>
          <w:p>
            <w:pPr>
              <w:spacing w:after="40" w:line="276" w:lineRule="auto"/>
              <w:jc w:val="left"/>
            </w:pPr>
            <w:r>
              <w:rPr>
                <w:b w:val="0"/>
                <w:i w:val="0"/>
              </w:rPr>
              <w:t>IQAC, Strategic Planning Cell</w:t>
            </w:r>
          </w:p>
        </w:tc>
        <w:tc>
          <w:tcPr>
            <w:tcW w:type="dxa" w:w="1928"/>
            <w:vAlign w:val="center"/>
            <w:shd w:fill="FFFFFF"/>
          </w:tcPr>
          <w:p>
            <w:pPr>
              <w:spacing w:after="40" w:line="276" w:lineRule="auto"/>
              <w:jc w:val="left"/>
            </w:pPr>
            <w:r>
              <w:rPr>
                <w:b w:val="0"/>
                <w:i w:val="0"/>
              </w:rPr>
              <w:t>vc + Governing Body</w:t>
            </w:r>
          </w:p>
        </w:tc>
        <w:tc>
          <w:tcPr>
            <w:tcW w:type="dxa" w:w="1871"/>
            <w:vAlign w:val="center"/>
            <w:shd w:fill="FFFFFF"/>
          </w:tcPr>
          <w:p>
            <w:pPr>
              <w:spacing w:after="40" w:line="276" w:lineRule="auto"/>
              <w:jc w:val="left"/>
            </w:pPr>
            <w:r>
              <w:rPr>
                <w:b w:val="0"/>
                <w:i w:val="0"/>
              </w:rPr>
              <w:t>Registrar, Deans</w:t>
            </w:r>
          </w:p>
        </w:tc>
        <w:tc>
          <w:tcPr>
            <w:tcW w:type="dxa" w:w="1928"/>
            <w:vAlign w:val="center"/>
            <w:shd w:fill="FFFFFF"/>
          </w:tcPr>
          <w:p>
            <w:pPr>
              <w:spacing w:after="40" w:line="276" w:lineRule="auto"/>
              <w:jc w:val="left"/>
            </w:pPr>
            <w:r>
              <w:rPr>
                <w:b w:val="0"/>
                <w:i w:val="0"/>
              </w:rPr>
              <w:t>Faculty, Students, External Stakeholders</w:t>
            </w:r>
          </w:p>
        </w:tc>
      </w:tr>
    </w:tbl>
    <w:p>
      <w:pPr>
        <w:spacing w:after="40"/>
      </w:pPr>
    </w:p>
    <w:p>
      <w:pPr>
        <w:pStyle w:val="Heading2"/>
      </w:pPr>
      <w:r>
        <w:t>Phase 1: Balanced Scorecard – Assessment &amp; Diagnosis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757"/>
        <w:gridCol w:w="1928"/>
        <w:gridCol w:w="1928"/>
        <w:gridCol w:w="1871"/>
        <w:gridCol w:w="1928"/>
      </w:tblGrid>
      <w:tr>
        <w:trPr>
          <w:tblHeader/>
          <w:cantSplit/>
        </w:trPr>
        <w:tc>
          <w:tcPr>
            <w:tcW w:type="dxa" w:w="1757"/>
            <w:vAlign w:val="center"/>
            <w:shd w:fill="1F3A5F"/>
          </w:tcPr>
          <w:p>
            <w:pPr>
              <w:keepNext/>
              <w:spacing w:after="40" w:line="276" w:lineRule="auto"/>
              <w:jc w:val="left"/>
            </w:pPr>
            <w:r>
              <w:rPr>
                <w:b/>
                <w:i w:val="0"/>
                <w:color w:val="FFFFFF"/>
              </w:rPr>
              <w:t>Perspective</w:t>
            </w:r>
          </w:p>
        </w:tc>
        <w:tc>
          <w:tcPr>
            <w:tcW w:type="dxa" w:w="1928"/>
            <w:vAlign w:val="center"/>
            <w:shd w:fill="1F3A5F"/>
          </w:tcPr>
          <w:p>
            <w:pPr>
              <w:keepNext/>
              <w:spacing w:after="40" w:line="276" w:lineRule="auto"/>
              <w:jc w:val="left"/>
            </w:pPr>
            <w:r>
              <w:rPr>
                <w:b/>
                <w:i w:val="0"/>
                <w:color w:val="FFFFFF"/>
              </w:rPr>
              <w:t>Strategic Objective</w:t>
            </w:r>
          </w:p>
        </w:tc>
        <w:tc>
          <w:tcPr>
            <w:tcW w:type="dxa" w:w="1928"/>
            <w:vAlign w:val="center"/>
            <w:shd w:fill="1F3A5F"/>
          </w:tcPr>
          <w:p>
            <w:pPr>
              <w:keepNext/>
              <w:spacing w:after="40" w:line="276" w:lineRule="auto"/>
              <w:jc w:val="left"/>
            </w:pPr>
            <w:r>
              <w:rPr>
                <w:b/>
                <w:i w:val="0"/>
                <w:color w:val="FFFFFF"/>
              </w:rPr>
              <w:t>Assessment Actions</w:t>
            </w:r>
          </w:p>
        </w:tc>
        <w:tc>
          <w:tcPr>
            <w:tcW w:type="dxa" w:w="1871"/>
            <w:vAlign w:val="center"/>
            <w:shd w:fill="1F3A5F"/>
          </w:tcPr>
          <w:p>
            <w:pPr>
              <w:keepNext/>
              <w:spacing w:after="40" w:line="276" w:lineRule="auto"/>
              <w:jc w:val="left"/>
            </w:pPr>
            <w:r>
              <w:rPr>
                <w:b/>
                <w:i w:val="0"/>
                <w:color w:val="FFFFFF"/>
              </w:rPr>
              <w:t>KPIs (Indicators)</w:t>
            </w:r>
          </w:p>
        </w:tc>
        <w:tc>
          <w:tcPr>
            <w:tcW w:type="dxa" w:w="1928"/>
            <w:vAlign w:val="center"/>
            <w:shd w:fill="1F3A5F"/>
          </w:tcPr>
          <w:p>
            <w:pPr>
              <w:keepNext/>
              <w:spacing w:after="40" w:line="276" w:lineRule="auto"/>
              <w:jc w:val="left"/>
            </w:pPr>
            <w:r>
              <w:rPr>
                <w:b/>
                <w:i w:val="0"/>
                <w:color w:val="FFFFFF"/>
              </w:rPr>
              <w:t>Target (Phase 1)</w:t>
            </w:r>
          </w:p>
        </w:tc>
      </w:tr>
      <w:tr>
        <w:trPr>
          <w:cantSplit/>
        </w:trPr>
        <w:tc>
          <w:tcPr>
            <w:tcW w:type="dxa" w:w="1757"/>
            <w:vAlign w:val="center"/>
            <w:shd w:fill="FFFFFF"/>
          </w:tcPr>
          <w:p>
            <w:pPr>
              <w:spacing w:after="40" w:line="276" w:lineRule="auto"/>
              <w:jc w:val="left"/>
            </w:pPr>
            <w:r>
              <w:rPr>
                <w:b w:val="0"/>
                <w:i w:val="0"/>
              </w:rPr>
              <w:t>Academic Excellence &amp; Learning</w:t>
            </w:r>
          </w:p>
        </w:tc>
        <w:tc>
          <w:tcPr>
            <w:tcW w:type="dxa" w:w="1928"/>
            <w:vAlign w:val="center"/>
            <w:shd w:fill="FFFFFF"/>
          </w:tcPr>
          <w:p>
            <w:pPr>
              <w:spacing w:after="40" w:line="276" w:lineRule="auto"/>
              <w:jc w:val="left"/>
            </w:pPr>
            <w:r>
              <w:rPr>
                <w:b w:val="0"/>
                <w:i w:val="0"/>
              </w:rPr>
              <w:t>Evaluate academic quality &amp; readiness for NEP 2020</w:t>
            </w:r>
          </w:p>
        </w:tc>
        <w:tc>
          <w:tcPr>
            <w:tcW w:type="dxa" w:w="1928"/>
            <w:vAlign w:val="center"/>
            <w:shd w:fill="FFFFFF"/>
          </w:tcPr>
          <w:p>
            <w:pPr>
              <w:spacing w:after="40" w:line="276" w:lineRule="auto"/>
              <w:ind w:left="125" w:hanging="125"/>
              <w:jc w:val="left"/>
            </w:pPr>
            <w:r>
              <w:t xml:space="preserve">• </w:t>
            </w:r>
            <w:r>
              <w:rPr>
                <w:b w:val="0"/>
                <w:i w:val="0"/>
              </w:rPr>
              <w:t>Review curricula &amp; pedagogy.</w:t>
            </w:r>
          </w:p>
          <w:p>
            <w:pPr>
              <w:spacing w:after="40" w:line="276" w:lineRule="auto"/>
              <w:ind w:left="125" w:hanging="125"/>
              <w:jc w:val="left"/>
            </w:pPr>
            <w:r>
              <w:t xml:space="preserve">• </w:t>
            </w:r>
            <w:r>
              <w:rPr>
                <w:b w:val="0"/>
                <w:i w:val="0"/>
              </w:rPr>
              <w:t>Collect faculty–student ratio data.</w:t>
            </w:r>
          </w:p>
          <w:p>
            <w:pPr>
              <w:spacing w:after="40" w:line="276" w:lineRule="auto"/>
              <w:ind w:left="125" w:hanging="125"/>
              <w:jc w:val="left"/>
            </w:pPr>
            <w:r>
              <w:t xml:space="preserve">• </w:t>
            </w:r>
            <w:r>
              <w:rPr>
                <w:b w:val="0"/>
                <w:i w:val="0"/>
              </w:rPr>
              <w:t>Benchmark programs with peers.</w:t>
            </w:r>
          </w:p>
        </w:tc>
        <w:tc>
          <w:tcPr>
            <w:tcW w:type="dxa" w:w="1871"/>
            <w:vAlign w:val="center"/>
            <w:shd w:fill="FFFFFF"/>
          </w:tcPr>
          <w:p>
            <w:pPr>
              <w:spacing w:after="40" w:line="276" w:lineRule="auto"/>
              <w:ind w:left="125" w:hanging="125"/>
              <w:jc w:val="left"/>
            </w:pPr>
            <w:r>
              <w:t xml:space="preserve">• </w:t>
            </w:r>
            <w:r>
              <w:rPr>
                <w:b w:val="0"/>
                <w:i w:val="0"/>
              </w:rPr>
              <w:t>% programs reviewed.</w:t>
            </w:r>
          </w:p>
          <w:p>
            <w:pPr>
              <w:spacing w:after="40" w:line="276" w:lineRule="auto"/>
              <w:ind w:left="125" w:hanging="125"/>
              <w:jc w:val="left"/>
            </w:pPr>
            <w:r>
              <w:t xml:space="preserve">• </w:t>
            </w:r>
            <w:r>
              <w:rPr>
                <w:b w:val="0"/>
                <w:i w:val="0"/>
              </w:rPr>
              <w:t>Faculty–student ratio.</w:t>
            </w:r>
          </w:p>
          <w:p>
            <w:pPr>
              <w:spacing w:after="40" w:line="276" w:lineRule="auto"/>
              <w:ind w:left="125" w:hanging="125"/>
              <w:jc w:val="left"/>
            </w:pPr>
            <w:r>
              <w:t xml:space="preserve">• </w:t>
            </w:r>
            <w:r>
              <w:rPr>
                <w:b w:val="0"/>
                <w:i w:val="0"/>
              </w:rPr>
              <w:t>Peer benchmarking reports.</w:t>
            </w:r>
          </w:p>
        </w:tc>
        <w:tc>
          <w:tcPr>
            <w:tcW w:type="dxa" w:w="1928"/>
            <w:vAlign w:val="center"/>
            <w:shd w:fill="FFFFFF"/>
          </w:tcPr>
          <w:p>
            <w:pPr>
              <w:spacing w:after="40" w:line="276" w:lineRule="auto"/>
              <w:ind w:left="125" w:hanging="125"/>
              <w:jc w:val="left"/>
            </w:pPr>
            <w:r>
              <w:t xml:space="preserve">• </w:t>
            </w:r>
            <w:r>
              <w:rPr>
                <w:b w:val="0"/>
                <w:i w:val="0"/>
              </w:rPr>
              <w:t>100% programs reviewed.</w:t>
            </w:r>
          </w:p>
          <w:p>
            <w:pPr>
              <w:spacing w:after="40" w:line="276" w:lineRule="auto"/>
              <w:ind w:left="125" w:hanging="125"/>
              <w:jc w:val="left"/>
            </w:pPr>
            <w:r>
              <w:t xml:space="preserve">• </w:t>
            </w:r>
            <w:r>
              <w:rPr>
                <w:b/>
                <w:i w:val="0"/>
              </w:rPr>
              <w:t>Ratio ≤1:</w:t>
            </w:r>
            <w:r>
              <w:rPr>
                <w:b w:val="0"/>
                <w:i w:val="0"/>
              </w:rPr>
              <w:t>20.</w:t>
            </w:r>
          </w:p>
          <w:p>
            <w:pPr>
              <w:spacing w:after="40" w:line="276" w:lineRule="auto"/>
              <w:ind w:left="125" w:hanging="125"/>
              <w:jc w:val="left"/>
            </w:pPr>
            <w:r>
              <w:t xml:space="preserve">• </w:t>
            </w:r>
            <w:r>
              <w:rPr>
                <w:b w:val="0"/>
                <w:i w:val="0"/>
              </w:rPr>
              <w:t>Benchmarking completed by Month 6.</w:t>
            </w:r>
          </w:p>
        </w:tc>
      </w:tr>
      <w:tr>
        <w:trPr>
          <w:cantSplit/>
        </w:trPr>
        <w:tc>
          <w:tcPr>
            <w:tcW w:type="dxa" w:w="1757"/>
            <w:vAlign w:val="center"/>
            <w:shd w:fill="EDF2F7"/>
          </w:tcPr>
          <w:p>
            <w:pPr>
              <w:spacing w:after="40" w:line="276" w:lineRule="auto"/>
              <w:jc w:val="left"/>
            </w:pPr>
            <w:r>
              <w:rPr>
                <w:b w:val="0"/>
                <w:i w:val="0"/>
              </w:rPr>
              <w:t>Research &amp; Innovation</w:t>
            </w:r>
          </w:p>
        </w:tc>
        <w:tc>
          <w:tcPr>
            <w:tcW w:type="dxa" w:w="1928"/>
            <w:vAlign w:val="center"/>
            <w:shd w:fill="EDF2F7"/>
          </w:tcPr>
          <w:p>
            <w:pPr>
              <w:spacing w:after="40" w:line="276" w:lineRule="auto"/>
              <w:jc w:val="left"/>
            </w:pPr>
            <w:r>
              <w:rPr>
                <w:b w:val="0"/>
                <w:i w:val="0"/>
              </w:rPr>
              <w:t>Assess research output &amp; infrastructure</w:t>
            </w:r>
          </w:p>
        </w:tc>
        <w:tc>
          <w:tcPr>
            <w:tcW w:type="dxa" w:w="1928"/>
            <w:vAlign w:val="center"/>
            <w:shd w:fill="EDF2F7"/>
          </w:tcPr>
          <w:p>
            <w:pPr>
              <w:spacing w:after="40" w:line="276" w:lineRule="auto"/>
              <w:ind w:left="125" w:hanging="125"/>
              <w:jc w:val="left"/>
            </w:pPr>
            <w:r>
              <w:t xml:space="preserve">• </w:t>
            </w:r>
            <w:r>
              <w:rPr>
                <w:b w:val="0"/>
                <w:i w:val="0"/>
              </w:rPr>
              <w:t>Audit labs, publications, and patents.</w:t>
            </w:r>
          </w:p>
          <w:p>
            <w:pPr>
              <w:spacing w:after="40" w:line="276" w:lineRule="auto"/>
              <w:ind w:left="125" w:hanging="125"/>
              <w:jc w:val="left"/>
            </w:pPr>
            <w:r>
              <w:t xml:space="preserve">• </w:t>
            </w:r>
            <w:r>
              <w:rPr>
                <w:b w:val="0"/>
                <w:i w:val="0"/>
              </w:rPr>
              <w:t>Map research areas to SDGs.</w:t>
            </w:r>
          </w:p>
          <w:p>
            <w:pPr>
              <w:spacing w:after="40" w:line="276" w:lineRule="auto"/>
              <w:ind w:left="125" w:hanging="125"/>
              <w:jc w:val="left"/>
            </w:pPr>
            <w:r>
              <w:t xml:space="preserve">• </w:t>
            </w:r>
            <w:r>
              <w:rPr>
                <w:b w:val="0"/>
                <w:i w:val="0"/>
              </w:rPr>
              <w:t>Evaluate research funding history.</w:t>
            </w:r>
          </w:p>
        </w:tc>
        <w:tc>
          <w:tcPr>
            <w:tcW w:type="dxa" w:w="1871"/>
            <w:vAlign w:val="center"/>
            <w:shd w:fill="EDF2F7"/>
          </w:tcPr>
          <w:p>
            <w:pPr>
              <w:spacing w:after="40" w:line="276" w:lineRule="auto"/>
              <w:ind w:left="125" w:hanging="125"/>
              <w:jc w:val="left"/>
            </w:pPr>
            <w:r>
              <w:t xml:space="preserve">• </w:t>
            </w:r>
            <w:r>
              <w:rPr>
                <w:b w:val="0"/>
                <w:i w:val="0"/>
              </w:rPr>
              <w:t>No. of publications/​patents audited.</w:t>
            </w:r>
          </w:p>
          <w:p>
            <w:pPr>
              <w:spacing w:after="40" w:line="276" w:lineRule="auto"/>
              <w:ind w:left="125" w:hanging="125"/>
              <w:jc w:val="left"/>
            </w:pPr>
            <w:r>
              <w:t xml:space="preserve">• </w:t>
            </w:r>
            <w:r>
              <w:rPr>
                <w:b w:val="0"/>
                <w:i w:val="0"/>
              </w:rPr>
              <w:t>% research aligned with SDGs.</w:t>
            </w:r>
          </w:p>
          <w:p>
            <w:pPr>
              <w:spacing w:after="40" w:line="276" w:lineRule="auto"/>
              <w:ind w:left="125" w:hanging="125"/>
              <w:jc w:val="left"/>
            </w:pPr>
            <w:r>
              <w:t xml:space="preserve">• </w:t>
            </w:r>
            <w:r>
              <w:rPr>
                <w:b w:val="0"/>
                <w:i w:val="0"/>
              </w:rPr>
              <w:t>Research funding baseline.</w:t>
            </w:r>
          </w:p>
        </w:tc>
        <w:tc>
          <w:tcPr>
            <w:tcW w:type="dxa" w:w="1928"/>
            <w:vAlign w:val="center"/>
            <w:shd w:fill="EDF2F7"/>
          </w:tcPr>
          <w:p>
            <w:pPr>
              <w:spacing w:after="40" w:line="276" w:lineRule="auto"/>
              <w:ind w:left="125" w:hanging="125"/>
              <w:jc w:val="left"/>
            </w:pPr>
            <w:r>
              <w:t xml:space="preserve">• </w:t>
            </w:r>
            <w:r>
              <w:rPr>
                <w:b w:val="0"/>
                <w:i w:val="0"/>
              </w:rPr>
              <w:t>100% research audited.</w:t>
            </w:r>
          </w:p>
          <w:p>
            <w:pPr>
              <w:spacing w:after="40" w:line="276" w:lineRule="auto"/>
              <w:ind w:left="125" w:hanging="125"/>
              <w:jc w:val="left"/>
            </w:pPr>
            <w:r>
              <w:t xml:space="preserve">• </w:t>
            </w:r>
            <w:r>
              <w:rPr>
                <w:b w:val="0"/>
                <w:i w:val="0"/>
              </w:rPr>
              <w:t>≥50% SDG alignment.</w:t>
            </w:r>
          </w:p>
          <w:p>
            <w:pPr>
              <w:spacing w:after="40" w:line="276" w:lineRule="auto"/>
              <w:ind w:left="125" w:hanging="125"/>
              <w:jc w:val="left"/>
            </w:pPr>
            <w:r>
              <w:t xml:space="preserve">• </w:t>
            </w:r>
            <w:r>
              <w:rPr>
                <w:b w:val="0"/>
                <w:i w:val="0"/>
              </w:rPr>
              <w:t>Funding baseline established.</w:t>
            </w:r>
          </w:p>
        </w:tc>
      </w:tr>
      <w:tr>
        <w:trPr>
          <w:cantSplit/>
        </w:trPr>
        <w:tc>
          <w:tcPr>
            <w:tcW w:type="dxa" w:w="1757"/>
            <w:vAlign w:val="center"/>
            <w:shd w:fill="FFFFFF"/>
          </w:tcPr>
          <w:p>
            <w:pPr>
              <w:spacing w:after="40" w:line="276" w:lineRule="auto"/>
              <w:jc w:val="left"/>
            </w:pPr>
            <w:r>
              <w:rPr>
                <w:b w:val="0"/>
                <w:i w:val="0"/>
              </w:rPr>
              <w:t>Financial Sustainability</w:t>
            </w:r>
          </w:p>
        </w:tc>
        <w:tc>
          <w:tcPr>
            <w:tcW w:type="dxa" w:w="1928"/>
            <w:vAlign w:val="center"/>
            <w:shd w:fill="FFFFFF"/>
          </w:tcPr>
          <w:p>
            <w:pPr>
              <w:spacing w:after="40" w:line="276" w:lineRule="auto"/>
              <w:jc w:val="left"/>
            </w:pPr>
            <w:r>
              <w:rPr>
                <w:b w:val="0"/>
                <w:i w:val="0"/>
              </w:rPr>
              <w:t>Identify financial health &amp; gaps</w:t>
            </w:r>
          </w:p>
        </w:tc>
        <w:tc>
          <w:tcPr>
            <w:tcW w:type="dxa" w:w="1928"/>
            <w:vAlign w:val="center"/>
            <w:shd w:fill="FFFFFF"/>
          </w:tcPr>
          <w:p>
            <w:pPr>
              <w:spacing w:after="40" w:line="276" w:lineRule="auto"/>
              <w:ind w:left="125" w:hanging="125"/>
              <w:jc w:val="left"/>
            </w:pPr>
            <w:r>
              <w:t xml:space="preserve">• </w:t>
            </w:r>
            <w:r>
              <w:rPr>
                <w:b w:val="0"/>
                <w:i w:val="0"/>
              </w:rPr>
              <w:t>Review budget allocations, revenue sources.</w:t>
            </w:r>
          </w:p>
          <w:p>
            <w:pPr>
              <w:spacing w:after="40" w:line="276" w:lineRule="auto"/>
              <w:ind w:left="125" w:hanging="125"/>
              <w:jc w:val="left"/>
            </w:pPr>
            <w:r>
              <w:t xml:space="preserve">• </w:t>
            </w:r>
            <w:r>
              <w:rPr>
                <w:b w:val="0"/>
                <w:i w:val="0"/>
              </w:rPr>
              <w:t>Assess dependency on government grants.</w:t>
            </w:r>
          </w:p>
          <w:p>
            <w:pPr>
              <w:spacing w:after="40" w:line="276" w:lineRule="auto"/>
              <w:ind w:left="125" w:hanging="125"/>
              <w:jc w:val="left"/>
            </w:pPr>
            <w:r>
              <w:t xml:space="preserve">• </w:t>
            </w:r>
            <w:r>
              <w:rPr>
                <w:b w:val="0"/>
                <w:i w:val="0"/>
              </w:rPr>
              <w:t>Identify CSR/​alumni/​PPP potential.</w:t>
            </w:r>
          </w:p>
        </w:tc>
        <w:tc>
          <w:tcPr>
            <w:tcW w:type="dxa" w:w="1871"/>
            <w:vAlign w:val="center"/>
            <w:shd w:fill="FFFFFF"/>
          </w:tcPr>
          <w:p>
            <w:pPr>
              <w:spacing w:after="40" w:line="276" w:lineRule="auto"/>
              <w:ind w:left="125" w:hanging="125"/>
              <w:jc w:val="left"/>
            </w:pPr>
            <w:r>
              <w:t xml:space="preserve">• </w:t>
            </w:r>
            <w:r>
              <w:rPr>
                <w:b w:val="0"/>
                <w:i w:val="0"/>
              </w:rPr>
              <w:t>% revenue from non-govt. sources.</w:t>
            </w:r>
          </w:p>
          <w:p>
            <w:pPr>
              <w:spacing w:after="40" w:line="276" w:lineRule="auto"/>
              <w:ind w:left="125" w:hanging="125"/>
              <w:jc w:val="left"/>
            </w:pPr>
            <w:r>
              <w:t xml:space="preserve">• </w:t>
            </w:r>
            <w:r>
              <w:rPr>
                <w:b w:val="0"/>
                <w:i w:val="0"/>
              </w:rPr>
              <w:t>Financial risk index.</w:t>
            </w:r>
          </w:p>
          <w:p>
            <w:pPr>
              <w:spacing w:after="40" w:line="276" w:lineRule="auto"/>
              <w:ind w:left="125" w:hanging="125"/>
              <w:jc w:val="left"/>
            </w:pPr>
            <w:r>
              <w:t xml:space="preserve">• </w:t>
            </w:r>
            <w:r>
              <w:rPr>
                <w:b w:val="0"/>
                <w:i w:val="0"/>
              </w:rPr>
              <w:t>No. of potential funding sources mapped.</w:t>
            </w:r>
          </w:p>
        </w:tc>
        <w:tc>
          <w:tcPr>
            <w:tcW w:type="dxa" w:w="1928"/>
            <w:vAlign w:val="center"/>
            <w:shd w:fill="FFFFFF"/>
          </w:tcPr>
          <w:p>
            <w:pPr>
              <w:spacing w:after="40" w:line="276" w:lineRule="auto"/>
              <w:ind w:left="125" w:hanging="125"/>
              <w:jc w:val="left"/>
            </w:pPr>
            <w:r>
              <w:t xml:space="preserve">• </w:t>
            </w:r>
            <w:r>
              <w:rPr>
                <w:b w:val="0"/>
                <w:i w:val="0"/>
              </w:rPr>
              <w:t>≥20% non-govt. revenue baseline.</w:t>
            </w:r>
          </w:p>
          <w:p>
            <w:pPr>
              <w:spacing w:after="40" w:line="276" w:lineRule="auto"/>
              <w:ind w:left="125" w:hanging="125"/>
              <w:jc w:val="left"/>
            </w:pPr>
            <w:r>
              <w:t xml:space="preserve">• </w:t>
            </w:r>
            <w:r>
              <w:rPr>
                <w:b w:val="0"/>
                <w:i w:val="0"/>
              </w:rPr>
              <w:t>Risk index completed.</w:t>
            </w:r>
          </w:p>
          <w:p>
            <w:pPr>
              <w:spacing w:after="40" w:line="276" w:lineRule="auto"/>
              <w:ind w:left="125" w:hanging="125"/>
              <w:jc w:val="left"/>
            </w:pPr>
            <w:r>
              <w:t xml:space="preserve">• </w:t>
            </w:r>
            <w:r>
              <w:rPr>
                <w:b w:val="0"/>
                <w:i w:val="0"/>
              </w:rPr>
              <w:t>≥5 external funding sources identified.</w:t>
            </w:r>
          </w:p>
        </w:tc>
      </w:tr>
      <w:tr>
        <w:trPr>
          <w:cantSplit/>
        </w:trPr>
        <w:tc>
          <w:tcPr>
            <w:tcW w:type="dxa" w:w="1757"/>
            <w:vAlign w:val="center"/>
            <w:shd w:fill="EDF2F7"/>
          </w:tcPr>
          <w:p>
            <w:pPr>
              <w:spacing w:after="40" w:line="276" w:lineRule="auto"/>
              <w:jc w:val="left"/>
            </w:pPr>
            <w:r>
              <w:rPr>
                <w:b w:val="0"/>
                <w:i w:val="0"/>
              </w:rPr>
              <w:t>Internal Processes &amp; Governance</w:t>
            </w:r>
          </w:p>
        </w:tc>
        <w:tc>
          <w:tcPr>
            <w:tcW w:type="dxa" w:w="1928"/>
            <w:vAlign w:val="center"/>
            <w:shd w:fill="EDF2F7"/>
          </w:tcPr>
          <w:p>
            <w:pPr>
              <w:spacing w:after="40" w:line="276" w:lineRule="auto"/>
              <w:jc w:val="left"/>
            </w:pPr>
            <w:r>
              <w:rPr>
                <w:b w:val="0"/>
                <w:i w:val="0"/>
              </w:rPr>
              <w:t>Audit governance &amp; accreditation readiness</w:t>
            </w:r>
          </w:p>
        </w:tc>
        <w:tc>
          <w:tcPr>
            <w:tcW w:type="dxa" w:w="1928"/>
            <w:vAlign w:val="center"/>
            <w:shd w:fill="EDF2F7"/>
          </w:tcPr>
          <w:p>
            <w:pPr>
              <w:spacing w:after="40" w:line="276" w:lineRule="auto"/>
              <w:ind w:left="125" w:hanging="125"/>
              <w:jc w:val="left"/>
            </w:pPr>
            <w:r>
              <w:t xml:space="preserve">• </w:t>
            </w:r>
            <w:r>
              <w:rPr>
                <w:b w:val="0"/>
                <w:i w:val="0"/>
              </w:rPr>
              <w:t>Conduct NAAC/​NBA/​NIRF compliance check.</w:t>
            </w:r>
          </w:p>
          <w:p>
            <w:pPr>
              <w:spacing w:after="40" w:line="276" w:lineRule="auto"/>
              <w:ind w:left="125" w:hanging="125"/>
              <w:jc w:val="left"/>
            </w:pPr>
            <w:r>
              <w:t xml:space="preserve">• </w:t>
            </w:r>
            <w:r>
              <w:rPr>
                <w:b w:val="0"/>
                <w:i w:val="0"/>
              </w:rPr>
              <w:t>Review policies &amp; decision-making processes.</w:t>
            </w:r>
          </w:p>
          <w:p>
            <w:pPr>
              <w:spacing w:after="40" w:line="276" w:lineRule="auto"/>
              <w:ind w:left="125" w:hanging="125"/>
              <w:jc w:val="left"/>
            </w:pPr>
            <w:r>
              <w:t xml:space="preserve">• </w:t>
            </w:r>
            <w:r>
              <w:rPr>
                <w:b w:val="0"/>
                <w:i w:val="0"/>
              </w:rPr>
              <w:t>Evaluate ERP/​digital governance readiness.</w:t>
            </w:r>
          </w:p>
        </w:tc>
        <w:tc>
          <w:tcPr>
            <w:tcW w:type="dxa" w:w="1871"/>
            <w:vAlign w:val="center"/>
            <w:shd w:fill="EDF2F7"/>
          </w:tcPr>
          <w:p>
            <w:pPr>
              <w:spacing w:after="40" w:line="276" w:lineRule="auto"/>
              <w:ind w:left="125" w:hanging="125"/>
              <w:jc w:val="left"/>
            </w:pPr>
            <w:r>
              <w:t xml:space="preserve">• </w:t>
            </w:r>
            <w:r>
              <w:rPr>
                <w:b w:val="0"/>
                <w:i w:val="0"/>
              </w:rPr>
              <w:t>Accreditation readiness score.</w:t>
            </w:r>
          </w:p>
          <w:p>
            <w:pPr>
              <w:spacing w:after="40" w:line="276" w:lineRule="auto"/>
              <w:ind w:left="125" w:hanging="125"/>
              <w:jc w:val="left"/>
            </w:pPr>
            <w:r>
              <w:t xml:space="preserve">• </w:t>
            </w:r>
            <w:r>
              <w:rPr>
                <w:b w:val="0"/>
                <w:i w:val="0"/>
              </w:rPr>
              <w:t>No. of policy gaps.</w:t>
            </w:r>
          </w:p>
          <w:p>
            <w:pPr>
              <w:spacing w:after="40" w:line="276" w:lineRule="auto"/>
              <w:ind w:left="125" w:hanging="125"/>
              <w:jc w:val="left"/>
            </w:pPr>
            <w:r>
              <w:t xml:space="preserve">• </w:t>
            </w:r>
            <w:r>
              <w:rPr>
                <w:b w:val="0"/>
                <w:i w:val="0"/>
              </w:rPr>
              <w:t>% processes digitized.</w:t>
            </w:r>
          </w:p>
        </w:tc>
        <w:tc>
          <w:tcPr>
            <w:tcW w:type="dxa" w:w="1928"/>
            <w:vAlign w:val="center"/>
            <w:shd w:fill="EDF2F7"/>
          </w:tcPr>
          <w:p>
            <w:pPr>
              <w:spacing w:after="40" w:line="276" w:lineRule="auto"/>
              <w:ind w:left="125" w:hanging="125"/>
              <w:jc w:val="left"/>
            </w:pPr>
            <w:r>
              <w:t xml:space="preserve">• </w:t>
            </w:r>
            <w:r>
              <w:rPr>
                <w:b w:val="0"/>
                <w:i w:val="0"/>
              </w:rPr>
              <w:t>≥80% readiness.</w:t>
            </w:r>
          </w:p>
          <w:p>
            <w:pPr>
              <w:spacing w:after="40" w:line="276" w:lineRule="auto"/>
              <w:ind w:left="125" w:hanging="125"/>
              <w:jc w:val="left"/>
            </w:pPr>
            <w:r>
              <w:t xml:space="preserve">• </w:t>
            </w:r>
            <w:r>
              <w:rPr>
                <w:b w:val="0"/>
                <w:i w:val="0"/>
              </w:rPr>
              <w:t>All major gaps identified.</w:t>
            </w:r>
          </w:p>
          <w:p>
            <w:pPr>
              <w:spacing w:after="40" w:line="276" w:lineRule="auto"/>
              <w:ind w:left="125" w:hanging="125"/>
              <w:jc w:val="left"/>
            </w:pPr>
            <w:r>
              <w:t xml:space="preserve">• </w:t>
            </w:r>
            <w:r>
              <w:rPr>
                <w:b w:val="0"/>
                <w:i w:val="0"/>
              </w:rPr>
              <w:t>≥50% processes digitized baseline..</w:t>
            </w:r>
          </w:p>
        </w:tc>
      </w:tr>
      <w:tr>
        <w:trPr>
          <w:cantSplit/>
        </w:trPr>
        <w:tc>
          <w:tcPr>
            <w:tcW w:type="dxa" w:w="1757"/>
            <w:vAlign w:val="center"/>
            <w:shd w:fill="FFFFFF"/>
          </w:tcPr>
          <w:p>
            <w:pPr>
              <w:spacing w:after="40" w:line="276" w:lineRule="auto"/>
              <w:jc w:val="left"/>
            </w:pPr>
            <w:r>
              <w:rPr>
                <w:b w:val="0"/>
                <w:i w:val="0"/>
              </w:rPr>
              <w:t>Community &amp; Social Impact</w:t>
            </w:r>
          </w:p>
        </w:tc>
        <w:tc>
          <w:tcPr>
            <w:tcW w:type="dxa" w:w="1928"/>
            <w:vAlign w:val="center"/>
            <w:shd w:fill="FFFFFF"/>
          </w:tcPr>
          <w:p>
            <w:pPr>
              <w:spacing w:after="40" w:line="276" w:lineRule="auto"/>
              <w:jc w:val="left"/>
            </w:pPr>
            <w:r>
              <w:rPr>
                <w:b w:val="0"/>
                <w:i w:val="0"/>
              </w:rPr>
              <w:t>Assess ISR &amp; extension activities</w:t>
            </w:r>
          </w:p>
        </w:tc>
        <w:tc>
          <w:tcPr>
            <w:tcW w:type="dxa" w:w="1928"/>
            <w:vAlign w:val="center"/>
            <w:shd w:fill="FFFFFF"/>
          </w:tcPr>
          <w:p>
            <w:pPr>
              <w:spacing w:after="40" w:line="276" w:lineRule="auto"/>
              <w:ind w:left="125" w:hanging="125"/>
              <w:jc w:val="left"/>
            </w:pPr>
            <w:r>
              <w:t xml:space="preserve">• </w:t>
            </w:r>
            <w:r>
              <w:rPr>
                <w:b w:val="0"/>
                <w:i w:val="0"/>
              </w:rPr>
              <w:t>Map community engagement projects.</w:t>
            </w:r>
          </w:p>
          <w:p>
            <w:pPr>
              <w:spacing w:after="40" w:line="276" w:lineRule="auto"/>
              <w:ind w:left="125" w:hanging="125"/>
              <w:jc w:val="left"/>
            </w:pPr>
            <w:r>
              <w:t xml:space="preserve">• </w:t>
            </w:r>
            <w:r>
              <w:rPr>
                <w:b w:val="0"/>
                <w:i w:val="0"/>
              </w:rPr>
              <w:t>Evaluate SDG-linked initiatives.</w:t>
            </w:r>
          </w:p>
          <w:p>
            <w:pPr>
              <w:spacing w:after="40" w:line="276" w:lineRule="auto"/>
              <w:ind w:left="125" w:hanging="125"/>
              <w:jc w:val="left"/>
            </w:pPr>
            <w:r>
              <w:t xml:space="preserve">• </w:t>
            </w:r>
            <w:r>
              <w:rPr>
                <w:b w:val="0"/>
                <w:i w:val="0"/>
              </w:rPr>
              <w:t>Collect stakeholder feedback.</w:t>
            </w:r>
          </w:p>
        </w:tc>
        <w:tc>
          <w:tcPr>
            <w:tcW w:type="dxa" w:w="1871"/>
            <w:vAlign w:val="center"/>
            <w:shd w:fill="FFFFFF"/>
          </w:tcPr>
          <w:p>
            <w:pPr>
              <w:spacing w:after="40" w:line="276" w:lineRule="auto"/>
              <w:ind w:left="125" w:hanging="125"/>
              <w:jc w:val="left"/>
            </w:pPr>
            <w:r>
              <w:t xml:space="preserve">• </w:t>
            </w:r>
            <w:r>
              <w:rPr>
                <w:b w:val="0"/>
                <w:i w:val="0"/>
              </w:rPr>
              <w:t>No. of ISR projects audited.</w:t>
            </w:r>
          </w:p>
          <w:p>
            <w:pPr>
              <w:spacing w:after="40" w:line="276" w:lineRule="auto"/>
              <w:ind w:left="125" w:hanging="125"/>
              <w:jc w:val="left"/>
            </w:pPr>
            <w:r>
              <w:t xml:space="preserve">• </w:t>
            </w:r>
            <w:r>
              <w:rPr>
                <w:b w:val="0"/>
                <w:i w:val="0"/>
              </w:rPr>
              <w:t>% projects linked to SDGs.</w:t>
            </w:r>
          </w:p>
          <w:p>
            <w:pPr>
              <w:spacing w:after="40" w:line="276" w:lineRule="auto"/>
              <w:ind w:left="125" w:hanging="125"/>
              <w:jc w:val="left"/>
            </w:pPr>
            <w:r>
              <w:t xml:space="preserve">• </w:t>
            </w:r>
            <w:r>
              <w:rPr>
                <w:b w:val="0"/>
                <w:i w:val="0"/>
              </w:rPr>
              <w:t>Community satisfaction score.</w:t>
            </w:r>
          </w:p>
        </w:tc>
        <w:tc>
          <w:tcPr>
            <w:tcW w:type="dxa" w:w="1928"/>
            <w:vAlign w:val="center"/>
            <w:shd w:fill="FFFFFF"/>
          </w:tcPr>
          <w:p>
            <w:pPr>
              <w:spacing w:after="40" w:line="276" w:lineRule="auto"/>
              <w:ind w:left="125" w:hanging="125"/>
              <w:jc w:val="left"/>
            </w:pPr>
            <w:r>
              <w:t xml:space="preserve">• </w:t>
            </w:r>
            <w:r>
              <w:rPr>
                <w:b w:val="0"/>
                <w:i w:val="0"/>
              </w:rPr>
              <w:t>≥10 ISR projects reviewed.</w:t>
            </w:r>
          </w:p>
          <w:p>
            <w:pPr>
              <w:spacing w:after="40" w:line="276" w:lineRule="auto"/>
              <w:ind w:left="125" w:hanging="125"/>
              <w:jc w:val="left"/>
            </w:pPr>
            <w:r>
              <w:t xml:space="preserve">• </w:t>
            </w:r>
            <w:r>
              <w:rPr>
                <w:b w:val="0"/>
                <w:i w:val="0"/>
              </w:rPr>
              <w:t>≥60% linked to SDGs.</w:t>
            </w:r>
          </w:p>
          <w:p>
            <w:pPr>
              <w:spacing w:after="40" w:line="276" w:lineRule="auto"/>
              <w:ind w:left="125" w:hanging="125"/>
              <w:jc w:val="left"/>
            </w:pPr>
            <w:r>
              <w:t xml:space="preserve">• </w:t>
            </w:r>
            <w:r>
              <w:rPr>
                <w:b w:val="0"/>
                <w:i w:val="0"/>
              </w:rPr>
              <w:t>≥80% satisfaction baseline.</w:t>
            </w:r>
          </w:p>
        </w:tc>
      </w:tr>
      <w:tr>
        <w:trPr>
          <w:cantSplit/>
        </w:trPr>
        <w:tc>
          <w:tcPr>
            <w:tcW w:type="dxa" w:w="1757"/>
            <w:vAlign w:val="center"/>
            <w:shd w:fill="EDF2F7"/>
          </w:tcPr>
          <w:p>
            <w:pPr>
              <w:spacing w:after="40" w:line="276" w:lineRule="auto"/>
              <w:jc w:val="left"/>
            </w:pPr>
            <w:r>
              <w:rPr>
                <w:b w:val="0"/>
                <w:i w:val="0"/>
              </w:rPr>
              <w:t>Global Engagement</w:t>
            </w:r>
          </w:p>
        </w:tc>
        <w:tc>
          <w:tcPr>
            <w:tcW w:type="dxa" w:w="1928"/>
            <w:vAlign w:val="center"/>
            <w:shd w:fill="EDF2F7"/>
          </w:tcPr>
          <w:p>
            <w:pPr>
              <w:spacing w:after="40" w:line="276" w:lineRule="auto"/>
              <w:jc w:val="left"/>
            </w:pPr>
            <w:r>
              <w:rPr>
                <w:b w:val="0"/>
                <w:i w:val="0"/>
              </w:rPr>
              <w:t>Review international partnerships &amp; competitiveness</w:t>
            </w:r>
          </w:p>
        </w:tc>
        <w:tc>
          <w:tcPr>
            <w:tcW w:type="dxa" w:w="1928"/>
            <w:vAlign w:val="center"/>
            <w:shd w:fill="EDF2F7"/>
          </w:tcPr>
          <w:p>
            <w:pPr>
              <w:spacing w:after="40" w:line="276" w:lineRule="auto"/>
              <w:ind w:left="125" w:hanging="125"/>
              <w:jc w:val="left"/>
            </w:pPr>
            <w:r>
              <w:t xml:space="preserve">• </w:t>
            </w:r>
            <w:r>
              <w:rPr>
                <w:b w:val="0"/>
                <w:i w:val="0"/>
              </w:rPr>
              <w:t>Audit MoUs &amp; exchange programs.</w:t>
            </w:r>
          </w:p>
          <w:p>
            <w:pPr>
              <w:spacing w:after="40" w:line="276" w:lineRule="auto"/>
              <w:ind w:left="125" w:hanging="125"/>
              <w:jc w:val="left"/>
            </w:pPr>
            <w:r>
              <w:t xml:space="preserve">• </w:t>
            </w:r>
            <w:r>
              <w:rPr>
                <w:b w:val="0"/>
                <w:i w:val="0"/>
              </w:rPr>
              <w:t>Benchmark QS/​THE metrics.</w:t>
            </w:r>
          </w:p>
          <w:p>
            <w:pPr>
              <w:spacing w:after="40" w:line="276" w:lineRule="auto"/>
              <w:ind w:left="125" w:hanging="125"/>
              <w:jc w:val="left"/>
            </w:pPr>
            <w:r>
              <w:t xml:space="preserve">• </w:t>
            </w:r>
            <w:r>
              <w:rPr>
                <w:b w:val="0"/>
                <w:i w:val="0"/>
              </w:rPr>
              <w:t>Assess global mobility readiness.</w:t>
            </w:r>
          </w:p>
        </w:tc>
        <w:tc>
          <w:tcPr>
            <w:tcW w:type="dxa" w:w="1871"/>
            <w:vAlign w:val="center"/>
            <w:shd w:fill="EDF2F7"/>
          </w:tcPr>
          <w:p>
            <w:pPr>
              <w:spacing w:after="40" w:line="276" w:lineRule="auto"/>
              <w:ind w:left="125" w:hanging="125"/>
              <w:jc w:val="left"/>
            </w:pPr>
            <w:r>
              <w:t xml:space="preserve">• </w:t>
            </w:r>
            <w:r>
              <w:rPr>
                <w:b w:val="0"/>
                <w:i w:val="0"/>
              </w:rPr>
              <w:t>No. of active MoUs.</w:t>
            </w:r>
          </w:p>
          <w:p>
            <w:pPr>
              <w:spacing w:after="40" w:line="276" w:lineRule="auto"/>
              <w:ind w:left="125" w:hanging="125"/>
              <w:jc w:val="left"/>
            </w:pPr>
            <w:r>
              <w:t xml:space="preserve">• </w:t>
            </w:r>
            <w:r>
              <w:rPr>
                <w:b w:val="0"/>
                <w:i w:val="0"/>
              </w:rPr>
              <w:t>Exchange participation baseline.</w:t>
            </w:r>
          </w:p>
          <w:p>
            <w:pPr>
              <w:spacing w:after="40" w:line="276" w:lineRule="auto"/>
              <w:ind w:left="125" w:hanging="125"/>
              <w:jc w:val="left"/>
            </w:pPr>
            <w:r>
              <w:t xml:space="preserve">• </w:t>
            </w:r>
            <w:r>
              <w:rPr>
                <w:b w:val="0"/>
                <w:i w:val="0"/>
              </w:rPr>
              <w:t>QS/​THE benchmarking score.</w:t>
            </w:r>
          </w:p>
        </w:tc>
        <w:tc>
          <w:tcPr>
            <w:tcW w:type="dxa" w:w="1928"/>
            <w:vAlign w:val="center"/>
            <w:shd w:fill="EDF2F7"/>
          </w:tcPr>
          <w:p>
            <w:pPr>
              <w:spacing w:after="40" w:line="276" w:lineRule="auto"/>
              <w:jc w:val="left"/>
            </w:pPr>
          </w:p>
        </w:tc>
      </w:tr>
    </w:tbl>
    <w:p>
      <w:pPr>
        <w:spacing w:after="40"/>
      </w:pPr>
    </w:p>
    <w:p>
      <w:pPr>
        <w:pStyle w:val="Heading1"/>
      </w:pPr>
      <w:r>
        <w:t>17. Phase 2: Strategy Formulation</w:t>
      </w:r>
    </w:p>
    <w:p>
      <w:pPr>
        <w:pStyle w:val="Heading2"/>
      </w:pPr>
      <w:r>
        <w:rPr>
          <w:i/>
        </w:rPr>
        <w:t>1. Purpose</w:t>
      </w:r>
    </w:p>
    <w:p>
      <w:pPr>
        <w:pStyle w:val="ListBullet"/>
        <w:numPr>
          <w:ilvl w:val="0"/>
          <w:numId w:val="90"/>
        </w:numPr>
        <w:ind w:left="340" w:hanging="142"/>
      </w:pPr>
      <w:r>
        <w:rPr>
          <w:b w:val="0"/>
          <w:i w:val="0"/>
        </w:rPr>
        <w:t>To convert insights from Phase 1 (Assessment &amp; Diagnosis) into actionable strategies.</w:t>
      </w:r>
    </w:p>
    <w:p>
      <w:pPr>
        <w:pStyle w:val="ListBullet"/>
        <w:numPr>
          <w:ilvl w:val="0"/>
          <w:numId w:val="90"/>
        </w:numPr>
        <w:ind w:left="340" w:hanging="142"/>
      </w:pPr>
      <w:r>
        <w:rPr>
          <w:b w:val="0"/>
          <w:i w:val="0"/>
        </w:rPr>
        <w:t>To align institutional goals with NEP 2020, SDGs, and accreditation frameworks (NAAC/NBA/NIRF/QS).</w:t>
      </w:r>
    </w:p>
    <w:p>
      <w:pPr>
        <w:pStyle w:val="ListBullet"/>
        <w:numPr>
          <w:ilvl w:val="0"/>
          <w:numId w:val="90"/>
        </w:numPr>
        <w:ind w:left="340" w:hanging="142"/>
      </w:pPr>
      <w:r>
        <w:rPr>
          <w:b w:val="0"/>
          <w:i w:val="0"/>
        </w:rPr>
        <w:t>To define strategic pillars, objectives, and priorities with measurable outcomes.</w:t>
      </w:r>
    </w:p>
    <w:p>
      <w:pPr>
        <w:pStyle w:val="Heading2"/>
      </w:pPr>
      <w:r>
        <w:rPr>
          <w:i/>
        </w:rPr>
        <w:t>2. Key Activities</w:t>
      </w:r>
    </w:p>
    <w:p>
      <w:pPr>
        <w:pStyle w:val="ListBullet"/>
        <w:numPr>
          <w:ilvl w:val="0"/>
          <w:numId w:val="90"/>
        </w:numPr>
        <w:ind w:left="340" w:hanging="142"/>
      </w:pPr>
      <w:r>
        <w:rPr>
          <w:b w:val="0"/>
          <w:i w:val="0"/>
        </w:rPr>
        <w:t>Review Diagnostic Report</w:t>
      </w:r>
    </w:p>
    <w:p>
      <w:pPr>
        <w:pStyle w:val="ListBullet2"/>
        <w:numPr>
          <w:ilvl w:val="1"/>
          <w:numId w:val="90"/>
        </w:numPr>
        <w:ind w:left="652" w:hanging="142"/>
      </w:pPr>
      <w:r>
        <w:rPr>
          <w:b w:val="0"/>
          <w:i w:val="0"/>
        </w:rPr>
        <w:t>Analyze SWOT, PESTLE, and benchmarking outcomes.</w:t>
      </w:r>
    </w:p>
    <w:p>
      <w:pPr>
        <w:pStyle w:val="ListBullet2"/>
        <w:numPr>
          <w:ilvl w:val="1"/>
          <w:numId w:val="90"/>
        </w:numPr>
        <w:ind w:left="652" w:hanging="142"/>
      </w:pPr>
      <w:r>
        <w:rPr>
          <w:b w:val="0"/>
          <w:i w:val="0"/>
        </w:rPr>
        <w:t>Identify high-priority focus areas.</w:t>
      </w:r>
    </w:p>
    <w:p>
      <w:pPr>
        <w:pStyle w:val="ListBullet"/>
        <w:numPr>
          <w:ilvl w:val="0"/>
          <w:numId w:val="90"/>
        </w:numPr>
        <w:ind w:left="340" w:hanging="142"/>
      </w:pPr>
      <w:r>
        <w:rPr>
          <w:b w:val="0"/>
          <w:i w:val="0"/>
        </w:rPr>
        <w:t>Define Strategic Pillars</w:t>
      </w:r>
    </w:p>
    <w:p>
      <w:pPr>
        <w:pStyle w:val="ListBullet2"/>
        <w:numPr>
          <w:ilvl w:val="1"/>
          <w:numId w:val="90"/>
        </w:numPr>
        <w:ind w:left="652" w:hanging="142"/>
      </w:pPr>
      <w:r>
        <w:rPr>
          <w:b w:val="0"/>
          <w:i w:val="0"/>
        </w:rPr>
        <w:t>Academic Excellence &amp; Learning.</w:t>
      </w:r>
    </w:p>
    <w:p>
      <w:pPr>
        <w:pStyle w:val="ListBullet2"/>
        <w:numPr>
          <w:ilvl w:val="1"/>
          <w:numId w:val="90"/>
        </w:numPr>
        <w:ind w:left="652" w:hanging="142"/>
      </w:pPr>
      <w:r>
        <w:rPr>
          <w:b w:val="0"/>
          <w:i w:val="0"/>
        </w:rPr>
        <w:t>Research, Innovation &amp; Knowledge Creation.</w:t>
      </w:r>
    </w:p>
    <w:p>
      <w:pPr>
        <w:pStyle w:val="ListBullet2"/>
        <w:numPr>
          <w:ilvl w:val="1"/>
          <w:numId w:val="90"/>
        </w:numPr>
        <w:ind w:left="652" w:hanging="142"/>
      </w:pPr>
      <w:r>
        <w:rPr>
          <w:b w:val="0"/>
          <w:i w:val="0"/>
        </w:rPr>
        <w:t>Sustainable Infrastructure &amp; Green Development.</w:t>
      </w:r>
    </w:p>
    <w:p>
      <w:pPr>
        <w:pStyle w:val="ListBullet2"/>
        <w:numPr>
          <w:ilvl w:val="1"/>
          <w:numId w:val="90"/>
        </w:numPr>
        <w:ind w:left="652" w:hanging="142"/>
      </w:pPr>
      <w:r>
        <w:rPr>
          <w:b w:val="0"/>
          <w:i w:val="0"/>
        </w:rPr>
        <w:t>Governance &amp; Quality Assurance.</w:t>
      </w:r>
    </w:p>
    <w:p>
      <w:pPr>
        <w:pStyle w:val="ListBullet2"/>
        <w:numPr>
          <w:ilvl w:val="1"/>
          <w:numId w:val="90"/>
        </w:numPr>
        <w:ind w:left="652" w:hanging="142"/>
      </w:pPr>
      <w:r>
        <w:rPr>
          <w:b w:val="0"/>
          <w:i w:val="0"/>
        </w:rPr>
        <w:t>Financial Sustainability &amp; Resource Mobilization.</w:t>
      </w:r>
    </w:p>
    <w:p>
      <w:pPr>
        <w:pStyle w:val="ListBullet2"/>
        <w:numPr>
          <w:ilvl w:val="1"/>
          <w:numId w:val="90"/>
        </w:numPr>
        <w:ind w:left="652" w:hanging="142"/>
      </w:pPr>
      <w:r>
        <w:rPr>
          <w:b w:val="0"/>
          <w:i w:val="0"/>
        </w:rPr>
        <w:t>Community Engagement &amp; ISR.</w:t>
      </w:r>
    </w:p>
    <w:p>
      <w:pPr>
        <w:pStyle w:val="ListBullet2"/>
        <w:numPr>
          <w:ilvl w:val="1"/>
          <w:numId w:val="90"/>
        </w:numPr>
        <w:ind w:left="652" w:hanging="142"/>
      </w:pPr>
      <w:r>
        <w:rPr>
          <w:b w:val="0"/>
          <w:i w:val="0"/>
        </w:rPr>
        <w:t>Globalization &amp; Internationalization.</w:t>
      </w:r>
    </w:p>
    <w:p>
      <w:pPr>
        <w:pStyle w:val="ListBullet2"/>
        <w:numPr>
          <w:ilvl w:val="1"/>
          <w:numId w:val="90"/>
        </w:numPr>
        <w:ind w:left="652" w:hanging="142"/>
      </w:pPr>
      <w:r>
        <w:rPr>
          <w:b w:val="0"/>
          <w:i w:val="0"/>
        </w:rPr>
        <w:t>Technological Transformation.</w:t>
      </w:r>
    </w:p>
    <w:p>
      <w:pPr>
        <w:pStyle w:val="ListBullet2"/>
        <w:numPr>
          <w:ilvl w:val="1"/>
          <w:numId w:val="90"/>
        </w:numPr>
        <w:ind w:left="652" w:hanging="142"/>
      </w:pPr>
      <w:r>
        <w:rPr>
          <w:b w:val="0"/>
          <w:i w:val="0"/>
        </w:rPr>
        <w:t>Equity, Inclusion &amp; Student Development.</w:t>
      </w:r>
    </w:p>
    <w:p>
      <w:pPr>
        <w:pStyle w:val="ListBullet"/>
        <w:numPr>
          <w:ilvl w:val="0"/>
          <w:numId w:val="90"/>
        </w:numPr>
        <w:ind w:left="340" w:hanging="142"/>
      </w:pPr>
      <w:r>
        <w:rPr>
          <w:b w:val="0"/>
          <w:i w:val="0"/>
        </w:rPr>
        <w:t>Translate Pillars into Strategic Objectives</w:t>
      </w:r>
    </w:p>
    <w:p>
      <w:pPr>
        <w:pStyle w:val="ListBullet2"/>
        <w:numPr>
          <w:ilvl w:val="1"/>
          <w:numId w:val="90"/>
        </w:numPr>
        <w:ind w:left="652" w:hanging="142"/>
      </w:pPr>
      <w:r>
        <w:rPr>
          <w:b w:val="0"/>
          <w:i w:val="0"/>
        </w:rPr>
        <w:t>Broad outcomes aligned with NEP 2020 and SDGs.</w:t>
      </w:r>
    </w:p>
    <w:p>
      <w:pPr>
        <w:pStyle w:val="ListBullet2"/>
        <w:numPr>
          <w:ilvl w:val="1"/>
          <w:numId w:val="90"/>
        </w:numPr>
        <w:ind w:left="652" w:hanging="142"/>
      </w:pPr>
      <w:r>
        <w:rPr>
          <w:b/>
          <w:i w:val="0"/>
        </w:rPr>
        <w:t>For example:</w:t>
      </w:r>
      <w:r>
        <w:rPr>
          <w:b w:val="0"/>
          <w:i w:val="0"/>
        </w:rPr>
        <w:t xml:space="preserve"> </w:t>
      </w:r>
      <w:r>
        <w:rPr>
          <w:b w:val="0"/>
          <w:i/>
        </w:rPr>
        <w:t>“Achieve NAAC A++ accreditation within 5 years.”</w:t>
      </w:r>
    </w:p>
    <w:p>
      <w:pPr>
        <w:pStyle w:val="ListBullet"/>
        <w:numPr>
          <w:ilvl w:val="0"/>
          <w:numId w:val="90"/>
        </w:numPr>
        <w:ind w:left="340" w:hanging="142"/>
      </w:pPr>
      <w:r>
        <w:rPr>
          <w:b w:val="0"/>
          <w:i w:val="0"/>
        </w:rPr>
        <w:t>Set Operational Goals (SMART Targets)</w:t>
      </w:r>
    </w:p>
    <w:p>
      <w:pPr>
        <w:pStyle w:val="ListBullet2"/>
        <w:numPr>
          <w:ilvl w:val="1"/>
          <w:numId w:val="90"/>
        </w:numPr>
        <w:ind w:left="652" w:hanging="142"/>
      </w:pPr>
      <w:r>
        <w:rPr>
          <w:b w:val="0"/>
          <w:i w:val="0"/>
        </w:rPr>
        <w:t>Specific, measurable, achievable, relevant, time-bound.</w:t>
      </w:r>
    </w:p>
    <w:p>
      <w:pPr>
        <w:pStyle w:val="ListBullet2"/>
        <w:numPr>
          <w:ilvl w:val="1"/>
          <w:numId w:val="90"/>
        </w:numPr>
        <w:ind w:left="652" w:hanging="142"/>
      </w:pPr>
      <w:r>
        <w:rPr>
          <w:b w:val="0"/>
          <w:i w:val="0"/>
        </w:rPr>
        <w:t xml:space="preserve">E.g., </w:t>
      </w:r>
      <w:r>
        <w:rPr>
          <w:b w:val="0"/>
          <w:i/>
        </w:rPr>
        <w:t>“Convert 70% of classrooms into smart classrooms by 2025.”</w:t>
      </w:r>
    </w:p>
    <w:p>
      <w:pPr>
        <w:pStyle w:val="ListBullet"/>
        <w:numPr>
          <w:ilvl w:val="0"/>
          <w:numId w:val="90"/>
        </w:numPr>
        <w:ind w:left="340" w:hanging="142"/>
      </w:pPr>
      <w:r>
        <w:rPr>
          <w:b w:val="0"/>
          <w:i w:val="0"/>
        </w:rPr>
        <w:t>Develop Policy–Action–Outcome–KPI Framework</w:t>
      </w:r>
    </w:p>
    <w:p>
      <w:pPr>
        <w:pStyle w:val="ListBullet2"/>
        <w:numPr>
          <w:ilvl w:val="1"/>
          <w:numId w:val="90"/>
        </w:numPr>
        <w:ind w:left="652" w:hanging="142"/>
      </w:pPr>
      <w:r>
        <w:rPr>
          <w:b w:val="0"/>
          <w:i w:val="0"/>
        </w:rPr>
        <w:t>For each strategic pillar, define policies, concrete actions, expected outcomes, and measurable KPIs.</w:t>
      </w:r>
    </w:p>
    <w:p>
      <w:pPr>
        <w:pStyle w:val="ListBullet"/>
        <w:numPr>
          <w:ilvl w:val="0"/>
          <w:numId w:val="90"/>
        </w:numPr>
        <w:ind w:left="340" w:hanging="142"/>
      </w:pPr>
      <w:r>
        <w:rPr>
          <w:b w:val="0"/>
          <w:i w:val="0"/>
        </w:rPr>
        <w:t>Prioritization &amp; Resource Mapping</w:t>
      </w:r>
    </w:p>
    <w:p>
      <w:pPr>
        <w:pStyle w:val="ListBullet2"/>
        <w:numPr>
          <w:ilvl w:val="1"/>
          <w:numId w:val="90"/>
        </w:numPr>
        <w:ind w:left="652" w:hanging="142"/>
      </w:pPr>
      <w:r>
        <w:rPr>
          <w:b w:val="0"/>
          <w:i w:val="0"/>
        </w:rPr>
        <w:t>Rank goals based on urgency, feasibility, and impact.</w:t>
      </w:r>
    </w:p>
    <w:p>
      <w:pPr>
        <w:pStyle w:val="ListBullet2"/>
        <w:numPr>
          <w:ilvl w:val="1"/>
          <w:numId w:val="90"/>
        </w:numPr>
        <w:ind w:left="652" w:hanging="142"/>
      </w:pPr>
      <w:r>
        <w:rPr>
          <w:b w:val="0"/>
          <w:i w:val="0"/>
        </w:rPr>
        <w:t>Map required budgets, manpower, and infrastructure.</w:t>
      </w:r>
    </w:p>
    <w:p>
      <w:pPr>
        <w:pStyle w:val="Heading2"/>
      </w:pPr>
      <w:r>
        <w:rPr>
          <w:i/>
        </w:rPr>
        <w:t>3. Tools &amp; Techniques</w:t>
      </w:r>
    </w:p>
    <w:p>
      <w:pPr>
        <w:pStyle w:val="ListBullet"/>
        <w:numPr>
          <w:ilvl w:val="0"/>
          <w:numId w:val="90"/>
        </w:numPr>
        <w:ind w:left="340" w:hanging="142"/>
      </w:pPr>
      <w:r>
        <w:rPr>
          <w:b w:val="0"/>
          <w:i w:val="0"/>
        </w:rPr>
        <w:t>Strategic Planning Workshops with stakeholders.</w:t>
      </w:r>
    </w:p>
    <w:p>
      <w:pPr>
        <w:pStyle w:val="ListBullet"/>
        <w:numPr>
          <w:ilvl w:val="0"/>
          <w:numId w:val="90"/>
        </w:numPr>
        <w:ind w:left="340" w:hanging="142"/>
      </w:pPr>
      <w:r>
        <w:rPr>
          <w:b w:val="0"/>
          <w:i w:val="0"/>
        </w:rPr>
        <w:t>Balanced Scorecard (BSC) Model for KPI mapping.</w:t>
      </w:r>
    </w:p>
    <w:p>
      <w:pPr>
        <w:pStyle w:val="ListBullet"/>
        <w:numPr>
          <w:ilvl w:val="0"/>
          <w:numId w:val="90"/>
        </w:numPr>
        <w:ind w:left="340" w:hanging="142"/>
      </w:pPr>
      <w:r>
        <w:rPr>
          <w:b w:val="0"/>
          <w:i w:val="0"/>
        </w:rPr>
        <w:t>Scenario Planning to test strategies against external risks.</w:t>
      </w:r>
    </w:p>
    <w:p>
      <w:pPr>
        <w:pStyle w:val="ListBullet"/>
        <w:numPr>
          <w:ilvl w:val="0"/>
          <w:numId w:val="90"/>
        </w:numPr>
        <w:ind w:left="340" w:hanging="142"/>
      </w:pPr>
      <w:r>
        <w:rPr>
          <w:b w:val="0"/>
          <w:i w:val="0"/>
        </w:rPr>
        <w:t>Strategy Maps to visualize objectives and linkages.</w:t>
      </w:r>
    </w:p>
    <w:p>
      <w:pPr>
        <w:pStyle w:val="Heading2"/>
      </w:pPr>
      <w:r>
        <w:t>4. Outputs/Deliverables</w:t>
      </w:r>
    </w:p>
    <w:p>
      <w:pPr>
        <w:pStyle w:val="ListBullet"/>
        <w:numPr>
          <w:ilvl w:val="0"/>
          <w:numId w:val="90"/>
        </w:numPr>
        <w:ind w:left="340" w:hanging="142"/>
      </w:pPr>
      <w:r>
        <w:rPr>
          <w:b w:val="0"/>
          <w:i w:val="0"/>
        </w:rPr>
        <w:t>Strategic Plan Document (vision, mission, pillars, objectives).</w:t>
      </w:r>
    </w:p>
    <w:p>
      <w:pPr>
        <w:pStyle w:val="ListBullet"/>
        <w:numPr>
          <w:ilvl w:val="0"/>
          <w:numId w:val="90"/>
        </w:numPr>
        <w:ind w:left="340" w:hanging="142"/>
      </w:pPr>
      <w:r>
        <w:rPr>
          <w:b w:val="0"/>
          <w:i w:val="0"/>
        </w:rPr>
        <w:t>Policy–Action–Outcome–KPI Table for all strategic pillars.</w:t>
      </w:r>
    </w:p>
    <w:p>
      <w:pPr>
        <w:pStyle w:val="ListBullet"/>
        <w:numPr>
          <w:ilvl w:val="0"/>
          <w:numId w:val="90"/>
        </w:numPr>
        <w:ind w:left="340" w:hanging="142"/>
      </w:pPr>
      <w:r>
        <w:rPr>
          <w:b w:val="0"/>
          <w:i w:val="0"/>
        </w:rPr>
        <w:t>Operational Goals Matrix with SMART targets.</w:t>
      </w:r>
    </w:p>
    <w:p>
      <w:pPr>
        <w:pStyle w:val="ListBullet"/>
        <w:numPr>
          <w:ilvl w:val="0"/>
          <w:numId w:val="90"/>
        </w:numPr>
        <w:ind w:left="340" w:hanging="142"/>
      </w:pPr>
      <w:r>
        <w:rPr>
          <w:b w:val="0"/>
          <w:i w:val="0"/>
        </w:rPr>
        <w:t>Resource Allocation Plan (budget, manpower, infrastructure).</w:t>
      </w:r>
    </w:p>
    <w:p>
      <w:pPr>
        <w:pStyle w:val="ListBullet"/>
        <w:numPr>
          <w:ilvl w:val="0"/>
          <w:numId w:val="90"/>
        </w:numPr>
        <w:ind w:left="340" w:hanging="142"/>
      </w:pPr>
      <w:r>
        <w:rPr>
          <w:b w:val="0"/>
          <w:i w:val="0"/>
        </w:rPr>
        <w:t>Balanced Scorecard Framework for monitoring.</w:t>
      </w:r>
    </w:p>
    <w:p>
      <w:pPr>
        <w:pStyle w:val="Heading2"/>
      </w:pPr>
      <w:r>
        <w:rPr>
          <w:i/>
        </w:rPr>
        <w:t>5. Timeline (Short-Term: 0–1 Year after Phase 1)</w:t>
      </w:r>
    </w:p>
    <w:p>
      <w:pPr>
        <w:pStyle w:val="ListBullet"/>
        <w:numPr>
          <w:ilvl w:val="0"/>
          <w:numId w:val="90"/>
        </w:numPr>
        <w:ind w:left="340" w:hanging="142"/>
      </w:pPr>
      <w:r>
        <w:rPr>
          <w:b/>
          <w:i w:val="0"/>
        </w:rPr>
        <w:t>Months 1–2:</w:t>
      </w:r>
      <w:r>
        <w:rPr>
          <w:b w:val="0"/>
          <w:i w:val="0"/>
        </w:rPr>
        <w:t xml:space="preserve"> Review diagnostic report, identify strategic pillars.</w:t>
      </w:r>
    </w:p>
    <w:p>
      <w:pPr>
        <w:pStyle w:val="ListBullet"/>
        <w:numPr>
          <w:ilvl w:val="0"/>
          <w:numId w:val="90"/>
        </w:numPr>
        <w:ind w:left="340" w:hanging="142"/>
      </w:pPr>
      <w:r>
        <w:rPr>
          <w:b/>
          <w:i w:val="0"/>
        </w:rPr>
        <w:t>Months 3–5:</w:t>
      </w:r>
      <w:r>
        <w:rPr>
          <w:b w:val="0"/>
          <w:i w:val="0"/>
        </w:rPr>
        <w:t xml:space="preserve"> Draft strategic objectives and operational goals.</w:t>
      </w:r>
    </w:p>
    <w:p>
      <w:pPr>
        <w:pStyle w:val="ListBullet"/>
        <w:numPr>
          <w:ilvl w:val="0"/>
          <w:numId w:val="90"/>
        </w:numPr>
        <w:ind w:left="340" w:hanging="142"/>
      </w:pPr>
      <w:r>
        <w:rPr>
          <w:b/>
          <w:i w:val="0"/>
        </w:rPr>
        <w:t>Months 6–8:</w:t>
      </w:r>
      <w:r>
        <w:rPr>
          <w:b w:val="0"/>
          <w:i w:val="0"/>
        </w:rPr>
        <w:t xml:space="preserve"> Develop Policy–Action–Outcome–KPI framework.</w:t>
      </w:r>
    </w:p>
    <w:p>
      <w:pPr>
        <w:pStyle w:val="ListBullet"/>
        <w:numPr>
          <w:ilvl w:val="0"/>
          <w:numId w:val="90"/>
        </w:numPr>
        <w:ind w:left="340" w:hanging="142"/>
      </w:pPr>
      <w:r>
        <w:rPr>
          <w:b/>
          <w:i w:val="0"/>
        </w:rPr>
        <w:t>Months 9–12:</w:t>
      </w:r>
      <w:r>
        <w:rPr>
          <w:b w:val="0"/>
          <w:i w:val="0"/>
        </w:rPr>
        <w:t xml:space="preserve"> Finalize strategy, secure Governing Body approval, transition to Phase 3 (Implementation).</w:t>
      </w:r>
    </w:p>
    <w:p>
      <w:pPr/>
      <w:r>
        <w:rPr>
          <w:b/>
          <w:i w:val="0"/>
        </w:rPr>
        <w:t>Phase 2 ensures:</w:t>
      </w:r>
    </w:p>
    <w:p>
      <w:pPr>
        <w:pStyle w:val="ListBullet"/>
        <w:numPr>
          <w:ilvl w:val="0"/>
          <w:numId w:val="90"/>
        </w:numPr>
        <w:ind w:left="340" w:hanging="142"/>
      </w:pPr>
      <w:r>
        <w:rPr>
          <w:b w:val="0"/>
          <w:i w:val="0"/>
        </w:rPr>
        <w:t>A clear strategic direction.</w:t>
      </w:r>
    </w:p>
    <w:p>
      <w:pPr>
        <w:pStyle w:val="ListBullet"/>
        <w:numPr>
          <w:ilvl w:val="0"/>
          <w:numId w:val="90"/>
        </w:numPr>
        <w:ind w:left="340" w:hanging="142"/>
      </w:pPr>
      <w:r>
        <w:rPr>
          <w:b w:val="0"/>
          <w:i w:val="0"/>
        </w:rPr>
        <w:t>Alignment with national/global priorities.</w:t>
      </w:r>
    </w:p>
    <w:p>
      <w:pPr>
        <w:pStyle w:val="ListBullet"/>
        <w:numPr>
          <w:ilvl w:val="0"/>
          <w:numId w:val="90"/>
        </w:numPr>
        <w:ind w:left="340" w:hanging="142"/>
      </w:pPr>
      <w:r>
        <w:rPr>
          <w:b w:val="0"/>
          <w:i w:val="0"/>
        </w:rPr>
        <w:t>A strong foundation for action planning and implementation in Phase 3.</w:t>
      </w:r>
    </w:p>
    <w:p>
      <w:pPr>
        <w:pStyle w:val="Heading2"/>
      </w:pPr>
      <w:r>
        <w:t>Phase 2: Strategy Formulation – Checklist Table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757"/>
        <w:gridCol w:w="1928"/>
        <w:gridCol w:w="1928"/>
        <w:gridCol w:w="1871"/>
        <w:gridCol w:w="1928"/>
      </w:tblGrid>
      <w:tr>
        <w:trPr>
          <w:tblHeader/>
          <w:cantSplit/>
        </w:trPr>
        <w:tc>
          <w:tcPr>
            <w:tcW w:type="dxa" w:w="1757"/>
            <w:vAlign w:val="center"/>
            <w:shd w:fill="1F3A5F"/>
          </w:tcPr>
          <w:p>
            <w:pPr>
              <w:keepNext/>
              <w:spacing w:after="40" w:line="276" w:lineRule="auto"/>
              <w:jc w:val="left"/>
            </w:pPr>
            <w:r>
              <w:rPr>
                <w:b/>
                <w:i w:val="0"/>
                <w:color w:val="FFFFFF"/>
              </w:rPr>
              <w:t>Step/​Task</w:t>
            </w:r>
          </w:p>
        </w:tc>
        <w:tc>
          <w:tcPr>
            <w:tcW w:type="dxa" w:w="1928"/>
            <w:vAlign w:val="center"/>
            <w:shd w:fill="1F3A5F"/>
          </w:tcPr>
          <w:p>
            <w:pPr>
              <w:keepNext/>
              <w:spacing w:after="40" w:line="276" w:lineRule="auto"/>
              <w:jc w:val="left"/>
            </w:pPr>
            <w:r>
              <w:rPr>
                <w:b/>
                <w:i w:val="0"/>
                <w:color w:val="FFFFFF"/>
              </w:rPr>
              <w:t>Action Description</w:t>
            </w:r>
          </w:p>
        </w:tc>
        <w:tc>
          <w:tcPr>
            <w:tcW w:type="dxa" w:w="1928"/>
            <w:vAlign w:val="center"/>
            <w:shd w:fill="1F3A5F"/>
          </w:tcPr>
          <w:p>
            <w:pPr>
              <w:keepNext/>
              <w:spacing w:after="40" w:line="276" w:lineRule="auto"/>
              <w:jc w:val="left"/>
            </w:pPr>
            <w:r>
              <w:rPr>
                <w:b/>
                <w:i w:val="0"/>
                <w:color w:val="FFFFFF"/>
              </w:rPr>
              <w:t>Responsible Unit/​Team</w:t>
            </w:r>
          </w:p>
        </w:tc>
        <w:tc>
          <w:tcPr>
            <w:tcW w:type="dxa" w:w="1871"/>
            <w:vAlign w:val="center"/>
            <w:shd w:fill="1F3A5F"/>
          </w:tcPr>
          <w:p>
            <w:pPr>
              <w:keepNext/>
              <w:spacing w:after="40" w:line="276" w:lineRule="auto"/>
              <w:jc w:val="left"/>
            </w:pPr>
            <w:r>
              <w:rPr>
                <w:b/>
                <w:i w:val="0"/>
                <w:color w:val="FFFFFF"/>
              </w:rPr>
              <w:t>Deliverable/​Output</w:t>
            </w:r>
          </w:p>
        </w:tc>
        <w:tc>
          <w:tcPr>
            <w:tcW w:type="dxa" w:w="1928"/>
            <w:vAlign w:val="center"/>
            <w:shd w:fill="1F3A5F"/>
          </w:tcPr>
          <w:p>
            <w:pPr>
              <w:keepNext/>
              <w:spacing w:after="40" w:line="276" w:lineRule="auto"/>
              <w:jc w:val="left"/>
            </w:pPr>
            <w:r>
              <w:rPr>
                <w:b/>
                <w:i w:val="0"/>
                <w:color w:val="FFFFFF"/>
              </w:rPr>
              <w:t>Timeline</w:t>
            </w:r>
          </w:p>
        </w:tc>
      </w:tr>
      <w:tr>
        <w:trPr>
          <w:cantSplit/>
        </w:trPr>
        <w:tc>
          <w:tcPr>
            <w:tcW w:type="dxa" w:w="1757"/>
            <w:vAlign w:val="center"/>
            <w:shd w:fill="FFFFFF"/>
          </w:tcPr>
          <w:p>
            <w:pPr>
              <w:spacing w:after="40" w:line="276" w:lineRule="auto"/>
              <w:jc w:val="left"/>
            </w:pPr>
            <w:r>
              <w:rPr>
                <w:b w:val="0"/>
                <w:i w:val="0"/>
              </w:rPr>
              <w:t>1. Review Diagnostic Report</w:t>
            </w:r>
          </w:p>
        </w:tc>
        <w:tc>
          <w:tcPr>
            <w:tcW w:type="dxa" w:w="1928"/>
            <w:vAlign w:val="center"/>
            <w:shd w:fill="FFFFFF"/>
          </w:tcPr>
          <w:p>
            <w:pPr>
              <w:spacing w:after="40" w:line="276" w:lineRule="auto"/>
              <w:jc w:val="left"/>
            </w:pPr>
            <w:r>
              <w:rPr>
                <w:b w:val="0"/>
                <w:i w:val="0"/>
              </w:rPr>
              <w:t>Analyze findings from Phase 1 (SWOT, PESTLE, benchmarking). Identify high-priority issues.</w:t>
            </w:r>
          </w:p>
        </w:tc>
        <w:tc>
          <w:tcPr>
            <w:tcW w:type="dxa" w:w="1928"/>
            <w:vAlign w:val="center"/>
            <w:shd w:fill="FFFFFF"/>
          </w:tcPr>
          <w:p>
            <w:pPr>
              <w:spacing w:after="40" w:line="276" w:lineRule="auto"/>
              <w:jc w:val="left"/>
            </w:pPr>
            <w:r>
              <w:rPr>
                <w:b w:val="0"/>
                <w:i w:val="0"/>
              </w:rPr>
              <w:t>Strategic Planning Committee, IQAC</w:t>
            </w:r>
          </w:p>
        </w:tc>
        <w:tc>
          <w:tcPr>
            <w:tcW w:type="dxa" w:w="1871"/>
            <w:vAlign w:val="center"/>
            <w:shd w:fill="FFFFFF"/>
          </w:tcPr>
          <w:p>
            <w:pPr>
              <w:spacing w:after="40" w:line="276" w:lineRule="auto"/>
              <w:jc w:val="left"/>
            </w:pPr>
            <w:r>
              <w:rPr>
                <w:b w:val="0"/>
                <w:i w:val="0"/>
              </w:rPr>
              <w:t>Gap analysis summary &amp; priority list</w:t>
            </w:r>
          </w:p>
        </w:tc>
        <w:tc>
          <w:tcPr>
            <w:tcW w:type="dxa" w:w="1928"/>
            <w:vAlign w:val="center"/>
            <w:shd w:fill="FFFFFF"/>
          </w:tcPr>
          <w:p>
            <w:pPr>
              <w:spacing w:after="40" w:line="276" w:lineRule="auto"/>
              <w:jc w:val="left"/>
            </w:pPr>
            <w:r>
              <w:rPr>
                <w:b w:val="0"/>
                <w:i w:val="0"/>
              </w:rPr>
              <w:t>Month 1</w:t>
            </w:r>
          </w:p>
        </w:tc>
      </w:tr>
      <w:tr>
        <w:trPr>
          <w:cantSplit/>
        </w:trPr>
        <w:tc>
          <w:tcPr>
            <w:tcW w:type="dxa" w:w="1757"/>
            <w:vAlign w:val="center"/>
            <w:shd w:fill="EDF2F7"/>
          </w:tcPr>
          <w:p>
            <w:pPr>
              <w:spacing w:after="40" w:line="276" w:lineRule="auto"/>
              <w:jc w:val="left"/>
            </w:pPr>
            <w:r>
              <w:rPr>
                <w:b w:val="0"/>
                <w:i w:val="0"/>
              </w:rPr>
              <w:t>2. Define Strategic Pillars</w:t>
            </w:r>
          </w:p>
        </w:tc>
        <w:tc>
          <w:tcPr>
            <w:tcW w:type="dxa" w:w="1928"/>
            <w:vAlign w:val="center"/>
            <w:shd w:fill="EDF2F7"/>
          </w:tcPr>
          <w:p>
            <w:pPr>
              <w:spacing w:after="40" w:line="276" w:lineRule="auto"/>
              <w:jc w:val="left"/>
            </w:pPr>
            <w:r>
              <w:rPr>
                <w:b w:val="0"/>
                <w:i w:val="0"/>
              </w:rPr>
              <w:t>Identify key focus areas (Academic, Research, Infrastructure, Governance, Finance, Community, Globalization, Technology, Inclusion).</w:t>
            </w:r>
          </w:p>
        </w:tc>
        <w:tc>
          <w:tcPr>
            <w:tcW w:type="dxa" w:w="1928"/>
            <w:vAlign w:val="center"/>
            <w:shd w:fill="EDF2F7"/>
          </w:tcPr>
          <w:p>
            <w:pPr>
              <w:spacing w:after="40" w:line="276" w:lineRule="auto"/>
              <w:jc w:val="left"/>
            </w:pPr>
            <w:r>
              <w:rPr>
                <w:b w:val="0"/>
                <w:i w:val="0"/>
              </w:rPr>
              <w:t>Planning Committee, Deans, HODS</w:t>
            </w:r>
          </w:p>
        </w:tc>
        <w:tc>
          <w:tcPr>
            <w:tcW w:type="dxa" w:w="1871"/>
            <w:vAlign w:val="center"/>
            <w:shd w:fill="EDF2F7"/>
          </w:tcPr>
          <w:p>
            <w:pPr>
              <w:spacing w:after="40" w:line="276" w:lineRule="auto"/>
              <w:jc w:val="left"/>
            </w:pPr>
            <w:r>
              <w:rPr>
                <w:b w:val="0"/>
                <w:i w:val="0"/>
              </w:rPr>
              <w:t>Strategic Pillar Framework</w:t>
            </w:r>
          </w:p>
        </w:tc>
        <w:tc>
          <w:tcPr>
            <w:tcW w:type="dxa" w:w="1928"/>
            <w:vAlign w:val="center"/>
            <w:shd w:fill="EDF2F7"/>
          </w:tcPr>
          <w:p>
            <w:pPr>
              <w:spacing w:after="40" w:line="276" w:lineRule="auto"/>
              <w:jc w:val="left"/>
            </w:pPr>
            <w:r>
              <w:rPr>
                <w:b w:val="0"/>
                <w:i w:val="0"/>
              </w:rPr>
              <w:t>Month 2</w:t>
            </w:r>
          </w:p>
        </w:tc>
      </w:tr>
      <w:tr>
        <w:trPr>
          <w:cantSplit/>
        </w:trPr>
        <w:tc>
          <w:tcPr>
            <w:tcW w:type="dxa" w:w="1757"/>
            <w:vAlign w:val="center"/>
            <w:shd w:fill="FFFFFF"/>
          </w:tcPr>
          <w:p>
            <w:pPr>
              <w:spacing w:after="40" w:line="276" w:lineRule="auto"/>
              <w:jc w:val="left"/>
            </w:pPr>
            <w:r>
              <w:rPr>
                <w:b w:val="0"/>
                <w:i w:val="0"/>
              </w:rPr>
              <w:t>3. Draft Strategic Objectives</w:t>
            </w:r>
          </w:p>
        </w:tc>
        <w:tc>
          <w:tcPr>
            <w:tcW w:type="dxa" w:w="1928"/>
            <w:vAlign w:val="center"/>
            <w:shd w:fill="FFFFFF"/>
          </w:tcPr>
          <w:p>
            <w:pPr>
              <w:spacing w:after="40" w:line="276" w:lineRule="auto"/>
              <w:jc w:val="left"/>
            </w:pPr>
            <w:r>
              <w:rPr>
                <w:b w:val="0"/>
                <w:i w:val="0"/>
              </w:rPr>
              <w:t>Formulate broad, outcome-based objectives aligned with NEP 2020 &amp; SDGs.</w:t>
            </w:r>
          </w:p>
        </w:tc>
        <w:tc>
          <w:tcPr>
            <w:tcW w:type="dxa" w:w="1928"/>
            <w:vAlign w:val="center"/>
            <w:shd w:fill="FFFFFF"/>
          </w:tcPr>
          <w:p>
            <w:pPr>
              <w:spacing w:after="40" w:line="276" w:lineRule="auto"/>
              <w:jc w:val="left"/>
            </w:pPr>
            <w:r>
              <w:rPr>
                <w:b w:val="0"/>
                <w:i w:val="0"/>
              </w:rPr>
              <w:t>Deans (Academics, Research, Student Affairs), Planning Cell</w:t>
            </w:r>
          </w:p>
        </w:tc>
        <w:tc>
          <w:tcPr>
            <w:tcW w:type="dxa" w:w="1871"/>
            <w:vAlign w:val="center"/>
            <w:shd w:fill="FFFFFF"/>
          </w:tcPr>
          <w:p>
            <w:pPr>
              <w:spacing w:after="40" w:line="276" w:lineRule="auto"/>
              <w:jc w:val="left"/>
            </w:pPr>
            <w:r>
              <w:rPr>
                <w:b w:val="0"/>
                <w:i w:val="0"/>
              </w:rPr>
              <w:t>List of Strategic Objectives</w:t>
            </w:r>
          </w:p>
        </w:tc>
        <w:tc>
          <w:tcPr>
            <w:tcW w:type="dxa" w:w="1928"/>
            <w:vAlign w:val="center"/>
            <w:shd w:fill="FFFFFF"/>
          </w:tcPr>
          <w:p>
            <w:pPr>
              <w:spacing w:after="40" w:line="276" w:lineRule="auto"/>
              <w:jc w:val="left"/>
            </w:pPr>
            <w:r>
              <w:rPr>
                <w:b w:val="0"/>
                <w:i w:val="0"/>
              </w:rPr>
              <w:t>Month 3</w:t>
            </w:r>
          </w:p>
        </w:tc>
      </w:tr>
      <w:tr>
        <w:trPr>
          <w:cantSplit/>
        </w:trPr>
        <w:tc>
          <w:tcPr>
            <w:tcW w:type="dxa" w:w="1757"/>
            <w:vAlign w:val="center"/>
            <w:shd w:fill="EDF2F7"/>
          </w:tcPr>
          <w:p>
            <w:pPr>
              <w:spacing w:after="40" w:line="276" w:lineRule="auto"/>
              <w:jc w:val="left"/>
            </w:pPr>
            <w:r>
              <w:rPr>
                <w:b w:val="0"/>
                <w:i w:val="0"/>
              </w:rPr>
              <w:t>4. Develop Operational Goals (SMART)</w:t>
            </w:r>
          </w:p>
        </w:tc>
        <w:tc>
          <w:tcPr>
            <w:tcW w:type="dxa" w:w="1928"/>
            <w:vAlign w:val="center"/>
            <w:shd w:fill="EDF2F7"/>
          </w:tcPr>
          <w:p>
            <w:pPr>
              <w:spacing w:after="40" w:line="276" w:lineRule="auto"/>
              <w:jc w:val="left"/>
            </w:pPr>
            <w:r>
              <w:rPr>
                <w:b w:val="0"/>
                <w:i w:val="0"/>
              </w:rPr>
              <w:t>Translate strategic objectives into specific, measurable targets.</w:t>
            </w:r>
          </w:p>
        </w:tc>
        <w:tc>
          <w:tcPr>
            <w:tcW w:type="dxa" w:w="1928"/>
            <w:vAlign w:val="center"/>
            <w:shd w:fill="EDF2F7"/>
          </w:tcPr>
          <w:p>
            <w:pPr>
              <w:spacing w:after="40" w:line="276" w:lineRule="auto"/>
              <w:jc w:val="left"/>
            </w:pPr>
            <w:r>
              <w:rPr>
                <w:b w:val="0"/>
                <w:i w:val="0"/>
              </w:rPr>
              <w:t>Academic Council, R&amp;D Cell, Finance Office</w:t>
            </w:r>
          </w:p>
        </w:tc>
        <w:tc>
          <w:tcPr>
            <w:tcW w:type="dxa" w:w="1871"/>
            <w:vAlign w:val="center"/>
            <w:shd w:fill="EDF2F7"/>
          </w:tcPr>
          <w:p>
            <w:pPr>
              <w:spacing w:after="40" w:line="276" w:lineRule="auto"/>
              <w:jc w:val="left"/>
            </w:pPr>
            <w:r>
              <w:rPr>
                <w:b w:val="0"/>
                <w:i w:val="0"/>
              </w:rPr>
              <w:t>Operational Goals Matrix</w:t>
            </w:r>
          </w:p>
        </w:tc>
        <w:tc>
          <w:tcPr>
            <w:tcW w:type="dxa" w:w="1928"/>
            <w:vAlign w:val="center"/>
            <w:shd w:fill="EDF2F7"/>
          </w:tcPr>
          <w:p>
            <w:pPr>
              <w:spacing w:after="40" w:line="276" w:lineRule="auto"/>
              <w:jc w:val="left"/>
            </w:pPr>
            <w:r>
              <w:rPr>
                <w:b w:val="0"/>
                <w:i w:val="0"/>
              </w:rPr>
              <w:t>Months 3</w:t>
            </w:r>
          </w:p>
        </w:tc>
      </w:tr>
      <w:tr>
        <w:trPr>
          <w:cantSplit/>
        </w:trPr>
        <w:tc>
          <w:tcPr>
            <w:tcW w:type="dxa" w:w="1757"/>
            <w:vAlign w:val="center"/>
            <w:shd w:fill="FFFFFF"/>
          </w:tcPr>
          <w:p>
            <w:pPr>
              <w:spacing w:after="40" w:line="276" w:lineRule="auto"/>
              <w:jc w:val="left"/>
            </w:pPr>
            <w:r>
              <w:rPr>
                <w:b w:val="0"/>
                <w:i w:val="0"/>
              </w:rPr>
              <w:t>5. Create Policy–Action–Outcome–KPI Framework</w:t>
            </w:r>
          </w:p>
        </w:tc>
        <w:tc>
          <w:tcPr>
            <w:tcW w:type="dxa" w:w="1928"/>
            <w:vAlign w:val="center"/>
            <w:shd w:fill="FFFFFF"/>
          </w:tcPr>
          <w:p>
            <w:pPr>
              <w:spacing w:after="40" w:line="276" w:lineRule="auto"/>
              <w:jc w:val="left"/>
            </w:pPr>
            <w:r>
              <w:rPr>
                <w:b w:val="0"/>
                <w:i w:val="0"/>
              </w:rPr>
              <w:t>Define policies, actions, outcomes, and KPIs for each strategic pillar.</w:t>
            </w:r>
          </w:p>
        </w:tc>
        <w:tc>
          <w:tcPr>
            <w:tcW w:type="dxa" w:w="1928"/>
            <w:vAlign w:val="center"/>
            <w:shd w:fill="FFFFFF"/>
          </w:tcPr>
          <w:p>
            <w:pPr>
              <w:spacing w:after="40" w:line="276" w:lineRule="auto"/>
              <w:jc w:val="left"/>
            </w:pPr>
            <w:r>
              <w:rPr>
                <w:b w:val="0"/>
                <w:i w:val="0"/>
              </w:rPr>
              <w:t>IQAC, Accreditation Cell, Finance &amp; Planning Office</w:t>
            </w:r>
          </w:p>
        </w:tc>
        <w:tc>
          <w:tcPr>
            <w:tcW w:type="dxa" w:w="1871"/>
            <w:vAlign w:val="center"/>
            <w:shd w:fill="FFFFFF"/>
          </w:tcPr>
          <w:p>
            <w:pPr>
              <w:spacing w:after="40" w:line="276" w:lineRule="auto"/>
              <w:jc w:val="left"/>
            </w:pPr>
            <w:r>
              <w:rPr>
                <w:b w:val="0"/>
                <w:i w:val="0"/>
              </w:rPr>
              <w:t>Policy–Action–Outcome–KPI Table</w:t>
            </w:r>
          </w:p>
        </w:tc>
        <w:tc>
          <w:tcPr>
            <w:tcW w:type="dxa" w:w="1928"/>
            <w:vAlign w:val="center"/>
            <w:shd w:fill="FFFFFF"/>
          </w:tcPr>
          <w:p>
            <w:pPr>
              <w:spacing w:after="40" w:line="276" w:lineRule="auto"/>
              <w:jc w:val="left"/>
            </w:pPr>
            <w:r>
              <w:rPr>
                <w:b w:val="0"/>
                <w:i w:val="0"/>
              </w:rPr>
              <w:t>Months 5</w:t>
            </w:r>
          </w:p>
        </w:tc>
      </w:tr>
      <w:tr>
        <w:trPr>
          <w:cantSplit/>
        </w:trPr>
        <w:tc>
          <w:tcPr>
            <w:tcW w:type="dxa" w:w="1757"/>
            <w:vAlign w:val="center"/>
            <w:shd w:fill="EDF2F7"/>
          </w:tcPr>
          <w:p>
            <w:pPr>
              <w:spacing w:after="40" w:line="276" w:lineRule="auto"/>
              <w:jc w:val="left"/>
            </w:pPr>
            <w:r>
              <w:rPr>
                <w:b w:val="0"/>
                <w:i w:val="0"/>
              </w:rPr>
              <w:t>6. Prioritize &amp; Resource Mapping</w:t>
            </w:r>
          </w:p>
        </w:tc>
        <w:tc>
          <w:tcPr>
            <w:tcW w:type="dxa" w:w="1928"/>
            <w:vAlign w:val="center"/>
            <w:shd w:fill="EDF2F7"/>
          </w:tcPr>
          <w:p>
            <w:pPr>
              <w:spacing w:after="40" w:line="276" w:lineRule="auto"/>
              <w:jc w:val="left"/>
            </w:pPr>
            <w:r>
              <w:rPr>
                <w:b w:val="0"/>
                <w:i w:val="0"/>
              </w:rPr>
              <w:t>Rank strategies by urgency, feasibility, and impact. Align budgets, manpower, infrastructure.</w:t>
            </w:r>
          </w:p>
        </w:tc>
        <w:tc>
          <w:tcPr>
            <w:tcW w:type="dxa" w:w="1928"/>
            <w:vAlign w:val="center"/>
            <w:shd w:fill="EDF2F7"/>
          </w:tcPr>
          <w:p>
            <w:pPr>
              <w:spacing w:after="40" w:line="276" w:lineRule="auto"/>
              <w:jc w:val="left"/>
            </w:pPr>
            <w:r>
              <w:rPr>
                <w:b w:val="0"/>
                <w:i w:val="0"/>
              </w:rPr>
              <w:t>Finance Office, HRD, Estate Office</w:t>
            </w:r>
          </w:p>
        </w:tc>
        <w:tc>
          <w:tcPr>
            <w:tcW w:type="dxa" w:w="1871"/>
            <w:vAlign w:val="center"/>
            <w:shd w:fill="EDF2F7"/>
          </w:tcPr>
          <w:p>
            <w:pPr>
              <w:spacing w:after="40" w:line="276" w:lineRule="auto"/>
              <w:jc w:val="left"/>
            </w:pPr>
            <w:r>
              <w:rPr>
                <w:b w:val="0"/>
                <w:i w:val="0"/>
              </w:rPr>
              <w:t>Resource Allocation Plan</w:t>
            </w:r>
          </w:p>
        </w:tc>
        <w:tc>
          <w:tcPr>
            <w:tcW w:type="dxa" w:w="1928"/>
            <w:vAlign w:val="center"/>
            <w:shd w:fill="EDF2F7"/>
          </w:tcPr>
          <w:p>
            <w:pPr>
              <w:spacing w:after="40" w:line="276" w:lineRule="auto"/>
              <w:jc w:val="left"/>
            </w:pPr>
            <w:r>
              <w:rPr>
                <w:b w:val="0"/>
                <w:i w:val="0"/>
              </w:rPr>
              <w:t>Month 6</w:t>
            </w:r>
          </w:p>
        </w:tc>
      </w:tr>
      <w:tr>
        <w:trPr>
          <w:cantSplit/>
        </w:trPr>
        <w:tc>
          <w:tcPr>
            <w:tcW w:type="dxa" w:w="1757"/>
            <w:vAlign w:val="center"/>
            <w:shd w:fill="FFFFFF"/>
          </w:tcPr>
          <w:p>
            <w:pPr>
              <w:spacing w:after="40" w:line="276" w:lineRule="auto"/>
              <w:jc w:val="left"/>
            </w:pPr>
            <w:r>
              <w:rPr>
                <w:b w:val="0"/>
                <w:i w:val="0"/>
              </w:rPr>
              <w:t>7. Strategy Validation Workshops</w:t>
            </w:r>
          </w:p>
        </w:tc>
        <w:tc>
          <w:tcPr>
            <w:tcW w:type="dxa" w:w="1928"/>
            <w:vAlign w:val="center"/>
            <w:shd w:fill="FFFFFF"/>
          </w:tcPr>
          <w:p>
            <w:pPr>
              <w:spacing w:after="40" w:line="276" w:lineRule="auto"/>
              <w:jc w:val="left"/>
            </w:pPr>
            <w:r>
              <w:rPr>
                <w:b w:val="0"/>
                <w:i w:val="0"/>
              </w:rPr>
              <w:t>Conduct stakeholder consultations (faculty, students, alumni, industry, community).</w:t>
            </w:r>
          </w:p>
        </w:tc>
        <w:tc>
          <w:tcPr>
            <w:tcW w:type="dxa" w:w="1928"/>
            <w:vAlign w:val="center"/>
            <w:shd w:fill="FFFFFF"/>
          </w:tcPr>
          <w:p>
            <w:pPr>
              <w:spacing w:after="40" w:line="276" w:lineRule="auto"/>
              <w:jc w:val="left"/>
            </w:pPr>
            <w:r>
              <w:rPr>
                <w:b w:val="0"/>
                <w:i w:val="0"/>
              </w:rPr>
              <w:t>IQAC, Stakeholder Engagement Cell</w:t>
            </w:r>
          </w:p>
        </w:tc>
        <w:tc>
          <w:tcPr>
            <w:tcW w:type="dxa" w:w="1871"/>
            <w:vAlign w:val="center"/>
            <w:shd w:fill="FFFFFF"/>
          </w:tcPr>
          <w:p>
            <w:pPr>
              <w:spacing w:after="40" w:line="276" w:lineRule="auto"/>
              <w:jc w:val="left"/>
            </w:pPr>
            <w:r>
              <w:rPr>
                <w:b w:val="0"/>
                <w:i w:val="0"/>
              </w:rPr>
              <w:t>Feedback &amp; validation report</w:t>
            </w:r>
          </w:p>
        </w:tc>
        <w:tc>
          <w:tcPr>
            <w:tcW w:type="dxa" w:w="1928"/>
            <w:vAlign w:val="center"/>
            <w:shd w:fill="FFFFFF"/>
          </w:tcPr>
          <w:p>
            <w:pPr>
              <w:spacing w:after="40" w:line="276" w:lineRule="auto"/>
              <w:jc w:val="left"/>
            </w:pPr>
            <w:r>
              <w:rPr>
                <w:b w:val="0"/>
                <w:i w:val="0"/>
              </w:rPr>
              <w:t>Month 7</w:t>
            </w:r>
          </w:p>
        </w:tc>
      </w:tr>
      <w:tr>
        <w:trPr>
          <w:cantSplit/>
        </w:trPr>
        <w:tc>
          <w:tcPr>
            <w:tcW w:type="dxa" w:w="1757"/>
            <w:vAlign w:val="center"/>
            <w:shd w:fill="EDF2F7"/>
          </w:tcPr>
          <w:p>
            <w:pPr>
              <w:spacing w:after="40" w:line="276" w:lineRule="auto"/>
              <w:jc w:val="left"/>
            </w:pPr>
            <w:r>
              <w:rPr>
                <w:b w:val="0"/>
                <w:i w:val="0"/>
              </w:rPr>
              <w:t>8. Draft Strategic Plan Document</w:t>
            </w:r>
          </w:p>
        </w:tc>
        <w:tc>
          <w:tcPr>
            <w:tcW w:type="dxa" w:w="1928"/>
            <w:vAlign w:val="center"/>
            <w:shd w:fill="EDF2F7"/>
          </w:tcPr>
          <w:p>
            <w:pPr>
              <w:spacing w:after="40" w:line="276" w:lineRule="auto"/>
              <w:jc w:val="left"/>
            </w:pPr>
            <w:r>
              <w:rPr>
                <w:b w:val="0"/>
                <w:i w:val="0"/>
              </w:rPr>
              <w:t>Compile vision, mission, pillars, objectives, KPIs, resource allocation.</w:t>
            </w:r>
          </w:p>
        </w:tc>
        <w:tc>
          <w:tcPr>
            <w:tcW w:type="dxa" w:w="1928"/>
            <w:vAlign w:val="center"/>
            <w:shd w:fill="EDF2F7"/>
          </w:tcPr>
          <w:p>
            <w:pPr>
              <w:spacing w:after="40" w:line="276" w:lineRule="auto"/>
              <w:jc w:val="left"/>
            </w:pPr>
            <w:r>
              <w:rPr>
                <w:b w:val="0"/>
                <w:i w:val="0"/>
              </w:rPr>
              <w:t>Strategic Planning Committee</w:t>
            </w:r>
          </w:p>
        </w:tc>
        <w:tc>
          <w:tcPr>
            <w:tcW w:type="dxa" w:w="1871"/>
            <w:vAlign w:val="center"/>
            <w:shd w:fill="EDF2F7"/>
          </w:tcPr>
          <w:p>
            <w:pPr>
              <w:spacing w:after="40" w:line="276" w:lineRule="auto"/>
              <w:jc w:val="left"/>
            </w:pPr>
            <w:r>
              <w:rPr>
                <w:b w:val="0"/>
                <w:i w:val="0"/>
              </w:rPr>
              <w:t>Draft Strategic Plan Document</w:t>
            </w:r>
          </w:p>
        </w:tc>
        <w:tc>
          <w:tcPr>
            <w:tcW w:type="dxa" w:w="1928"/>
            <w:vAlign w:val="center"/>
            <w:shd w:fill="EDF2F7"/>
          </w:tcPr>
          <w:p>
            <w:pPr>
              <w:spacing w:after="40" w:line="276" w:lineRule="auto"/>
              <w:jc w:val="left"/>
            </w:pPr>
            <w:r>
              <w:rPr>
                <w:b w:val="0"/>
                <w:i w:val="0"/>
              </w:rPr>
              <w:t>Month 8</w:t>
            </w:r>
          </w:p>
        </w:tc>
      </w:tr>
      <w:tr>
        <w:trPr>
          <w:cantSplit/>
        </w:trPr>
        <w:tc>
          <w:tcPr>
            <w:tcW w:type="dxa" w:w="1757"/>
            <w:vAlign w:val="center"/>
            <w:shd w:fill="FFFFFF"/>
          </w:tcPr>
          <w:p>
            <w:pPr>
              <w:spacing w:after="40" w:line="276" w:lineRule="auto"/>
              <w:jc w:val="left"/>
            </w:pPr>
            <w:r>
              <w:rPr>
                <w:b w:val="0"/>
                <w:i w:val="0"/>
              </w:rPr>
              <w:t>9. Review &amp; Refinement</w:t>
            </w:r>
          </w:p>
        </w:tc>
        <w:tc>
          <w:tcPr>
            <w:tcW w:type="dxa" w:w="1928"/>
            <w:vAlign w:val="center"/>
            <w:shd w:fill="FFFFFF"/>
          </w:tcPr>
          <w:p>
            <w:pPr>
              <w:spacing w:after="40" w:line="276" w:lineRule="auto"/>
              <w:jc w:val="left"/>
            </w:pPr>
            <w:r>
              <w:rPr>
                <w:b w:val="0"/>
                <w:i w:val="0"/>
              </w:rPr>
              <w:t>Circulate draft for review by governing bodies, councils, external advisors.</w:t>
            </w:r>
          </w:p>
        </w:tc>
        <w:tc>
          <w:tcPr>
            <w:tcW w:type="dxa" w:w="1928"/>
            <w:vAlign w:val="center"/>
            <w:shd w:fill="FFFFFF"/>
          </w:tcPr>
          <w:p>
            <w:pPr>
              <w:spacing w:after="40" w:line="276" w:lineRule="auto"/>
              <w:jc w:val="left"/>
            </w:pPr>
            <w:r>
              <w:rPr>
                <w:b w:val="0"/>
                <w:i w:val="0"/>
              </w:rPr>
              <w:t>Governing Body, Board of Studies, Advisory Boards</w:t>
            </w:r>
          </w:p>
        </w:tc>
        <w:tc>
          <w:tcPr>
            <w:tcW w:type="dxa" w:w="1871"/>
            <w:vAlign w:val="center"/>
            <w:shd w:fill="FFFFFF"/>
          </w:tcPr>
          <w:p>
            <w:pPr>
              <w:spacing w:after="40" w:line="276" w:lineRule="auto"/>
              <w:jc w:val="left"/>
            </w:pPr>
            <w:r>
              <w:rPr>
                <w:b w:val="0"/>
                <w:i w:val="0"/>
              </w:rPr>
              <w:t>Revised Draft Strategic Plan</w:t>
            </w:r>
          </w:p>
        </w:tc>
        <w:tc>
          <w:tcPr>
            <w:tcW w:type="dxa" w:w="1928"/>
            <w:vAlign w:val="center"/>
            <w:shd w:fill="FFFFFF"/>
          </w:tcPr>
          <w:p>
            <w:pPr>
              <w:spacing w:after="40" w:line="276" w:lineRule="auto"/>
              <w:jc w:val="left"/>
            </w:pPr>
            <w:r>
              <w:rPr>
                <w:b w:val="0"/>
                <w:i w:val="0"/>
              </w:rPr>
              <w:t>Month 9</w:t>
            </w:r>
          </w:p>
        </w:tc>
      </w:tr>
      <w:tr>
        <w:trPr>
          <w:cantSplit/>
        </w:trPr>
        <w:tc>
          <w:tcPr>
            <w:tcW w:type="dxa" w:w="1757"/>
            <w:vAlign w:val="center"/>
            <w:shd w:fill="EDF2F7"/>
          </w:tcPr>
          <w:p>
            <w:pPr>
              <w:spacing w:after="40" w:line="276" w:lineRule="auto"/>
              <w:jc w:val="left"/>
            </w:pPr>
            <w:r>
              <w:rPr>
                <w:b w:val="0"/>
                <w:i w:val="0"/>
              </w:rPr>
              <w:t>10. Final Approval</w:t>
            </w:r>
          </w:p>
        </w:tc>
        <w:tc>
          <w:tcPr>
            <w:tcW w:type="dxa" w:w="1928"/>
            <w:vAlign w:val="center"/>
            <w:shd w:fill="EDF2F7"/>
          </w:tcPr>
          <w:p>
            <w:pPr>
              <w:spacing w:after="40" w:line="276" w:lineRule="auto"/>
              <w:jc w:val="left"/>
            </w:pPr>
            <w:r>
              <w:rPr>
                <w:b w:val="0"/>
                <w:i w:val="0"/>
              </w:rPr>
              <w:t>Obtain approval from Governing Body /​Board of Governors.</w:t>
            </w:r>
          </w:p>
        </w:tc>
        <w:tc>
          <w:tcPr>
            <w:tcW w:type="dxa" w:w="1928"/>
            <w:vAlign w:val="center"/>
            <w:shd w:fill="EDF2F7"/>
          </w:tcPr>
          <w:p>
            <w:pPr>
              <w:spacing w:after="40" w:line="276" w:lineRule="auto"/>
              <w:jc w:val="left"/>
            </w:pPr>
            <w:r>
              <w:rPr>
                <w:b w:val="0"/>
                <w:i w:val="0"/>
              </w:rPr>
              <w:t>VC/​Director, Governing Body</w:t>
            </w:r>
          </w:p>
        </w:tc>
        <w:tc>
          <w:tcPr>
            <w:tcW w:type="dxa" w:w="1871"/>
            <w:vAlign w:val="center"/>
            <w:shd w:fill="EDF2F7"/>
          </w:tcPr>
          <w:p>
            <w:pPr>
              <w:spacing w:after="40" w:line="276" w:lineRule="auto"/>
              <w:jc w:val="left"/>
            </w:pPr>
            <w:r>
              <w:rPr>
                <w:b w:val="0"/>
                <w:i w:val="0"/>
              </w:rPr>
              <w:t>Approved Strategic Development Plan</w:t>
            </w:r>
          </w:p>
        </w:tc>
        <w:tc>
          <w:tcPr>
            <w:tcW w:type="dxa" w:w="1928"/>
            <w:vAlign w:val="center"/>
            <w:shd w:fill="EDF2F7"/>
          </w:tcPr>
          <w:p>
            <w:pPr>
              <w:spacing w:after="40" w:line="276" w:lineRule="auto"/>
              <w:jc w:val="left"/>
            </w:pPr>
            <w:r>
              <w:rPr>
                <w:b w:val="0"/>
                <w:i w:val="0"/>
              </w:rPr>
              <w:t>Month 10</w:t>
            </w:r>
          </w:p>
        </w:tc>
      </w:tr>
      <w:tr>
        <w:trPr>
          <w:cantSplit/>
        </w:trPr>
        <w:tc>
          <w:tcPr>
            <w:tcW w:type="dxa" w:w="1757"/>
            <w:vAlign w:val="center"/>
            <w:shd w:fill="FFFFFF"/>
          </w:tcPr>
          <w:p>
            <w:pPr>
              <w:spacing w:after="40" w:line="276" w:lineRule="auto"/>
              <w:jc w:val="left"/>
            </w:pPr>
            <w:r>
              <w:rPr>
                <w:b w:val="0"/>
                <w:i w:val="0"/>
              </w:rPr>
              <w:t>11. Communication &amp; Dissemination</w:t>
            </w:r>
          </w:p>
        </w:tc>
        <w:tc>
          <w:tcPr>
            <w:tcW w:type="dxa" w:w="1928"/>
            <w:vAlign w:val="center"/>
            <w:shd w:fill="FFFFFF"/>
          </w:tcPr>
          <w:p>
            <w:pPr>
              <w:spacing w:after="40" w:line="276" w:lineRule="auto"/>
              <w:jc w:val="left"/>
            </w:pPr>
            <w:r>
              <w:rPr>
                <w:b w:val="0"/>
                <w:i w:val="0"/>
              </w:rPr>
              <w:t>Share plan with all stakeholders (faculty, students, industry partners, community). Publish on institutional website.</w:t>
            </w:r>
          </w:p>
        </w:tc>
        <w:tc>
          <w:tcPr>
            <w:tcW w:type="dxa" w:w="1928"/>
            <w:vAlign w:val="center"/>
            <w:shd w:fill="FFFFFF"/>
          </w:tcPr>
          <w:p>
            <w:pPr>
              <w:spacing w:after="40" w:line="276" w:lineRule="auto"/>
              <w:jc w:val="left"/>
            </w:pPr>
            <w:r>
              <w:rPr>
                <w:b w:val="0"/>
                <w:i w:val="0"/>
              </w:rPr>
              <w:t>PR &amp; Communication cell, IQAC</w:t>
            </w:r>
          </w:p>
        </w:tc>
        <w:tc>
          <w:tcPr>
            <w:tcW w:type="dxa" w:w="1871"/>
            <w:vAlign w:val="center"/>
            <w:shd w:fill="FFFFFF"/>
          </w:tcPr>
          <w:p>
            <w:pPr>
              <w:spacing w:after="40" w:line="276" w:lineRule="auto"/>
              <w:jc w:val="left"/>
            </w:pPr>
            <w:r>
              <w:rPr>
                <w:b w:val="0"/>
                <w:i w:val="0"/>
              </w:rPr>
              <w:t>Disseminated Strategic Plan</w:t>
            </w:r>
          </w:p>
        </w:tc>
        <w:tc>
          <w:tcPr>
            <w:tcW w:type="dxa" w:w="1928"/>
            <w:vAlign w:val="center"/>
            <w:shd w:fill="FFFFFF"/>
          </w:tcPr>
          <w:p>
            <w:pPr>
              <w:spacing w:after="40" w:line="276" w:lineRule="auto"/>
              <w:jc w:val="left"/>
            </w:pPr>
            <w:r>
              <w:rPr>
                <w:b w:val="0"/>
                <w:i w:val="0"/>
              </w:rPr>
              <w:t>Month 11</w:t>
            </w:r>
          </w:p>
        </w:tc>
      </w:tr>
      <w:tr>
        <w:trPr>
          <w:cantSplit/>
        </w:trPr>
        <w:tc>
          <w:tcPr>
            <w:tcW w:type="dxa" w:w="1757"/>
            <w:vAlign w:val="center"/>
            <w:shd w:fill="EDF2F7"/>
          </w:tcPr>
          <w:p>
            <w:pPr>
              <w:spacing w:after="40" w:line="276" w:lineRule="auto"/>
              <w:jc w:val="left"/>
            </w:pPr>
            <w:r>
              <w:rPr>
                <w:b w:val="0"/>
                <w:i w:val="0"/>
              </w:rPr>
              <w:t>12. Transition to Phase 3 (Implementation)</w:t>
            </w:r>
          </w:p>
        </w:tc>
        <w:tc>
          <w:tcPr>
            <w:tcW w:type="dxa" w:w="1928"/>
            <w:vAlign w:val="center"/>
            <w:shd w:fill="EDF2F7"/>
          </w:tcPr>
          <w:p>
            <w:pPr>
              <w:spacing w:after="40" w:line="276" w:lineRule="auto"/>
              <w:jc w:val="left"/>
            </w:pPr>
            <w:r>
              <w:rPr>
                <w:b w:val="0"/>
                <w:i w:val="0"/>
              </w:rPr>
              <w:t>Establish implementation task forces, allocate resources, and set monitoring timelines.</w:t>
            </w:r>
          </w:p>
        </w:tc>
        <w:tc>
          <w:tcPr>
            <w:tcW w:type="dxa" w:w="1928"/>
            <w:vAlign w:val="center"/>
            <w:shd w:fill="EDF2F7"/>
          </w:tcPr>
          <w:p>
            <w:pPr>
              <w:spacing w:after="40" w:line="276" w:lineRule="auto"/>
              <w:jc w:val="left"/>
            </w:pPr>
            <w:r>
              <w:rPr>
                <w:b w:val="0"/>
                <w:i w:val="0"/>
              </w:rPr>
              <w:t>Strategic Planning Committee, Implementation Task Force</w:t>
            </w:r>
          </w:p>
        </w:tc>
        <w:tc>
          <w:tcPr>
            <w:tcW w:type="dxa" w:w="1871"/>
            <w:vAlign w:val="center"/>
            <w:shd w:fill="EDF2F7"/>
          </w:tcPr>
          <w:p>
            <w:pPr>
              <w:spacing w:after="40" w:line="276" w:lineRule="auto"/>
              <w:jc w:val="left"/>
            </w:pPr>
            <w:r>
              <w:rPr>
                <w:b w:val="0"/>
                <w:i w:val="0"/>
              </w:rPr>
              <w:t>Implementation Roadmap</w:t>
            </w:r>
          </w:p>
        </w:tc>
        <w:tc>
          <w:tcPr>
            <w:tcW w:type="dxa" w:w="1928"/>
            <w:vAlign w:val="center"/>
            <w:shd w:fill="EDF2F7"/>
          </w:tcPr>
          <w:p>
            <w:pPr>
              <w:spacing w:after="40" w:line="276" w:lineRule="auto"/>
              <w:jc w:val="left"/>
            </w:pPr>
            <w:r>
              <w:rPr>
                <w:b w:val="0"/>
                <w:i w:val="0"/>
              </w:rPr>
              <w:t>Month 12</w:t>
            </w:r>
          </w:p>
        </w:tc>
      </w:tr>
    </w:tbl>
    <w:p>
      <w:pPr>
        <w:spacing w:after="40"/>
      </w:pPr>
    </w:p>
    <w:p>
      <w:pPr>
        <w:pStyle w:val="Heading2"/>
      </w:pPr>
      <w:r>
        <w:t>Phase 2: Strategy Formulation – RACI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757"/>
        <w:gridCol w:w="1928"/>
        <w:gridCol w:w="1928"/>
        <w:gridCol w:w="1871"/>
        <w:gridCol w:w="1928"/>
      </w:tblGrid>
      <w:tr>
        <w:trPr>
          <w:tblHeader/>
          <w:cantSplit/>
        </w:trPr>
        <w:tc>
          <w:tcPr>
            <w:tcW w:type="dxa" w:w="1757"/>
            <w:vAlign w:val="center"/>
            <w:shd w:fill="1F3A5F"/>
          </w:tcPr>
          <w:p>
            <w:pPr>
              <w:keepNext/>
              <w:spacing w:after="40" w:line="276" w:lineRule="auto"/>
              <w:jc w:val="left"/>
            </w:pPr>
            <w:r>
              <w:rPr>
                <w:b/>
                <w:i w:val="0"/>
                <w:color w:val="FFFFFF"/>
              </w:rPr>
              <w:t>Task / Activity</w:t>
            </w:r>
          </w:p>
        </w:tc>
        <w:tc>
          <w:tcPr>
            <w:tcW w:type="dxa" w:w="1928"/>
            <w:vAlign w:val="center"/>
            <w:shd w:fill="1F3A5F"/>
          </w:tcPr>
          <w:p>
            <w:pPr>
              <w:keepNext/>
              <w:spacing w:after="40" w:line="276" w:lineRule="auto"/>
              <w:jc w:val="left"/>
            </w:pPr>
            <w:r>
              <w:rPr>
                <w:b/>
                <w:i w:val="0"/>
                <w:color w:val="FFFFFF"/>
              </w:rPr>
              <w:t>Responsible (R)</w:t>
            </w:r>
          </w:p>
        </w:tc>
        <w:tc>
          <w:tcPr>
            <w:tcW w:type="dxa" w:w="1928"/>
            <w:vAlign w:val="center"/>
            <w:shd w:fill="1F3A5F"/>
          </w:tcPr>
          <w:p>
            <w:pPr>
              <w:keepNext/>
              <w:spacing w:after="40" w:line="276" w:lineRule="auto"/>
              <w:jc w:val="left"/>
            </w:pPr>
            <w:r>
              <w:rPr>
                <w:b/>
                <w:i w:val="0"/>
                <w:color w:val="FFFFFF"/>
              </w:rPr>
              <w:t>Accountable (A)</w:t>
            </w:r>
          </w:p>
        </w:tc>
        <w:tc>
          <w:tcPr>
            <w:tcW w:type="dxa" w:w="1871"/>
            <w:vAlign w:val="center"/>
            <w:shd w:fill="1F3A5F"/>
          </w:tcPr>
          <w:p>
            <w:pPr>
              <w:keepNext/>
              <w:spacing w:after="40" w:line="276" w:lineRule="auto"/>
              <w:jc w:val="left"/>
            </w:pPr>
            <w:r>
              <w:rPr>
                <w:b/>
                <w:i w:val="0"/>
                <w:color w:val="FFFFFF"/>
              </w:rPr>
              <w:t>Consulted (C)</w:t>
            </w:r>
          </w:p>
        </w:tc>
        <w:tc>
          <w:tcPr>
            <w:tcW w:type="dxa" w:w="1928"/>
            <w:vAlign w:val="center"/>
            <w:shd w:fill="1F3A5F"/>
          </w:tcPr>
          <w:p>
            <w:pPr>
              <w:keepNext/>
              <w:spacing w:after="40" w:line="276" w:lineRule="auto"/>
              <w:jc w:val="left"/>
            </w:pPr>
            <w:r>
              <w:rPr>
                <w:b/>
                <w:i w:val="0"/>
                <w:color w:val="FFFFFF"/>
              </w:rPr>
              <w:t>Informed (I)</w:t>
            </w:r>
          </w:p>
        </w:tc>
      </w:tr>
      <w:tr>
        <w:trPr>
          <w:cantSplit/>
        </w:trPr>
        <w:tc>
          <w:tcPr>
            <w:tcW w:type="dxa" w:w="1757"/>
            <w:vAlign w:val="center"/>
            <w:shd w:fill="FFFFFF"/>
          </w:tcPr>
          <w:p>
            <w:pPr>
              <w:spacing w:after="40" w:line="276" w:lineRule="auto"/>
              <w:jc w:val="left"/>
            </w:pPr>
            <w:r>
              <w:rPr>
                <w:b w:val="0"/>
                <w:i w:val="0"/>
              </w:rPr>
              <w:t>Draft Vision &amp; Mission statements</w:t>
            </w:r>
          </w:p>
        </w:tc>
        <w:tc>
          <w:tcPr>
            <w:tcW w:type="dxa" w:w="1928"/>
            <w:vAlign w:val="center"/>
            <w:shd w:fill="FFFFFF"/>
          </w:tcPr>
          <w:p>
            <w:pPr>
              <w:spacing w:after="40" w:line="276" w:lineRule="auto"/>
              <w:jc w:val="left"/>
            </w:pPr>
            <w:r>
              <w:rPr>
                <w:b w:val="0"/>
                <w:i w:val="0"/>
              </w:rPr>
              <w:t>IQAC, Strategic Planning Cell</w:t>
            </w:r>
          </w:p>
        </w:tc>
        <w:tc>
          <w:tcPr>
            <w:tcW w:type="dxa" w:w="1928"/>
            <w:vAlign w:val="center"/>
            <w:shd w:fill="FFFFFF"/>
          </w:tcPr>
          <w:p>
            <w:pPr>
              <w:spacing w:after="40" w:line="276" w:lineRule="auto"/>
              <w:jc w:val="left"/>
            </w:pPr>
            <w:r>
              <w:rPr>
                <w:b w:val="0"/>
                <w:i w:val="0"/>
              </w:rPr>
              <w:t>Vice-Chancellor (vc)</w:t>
            </w:r>
          </w:p>
        </w:tc>
        <w:tc>
          <w:tcPr>
            <w:tcW w:type="dxa" w:w="1871"/>
            <w:vAlign w:val="center"/>
            <w:shd w:fill="FFFFFF"/>
          </w:tcPr>
          <w:p>
            <w:pPr>
              <w:spacing w:after="40" w:line="276" w:lineRule="auto"/>
              <w:jc w:val="left"/>
            </w:pPr>
            <w:r>
              <w:rPr>
                <w:b w:val="0"/>
                <w:i w:val="0"/>
              </w:rPr>
              <w:t>Deans, Governing Body, External Advisors</w:t>
            </w:r>
          </w:p>
        </w:tc>
        <w:tc>
          <w:tcPr>
            <w:tcW w:type="dxa" w:w="1928"/>
            <w:vAlign w:val="center"/>
            <w:shd w:fill="FFFFFF"/>
          </w:tcPr>
          <w:p>
            <w:pPr>
              <w:spacing w:after="40" w:line="276" w:lineRule="auto"/>
              <w:jc w:val="left"/>
            </w:pPr>
            <w:r>
              <w:rPr>
                <w:b w:val="0"/>
                <w:i w:val="0"/>
              </w:rPr>
              <w:t>Faculty, Students</w:t>
            </w:r>
          </w:p>
        </w:tc>
      </w:tr>
      <w:tr>
        <w:trPr>
          <w:cantSplit/>
        </w:trPr>
        <w:tc>
          <w:tcPr>
            <w:tcW w:type="dxa" w:w="1757"/>
            <w:vAlign w:val="center"/>
            <w:shd w:fill="EDF2F7"/>
          </w:tcPr>
          <w:p>
            <w:pPr>
              <w:spacing w:after="40" w:line="276" w:lineRule="auto"/>
              <w:jc w:val="left"/>
            </w:pPr>
            <w:r>
              <w:rPr>
                <w:b w:val="0"/>
                <w:i w:val="0"/>
              </w:rPr>
              <w:t>Define Core Values &amp; guiding principles</w:t>
            </w:r>
          </w:p>
        </w:tc>
        <w:tc>
          <w:tcPr>
            <w:tcW w:type="dxa" w:w="1928"/>
            <w:vAlign w:val="center"/>
            <w:shd w:fill="EDF2F7"/>
          </w:tcPr>
          <w:p>
            <w:pPr>
              <w:spacing w:after="40" w:line="276" w:lineRule="auto"/>
              <w:jc w:val="left"/>
            </w:pPr>
            <w:r>
              <w:rPr>
                <w:b w:val="0"/>
                <w:i w:val="0"/>
              </w:rPr>
              <w:t>Strategic Planning Cell, Deans</w:t>
            </w:r>
          </w:p>
        </w:tc>
        <w:tc>
          <w:tcPr>
            <w:tcW w:type="dxa" w:w="1928"/>
            <w:vAlign w:val="center"/>
            <w:shd w:fill="EDF2F7"/>
          </w:tcPr>
          <w:p>
            <w:pPr>
              <w:spacing w:after="40" w:line="276" w:lineRule="auto"/>
              <w:jc w:val="left"/>
            </w:pPr>
            <w:r>
              <w:rPr>
                <w:b w:val="0"/>
                <w:i w:val="0"/>
              </w:rPr>
              <w:t>Registrar</w:t>
            </w:r>
          </w:p>
        </w:tc>
        <w:tc>
          <w:tcPr>
            <w:tcW w:type="dxa" w:w="1871"/>
            <w:vAlign w:val="center"/>
            <w:shd w:fill="EDF2F7"/>
          </w:tcPr>
          <w:p>
            <w:pPr>
              <w:spacing w:after="40" w:line="276" w:lineRule="auto"/>
              <w:jc w:val="left"/>
            </w:pPr>
            <w:r>
              <w:rPr>
                <w:b w:val="0"/>
                <w:i w:val="0"/>
              </w:rPr>
              <w:t>Faculty, Student Council, Alumni Office</w:t>
            </w:r>
          </w:p>
        </w:tc>
        <w:tc>
          <w:tcPr>
            <w:tcW w:type="dxa" w:w="1928"/>
            <w:vAlign w:val="center"/>
            <w:shd w:fill="EDF2F7"/>
          </w:tcPr>
          <w:p>
            <w:pPr>
              <w:spacing w:after="40" w:line="276" w:lineRule="auto"/>
              <w:jc w:val="left"/>
            </w:pPr>
            <w:r>
              <w:rPr>
                <w:b w:val="0"/>
                <w:i w:val="0"/>
              </w:rPr>
              <w:t>Governing Body</w:t>
            </w:r>
          </w:p>
        </w:tc>
      </w:tr>
      <w:tr>
        <w:trPr>
          <w:cantSplit/>
        </w:trPr>
        <w:tc>
          <w:tcPr>
            <w:tcW w:type="dxa" w:w="1757"/>
            <w:vAlign w:val="center"/>
            <w:shd w:fill="FFFFFF"/>
          </w:tcPr>
          <w:p>
            <w:pPr>
              <w:spacing w:after="40" w:line="276" w:lineRule="auto"/>
              <w:jc w:val="left"/>
            </w:pPr>
            <w:r>
              <w:rPr>
                <w:b w:val="0"/>
                <w:i w:val="0"/>
              </w:rPr>
              <w:t>Identify Strategic Pillars (Academic, Research, Sustainability, Global, Community)</w:t>
            </w:r>
          </w:p>
        </w:tc>
        <w:tc>
          <w:tcPr>
            <w:tcW w:type="dxa" w:w="1928"/>
            <w:vAlign w:val="center"/>
            <w:shd w:fill="FFFFFF"/>
          </w:tcPr>
          <w:p>
            <w:pPr>
              <w:spacing w:after="40" w:line="276" w:lineRule="auto"/>
              <w:jc w:val="left"/>
            </w:pPr>
            <w:r>
              <w:rPr>
                <w:b w:val="0"/>
                <w:i w:val="0"/>
              </w:rPr>
              <w:t>IQAC + Deans</w:t>
            </w:r>
          </w:p>
        </w:tc>
        <w:tc>
          <w:tcPr>
            <w:tcW w:type="dxa" w:w="1928"/>
            <w:vAlign w:val="center"/>
            <w:shd w:fill="FFFFFF"/>
          </w:tcPr>
          <w:p>
            <w:pPr>
              <w:spacing w:after="40" w:line="276" w:lineRule="auto"/>
              <w:jc w:val="left"/>
            </w:pPr>
            <w:r>
              <w:rPr>
                <w:b w:val="0"/>
                <w:i w:val="0"/>
              </w:rPr>
              <w:t>vc</w:t>
            </w:r>
          </w:p>
        </w:tc>
        <w:tc>
          <w:tcPr>
            <w:tcW w:type="dxa" w:w="1871"/>
            <w:vAlign w:val="center"/>
            <w:shd w:fill="FFFFFF"/>
          </w:tcPr>
          <w:p>
            <w:pPr>
              <w:spacing w:after="40" w:line="276" w:lineRule="auto"/>
              <w:jc w:val="left"/>
            </w:pPr>
            <w:r>
              <w:rPr>
                <w:b w:val="0"/>
                <w:i w:val="0"/>
              </w:rPr>
              <w:t>Department Heads, Industry Partners</w:t>
            </w:r>
          </w:p>
        </w:tc>
        <w:tc>
          <w:tcPr>
            <w:tcW w:type="dxa" w:w="1928"/>
            <w:vAlign w:val="center"/>
            <w:shd w:fill="FFFFFF"/>
          </w:tcPr>
          <w:p>
            <w:pPr>
              <w:spacing w:after="40" w:line="276" w:lineRule="auto"/>
              <w:jc w:val="left"/>
            </w:pPr>
            <w:r>
              <w:rPr>
                <w:b w:val="0"/>
                <w:i w:val="0"/>
              </w:rPr>
              <w:t>Faculty, Students</w:t>
            </w:r>
          </w:p>
        </w:tc>
      </w:tr>
      <w:tr>
        <w:trPr>
          <w:cantSplit/>
        </w:trPr>
        <w:tc>
          <w:tcPr>
            <w:tcW w:type="dxa" w:w="1757"/>
            <w:vAlign w:val="center"/>
            <w:shd w:fill="EDF2F7"/>
          </w:tcPr>
          <w:p>
            <w:pPr>
              <w:spacing w:after="40" w:line="276" w:lineRule="auto"/>
              <w:jc w:val="left"/>
            </w:pPr>
            <w:r>
              <w:rPr>
                <w:b w:val="0"/>
                <w:i w:val="0"/>
              </w:rPr>
              <w:t>Align Strategic Objectives with NEP 2020 &amp; SDGs</w:t>
            </w:r>
          </w:p>
        </w:tc>
        <w:tc>
          <w:tcPr>
            <w:tcW w:type="dxa" w:w="1928"/>
            <w:vAlign w:val="center"/>
            <w:shd w:fill="EDF2F7"/>
          </w:tcPr>
          <w:p>
            <w:pPr>
              <w:spacing w:after="40" w:line="276" w:lineRule="auto"/>
              <w:jc w:val="left"/>
            </w:pPr>
            <w:r>
              <w:rPr>
                <w:b w:val="0"/>
                <w:i w:val="0"/>
              </w:rPr>
              <w:t>IQAC, Accreditation Cell</w:t>
            </w:r>
          </w:p>
        </w:tc>
        <w:tc>
          <w:tcPr>
            <w:tcW w:type="dxa" w:w="1928"/>
            <w:vAlign w:val="center"/>
            <w:shd w:fill="EDF2F7"/>
          </w:tcPr>
          <w:p>
            <w:pPr>
              <w:spacing w:after="40" w:line="276" w:lineRule="auto"/>
              <w:jc w:val="left"/>
            </w:pPr>
            <w:r>
              <w:rPr>
                <w:b w:val="0"/>
                <w:i w:val="0"/>
              </w:rPr>
              <w:t>VC + Governing Body</w:t>
            </w:r>
          </w:p>
        </w:tc>
        <w:tc>
          <w:tcPr>
            <w:tcW w:type="dxa" w:w="1871"/>
            <w:vAlign w:val="center"/>
            <w:shd w:fill="EDF2F7"/>
          </w:tcPr>
          <w:p>
            <w:pPr>
              <w:spacing w:after="40" w:line="276" w:lineRule="auto"/>
              <w:jc w:val="left"/>
            </w:pPr>
            <w:r>
              <w:rPr>
                <w:b w:val="0"/>
                <w:i w:val="0"/>
              </w:rPr>
              <w:t>External Policy Experts, UGC/​AICTE Advisors</w:t>
            </w:r>
          </w:p>
        </w:tc>
        <w:tc>
          <w:tcPr>
            <w:tcW w:type="dxa" w:w="1928"/>
            <w:vAlign w:val="center"/>
            <w:shd w:fill="EDF2F7"/>
          </w:tcPr>
          <w:p>
            <w:pPr>
              <w:spacing w:after="40" w:line="276" w:lineRule="auto"/>
              <w:jc w:val="left"/>
            </w:pPr>
            <w:r>
              <w:rPr>
                <w:b w:val="0"/>
                <w:i w:val="0"/>
              </w:rPr>
              <w:t>Faculty, Stakeholders</w:t>
            </w:r>
          </w:p>
        </w:tc>
      </w:tr>
      <w:tr>
        <w:trPr>
          <w:cantSplit/>
        </w:trPr>
        <w:tc>
          <w:tcPr>
            <w:tcW w:type="dxa" w:w="1757"/>
            <w:vAlign w:val="center"/>
            <w:shd w:fill="FFFFFF"/>
          </w:tcPr>
          <w:p>
            <w:pPr>
              <w:spacing w:after="40" w:line="276" w:lineRule="auto"/>
              <w:jc w:val="left"/>
            </w:pPr>
            <w:r>
              <w:rPr>
                <w:b w:val="0"/>
                <w:i w:val="0"/>
              </w:rPr>
              <w:t>Translate Vision into Strategic Objectives</w:t>
            </w:r>
          </w:p>
        </w:tc>
        <w:tc>
          <w:tcPr>
            <w:tcW w:type="dxa" w:w="1928"/>
            <w:vAlign w:val="center"/>
            <w:shd w:fill="FFFFFF"/>
          </w:tcPr>
          <w:p>
            <w:pPr>
              <w:spacing w:after="40" w:line="276" w:lineRule="auto"/>
              <w:jc w:val="left"/>
            </w:pPr>
            <w:r>
              <w:rPr>
                <w:b w:val="0"/>
                <w:i w:val="0"/>
              </w:rPr>
              <w:t>Strategic Planning Cell</w:t>
            </w:r>
          </w:p>
        </w:tc>
        <w:tc>
          <w:tcPr>
            <w:tcW w:type="dxa" w:w="1928"/>
            <w:vAlign w:val="center"/>
            <w:shd w:fill="FFFFFF"/>
          </w:tcPr>
          <w:p>
            <w:pPr>
              <w:spacing w:after="40" w:line="276" w:lineRule="auto"/>
              <w:jc w:val="left"/>
            </w:pPr>
            <w:r>
              <w:rPr>
                <w:b w:val="0"/>
                <w:i w:val="0"/>
              </w:rPr>
              <w:t>Registrar</w:t>
            </w:r>
          </w:p>
        </w:tc>
        <w:tc>
          <w:tcPr>
            <w:tcW w:type="dxa" w:w="1871"/>
            <w:vAlign w:val="center"/>
            <w:shd w:fill="FFFFFF"/>
          </w:tcPr>
          <w:p>
            <w:pPr>
              <w:spacing w:after="40" w:line="276" w:lineRule="auto"/>
              <w:jc w:val="left"/>
            </w:pPr>
            <w:r>
              <w:rPr>
                <w:b w:val="0"/>
                <w:i w:val="0"/>
              </w:rPr>
              <w:t>Deans, Institutional Research Office</w:t>
            </w:r>
          </w:p>
        </w:tc>
        <w:tc>
          <w:tcPr>
            <w:tcW w:type="dxa" w:w="1928"/>
            <w:vAlign w:val="center"/>
            <w:shd w:fill="FFFFFF"/>
          </w:tcPr>
          <w:p>
            <w:pPr>
              <w:spacing w:after="40" w:line="276" w:lineRule="auto"/>
              <w:jc w:val="left"/>
            </w:pPr>
            <w:r>
              <w:rPr>
                <w:b w:val="0"/>
                <w:i w:val="0"/>
              </w:rPr>
              <w:t>Students, Governing Body</w:t>
            </w:r>
          </w:p>
        </w:tc>
      </w:tr>
      <w:tr>
        <w:trPr>
          <w:cantSplit/>
        </w:trPr>
        <w:tc>
          <w:tcPr>
            <w:tcW w:type="dxa" w:w="1757"/>
            <w:vAlign w:val="center"/>
            <w:shd w:fill="EDF2F7"/>
          </w:tcPr>
          <w:p>
            <w:pPr>
              <w:spacing w:after="40" w:line="276" w:lineRule="auto"/>
              <w:jc w:val="left"/>
            </w:pPr>
            <w:r>
              <w:rPr>
                <w:b w:val="0"/>
                <w:i w:val="0"/>
              </w:rPr>
              <w:t>Translate Strategic Objectives into Operational Goals</w:t>
            </w:r>
          </w:p>
        </w:tc>
        <w:tc>
          <w:tcPr>
            <w:tcW w:type="dxa" w:w="1928"/>
            <w:vAlign w:val="center"/>
            <w:shd w:fill="EDF2F7"/>
          </w:tcPr>
          <w:p>
            <w:pPr>
              <w:spacing w:after="40" w:line="276" w:lineRule="auto"/>
              <w:jc w:val="left"/>
            </w:pPr>
            <w:r>
              <w:rPr>
                <w:b w:val="0"/>
                <w:i w:val="0"/>
              </w:rPr>
              <w:t>Deans + Department Heads</w:t>
            </w:r>
          </w:p>
        </w:tc>
        <w:tc>
          <w:tcPr>
            <w:tcW w:type="dxa" w:w="1928"/>
            <w:vAlign w:val="center"/>
            <w:shd w:fill="EDF2F7"/>
          </w:tcPr>
          <w:p>
            <w:pPr>
              <w:spacing w:after="40" w:line="276" w:lineRule="auto"/>
              <w:jc w:val="left"/>
            </w:pPr>
            <w:r>
              <w:rPr>
                <w:b w:val="0"/>
                <w:i w:val="0"/>
              </w:rPr>
              <w:t>vc</w:t>
            </w:r>
          </w:p>
        </w:tc>
        <w:tc>
          <w:tcPr>
            <w:tcW w:type="dxa" w:w="1871"/>
            <w:vAlign w:val="center"/>
            <w:shd w:fill="EDF2F7"/>
          </w:tcPr>
          <w:p>
            <w:pPr>
              <w:spacing w:after="40" w:line="276" w:lineRule="auto"/>
              <w:jc w:val="left"/>
            </w:pPr>
            <w:r>
              <w:rPr>
                <w:b w:val="0"/>
                <w:i w:val="0"/>
              </w:rPr>
              <w:t>IQAC, Faculty Experts</w:t>
            </w:r>
          </w:p>
        </w:tc>
        <w:tc>
          <w:tcPr>
            <w:tcW w:type="dxa" w:w="1928"/>
            <w:vAlign w:val="center"/>
            <w:shd w:fill="EDF2F7"/>
          </w:tcPr>
          <w:p>
            <w:pPr>
              <w:spacing w:after="40" w:line="276" w:lineRule="auto"/>
              <w:jc w:val="left"/>
            </w:pPr>
            <w:r>
              <w:rPr>
                <w:b w:val="0"/>
                <w:i w:val="0"/>
              </w:rPr>
              <w:t>Faculty, Students</w:t>
            </w:r>
          </w:p>
        </w:tc>
      </w:tr>
      <w:tr>
        <w:trPr>
          <w:cantSplit/>
        </w:trPr>
        <w:tc>
          <w:tcPr>
            <w:tcW w:type="dxa" w:w="1757"/>
            <w:vAlign w:val="center"/>
            <w:shd w:fill="FFFFFF"/>
          </w:tcPr>
          <w:p>
            <w:pPr>
              <w:spacing w:after="40" w:line="276" w:lineRule="auto"/>
              <w:jc w:val="left"/>
            </w:pPr>
            <w:r>
              <w:rPr>
                <w:b w:val="0"/>
                <w:i w:val="0"/>
              </w:rPr>
              <w:t>Prepare Policy–Action–Outcome–KPI Frameworks</w:t>
            </w:r>
          </w:p>
        </w:tc>
        <w:tc>
          <w:tcPr>
            <w:tcW w:type="dxa" w:w="1928"/>
            <w:vAlign w:val="center"/>
            <w:shd w:fill="FFFFFF"/>
          </w:tcPr>
          <w:p>
            <w:pPr>
              <w:spacing w:after="40" w:line="276" w:lineRule="auto"/>
              <w:jc w:val="left"/>
            </w:pPr>
            <w:r>
              <w:rPr>
                <w:b w:val="0"/>
                <w:i w:val="0"/>
              </w:rPr>
              <w:t>Institutional Research Office, IQAC</w:t>
            </w:r>
          </w:p>
        </w:tc>
        <w:tc>
          <w:tcPr>
            <w:tcW w:type="dxa" w:w="1928"/>
            <w:vAlign w:val="center"/>
            <w:shd w:fill="FFFFFF"/>
          </w:tcPr>
          <w:p>
            <w:pPr>
              <w:spacing w:after="40" w:line="276" w:lineRule="auto"/>
              <w:jc w:val="left"/>
            </w:pPr>
            <w:r>
              <w:rPr>
                <w:b w:val="0"/>
                <w:i w:val="0"/>
              </w:rPr>
              <w:t>Registrar</w:t>
            </w:r>
          </w:p>
        </w:tc>
        <w:tc>
          <w:tcPr>
            <w:tcW w:type="dxa" w:w="1871"/>
            <w:vAlign w:val="center"/>
            <w:shd w:fill="FFFFFF"/>
          </w:tcPr>
          <w:p>
            <w:pPr>
              <w:spacing w:after="40" w:line="276" w:lineRule="auto"/>
              <w:jc w:val="left"/>
            </w:pPr>
            <w:r>
              <w:rPr>
                <w:b w:val="0"/>
                <w:i w:val="0"/>
              </w:rPr>
              <w:t>Deans, Accreditation Consultants</w:t>
            </w:r>
          </w:p>
        </w:tc>
        <w:tc>
          <w:tcPr>
            <w:tcW w:type="dxa" w:w="1928"/>
            <w:vAlign w:val="center"/>
            <w:shd w:fill="FFFFFF"/>
          </w:tcPr>
          <w:p>
            <w:pPr>
              <w:spacing w:after="40" w:line="276" w:lineRule="auto"/>
              <w:jc w:val="left"/>
            </w:pPr>
            <w:r>
              <w:rPr>
                <w:b w:val="0"/>
                <w:i w:val="0"/>
              </w:rPr>
              <w:t>Governing Body</w:t>
            </w:r>
          </w:p>
        </w:tc>
      </w:tr>
      <w:tr>
        <w:trPr>
          <w:cantSplit/>
        </w:trPr>
        <w:tc>
          <w:tcPr>
            <w:tcW w:type="dxa" w:w="1757"/>
            <w:vAlign w:val="center"/>
            <w:shd w:fill="EDF2F7"/>
          </w:tcPr>
          <w:p>
            <w:pPr>
              <w:spacing w:after="40" w:line="276" w:lineRule="auto"/>
              <w:jc w:val="left"/>
            </w:pPr>
            <w:r>
              <w:rPr>
                <w:b w:val="0"/>
                <w:i w:val="0"/>
              </w:rPr>
              <w:t>Draft Alignment Matrix (NEP 2020 + SDGs + Accreditation)</w:t>
            </w:r>
          </w:p>
        </w:tc>
        <w:tc>
          <w:tcPr>
            <w:tcW w:type="dxa" w:w="1928"/>
            <w:vAlign w:val="center"/>
            <w:shd w:fill="EDF2F7"/>
          </w:tcPr>
          <w:p>
            <w:pPr>
              <w:spacing w:after="40" w:line="276" w:lineRule="auto"/>
              <w:jc w:val="left"/>
            </w:pPr>
            <w:r>
              <w:rPr>
                <w:b w:val="0"/>
                <w:i w:val="0"/>
              </w:rPr>
              <w:t>Accreditation Cell + IQAC</w:t>
            </w:r>
          </w:p>
        </w:tc>
        <w:tc>
          <w:tcPr>
            <w:tcW w:type="dxa" w:w="1928"/>
            <w:vAlign w:val="center"/>
            <w:shd w:fill="EDF2F7"/>
          </w:tcPr>
          <w:p>
            <w:pPr>
              <w:spacing w:after="40" w:line="276" w:lineRule="auto"/>
              <w:jc w:val="left"/>
            </w:pPr>
            <w:r>
              <w:rPr>
                <w:b w:val="0"/>
                <w:i w:val="0"/>
              </w:rPr>
              <w:t>vc</w:t>
            </w:r>
          </w:p>
        </w:tc>
        <w:tc>
          <w:tcPr>
            <w:tcW w:type="dxa" w:w="1871"/>
            <w:vAlign w:val="center"/>
            <w:shd w:fill="EDF2F7"/>
          </w:tcPr>
          <w:p>
            <w:pPr>
              <w:spacing w:after="40" w:line="276" w:lineRule="auto"/>
              <w:jc w:val="left"/>
            </w:pPr>
            <w:r>
              <w:rPr>
                <w:b w:val="0"/>
                <w:i w:val="0"/>
              </w:rPr>
              <w:t>Deans, External Advisors</w:t>
            </w:r>
          </w:p>
        </w:tc>
        <w:tc>
          <w:tcPr>
            <w:tcW w:type="dxa" w:w="1928"/>
            <w:vAlign w:val="center"/>
            <w:shd w:fill="EDF2F7"/>
          </w:tcPr>
          <w:p>
            <w:pPr>
              <w:spacing w:after="40" w:line="276" w:lineRule="auto"/>
              <w:jc w:val="left"/>
            </w:pPr>
            <w:r>
              <w:rPr>
                <w:b w:val="0"/>
                <w:i w:val="0"/>
              </w:rPr>
              <w:t>Governing Body, Faculty</w:t>
            </w:r>
          </w:p>
        </w:tc>
      </w:tr>
      <w:tr>
        <w:trPr>
          <w:cantSplit/>
        </w:trPr>
        <w:tc>
          <w:tcPr>
            <w:tcW w:type="dxa" w:w="1757"/>
            <w:vAlign w:val="center"/>
            <w:shd w:fill="FFFFFF"/>
          </w:tcPr>
          <w:p>
            <w:pPr>
              <w:spacing w:after="40" w:line="276" w:lineRule="auto"/>
              <w:jc w:val="left"/>
            </w:pPr>
            <w:r>
              <w:rPr>
                <w:b w:val="0"/>
                <w:i w:val="0"/>
              </w:rPr>
              <w:t>Conduct stakeholder consultations (faculty, students, alumni, industry)</w:t>
            </w:r>
          </w:p>
        </w:tc>
        <w:tc>
          <w:tcPr>
            <w:tcW w:type="dxa" w:w="1928"/>
            <w:vAlign w:val="center"/>
            <w:shd w:fill="FFFFFF"/>
          </w:tcPr>
          <w:p>
            <w:pPr>
              <w:spacing w:after="40" w:line="276" w:lineRule="auto"/>
              <w:jc w:val="left"/>
            </w:pPr>
            <w:r>
              <w:rPr>
                <w:b w:val="0"/>
                <w:i w:val="0"/>
              </w:rPr>
              <w:t>PR Office + Student Affairs</w:t>
            </w:r>
          </w:p>
        </w:tc>
        <w:tc>
          <w:tcPr>
            <w:tcW w:type="dxa" w:w="1928"/>
            <w:vAlign w:val="center"/>
            <w:shd w:fill="FFFFFF"/>
          </w:tcPr>
          <w:p>
            <w:pPr>
              <w:spacing w:after="40" w:line="276" w:lineRule="auto"/>
              <w:jc w:val="left"/>
            </w:pPr>
            <w:r>
              <w:rPr>
                <w:b w:val="0"/>
                <w:i w:val="0"/>
              </w:rPr>
              <w:t>Registrar</w:t>
            </w:r>
          </w:p>
        </w:tc>
        <w:tc>
          <w:tcPr>
            <w:tcW w:type="dxa" w:w="1871"/>
            <w:vAlign w:val="center"/>
            <w:shd w:fill="FFFFFF"/>
          </w:tcPr>
          <w:p>
            <w:pPr>
              <w:spacing w:after="40" w:line="276" w:lineRule="auto"/>
              <w:jc w:val="left"/>
            </w:pPr>
            <w:r>
              <w:rPr>
                <w:b w:val="0"/>
                <w:i w:val="0"/>
              </w:rPr>
              <w:t>Alumni Office, Industry Advisory Board</w:t>
            </w:r>
          </w:p>
        </w:tc>
        <w:tc>
          <w:tcPr>
            <w:tcW w:type="dxa" w:w="1928"/>
            <w:vAlign w:val="center"/>
            <w:shd w:fill="FFFFFF"/>
          </w:tcPr>
          <w:p>
            <w:pPr>
              <w:spacing w:after="40" w:line="276" w:lineRule="auto"/>
              <w:jc w:val="left"/>
            </w:pPr>
            <w:r>
              <w:rPr>
                <w:b w:val="0"/>
                <w:i w:val="0"/>
              </w:rPr>
              <w:t>All Stakeholders</w:t>
            </w:r>
          </w:p>
        </w:tc>
      </w:tr>
      <w:tr>
        <w:trPr>
          <w:cantSplit/>
        </w:trPr>
        <w:tc>
          <w:tcPr>
            <w:tcW w:type="dxa" w:w="1757"/>
            <w:vAlign w:val="center"/>
            <w:shd w:fill="EDF2F7"/>
          </w:tcPr>
          <w:p>
            <w:pPr>
              <w:spacing w:after="40" w:line="276" w:lineRule="auto"/>
              <w:jc w:val="left"/>
            </w:pPr>
            <w:r>
              <w:rPr>
                <w:b w:val="0"/>
                <w:i w:val="0"/>
              </w:rPr>
              <w:t>Finalize &amp; approve Strategic Development Framework</w:t>
            </w:r>
          </w:p>
        </w:tc>
        <w:tc>
          <w:tcPr>
            <w:tcW w:type="dxa" w:w="1928"/>
            <w:vAlign w:val="center"/>
            <w:shd w:fill="EDF2F7"/>
          </w:tcPr>
          <w:p>
            <w:pPr>
              <w:spacing w:after="40" w:line="276" w:lineRule="auto"/>
              <w:jc w:val="left"/>
            </w:pPr>
            <w:r>
              <w:rPr>
                <w:b w:val="0"/>
                <w:i w:val="0"/>
              </w:rPr>
              <w:t>Governing Body, VC</w:t>
            </w:r>
          </w:p>
        </w:tc>
        <w:tc>
          <w:tcPr>
            <w:tcW w:type="dxa" w:w="1928"/>
            <w:vAlign w:val="center"/>
            <w:shd w:fill="EDF2F7"/>
          </w:tcPr>
          <w:p>
            <w:pPr>
              <w:spacing w:after="40" w:line="276" w:lineRule="auto"/>
              <w:jc w:val="left"/>
            </w:pPr>
            <w:r>
              <w:rPr>
                <w:b w:val="0"/>
                <w:i w:val="0"/>
              </w:rPr>
              <w:t>Chancellor/​Board of Trustees</w:t>
            </w:r>
          </w:p>
        </w:tc>
        <w:tc>
          <w:tcPr>
            <w:tcW w:type="dxa" w:w="1871"/>
            <w:vAlign w:val="center"/>
            <w:shd w:fill="EDF2F7"/>
          </w:tcPr>
          <w:p>
            <w:pPr>
              <w:spacing w:after="40" w:line="276" w:lineRule="auto"/>
              <w:jc w:val="left"/>
            </w:pPr>
            <w:r>
              <w:rPr>
                <w:b w:val="0"/>
                <w:i w:val="0"/>
              </w:rPr>
              <w:t>Deans, IQAC, Registrar</w:t>
            </w:r>
          </w:p>
        </w:tc>
        <w:tc>
          <w:tcPr>
            <w:tcW w:type="dxa" w:w="1928"/>
            <w:vAlign w:val="center"/>
            <w:shd w:fill="EDF2F7"/>
          </w:tcPr>
          <w:p>
            <w:pPr>
              <w:spacing w:after="40" w:line="276" w:lineRule="auto"/>
              <w:jc w:val="left"/>
            </w:pPr>
            <w:r>
              <w:rPr>
                <w:b w:val="0"/>
                <w:i w:val="0"/>
              </w:rPr>
              <w:t>Faculty, Students, Community</w:t>
            </w:r>
          </w:p>
        </w:tc>
      </w:tr>
    </w:tbl>
    <w:p>
      <w:pPr>
        <w:spacing w:after="40"/>
      </w:pPr>
    </w:p>
    <w:p>
      <w:pPr>
        <w:pStyle w:val="Heading2"/>
      </w:pPr>
      <w:r>
        <w:t>Phase 2: Balanced Scorecard – Strategy Formulation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757"/>
        <w:gridCol w:w="1928"/>
        <w:gridCol w:w="1928"/>
        <w:gridCol w:w="1871"/>
        <w:gridCol w:w="1928"/>
      </w:tblGrid>
      <w:tr>
        <w:trPr>
          <w:tblHeader/>
          <w:cantSplit/>
        </w:trPr>
        <w:tc>
          <w:tcPr>
            <w:tcW w:type="dxa" w:w="1757"/>
            <w:vAlign w:val="center"/>
            <w:shd w:fill="1F3A5F"/>
          </w:tcPr>
          <w:p>
            <w:pPr>
              <w:keepNext/>
              <w:spacing w:after="40" w:line="276" w:lineRule="auto"/>
              <w:jc w:val="left"/>
            </w:pPr>
            <w:r>
              <w:rPr>
                <w:b/>
                <w:i w:val="0"/>
                <w:color w:val="FFFFFF"/>
              </w:rPr>
              <w:t>Perspective</w:t>
            </w:r>
          </w:p>
        </w:tc>
        <w:tc>
          <w:tcPr>
            <w:tcW w:type="dxa" w:w="1928"/>
            <w:vAlign w:val="center"/>
            <w:shd w:fill="1F3A5F"/>
          </w:tcPr>
          <w:p>
            <w:pPr>
              <w:keepNext/>
              <w:spacing w:after="40" w:line="276" w:lineRule="auto"/>
              <w:jc w:val="left"/>
            </w:pPr>
            <w:r>
              <w:rPr>
                <w:b/>
                <w:i w:val="0"/>
                <w:color w:val="FFFFFF"/>
              </w:rPr>
              <w:t>Strategic Objective</w:t>
            </w:r>
          </w:p>
        </w:tc>
        <w:tc>
          <w:tcPr>
            <w:tcW w:type="dxa" w:w="1928"/>
            <w:vAlign w:val="center"/>
            <w:shd w:fill="1F3A5F"/>
          </w:tcPr>
          <w:p>
            <w:pPr>
              <w:keepNext/>
              <w:spacing w:after="40" w:line="276" w:lineRule="auto"/>
              <w:jc w:val="left"/>
            </w:pPr>
            <w:r>
              <w:rPr>
                <w:b/>
                <w:i w:val="0"/>
                <w:color w:val="FFFFFF"/>
              </w:rPr>
              <w:t>Formulation Actions</w:t>
            </w:r>
          </w:p>
        </w:tc>
        <w:tc>
          <w:tcPr>
            <w:tcW w:type="dxa" w:w="1871"/>
            <w:vAlign w:val="center"/>
            <w:shd w:fill="1F3A5F"/>
          </w:tcPr>
          <w:p>
            <w:pPr>
              <w:keepNext/>
              <w:spacing w:after="40" w:line="276" w:lineRule="auto"/>
              <w:jc w:val="left"/>
            </w:pPr>
            <w:r>
              <w:rPr>
                <w:b/>
                <w:i w:val="0"/>
                <w:color w:val="FFFFFF"/>
              </w:rPr>
              <w:t>KPIs (Indicators)</w:t>
            </w:r>
          </w:p>
        </w:tc>
        <w:tc>
          <w:tcPr>
            <w:tcW w:type="dxa" w:w="1928"/>
            <w:vAlign w:val="center"/>
            <w:shd w:fill="1F3A5F"/>
          </w:tcPr>
          <w:p>
            <w:pPr>
              <w:keepNext/>
              <w:spacing w:after="40" w:line="276" w:lineRule="auto"/>
              <w:jc w:val="left"/>
            </w:pPr>
            <w:r>
              <w:rPr>
                <w:b/>
                <w:i w:val="0"/>
                <w:color w:val="FFFFFF"/>
              </w:rPr>
              <w:t>Target (Phase 2)</w:t>
            </w:r>
          </w:p>
        </w:tc>
      </w:tr>
      <w:tr>
        <w:trPr>
          <w:cantSplit/>
        </w:trPr>
        <w:tc>
          <w:tcPr>
            <w:tcW w:type="dxa" w:w="1757"/>
            <w:vAlign w:val="center"/>
            <w:shd w:fill="FFFFFF"/>
          </w:tcPr>
          <w:p>
            <w:pPr>
              <w:spacing w:after="40" w:line="276" w:lineRule="auto"/>
              <w:jc w:val="left"/>
            </w:pPr>
            <w:r>
              <w:rPr>
                <w:b w:val="0"/>
                <w:i w:val="0"/>
              </w:rPr>
              <w:t>Academic Excellence &amp; Learning</w:t>
            </w:r>
          </w:p>
        </w:tc>
        <w:tc>
          <w:tcPr>
            <w:tcW w:type="dxa" w:w="1928"/>
            <w:vAlign w:val="center"/>
            <w:shd w:fill="FFFFFF"/>
          </w:tcPr>
          <w:p>
            <w:pPr>
              <w:spacing w:after="40" w:line="276" w:lineRule="auto"/>
              <w:jc w:val="left"/>
            </w:pPr>
            <w:r>
              <w:rPr>
                <w:b w:val="0"/>
                <w:i w:val="0"/>
              </w:rPr>
              <w:t>Define a clear Vision &amp; Mission aligned with NEP 2020</w:t>
            </w:r>
          </w:p>
        </w:tc>
        <w:tc>
          <w:tcPr>
            <w:tcW w:type="dxa" w:w="1928"/>
            <w:vAlign w:val="center"/>
            <w:shd w:fill="FFFFFF"/>
          </w:tcPr>
          <w:p>
            <w:pPr>
              <w:spacing w:after="40" w:line="276" w:lineRule="auto"/>
              <w:ind w:left="125" w:hanging="125"/>
              <w:jc w:val="left"/>
            </w:pPr>
            <w:r>
              <w:t xml:space="preserve">• </w:t>
            </w:r>
            <w:r>
              <w:rPr>
                <w:b w:val="0"/>
                <w:i w:val="0"/>
              </w:rPr>
              <w:t>Draft Vision &amp; Mission.</w:t>
            </w:r>
          </w:p>
          <w:p>
            <w:pPr>
              <w:spacing w:after="40" w:line="276" w:lineRule="auto"/>
              <w:ind w:left="125" w:hanging="125"/>
              <w:jc w:val="left"/>
            </w:pPr>
            <w:r>
              <w:t xml:space="preserve">• </w:t>
            </w:r>
            <w:r>
              <w:rPr>
                <w:b w:val="0"/>
                <w:i w:val="0"/>
              </w:rPr>
              <w:t>Consult stakeholders (faculty, students, alumni).</w:t>
            </w:r>
          </w:p>
        </w:tc>
        <w:tc>
          <w:tcPr>
            <w:tcW w:type="dxa" w:w="1871"/>
            <w:vAlign w:val="center"/>
            <w:shd w:fill="FFFFFF"/>
          </w:tcPr>
          <w:p>
            <w:pPr>
              <w:spacing w:after="40" w:line="276" w:lineRule="auto"/>
              <w:ind w:left="125" w:hanging="125"/>
              <w:jc w:val="left"/>
            </w:pPr>
            <w:r>
              <w:t xml:space="preserve">• </w:t>
            </w:r>
            <w:r>
              <w:rPr>
                <w:b w:val="0"/>
                <w:i w:val="0"/>
              </w:rPr>
              <w:t>Vision/​Mission approval status.</w:t>
            </w:r>
          </w:p>
          <w:p>
            <w:pPr>
              <w:spacing w:after="40" w:line="276" w:lineRule="auto"/>
              <w:ind w:left="125" w:hanging="125"/>
              <w:jc w:val="left"/>
            </w:pPr>
            <w:r>
              <w:t xml:space="preserve">• </w:t>
            </w:r>
            <w:r>
              <w:rPr>
                <w:b w:val="0"/>
                <w:i w:val="0"/>
              </w:rPr>
              <w:t>No. of stakeholders consulted.</w:t>
            </w:r>
          </w:p>
          <w:p>
            <w:pPr>
              <w:spacing w:after="40" w:line="276" w:lineRule="auto"/>
              <w:ind w:left="125" w:hanging="125"/>
              <w:jc w:val="left"/>
            </w:pPr>
            <w:r>
              <w:t xml:space="preserve">• </w:t>
            </w:r>
            <w:r>
              <w:rPr>
                <w:b w:val="0"/>
                <w:i w:val="0"/>
              </w:rPr>
              <w:t>% NEP 2020 alignment.</w:t>
            </w:r>
          </w:p>
        </w:tc>
        <w:tc>
          <w:tcPr>
            <w:tcW w:type="dxa" w:w="1928"/>
            <w:vAlign w:val="center"/>
            <w:shd w:fill="FFFFFF"/>
          </w:tcPr>
          <w:p>
            <w:pPr>
              <w:spacing w:after="40" w:line="276" w:lineRule="auto"/>
              <w:ind w:left="125" w:hanging="125"/>
              <w:jc w:val="left"/>
            </w:pPr>
            <w:r>
              <w:t xml:space="preserve">• </w:t>
            </w:r>
            <w:r>
              <w:rPr>
                <w:b w:val="0"/>
                <w:i w:val="0"/>
              </w:rPr>
              <w:t>Final Vision &amp; Mission approved by Governing Body.</w:t>
            </w:r>
          </w:p>
          <w:p>
            <w:pPr>
              <w:spacing w:after="40" w:line="276" w:lineRule="auto"/>
              <w:ind w:left="125" w:hanging="125"/>
              <w:jc w:val="left"/>
            </w:pPr>
            <w:r>
              <w:t xml:space="preserve">• </w:t>
            </w:r>
            <w:r>
              <w:rPr>
                <w:b w:val="0"/>
                <w:i w:val="0"/>
              </w:rPr>
              <w:t>≥80% stakeholder engagement.</w:t>
            </w:r>
          </w:p>
          <w:p>
            <w:pPr>
              <w:spacing w:after="40" w:line="276" w:lineRule="auto"/>
              <w:ind w:left="125" w:hanging="125"/>
              <w:jc w:val="left"/>
            </w:pPr>
            <w:r>
              <w:t xml:space="preserve">• </w:t>
            </w:r>
            <w:r>
              <w:rPr>
                <w:b w:val="0"/>
                <w:i w:val="0"/>
              </w:rPr>
              <w:t>100% NEP compliance.</w:t>
            </w:r>
          </w:p>
        </w:tc>
      </w:tr>
      <w:tr>
        <w:trPr>
          <w:cantSplit/>
        </w:trPr>
        <w:tc>
          <w:tcPr>
            <w:tcW w:type="dxa" w:w="1757"/>
            <w:vAlign w:val="center"/>
            <w:shd w:fill="EDF2F7"/>
          </w:tcPr>
          <w:p>
            <w:pPr>
              <w:spacing w:after="40" w:line="276" w:lineRule="auto"/>
              <w:jc w:val="left"/>
            </w:pPr>
            <w:r>
              <w:rPr>
                <w:b w:val="0"/>
                <w:i w:val="0"/>
              </w:rPr>
              <w:t>Research &amp; Innovation</w:t>
            </w:r>
          </w:p>
        </w:tc>
        <w:tc>
          <w:tcPr>
            <w:tcW w:type="dxa" w:w="1928"/>
            <w:vAlign w:val="center"/>
            <w:shd w:fill="EDF2F7"/>
          </w:tcPr>
          <w:p>
            <w:pPr>
              <w:spacing w:after="40" w:line="276" w:lineRule="auto"/>
              <w:jc w:val="left"/>
            </w:pPr>
            <w:r>
              <w:rPr>
                <w:b w:val="0"/>
                <w:i w:val="0"/>
              </w:rPr>
              <w:t>Identify research-driven Strategic Pillars</w:t>
            </w:r>
          </w:p>
        </w:tc>
        <w:tc>
          <w:tcPr>
            <w:tcW w:type="dxa" w:w="1928"/>
            <w:vAlign w:val="center"/>
            <w:shd w:fill="EDF2F7"/>
          </w:tcPr>
          <w:p>
            <w:pPr>
              <w:spacing w:after="40" w:line="276" w:lineRule="auto"/>
              <w:ind w:left="125" w:hanging="125"/>
              <w:jc w:val="left"/>
            </w:pPr>
            <w:r>
              <w:t xml:space="preserve">• </w:t>
            </w:r>
            <w:r>
              <w:rPr>
                <w:b w:val="0"/>
                <w:i w:val="0"/>
              </w:rPr>
              <w:t>Define research priorities (AI, biotech, sustainability).</w:t>
            </w:r>
          </w:p>
          <w:p>
            <w:pPr>
              <w:spacing w:after="40" w:line="276" w:lineRule="auto"/>
              <w:ind w:left="125" w:hanging="125"/>
              <w:jc w:val="left"/>
            </w:pPr>
            <w:r>
              <w:t xml:space="preserve">• </w:t>
            </w:r>
            <w:r>
              <w:rPr>
                <w:b w:val="0"/>
                <w:i w:val="0"/>
              </w:rPr>
              <w:t>Integrate SDG themes.</w:t>
            </w:r>
          </w:p>
        </w:tc>
        <w:tc>
          <w:tcPr>
            <w:tcW w:type="dxa" w:w="1871"/>
            <w:vAlign w:val="center"/>
            <w:shd w:fill="EDF2F7"/>
          </w:tcPr>
          <w:p>
            <w:pPr>
              <w:spacing w:after="40" w:line="276" w:lineRule="auto"/>
              <w:ind w:left="125" w:hanging="125"/>
              <w:jc w:val="left"/>
            </w:pPr>
            <w:r>
              <w:t xml:space="preserve">• </w:t>
            </w:r>
            <w:r>
              <w:rPr>
                <w:b w:val="0"/>
                <w:i w:val="0"/>
              </w:rPr>
              <w:t>No. of research domains identified.</w:t>
            </w:r>
          </w:p>
          <w:p>
            <w:pPr>
              <w:spacing w:after="40" w:line="276" w:lineRule="auto"/>
              <w:ind w:left="125" w:hanging="125"/>
              <w:jc w:val="left"/>
            </w:pPr>
            <w:r>
              <w:t xml:space="preserve">• </w:t>
            </w:r>
            <w:r>
              <w:rPr>
                <w:b w:val="0"/>
                <w:i w:val="0"/>
              </w:rPr>
              <w:t>% Strategic Pillars linked to SDGs.</w:t>
            </w:r>
          </w:p>
        </w:tc>
        <w:tc>
          <w:tcPr>
            <w:tcW w:type="dxa" w:w="1928"/>
            <w:vAlign w:val="center"/>
            <w:shd w:fill="EDF2F7"/>
          </w:tcPr>
          <w:p>
            <w:pPr>
              <w:spacing w:after="40" w:line="276" w:lineRule="auto"/>
              <w:ind w:left="125" w:hanging="125"/>
              <w:jc w:val="left"/>
            </w:pPr>
            <w:r>
              <w:t xml:space="preserve">• </w:t>
            </w:r>
            <w:r>
              <w:rPr>
                <w:b w:val="0"/>
                <w:i w:val="0"/>
              </w:rPr>
              <w:t>≥5 research clusters.</w:t>
            </w:r>
          </w:p>
          <w:p>
            <w:pPr>
              <w:spacing w:after="40" w:line="276" w:lineRule="auto"/>
              <w:ind w:left="125" w:hanging="125"/>
              <w:jc w:val="left"/>
            </w:pPr>
            <w:r>
              <w:t xml:space="preserve">• </w:t>
            </w:r>
            <w:r>
              <w:rPr>
                <w:b w:val="0"/>
                <w:i w:val="0"/>
              </w:rPr>
              <w:t>≥80% pillars SDG-linked.</w:t>
            </w:r>
          </w:p>
        </w:tc>
      </w:tr>
      <w:tr>
        <w:trPr>
          <w:cantSplit/>
        </w:trPr>
        <w:tc>
          <w:tcPr>
            <w:tcW w:type="dxa" w:w="1757"/>
            <w:vAlign w:val="center"/>
            <w:shd w:fill="FFFFFF"/>
          </w:tcPr>
          <w:p>
            <w:pPr>
              <w:spacing w:after="40" w:line="276" w:lineRule="auto"/>
              <w:jc w:val="left"/>
            </w:pPr>
            <w:r>
              <w:rPr>
                <w:b w:val="0"/>
                <w:i w:val="0"/>
              </w:rPr>
              <w:t>Financial Sustainability</w:t>
            </w:r>
          </w:p>
        </w:tc>
        <w:tc>
          <w:tcPr>
            <w:tcW w:type="dxa" w:w="1928"/>
            <w:vAlign w:val="center"/>
            <w:shd w:fill="FFFFFF"/>
          </w:tcPr>
          <w:p>
            <w:pPr>
              <w:spacing w:after="40" w:line="276" w:lineRule="auto"/>
              <w:jc w:val="left"/>
            </w:pPr>
            <w:r>
              <w:rPr>
                <w:b w:val="0"/>
                <w:i w:val="0"/>
              </w:rPr>
              <w:t>Ensure resource-backed strategic goals</w:t>
            </w:r>
          </w:p>
        </w:tc>
        <w:tc>
          <w:tcPr>
            <w:tcW w:type="dxa" w:w="1928"/>
            <w:vAlign w:val="center"/>
            <w:shd w:fill="FFFFFF"/>
          </w:tcPr>
          <w:p>
            <w:pPr>
              <w:spacing w:after="40" w:line="276" w:lineRule="auto"/>
              <w:ind w:left="125" w:hanging="125"/>
              <w:jc w:val="left"/>
            </w:pPr>
            <w:r>
              <w:t xml:space="preserve">• </w:t>
            </w:r>
            <w:r>
              <w:rPr>
                <w:b w:val="0"/>
                <w:i w:val="0"/>
              </w:rPr>
              <w:t>Draft resource requirements (budget, manpower, infra).</w:t>
            </w:r>
          </w:p>
          <w:p>
            <w:pPr>
              <w:spacing w:after="40" w:line="276" w:lineRule="auto"/>
              <w:ind w:left="125" w:hanging="125"/>
              <w:jc w:val="left"/>
            </w:pPr>
            <w:r>
              <w:t xml:space="preserve">• </w:t>
            </w:r>
            <w:r>
              <w:rPr>
                <w:b w:val="0"/>
                <w:i w:val="0"/>
              </w:rPr>
              <w:t>Identify potential funding sources.</w:t>
            </w:r>
          </w:p>
        </w:tc>
        <w:tc>
          <w:tcPr>
            <w:tcW w:type="dxa" w:w="1871"/>
            <w:vAlign w:val="center"/>
            <w:shd w:fill="FFFFFF"/>
          </w:tcPr>
          <w:p>
            <w:pPr>
              <w:spacing w:after="40" w:line="276" w:lineRule="auto"/>
              <w:ind w:left="125" w:hanging="125"/>
              <w:jc w:val="left"/>
            </w:pPr>
            <w:r>
              <w:t xml:space="preserve">• </w:t>
            </w:r>
            <w:r>
              <w:rPr>
                <w:b w:val="0"/>
                <w:i w:val="0"/>
              </w:rPr>
              <w:t>Drafted resource allocation plan.</w:t>
            </w:r>
          </w:p>
          <w:p>
            <w:pPr>
              <w:spacing w:after="40" w:line="276" w:lineRule="auto"/>
              <w:ind w:left="125" w:hanging="125"/>
              <w:jc w:val="left"/>
            </w:pPr>
            <w:r>
              <w:t xml:space="preserve">• </w:t>
            </w:r>
            <w:r>
              <w:rPr>
                <w:b w:val="0"/>
                <w:i w:val="0"/>
              </w:rPr>
              <w:t>% goals mapped with funding sources.</w:t>
            </w:r>
          </w:p>
        </w:tc>
        <w:tc>
          <w:tcPr>
            <w:tcW w:type="dxa" w:w="1928"/>
            <w:vAlign w:val="center"/>
            <w:shd w:fill="FFFFFF"/>
          </w:tcPr>
          <w:p>
            <w:pPr>
              <w:spacing w:after="40" w:line="276" w:lineRule="auto"/>
              <w:ind w:left="125" w:hanging="125"/>
              <w:jc w:val="left"/>
            </w:pPr>
            <w:r>
              <w:t xml:space="preserve">• </w:t>
            </w:r>
            <w:r>
              <w:rPr>
                <w:b w:val="0"/>
                <w:i w:val="0"/>
              </w:rPr>
              <w:t>100% strategic objectives resourced.</w:t>
            </w:r>
          </w:p>
          <w:p>
            <w:pPr>
              <w:spacing w:after="40" w:line="276" w:lineRule="auto"/>
              <w:ind w:left="125" w:hanging="125"/>
              <w:jc w:val="left"/>
            </w:pPr>
            <w:r>
              <w:t xml:space="preserve">• </w:t>
            </w:r>
            <w:r>
              <w:rPr>
                <w:b w:val="0"/>
                <w:i w:val="0"/>
              </w:rPr>
              <w:t>≥3 funding sources per pillar.</w:t>
            </w:r>
          </w:p>
        </w:tc>
      </w:tr>
      <w:tr>
        <w:trPr>
          <w:cantSplit/>
        </w:trPr>
        <w:tc>
          <w:tcPr>
            <w:tcW w:type="dxa" w:w="1757"/>
            <w:vAlign w:val="center"/>
            <w:shd w:fill="EDF2F7"/>
          </w:tcPr>
          <w:p>
            <w:pPr>
              <w:spacing w:after="40" w:line="276" w:lineRule="auto"/>
              <w:jc w:val="left"/>
            </w:pPr>
            <w:r>
              <w:rPr>
                <w:b w:val="0"/>
                <w:i w:val="0"/>
              </w:rPr>
              <w:t>Internal Processes &amp; Governance</w:t>
            </w:r>
          </w:p>
        </w:tc>
        <w:tc>
          <w:tcPr>
            <w:tcW w:type="dxa" w:w="1928"/>
            <w:vAlign w:val="center"/>
            <w:shd w:fill="EDF2F7"/>
          </w:tcPr>
          <w:p>
            <w:pPr>
              <w:spacing w:after="40" w:line="276" w:lineRule="auto"/>
              <w:jc w:val="left"/>
            </w:pPr>
            <w:r>
              <w:rPr>
                <w:b w:val="0"/>
                <w:i w:val="0"/>
              </w:rPr>
              <w:t>Establish robust policy frameworks</w:t>
            </w:r>
          </w:p>
        </w:tc>
        <w:tc>
          <w:tcPr>
            <w:tcW w:type="dxa" w:w="1928"/>
            <w:vAlign w:val="center"/>
            <w:shd w:fill="EDF2F7"/>
          </w:tcPr>
          <w:p>
            <w:pPr>
              <w:spacing w:after="40" w:line="276" w:lineRule="auto"/>
              <w:ind w:left="125" w:hanging="125"/>
              <w:jc w:val="left"/>
            </w:pPr>
            <w:r>
              <w:t xml:space="preserve">• </w:t>
            </w:r>
            <w:r>
              <w:rPr>
                <w:b w:val="0"/>
                <w:i w:val="0"/>
              </w:rPr>
              <w:t>Prepare Policy–Action–Outcome–KPI tables.</w:t>
            </w:r>
          </w:p>
          <w:p>
            <w:pPr>
              <w:spacing w:after="40" w:line="276" w:lineRule="auto"/>
              <w:ind w:left="125" w:hanging="125"/>
              <w:jc w:val="left"/>
            </w:pPr>
            <w:r>
              <w:t xml:space="preserve">• </w:t>
            </w:r>
            <w:r>
              <w:rPr>
                <w:b w:val="0"/>
                <w:i w:val="0"/>
              </w:rPr>
              <w:t>Draft Alignment Matrix (NEP 2020, SDGs, Accreditation).</w:t>
            </w:r>
          </w:p>
        </w:tc>
        <w:tc>
          <w:tcPr>
            <w:tcW w:type="dxa" w:w="1871"/>
            <w:vAlign w:val="center"/>
            <w:shd w:fill="EDF2F7"/>
          </w:tcPr>
          <w:p>
            <w:pPr>
              <w:spacing w:after="40" w:line="276" w:lineRule="auto"/>
              <w:ind w:left="125" w:hanging="125"/>
              <w:jc w:val="left"/>
            </w:pPr>
            <w:r>
              <w:t xml:space="preserve">• </w:t>
            </w:r>
            <w:r>
              <w:rPr>
                <w:b w:val="0"/>
                <w:i w:val="0"/>
              </w:rPr>
              <w:t>No. of policies mapped.</w:t>
            </w:r>
          </w:p>
          <w:p>
            <w:pPr>
              <w:spacing w:after="40" w:line="276" w:lineRule="auto"/>
              <w:ind w:left="125" w:hanging="125"/>
              <w:jc w:val="left"/>
            </w:pPr>
            <w:r>
              <w:t xml:space="preserve">• </w:t>
            </w:r>
            <w:r>
              <w:rPr>
                <w:b w:val="0"/>
                <w:i w:val="0"/>
              </w:rPr>
              <w:t>Accreditation readiness index.</w:t>
            </w:r>
          </w:p>
        </w:tc>
        <w:tc>
          <w:tcPr>
            <w:tcW w:type="dxa" w:w="1928"/>
            <w:vAlign w:val="center"/>
            <w:shd w:fill="EDF2F7"/>
          </w:tcPr>
          <w:p>
            <w:pPr>
              <w:spacing w:after="40" w:line="276" w:lineRule="auto"/>
              <w:ind w:left="125" w:hanging="125"/>
              <w:jc w:val="left"/>
            </w:pPr>
            <w:r>
              <w:t xml:space="preserve">• </w:t>
            </w:r>
            <w:r>
              <w:rPr>
                <w:b w:val="0"/>
                <w:i w:val="0"/>
              </w:rPr>
              <w:t>100% policies aligned.</w:t>
            </w:r>
          </w:p>
          <w:p>
            <w:pPr>
              <w:spacing w:after="40" w:line="276" w:lineRule="auto"/>
              <w:ind w:left="125" w:hanging="125"/>
              <w:jc w:val="left"/>
            </w:pPr>
            <w:r>
              <w:t xml:space="preserve">• </w:t>
            </w:r>
            <w:r>
              <w:rPr>
                <w:b w:val="0"/>
                <w:i w:val="0"/>
              </w:rPr>
              <w:t>Accreditation readiness ≥90%.</w:t>
            </w:r>
          </w:p>
        </w:tc>
      </w:tr>
      <w:tr>
        <w:trPr>
          <w:cantSplit/>
        </w:trPr>
        <w:tc>
          <w:tcPr>
            <w:tcW w:type="dxa" w:w="1757"/>
            <w:vAlign w:val="center"/>
            <w:shd w:fill="FFFFFF"/>
          </w:tcPr>
          <w:p>
            <w:pPr>
              <w:spacing w:after="40" w:line="276" w:lineRule="auto"/>
              <w:jc w:val="left"/>
            </w:pPr>
            <w:r>
              <w:rPr>
                <w:b w:val="0"/>
                <w:i w:val="0"/>
              </w:rPr>
              <w:t>Community &amp; Social Impact</w:t>
            </w:r>
          </w:p>
        </w:tc>
        <w:tc>
          <w:tcPr>
            <w:tcW w:type="dxa" w:w="1928"/>
            <w:vAlign w:val="center"/>
            <w:shd w:fill="FFFFFF"/>
          </w:tcPr>
          <w:p>
            <w:pPr>
              <w:spacing w:after="40" w:line="276" w:lineRule="auto"/>
              <w:jc w:val="left"/>
            </w:pPr>
            <w:r>
              <w:rPr>
                <w:b w:val="0"/>
                <w:i w:val="0"/>
              </w:rPr>
              <w:t>Embed inclusivity &amp; SDGs in strategic objectives</w:t>
            </w:r>
          </w:p>
        </w:tc>
        <w:tc>
          <w:tcPr>
            <w:tcW w:type="dxa" w:w="1928"/>
            <w:vAlign w:val="center"/>
            <w:shd w:fill="FFFFFF"/>
          </w:tcPr>
          <w:p>
            <w:pPr>
              <w:spacing w:after="40" w:line="276" w:lineRule="auto"/>
              <w:ind w:left="125" w:hanging="125"/>
              <w:jc w:val="left"/>
            </w:pPr>
            <w:r>
              <w:t xml:space="preserve">• </w:t>
            </w:r>
            <w:r>
              <w:rPr>
                <w:b w:val="0"/>
                <w:i w:val="0"/>
              </w:rPr>
              <w:t>Conduct consultations with local community, NGOs.</w:t>
            </w:r>
          </w:p>
          <w:p>
            <w:pPr>
              <w:spacing w:after="40" w:line="276" w:lineRule="auto"/>
              <w:ind w:left="125" w:hanging="125"/>
              <w:jc w:val="left"/>
            </w:pPr>
            <w:r>
              <w:t xml:space="preserve">• </w:t>
            </w:r>
            <w:r>
              <w:rPr>
                <w:b w:val="0"/>
                <w:i w:val="0"/>
              </w:rPr>
              <w:t>Map ISR/​SDG projects to objectives.</w:t>
            </w:r>
          </w:p>
        </w:tc>
        <w:tc>
          <w:tcPr>
            <w:tcW w:type="dxa" w:w="1871"/>
            <w:vAlign w:val="center"/>
            <w:shd w:fill="FFFFFF"/>
          </w:tcPr>
          <w:p>
            <w:pPr>
              <w:spacing w:after="40" w:line="276" w:lineRule="auto"/>
              <w:ind w:left="125" w:hanging="125"/>
              <w:jc w:val="left"/>
            </w:pPr>
            <w:r>
              <w:t xml:space="preserve">• </w:t>
            </w:r>
            <w:r>
              <w:rPr>
                <w:b w:val="0"/>
                <w:i w:val="0"/>
              </w:rPr>
              <w:t>No. of ISR/​SDG projects integrated.</w:t>
            </w:r>
          </w:p>
          <w:p>
            <w:pPr>
              <w:spacing w:after="40" w:line="276" w:lineRule="auto"/>
              <w:ind w:left="125" w:hanging="125"/>
              <w:jc w:val="left"/>
            </w:pPr>
            <w:r>
              <w:t xml:space="preserve">• </w:t>
            </w:r>
            <w:r>
              <w:rPr>
                <w:b w:val="0"/>
                <w:i w:val="0"/>
              </w:rPr>
              <w:t>% objectives inclusive/​socially aligned.</w:t>
            </w:r>
          </w:p>
        </w:tc>
        <w:tc>
          <w:tcPr>
            <w:tcW w:type="dxa" w:w="1928"/>
            <w:vAlign w:val="center"/>
            <w:shd w:fill="FFFFFF"/>
          </w:tcPr>
          <w:p>
            <w:pPr>
              <w:spacing w:after="40" w:line="276" w:lineRule="auto"/>
              <w:ind w:left="125" w:hanging="125"/>
              <w:jc w:val="left"/>
            </w:pPr>
            <w:r>
              <w:t xml:space="preserve">• </w:t>
            </w:r>
            <w:r>
              <w:rPr>
                <w:b w:val="0"/>
                <w:i w:val="0"/>
              </w:rPr>
              <w:t>≥10 ISR/​SDG projects.</w:t>
            </w:r>
          </w:p>
          <w:p>
            <w:pPr>
              <w:spacing w:after="40" w:line="276" w:lineRule="auto"/>
              <w:ind w:left="125" w:hanging="125"/>
              <w:jc w:val="left"/>
            </w:pPr>
            <w:r>
              <w:t xml:space="preserve">• </w:t>
            </w:r>
            <w:r>
              <w:rPr>
                <w:b w:val="0"/>
                <w:i w:val="0"/>
              </w:rPr>
              <w:t>≥80% objectives community-inclusive.</w:t>
            </w:r>
          </w:p>
        </w:tc>
      </w:tr>
      <w:tr>
        <w:trPr>
          <w:cantSplit/>
        </w:trPr>
        <w:tc>
          <w:tcPr>
            <w:tcW w:type="dxa" w:w="1757"/>
            <w:vAlign w:val="center"/>
            <w:shd w:fill="EDF2F7"/>
          </w:tcPr>
          <w:p>
            <w:pPr>
              <w:spacing w:after="40" w:line="276" w:lineRule="auto"/>
              <w:jc w:val="left"/>
            </w:pPr>
            <w:r>
              <w:rPr>
                <w:b w:val="0"/>
                <w:i w:val="0"/>
              </w:rPr>
              <w:t>Global Engagement</w:t>
            </w:r>
          </w:p>
        </w:tc>
        <w:tc>
          <w:tcPr>
            <w:tcW w:type="dxa" w:w="1928"/>
            <w:vAlign w:val="center"/>
            <w:shd w:fill="EDF2F7"/>
          </w:tcPr>
          <w:p>
            <w:pPr>
              <w:spacing w:after="40" w:line="276" w:lineRule="auto"/>
              <w:jc w:val="left"/>
            </w:pPr>
            <w:r>
              <w:rPr>
                <w:b w:val="0"/>
                <w:i w:val="0"/>
              </w:rPr>
              <w:t>Position institution for international visibility</w:t>
            </w:r>
          </w:p>
        </w:tc>
        <w:tc>
          <w:tcPr>
            <w:tcW w:type="dxa" w:w="1928"/>
            <w:vAlign w:val="center"/>
            <w:shd w:fill="EDF2F7"/>
          </w:tcPr>
          <w:p>
            <w:pPr>
              <w:spacing w:after="40" w:line="276" w:lineRule="auto"/>
              <w:ind w:left="125" w:hanging="125"/>
              <w:jc w:val="left"/>
            </w:pPr>
            <w:r>
              <w:t xml:space="preserve">• </w:t>
            </w:r>
            <w:r>
              <w:rPr>
                <w:b w:val="0"/>
                <w:i w:val="0"/>
              </w:rPr>
              <w:t>Identify global collaboration goals.</w:t>
            </w:r>
          </w:p>
          <w:p>
            <w:pPr>
              <w:spacing w:after="40" w:line="276" w:lineRule="auto"/>
              <w:ind w:left="125" w:hanging="125"/>
              <w:jc w:val="left"/>
            </w:pPr>
            <w:r>
              <w:t xml:space="preserve">• </w:t>
            </w:r>
            <w:r>
              <w:rPr>
                <w:b w:val="0"/>
                <w:i w:val="0"/>
              </w:rPr>
              <w:t>Align with QS/​THE standards.</w:t>
            </w:r>
          </w:p>
        </w:tc>
        <w:tc>
          <w:tcPr>
            <w:tcW w:type="dxa" w:w="1871"/>
            <w:vAlign w:val="center"/>
            <w:shd w:fill="EDF2F7"/>
          </w:tcPr>
          <w:p>
            <w:pPr>
              <w:spacing w:after="40" w:line="276" w:lineRule="auto"/>
              <w:ind w:left="125" w:hanging="125"/>
              <w:jc w:val="left"/>
            </w:pPr>
            <w:r>
              <w:t xml:space="preserve">• </w:t>
            </w:r>
            <w:r>
              <w:rPr>
                <w:b w:val="0"/>
                <w:i w:val="0"/>
              </w:rPr>
              <w:t>No. of global benchmarks referenced.</w:t>
            </w:r>
          </w:p>
          <w:p>
            <w:pPr>
              <w:spacing w:after="40" w:line="276" w:lineRule="auto"/>
              <w:ind w:left="125" w:hanging="125"/>
              <w:jc w:val="left"/>
            </w:pPr>
            <w:r>
              <w:t xml:space="preserve">• </w:t>
            </w:r>
            <w:r>
              <w:rPr>
                <w:b w:val="0"/>
                <w:i w:val="0"/>
              </w:rPr>
              <w:t>No. of strategic goals with global linkages.</w:t>
            </w:r>
          </w:p>
        </w:tc>
        <w:tc>
          <w:tcPr>
            <w:tcW w:type="dxa" w:w="1928"/>
            <w:vAlign w:val="center"/>
            <w:shd w:fill="EDF2F7"/>
          </w:tcPr>
          <w:p>
            <w:pPr>
              <w:spacing w:after="40" w:line="276" w:lineRule="auto"/>
              <w:ind w:left="125" w:hanging="125"/>
              <w:jc w:val="left"/>
            </w:pPr>
            <w:r>
              <w:t xml:space="preserve">• </w:t>
            </w:r>
            <w:r>
              <w:rPr>
                <w:b w:val="0"/>
                <w:i w:val="0"/>
              </w:rPr>
              <w:t>≥5 international linkages built into strategy.</w:t>
            </w:r>
          </w:p>
          <w:p>
            <w:pPr>
              <w:spacing w:after="40" w:line="276" w:lineRule="auto"/>
              <w:ind w:left="125" w:hanging="125"/>
              <w:jc w:val="left"/>
            </w:pPr>
            <w:r>
              <w:t xml:space="preserve">• </w:t>
            </w:r>
            <w:r>
              <w:rPr>
                <w:b w:val="0"/>
                <w:i w:val="0"/>
              </w:rPr>
              <w:t>≥80% objectives mapped to QS/​THE standards.</w:t>
            </w:r>
          </w:p>
        </w:tc>
      </w:tr>
    </w:tbl>
    <w:p>
      <w:pPr>
        <w:spacing w:after="40"/>
      </w:pPr>
    </w:p>
    <w:p>
      <w:pPr>
        <w:pStyle w:val="Heading1"/>
      </w:pPr>
      <w:r>
        <w:t>18. Phase 3: Implementation Planning</w:t>
      </w:r>
    </w:p>
    <w:p>
      <w:pPr>
        <w:pStyle w:val="Heading2"/>
      </w:pPr>
      <w:r>
        <w:t>Purpose</w:t>
      </w:r>
    </w:p>
    <w:p>
      <w:pPr>
        <w:pStyle w:val="ListBullet"/>
        <w:numPr>
          <w:ilvl w:val="0"/>
          <w:numId w:val="90"/>
        </w:numPr>
        <w:ind w:left="340" w:hanging="142"/>
      </w:pPr>
      <w:r>
        <w:rPr>
          <w:b w:val="0"/>
          <w:i w:val="0"/>
        </w:rPr>
        <w:t>To convert strategic objectives and policies into operational, time-bound, and measurable plans.</w:t>
      </w:r>
    </w:p>
    <w:p>
      <w:pPr>
        <w:pStyle w:val="ListBullet"/>
        <w:numPr>
          <w:ilvl w:val="0"/>
          <w:numId w:val="90"/>
        </w:numPr>
        <w:ind w:left="340" w:hanging="142"/>
      </w:pPr>
      <w:r>
        <w:rPr>
          <w:b w:val="0"/>
          <w:i w:val="0"/>
        </w:rPr>
        <w:t>To assign responsibilities, allocate resources, and establish accountability systems for execution.</w:t>
      </w:r>
    </w:p>
    <w:p>
      <w:pPr>
        <w:pStyle w:val="Heading2"/>
      </w:pPr>
      <w:r>
        <w:t>Key Components</w:t>
      </w:r>
    </w:p>
    <w:p>
      <w:pPr>
        <w:pStyle w:val="Heading2"/>
      </w:pPr>
      <w:r>
        <w:t>1. Action Plan Development</w:t>
      </w:r>
    </w:p>
    <w:p>
      <w:pPr>
        <w:pStyle w:val="ListBullet2"/>
        <w:numPr>
          <w:ilvl w:val="1"/>
          <w:numId w:val="90"/>
        </w:numPr>
        <w:ind w:left="652" w:hanging="142"/>
      </w:pPr>
      <w:r>
        <w:rPr>
          <w:b w:val="0"/>
          <w:i w:val="0"/>
        </w:rPr>
        <w:t>Break down each strategic pillar into programs/projects.</w:t>
      </w:r>
    </w:p>
    <w:p>
      <w:pPr>
        <w:pStyle w:val="ListBullet2"/>
        <w:numPr>
          <w:ilvl w:val="1"/>
          <w:numId w:val="90"/>
        </w:numPr>
        <w:ind w:left="652" w:hanging="142"/>
      </w:pPr>
      <w:r>
        <w:rPr>
          <w:b w:val="0"/>
          <w:i w:val="0"/>
        </w:rPr>
        <w:t>Define step-by-step activities with owners and timelines.</w:t>
      </w:r>
    </w:p>
    <w:p>
      <w:pPr>
        <w:pStyle w:val="ListBullet2"/>
        <w:numPr>
          <w:ilvl w:val="1"/>
          <w:numId w:val="90"/>
        </w:numPr>
        <w:ind w:left="652" w:hanging="142"/>
      </w:pPr>
      <w:r>
        <w:rPr>
          <w:b w:val="0"/>
          <w:i w:val="0"/>
        </w:rPr>
        <w:t>Prioritize initiatives (short, medium, long-term).</w:t>
      </w:r>
    </w:p>
    <w:p>
      <w:pPr>
        <w:pStyle w:val="Heading2"/>
      </w:pPr>
      <w:r>
        <w:t>2. Resource Allocation</w:t>
      </w:r>
    </w:p>
    <w:p>
      <w:pPr>
        <w:pStyle w:val="ListBullet2"/>
        <w:numPr>
          <w:ilvl w:val="1"/>
          <w:numId w:val="90"/>
        </w:numPr>
        <w:ind w:left="652" w:hanging="142"/>
      </w:pPr>
      <w:r>
        <w:rPr>
          <w:b/>
          <w:i w:val="0"/>
        </w:rPr>
        <w:t>Budget mapping:</w:t>
      </w:r>
      <w:r>
        <w:rPr>
          <w:b w:val="0"/>
          <w:i w:val="0"/>
        </w:rPr>
        <w:t xml:space="preserve"> align funding sources (government, CSR, alumni, PPP).</w:t>
      </w:r>
    </w:p>
    <w:p>
      <w:pPr>
        <w:pStyle w:val="ListBullet2"/>
        <w:numPr>
          <w:ilvl w:val="1"/>
          <w:numId w:val="90"/>
        </w:numPr>
        <w:ind w:left="652" w:hanging="142"/>
      </w:pPr>
      <w:r>
        <w:rPr>
          <w:b/>
          <w:i w:val="0"/>
        </w:rPr>
        <w:t>Manpower assignment:</w:t>
      </w:r>
      <w:r>
        <w:rPr>
          <w:b w:val="0"/>
          <w:i w:val="0"/>
        </w:rPr>
        <w:t xml:space="preserve"> academic, administrative, technical staff roles.</w:t>
      </w:r>
    </w:p>
    <w:p>
      <w:pPr>
        <w:pStyle w:val="ListBullet2"/>
        <w:numPr>
          <w:ilvl w:val="1"/>
          <w:numId w:val="90"/>
        </w:numPr>
        <w:ind w:left="652" w:hanging="142"/>
      </w:pPr>
      <w:r>
        <w:rPr>
          <w:b/>
          <w:i w:val="0"/>
        </w:rPr>
        <w:t>Infrastructure provisioning:</w:t>
      </w:r>
      <w:r>
        <w:rPr>
          <w:b w:val="0"/>
          <w:i w:val="0"/>
        </w:rPr>
        <w:t xml:space="preserve"> digital, physical, and sustainability upgrades.</w:t>
      </w:r>
    </w:p>
    <w:p>
      <w:pPr>
        <w:pStyle w:val="Heading2"/>
      </w:pPr>
      <w:r>
        <w:t>3. Governance &amp; Responsibility Mapping</w:t>
      </w:r>
    </w:p>
    <w:p>
      <w:pPr>
        <w:pStyle w:val="ListBullet2"/>
        <w:numPr>
          <w:ilvl w:val="1"/>
          <w:numId w:val="90"/>
        </w:numPr>
        <w:ind w:left="652" w:hanging="142"/>
      </w:pPr>
      <w:r>
        <w:rPr>
          <w:b w:val="0"/>
          <w:i w:val="0"/>
        </w:rPr>
        <w:t>Create a Responsibility Assignment Matrix (RACI) (Responsible, Accountable, Consulted, Informed).</w:t>
      </w:r>
    </w:p>
    <w:p>
      <w:pPr>
        <w:pStyle w:val="ListBullet2"/>
        <w:numPr>
          <w:ilvl w:val="1"/>
          <w:numId w:val="90"/>
        </w:numPr>
        <w:ind w:left="652" w:hanging="142"/>
      </w:pPr>
      <w:r>
        <w:rPr>
          <w:b w:val="0"/>
          <w:i w:val="0"/>
        </w:rPr>
        <w:t>Empower IQAC, Deans, and project leads with clear accountability.</w:t>
      </w:r>
    </w:p>
    <w:p>
      <w:pPr>
        <w:pStyle w:val="ListBullet2"/>
        <w:numPr>
          <w:ilvl w:val="1"/>
          <w:numId w:val="90"/>
        </w:numPr>
        <w:ind w:left="652" w:hanging="142"/>
      </w:pPr>
      <w:r>
        <w:rPr>
          <w:b w:val="0"/>
          <w:i w:val="0"/>
        </w:rPr>
        <w:t>Establish project management committees.</w:t>
      </w:r>
    </w:p>
    <w:p>
      <w:pPr>
        <w:pStyle w:val="Heading2"/>
      </w:pPr>
      <w:r>
        <w:t>4. Timeline &amp; Milestones</w:t>
      </w:r>
    </w:p>
    <w:p>
      <w:pPr>
        <w:pStyle w:val="ListBullet2"/>
        <w:numPr>
          <w:ilvl w:val="1"/>
          <w:numId w:val="90"/>
        </w:numPr>
        <w:ind w:left="652" w:hanging="142"/>
      </w:pPr>
      <w:r>
        <w:rPr>
          <w:b w:val="0"/>
          <w:i w:val="0"/>
        </w:rPr>
        <w:t>Set quarterly, annual, and 5-year milestone reviews.</w:t>
      </w:r>
    </w:p>
    <w:p>
      <w:pPr>
        <w:pStyle w:val="ListBullet2"/>
        <w:numPr>
          <w:ilvl w:val="1"/>
          <w:numId w:val="90"/>
        </w:numPr>
        <w:ind w:left="652" w:hanging="142"/>
      </w:pPr>
      <w:r>
        <w:rPr>
          <w:b/>
          <w:i w:val="0"/>
        </w:rPr>
        <w:t>Phase alignment:</w:t>
      </w:r>
      <w:r>
        <w:rPr>
          <w:b w:val="0"/>
          <w:i w:val="0"/>
        </w:rPr>
        <w:t xml:space="preserve"> Short-term (0–5 years), Medium-term (6–10 years), Long-term (11–20 years).</w:t>
      </w:r>
    </w:p>
    <w:p>
      <w:pPr>
        <w:pStyle w:val="ListBullet2"/>
        <w:numPr>
          <w:ilvl w:val="1"/>
          <w:numId w:val="90"/>
        </w:numPr>
        <w:ind w:left="652" w:hanging="142"/>
      </w:pPr>
      <w:r>
        <w:rPr>
          <w:b w:val="0"/>
          <w:i w:val="0"/>
        </w:rPr>
        <w:t>Develop Gantt charts or dashboards for progress tracking.</w:t>
      </w:r>
    </w:p>
    <w:p>
      <w:pPr>
        <w:pStyle w:val="Heading2"/>
      </w:pPr>
      <w:r>
        <w:t>5. Performance Monitoring</w:t>
      </w:r>
    </w:p>
    <w:p>
      <w:pPr>
        <w:pStyle w:val="ListBullet2"/>
        <w:numPr>
          <w:ilvl w:val="1"/>
          <w:numId w:val="90"/>
        </w:numPr>
        <w:ind w:left="652" w:hanging="142"/>
      </w:pPr>
      <w:r>
        <w:rPr>
          <w:b w:val="0"/>
          <w:i w:val="0"/>
        </w:rPr>
        <w:t>Define KPIs linked to each pillar.</w:t>
      </w:r>
    </w:p>
    <w:p>
      <w:pPr>
        <w:pStyle w:val="ListBullet2"/>
        <w:numPr>
          <w:ilvl w:val="1"/>
          <w:numId w:val="90"/>
        </w:numPr>
        <w:ind w:left="652" w:hanging="142"/>
      </w:pPr>
      <w:r>
        <w:rPr>
          <w:b w:val="0"/>
          <w:i w:val="0"/>
        </w:rPr>
        <w:t>Build a Balanced Scorecard system (Academic, Research, Finance, Community, Global).</w:t>
      </w:r>
    </w:p>
    <w:p>
      <w:pPr>
        <w:pStyle w:val="ListBullet2"/>
        <w:numPr>
          <w:ilvl w:val="1"/>
          <w:numId w:val="90"/>
        </w:numPr>
        <w:ind w:left="652" w:hanging="142"/>
      </w:pPr>
      <w:r>
        <w:rPr>
          <w:b w:val="0"/>
          <w:i w:val="0"/>
        </w:rPr>
        <w:t>Use ERP/AI dashboards for real-time monitoring.</w:t>
      </w:r>
    </w:p>
    <w:p>
      <w:pPr>
        <w:pStyle w:val="Heading2"/>
      </w:pPr>
      <w:r>
        <w:t>6. Risk Management</w:t>
      </w:r>
    </w:p>
    <w:p>
      <w:pPr>
        <w:pStyle w:val="ListBullet2"/>
        <w:numPr>
          <w:ilvl w:val="1"/>
          <w:numId w:val="90"/>
        </w:numPr>
        <w:ind w:left="652" w:hanging="142"/>
      </w:pPr>
      <w:r>
        <w:rPr>
          <w:b w:val="0"/>
          <w:i w:val="0"/>
        </w:rPr>
        <w:t>Identify risks (financial, technological, governance, environmental).</w:t>
      </w:r>
    </w:p>
    <w:p>
      <w:pPr>
        <w:pStyle w:val="ListBullet2"/>
        <w:numPr>
          <w:ilvl w:val="1"/>
          <w:numId w:val="90"/>
        </w:numPr>
        <w:ind w:left="652" w:hanging="142"/>
      </w:pPr>
      <w:r>
        <w:rPr>
          <w:b w:val="0"/>
          <w:i w:val="0"/>
        </w:rPr>
        <w:t>Mitigation plans (back-up funding, faculty retention, cybersecurity, green campus resilience).</w:t>
      </w:r>
    </w:p>
    <w:p>
      <w:pPr>
        <w:pStyle w:val="ListBullet2"/>
        <w:numPr>
          <w:ilvl w:val="1"/>
          <w:numId w:val="90"/>
        </w:numPr>
        <w:ind w:left="652" w:hanging="142"/>
      </w:pPr>
      <w:r>
        <w:rPr>
          <w:b w:val="0"/>
          <w:i w:val="0"/>
        </w:rPr>
        <w:t>Crisis response protocols.</w:t>
      </w:r>
    </w:p>
    <w:p>
      <w:pPr>
        <w:pStyle w:val="Heading2"/>
      </w:pPr>
      <w:r>
        <w:t>7. Communication &amp; Stakeholder Engagement</w:t>
      </w:r>
    </w:p>
    <w:p>
      <w:pPr>
        <w:pStyle w:val="ListBullet2"/>
        <w:numPr>
          <w:ilvl w:val="1"/>
          <w:numId w:val="90"/>
        </w:numPr>
        <w:ind w:left="652" w:hanging="142"/>
      </w:pPr>
      <w:r>
        <w:rPr>
          <w:b w:val="0"/>
          <w:i w:val="0"/>
        </w:rPr>
        <w:t>Regular progress reports to stakeholders (faculty, students, government, industry partners).</w:t>
      </w:r>
    </w:p>
    <w:p>
      <w:pPr>
        <w:pStyle w:val="ListBullet2"/>
        <w:numPr>
          <w:ilvl w:val="1"/>
          <w:numId w:val="90"/>
        </w:numPr>
        <w:ind w:left="652" w:hanging="142"/>
      </w:pPr>
      <w:r>
        <w:rPr>
          <w:b w:val="0"/>
          <w:i w:val="0"/>
        </w:rPr>
        <w:t>Town halls and consultations for transparency.</w:t>
      </w:r>
    </w:p>
    <w:p>
      <w:pPr>
        <w:pStyle w:val="ListBullet2"/>
        <w:numPr>
          <w:ilvl w:val="1"/>
          <w:numId w:val="90"/>
        </w:numPr>
        <w:ind w:left="652" w:hanging="142"/>
      </w:pPr>
      <w:r>
        <w:rPr>
          <w:b w:val="0"/>
          <w:i w:val="0"/>
        </w:rPr>
        <w:t>Celebrate achievements and best practices.</w:t>
      </w:r>
    </w:p>
    <w:p>
      <w:pPr>
        <w:pStyle w:val="Heading2"/>
      </w:pPr>
      <w:r>
        <w:t>Expected Outcomes</w:t>
      </w:r>
    </w:p>
    <w:p>
      <w:pPr>
        <w:pStyle w:val="ListBullet"/>
        <w:numPr>
          <w:ilvl w:val="0"/>
          <w:numId w:val="90"/>
        </w:numPr>
        <w:ind w:left="340" w:hanging="142"/>
      </w:pPr>
      <w:r>
        <w:rPr>
          <w:b w:val="0"/>
          <w:i w:val="0"/>
        </w:rPr>
        <w:t>Clear actionable roadmap for all strategies.</w:t>
      </w:r>
    </w:p>
    <w:p>
      <w:pPr>
        <w:pStyle w:val="ListBullet"/>
        <w:numPr>
          <w:ilvl w:val="0"/>
          <w:numId w:val="90"/>
        </w:numPr>
        <w:ind w:left="340" w:hanging="142"/>
      </w:pPr>
      <w:r>
        <w:rPr>
          <w:b w:val="0"/>
          <w:i w:val="0"/>
        </w:rPr>
        <w:t>Efficient execution with optimized resources.</w:t>
      </w:r>
    </w:p>
    <w:p>
      <w:pPr>
        <w:pStyle w:val="ListBullet"/>
        <w:numPr>
          <w:ilvl w:val="0"/>
          <w:numId w:val="90"/>
        </w:numPr>
        <w:ind w:left="340" w:hanging="142"/>
      </w:pPr>
      <w:r>
        <w:rPr>
          <w:b w:val="0"/>
          <w:i w:val="0"/>
        </w:rPr>
        <w:t>Accountability framework ensuring transparency.</w:t>
      </w:r>
    </w:p>
    <w:p>
      <w:pPr>
        <w:pStyle w:val="ListBullet"/>
        <w:numPr>
          <w:ilvl w:val="0"/>
          <w:numId w:val="90"/>
        </w:numPr>
        <w:ind w:left="340" w:hanging="142"/>
      </w:pPr>
      <w:r>
        <w:rPr>
          <w:b w:val="0"/>
          <w:i w:val="0"/>
        </w:rPr>
        <w:t>Risk-resilient implementation aligned with NEP 2020 &amp; SDGs.</w:t>
      </w:r>
    </w:p>
    <w:p>
      <w:pPr>
        <w:pStyle w:val="Heading2"/>
      </w:pPr>
      <w:r>
        <w:t>Phase 3: Implementation Planning – Checklist Table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624"/>
        <w:gridCol w:w="2438"/>
        <w:gridCol w:w="1814"/>
        <w:gridCol w:w="2098"/>
        <w:gridCol w:w="1757"/>
        <w:gridCol w:w="680"/>
      </w:tblGrid>
      <w:tr>
        <w:trPr>
          <w:tblHeader/>
          <w:cantSplit/>
        </w:trPr>
        <w:tc>
          <w:tcPr>
            <w:tcW w:type="dxa" w:w="624"/>
            <w:vAlign w:val="center"/>
            <w:shd w:fill="1F3A5F"/>
          </w:tcPr>
          <w:p>
            <w:pPr>
              <w:keepNext/>
              <w:spacing w:after="40" w:line="276" w:lineRule="auto"/>
              <w:jc w:val="left"/>
            </w:pPr>
            <w:r>
              <w:rPr>
                <w:b/>
                <w:i w:val="0"/>
                <w:color w:val="FFFFFF"/>
              </w:rPr>
              <w:t>Step</w:t>
            </w:r>
          </w:p>
        </w:tc>
        <w:tc>
          <w:tcPr>
            <w:tcW w:type="dxa" w:w="2438"/>
            <w:vAlign w:val="center"/>
            <w:shd w:fill="1F3A5F"/>
          </w:tcPr>
          <w:p>
            <w:pPr>
              <w:keepNext/>
              <w:spacing w:after="40" w:line="276" w:lineRule="auto"/>
              <w:jc w:val="left"/>
            </w:pPr>
            <w:r>
              <w:rPr>
                <w:b/>
                <w:i w:val="0"/>
                <w:color w:val="FFFFFF"/>
              </w:rPr>
              <w:t>Task</w:t>
            </w:r>
          </w:p>
        </w:tc>
        <w:tc>
          <w:tcPr>
            <w:tcW w:type="dxa" w:w="1814"/>
            <w:vAlign w:val="center"/>
            <w:shd w:fill="1F3A5F"/>
          </w:tcPr>
          <w:p>
            <w:pPr>
              <w:keepNext/>
              <w:spacing w:after="40" w:line="276" w:lineRule="auto"/>
              <w:jc w:val="left"/>
            </w:pPr>
            <w:r>
              <w:rPr>
                <w:b/>
                <w:i w:val="0"/>
                <w:color w:val="FFFFFF"/>
              </w:rPr>
              <w:t>Responsible Unit</w:t>
            </w:r>
          </w:p>
        </w:tc>
        <w:tc>
          <w:tcPr>
            <w:tcW w:type="dxa" w:w="2098"/>
            <w:vAlign w:val="center"/>
            <w:shd w:fill="1F3A5F"/>
          </w:tcPr>
          <w:p>
            <w:pPr>
              <w:keepNext/>
              <w:spacing w:after="40" w:line="276" w:lineRule="auto"/>
              <w:jc w:val="left"/>
            </w:pPr>
            <w:r>
              <w:rPr>
                <w:b/>
                <w:i w:val="0"/>
                <w:color w:val="FFFFFF"/>
              </w:rPr>
              <w:t>Tools/​Resources Needed</w:t>
            </w:r>
          </w:p>
        </w:tc>
        <w:tc>
          <w:tcPr>
            <w:tcW w:type="dxa" w:w="1757"/>
            <w:vAlign w:val="center"/>
            <w:shd w:fill="1F3A5F"/>
          </w:tcPr>
          <w:p>
            <w:pPr>
              <w:keepNext/>
              <w:spacing w:after="40" w:line="276" w:lineRule="auto"/>
              <w:jc w:val="left"/>
            </w:pPr>
            <w:r>
              <w:rPr>
                <w:b/>
                <w:i w:val="0"/>
                <w:color w:val="FFFFFF"/>
              </w:rPr>
              <w:t>Timeline</w:t>
            </w:r>
          </w:p>
        </w:tc>
        <w:tc>
          <w:tcPr>
            <w:tcW w:type="dxa" w:w="680"/>
            <w:vAlign w:val="center"/>
            <w:shd w:fill="1F3A5F"/>
          </w:tcPr>
          <w:p>
            <w:pPr>
              <w:keepNext/>
              <w:spacing w:after="40" w:line="276" w:lineRule="auto"/>
              <w:jc w:val="left"/>
            </w:pPr>
            <w:r>
              <w:rPr>
                <w:b/>
                <w:i w:val="0"/>
                <w:color w:val="FFFFFF"/>
              </w:rPr>
              <w:t>Status</w:t>
            </w:r>
          </w:p>
        </w:tc>
      </w:tr>
      <w:tr>
        <w:trPr>
          <w:cantSplit/>
        </w:trPr>
        <w:tc>
          <w:tcPr>
            <w:tcW w:type="dxa" w:w="624"/>
            <w:vAlign w:val="center"/>
            <w:shd w:fill="FFFFFF"/>
          </w:tcPr>
          <w:p>
            <w:pPr>
              <w:spacing w:after="40" w:line="276" w:lineRule="auto"/>
              <w:jc w:val="left"/>
            </w:pPr>
            <w:r>
              <w:rPr>
                <w:b w:val="0"/>
                <w:i w:val="0"/>
              </w:rPr>
              <w:t>1</w:t>
            </w:r>
          </w:p>
        </w:tc>
        <w:tc>
          <w:tcPr>
            <w:tcW w:type="dxa" w:w="2438"/>
            <w:vAlign w:val="center"/>
            <w:shd w:fill="FFFFFF"/>
          </w:tcPr>
          <w:p>
            <w:pPr>
              <w:spacing w:after="40" w:line="276" w:lineRule="auto"/>
              <w:jc w:val="left"/>
            </w:pPr>
            <w:r>
              <w:rPr>
                <w:b w:val="0"/>
                <w:i w:val="0"/>
              </w:rPr>
              <w:t>Translate strategic pillars into programs/​projects</w:t>
            </w:r>
          </w:p>
        </w:tc>
        <w:tc>
          <w:tcPr>
            <w:tcW w:type="dxa" w:w="1814"/>
            <w:vAlign w:val="center"/>
            <w:shd w:fill="FFFFFF"/>
          </w:tcPr>
          <w:p>
            <w:pPr>
              <w:spacing w:after="40" w:line="276" w:lineRule="auto"/>
              <w:jc w:val="left"/>
            </w:pPr>
            <w:r>
              <w:rPr>
                <w:b w:val="0"/>
                <w:i w:val="0"/>
              </w:rPr>
              <w:t>IQAC + Deans + Planning Cell</w:t>
            </w:r>
          </w:p>
        </w:tc>
        <w:tc>
          <w:tcPr>
            <w:tcW w:type="dxa" w:w="2098"/>
            <w:vAlign w:val="center"/>
            <w:shd w:fill="FFFFFF"/>
          </w:tcPr>
          <w:p>
            <w:pPr>
              <w:spacing w:after="40" w:line="276" w:lineRule="auto"/>
              <w:jc w:val="left"/>
            </w:pPr>
            <w:r>
              <w:rPr>
                <w:b w:val="0"/>
                <w:i w:val="0"/>
              </w:rPr>
              <w:t>SDP framework, policy documents</w:t>
            </w:r>
          </w:p>
        </w:tc>
        <w:tc>
          <w:tcPr>
            <w:tcW w:type="dxa" w:w="1757"/>
            <w:vAlign w:val="center"/>
            <w:shd w:fill="FFFFFF"/>
          </w:tcPr>
          <w:p>
            <w:pPr>
              <w:spacing w:after="40" w:line="276" w:lineRule="auto"/>
              <w:jc w:val="left"/>
            </w:pPr>
            <w:r>
              <w:rPr>
                <w:b w:val="0"/>
                <w:i w:val="0"/>
              </w:rPr>
              <w:t>Month 1–2</w:t>
            </w:r>
          </w:p>
        </w:tc>
        <w:tc>
          <w:tcPr>
            <w:tcW w:type="dxa" w:w="680"/>
            <w:vAlign w:val="center"/>
            <w:shd w:fill="FFFFFF"/>
          </w:tcPr>
          <w:p>
            <w:pPr>
              <w:spacing w:after="40" w:line="276" w:lineRule="auto"/>
              <w:jc w:val="left"/>
            </w:pPr>
            <w:r>
              <w:rPr>
                <w:b w:val="0"/>
                <w:i w:val="0"/>
              </w:rPr>
              <w:t>□</w:t>
            </w:r>
          </w:p>
        </w:tc>
      </w:tr>
      <w:tr>
        <w:trPr>
          <w:cantSplit/>
        </w:trPr>
        <w:tc>
          <w:tcPr>
            <w:tcW w:type="dxa" w:w="624"/>
            <w:vAlign w:val="center"/>
            <w:shd w:fill="EDF2F7"/>
          </w:tcPr>
          <w:p>
            <w:pPr>
              <w:spacing w:after="40" w:line="276" w:lineRule="auto"/>
              <w:jc w:val="left"/>
            </w:pPr>
            <w:r>
              <w:rPr>
                <w:b w:val="0"/>
                <w:i w:val="0"/>
              </w:rPr>
              <w:t>2</w:t>
            </w:r>
          </w:p>
        </w:tc>
        <w:tc>
          <w:tcPr>
            <w:tcW w:type="dxa" w:w="2438"/>
            <w:vAlign w:val="center"/>
            <w:shd w:fill="EDF2F7"/>
          </w:tcPr>
          <w:p>
            <w:pPr>
              <w:spacing w:after="40" w:line="276" w:lineRule="auto"/>
              <w:jc w:val="left"/>
            </w:pPr>
            <w:r>
              <w:rPr>
                <w:b w:val="0"/>
                <w:i w:val="0"/>
              </w:rPr>
              <w:t>Define detailed action plans with milestones</w:t>
            </w:r>
          </w:p>
        </w:tc>
        <w:tc>
          <w:tcPr>
            <w:tcW w:type="dxa" w:w="1814"/>
            <w:vAlign w:val="center"/>
            <w:shd w:fill="EDF2F7"/>
          </w:tcPr>
          <w:p>
            <w:pPr>
              <w:spacing w:after="40" w:line="276" w:lineRule="auto"/>
              <w:jc w:val="left"/>
            </w:pPr>
            <w:r>
              <w:rPr>
                <w:b w:val="0"/>
                <w:i w:val="0"/>
              </w:rPr>
              <w:t>Project Leads + Department Heads</w:t>
            </w:r>
          </w:p>
        </w:tc>
        <w:tc>
          <w:tcPr>
            <w:tcW w:type="dxa" w:w="2098"/>
            <w:vAlign w:val="center"/>
            <w:shd w:fill="EDF2F7"/>
          </w:tcPr>
          <w:p>
            <w:pPr>
              <w:spacing w:after="40" w:line="276" w:lineRule="auto"/>
              <w:jc w:val="left"/>
            </w:pPr>
            <w:r>
              <w:rPr>
                <w:b w:val="0"/>
                <w:i w:val="0"/>
              </w:rPr>
              <w:t>Action plan templates, Gantt charts</w:t>
            </w:r>
          </w:p>
        </w:tc>
        <w:tc>
          <w:tcPr>
            <w:tcW w:type="dxa" w:w="1757"/>
            <w:vAlign w:val="center"/>
            <w:shd w:fill="EDF2F7"/>
          </w:tcPr>
          <w:p>
            <w:pPr>
              <w:spacing w:after="40" w:line="276" w:lineRule="auto"/>
              <w:jc w:val="left"/>
            </w:pPr>
            <w:r>
              <w:rPr>
                <w:b w:val="0"/>
                <w:i w:val="0"/>
              </w:rPr>
              <w:t>Month 2–3</w:t>
            </w:r>
          </w:p>
        </w:tc>
        <w:tc>
          <w:tcPr>
            <w:tcW w:type="dxa" w:w="680"/>
            <w:vAlign w:val="center"/>
            <w:shd w:fill="EDF2F7"/>
          </w:tcPr>
          <w:p>
            <w:pPr>
              <w:spacing w:after="40" w:line="276" w:lineRule="auto"/>
              <w:jc w:val="left"/>
            </w:pPr>
            <w:r>
              <w:rPr>
                <w:b w:val="0"/>
                <w:i w:val="0"/>
              </w:rPr>
              <w:t>□</w:t>
            </w:r>
          </w:p>
        </w:tc>
      </w:tr>
      <w:tr>
        <w:trPr>
          <w:cantSplit/>
        </w:trPr>
        <w:tc>
          <w:tcPr>
            <w:tcW w:type="dxa" w:w="624"/>
            <w:vAlign w:val="center"/>
            <w:shd w:fill="FFFFFF"/>
          </w:tcPr>
          <w:p>
            <w:pPr>
              <w:spacing w:after="40" w:line="276" w:lineRule="auto"/>
              <w:jc w:val="left"/>
            </w:pPr>
            <w:r>
              <w:rPr>
                <w:b w:val="0"/>
                <w:i w:val="0"/>
              </w:rPr>
              <w:t>3</w:t>
            </w:r>
          </w:p>
        </w:tc>
        <w:tc>
          <w:tcPr>
            <w:tcW w:type="dxa" w:w="2438"/>
            <w:vAlign w:val="center"/>
            <w:shd w:fill="FFFFFF"/>
          </w:tcPr>
          <w:p>
            <w:pPr>
              <w:spacing w:after="40" w:line="276" w:lineRule="auto"/>
              <w:jc w:val="left"/>
            </w:pPr>
            <w:r>
              <w:rPr>
                <w:b w:val="0"/>
                <w:i w:val="0"/>
              </w:rPr>
              <w:t>Prioritize short, medium, long-term initiatives</w:t>
            </w:r>
          </w:p>
        </w:tc>
        <w:tc>
          <w:tcPr>
            <w:tcW w:type="dxa" w:w="1814"/>
            <w:vAlign w:val="center"/>
            <w:shd w:fill="FFFFFF"/>
          </w:tcPr>
          <w:p>
            <w:pPr>
              <w:spacing w:after="40" w:line="276" w:lineRule="auto"/>
              <w:jc w:val="left"/>
            </w:pPr>
            <w:r>
              <w:rPr>
                <w:b w:val="0"/>
                <w:i w:val="0"/>
              </w:rPr>
              <w:t>Steering Committee</w:t>
            </w:r>
          </w:p>
        </w:tc>
        <w:tc>
          <w:tcPr>
            <w:tcW w:type="dxa" w:w="2098"/>
            <w:vAlign w:val="center"/>
            <w:shd w:fill="FFFFFF"/>
          </w:tcPr>
          <w:p>
            <w:pPr>
              <w:spacing w:after="40" w:line="276" w:lineRule="auto"/>
              <w:jc w:val="left"/>
            </w:pPr>
            <w:r>
              <w:rPr>
                <w:b w:val="0"/>
                <w:i w:val="0"/>
              </w:rPr>
              <w:t>SWOT-TOWS analysis, resource mapping</w:t>
            </w:r>
          </w:p>
        </w:tc>
        <w:tc>
          <w:tcPr>
            <w:tcW w:type="dxa" w:w="1757"/>
            <w:vAlign w:val="center"/>
            <w:shd w:fill="FFFFFF"/>
          </w:tcPr>
          <w:p>
            <w:pPr>
              <w:spacing w:after="40" w:line="276" w:lineRule="auto"/>
              <w:jc w:val="left"/>
            </w:pPr>
            <w:r>
              <w:rPr>
                <w:b w:val="0"/>
                <w:i w:val="0"/>
              </w:rPr>
              <w:t>Month 3</w:t>
            </w:r>
          </w:p>
        </w:tc>
        <w:tc>
          <w:tcPr>
            <w:tcW w:type="dxa" w:w="680"/>
            <w:vAlign w:val="center"/>
            <w:shd w:fill="FFFFFF"/>
          </w:tcPr>
          <w:p>
            <w:pPr>
              <w:spacing w:after="40" w:line="276" w:lineRule="auto"/>
              <w:jc w:val="left"/>
            </w:pPr>
            <w:r>
              <w:rPr>
                <w:b w:val="0"/>
                <w:i w:val="0"/>
              </w:rPr>
              <w:t>□</w:t>
            </w:r>
          </w:p>
        </w:tc>
      </w:tr>
      <w:tr>
        <w:trPr>
          <w:cantSplit/>
        </w:trPr>
        <w:tc>
          <w:tcPr>
            <w:tcW w:type="dxa" w:w="624"/>
            <w:vAlign w:val="center"/>
            <w:shd w:fill="EDF2F7"/>
          </w:tcPr>
          <w:p>
            <w:pPr>
              <w:spacing w:after="40" w:line="276" w:lineRule="auto"/>
              <w:jc w:val="left"/>
            </w:pPr>
            <w:r>
              <w:rPr>
                <w:b w:val="0"/>
                <w:i w:val="0"/>
              </w:rPr>
              <w:t>4</w:t>
            </w:r>
          </w:p>
        </w:tc>
        <w:tc>
          <w:tcPr>
            <w:tcW w:type="dxa" w:w="2438"/>
            <w:vAlign w:val="center"/>
            <w:shd w:fill="EDF2F7"/>
          </w:tcPr>
          <w:p>
            <w:pPr>
              <w:spacing w:after="40" w:line="276" w:lineRule="auto"/>
              <w:jc w:val="left"/>
            </w:pPr>
            <w:r>
              <w:rPr>
                <w:b w:val="0"/>
                <w:i w:val="0"/>
              </w:rPr>
              <w:t>Allocate budget and resources</w:t>
            </w:r>
          </w:p>
        </w:tc>
        <w:tc>
          <w:tcPr>
            <w:tcW w:type="dxa" w:w="1814"/>
            <w:vAlign w:val="center"/>
            <w:shd w:fill="EDF2F7"/>
          </w:tcPr>
          <w:p>
            <w:pPr>
              <w:spacing w:after="40" w:line="276" w:lineRule="auto"/>
              <w:jc w:val="left"/>
            </w:pPr>
            <w:r>
              <w:rPr>
                <w:b w:val="0"/>
                <w:i w:val="0"/>
              </w:rPr>
              <w:t>Finance Office + Admin</w:t>
            </w:r>
          </w:p>
        </w:tc>
        <w:tc>
          <w:tcPr>
            <w:tcW w:type="dxa" w:w="2098"/>
            <w:vAlign w:val="center"/>
            <w:shd w:fill="EDF2F7"/>
          </w:tcPr>
          <w:p>
            <w:pPr>
              <w:spacing w:after="40" w:line="276" w:lineRule="auto"/>
              <w:jc w:val="left"/>
            </w:pPr>
            <w:r>
              <w:rPr>
                <w:b w:val="0"/>
                <w:i w:val="0"/>
              </w:rPr>
              <w:t>Budget plans, CSR/​alumni/​PPP funding sources</w:t>
            </w:r>
          </w:p>
        </w:tc>
        <w:tc>
          <w:tcPr>
            <w:tcW w:type="dxa" w:w="1757"/>
            <w:vAlign w:val="center"/>
            <w:shd w:fill="EDF2F7"/>
          </w:tcPr>
          <w:p>
            <w:pPr>
              <w:spacing w:after="40" w:line="276" w:lineRule="auto"/>
              <w:jc w:val="left"/>
            </w:pPr>
            <w:r>
              <w:rPr>
                <w:b w:val="0"/>
                <w:i w:val="0"/>
              </w:rPr>
              <w:t>Month 3–4</w:t>
            </w:r>
          </w:p>
        </w:tc>
        <w:tc>
          <w:tcPr>
            <w:tcW w:type="dxa" w:w="680"/>
            <w:vAlign w:val="center"/>
            <w:shd w:fill="EDF2F7"/>
          </w:tcPr>
          <w:p>
            <w:pPr>
              <w:spacing w:after="40" w:line="276" w:lineRule="auto"/>
              <w:jc w:val="left"/>
            </w:pPr>
            <w:r>
              <w:rPr>
                <w:b w:val="0"/>
                <w:i w:val="0"/>
              </w:rPr>
              <w:t>□</w:t>
            </w:r>
          </w:p>
        </w:tc>
      </w:tr>
      <w:tr>
        <w:trPr>
          <w:cantSplit/>
        </w:trPr>
        <w:tc>
          <w:tcPr>
            <w:tcW w:type="dxa" w:w="624"/>
            <w:vAlign w:val="center"/>
            <w:shd w:fill="FFFFFF"/>
          </w:tcPr>
          <w:p>
            <w:pPr>
              <w:spacing w:after="40" w:line="276" w:lineRule="auto"/>
              <w:jc w:val="left"/>
            </w:pPr>
            <w:r>
              <w:rPr>
                <w:b w:val="0"/>
                <w:i w:val="0"/>
              </w:rPr>
              <w:t>5</w:t>
            </w:r>
          </w:p>
        </w:tc>
        <w:tc>
          <w:tcPr>
            <w:tcW w:type="dxa" w:w="2438"/>
            <w:vAlign w:val="center"/>
            <w:shd w:fill="FFFFFF"/>
          </w:tcPr>
          <w:p>
            <w:pPr>
              <w:spacing w:after="40" w:line="276" w:lineRule="auto"/>
              <w:jc w:val="left"/>
            </w:pPr>
            <w:r>
              <w:rPr>
                <w:b w:val="0"/>
                <w:i w:val="0"/>
              </w:rPr>
              <w:t>Assign manpower responsibilities (RACI matrix)</w:t>
            </w:r>
          </w:p>
        </w:tc>
        <w:tc>
          <w:tcPr>
            <w:tcW w:type="dxa" w:w="1814"/>
            <w:vAlign w:val="center"/>
            <w:shd w:fill="FFFFFF"/>
          </w:tcPr>
          <w:p>
            <w:pPr>
              <w:spacing w:after="40" w:line="276" w:lineRule="auto"/>
              <w:jc w:val="left"/>
            </w:pPr>
            <w:r>
              <w:rPr>
                <w:b w:val="0"/>
                <w:i w:val="0"/>
              </w:rPr>
              <w:t>HR + Academic Council</w:t>
            </w:r>
          </w:p>
        </w:tc>
        <w:tc>
          <w:tcPr>
            <w:tcW w:type="dxa" w:w="2098"/>
            <w:vAlign w:val="center"/>
            <w:shd w:fill="FFFFFF"/>
          </w:tcPr>
          <w:p>
            <w:pPr>
              <w:spacing w:after="40" w:line="276" w:lineRule="auto"/>
              <w:jc w:val="left"/>
            </w:pPr>
            <w:r>
              <w:rPr>
                <w:b w:val="0"/>
                <w:i w:val="0"/>
              </w:rPr>
              <w:t>RACI chart, workload distribution plan</w:t>
            </w:r>
          </w:p>
        </w:tc>
        <w:tc>
          <w:tcPr>
            <w:tcW w:type="dxa" w:w="1757"/>
            <w:vAlign w:val="center"/>
            <w:shd w:fill="FFFFFF"/>
          </w:tcPr>
          <w:p>
            <w:pPr>
              <w:spacing w:after="40" w:line="276" w:lineRule="auto"/>
              <w:jc w:val="left"/>
            </w:pPr>
            <w:r>
              <w:rPr>
                <w:b w:val="0"/>
                <w:i w:val="0"/>
              </w:rPr>
              <w:t>Month 4</w:t>
            </w:r>
          </w:p>
        </w:tc>
        <w:tc>
          <w:tcPr>
            <w:tcW w:type="dxa" w:w="680"/>
            <w:vAlign w:val="center"/>
            <w:shd w:fill="FFFFFF"/>
          </w:tcPr>
          <w:p>
            <w:pPr>
              <w:spacing w:after="40" w:line="276" w:lineRule="auto"/>
              <w:jc w:val="left"/>
            </w:pPr>
            <w:r>
              <w:rPr>
                <w:b w:val="0"/>
                <w:i w:val="0"/>
              </w:rPr>
              <w:t>□</w:t>
            </w:r>
          </w:p>
        </w:tc>
      </w:tr>
      <w:tr>
        <w:trPr>
          <w:cantSplit/>
        </w:trPr>
        <w:tc>
          <w:tcPr>
            <w:tcW w:type="dxa" w:w="624"/>
            <w:vAlign w:val="center"/>
            <w:shd w:fill="EDF2F7"/>
          </w:tcPr>
          <w:p>
            <w:pPr>
              <w:spacing w:after="40" w:line="276" w:lineRule="auto"/>
              <w:jc w:val="left"/>
            </w:pPr>
            <w:r>
              <w:rPr>
                <w:b w:val="0"/>
                <w:i w:val="0"/>
              </w:rPr>
              <w:t>6</w:t>
            </w:r>
          </w:p>
        </w:tc>
        <w:tc>
          <w:tcPr>
            <w:tcW w:type="dxa" w:w="2438"/>
            <w:vAlign w:val="center"/>
            <w:shd w:fill="EDF2F7"/>
          </w:tcPr>
          <w:p>
            <w:pPr>
              <w:spacing w:after="40" w:line="276" w:lineRule="auto"/>
              <w:jc w:val="left"/>
            </w:pPr>
            <w:r>
              <w:rPr>
                <w:b w:val="0"/>
                <w:i w:val="0"/>
              </w:rPr>
              <w:t>Upgrade infrastructure and facilities</w:t>
            </w:r>
          </w:p>
        </w:tc>
        <w:tc>
          <w:tcPr>
            <w:tcW w:type="dxa" w:w="1814"/>
            <w:vAlign w:val="center"/>
            <w:shd w:fill="EDF2F7"/>
          </w:tcPr>
          <w:p>
            <w:pPr>
              <w:spacing w:after="40" w:line="276" w:lineRule="auto"/>
              <w:jc w:val="left"/>
            </w:pPr>
            <w:r>
              <w:rPr>
                <w:b w:val="0"/>
                <w:i w:val="0"/>
              </w:rPr>
              <w:t>Infra Committee + IT Services</w:t>
            </w:r>
          </w:p>
        </w:tc>
        <w:tc>
          <w:tcPr>
            <w:tcW w:type="dxa" w:w="2098"/>
            <w:vAlign w:val="center"/>
            <w:shd w:fill="EDF2F7"/>
          </w:tcPr>
          <w:p>
            <w:pPr>
              <w:spacing w:after="40" w:line="276" w:lineRule="auto"/>
              <w:jc w:val="left"/>
            </w:pPr>
            <w:r>
              <w:rPr>
                <w:b w:val="0"/>
                <w:i w:val="0"/>
              </w:rPr>
              <w:t>Procurement plan, ICT/​Green Campus projects</w:t>
            </w:r>
          </w:p>
        </w:tc>
        <w:tc>
          <w:tcPr>
            <w:tcW w:type="dxa" w:w="1757"/>
            <w:vAlign w:val="center"/>
            <w:shd w:fill="EDF2F7"/>
          </w:tcPr>
          <w:p>
            <w:pPr>
              <w:spacing w:after="40" w:line="276" w:lineRule="auto"/>
              <w:jc w:val="left"/>
            </w:pPr>
            <w:r>
              <w:rPr>
                <w:b w:val="0"/>
                <w:i w:val="0"/>
              </w:rPr>
              <w:t>Month 4–6</w:t>
            </w:r>
          </w:p>
        </w:tc>
        <w:tc>
          <w:tcPr>
            <w:tcW w:type="dxa" w:w="680"/>
            <w:vAlign w:val="center"/>
            <w:shd w:fill="EDF2F7"/>
          </w:tcPr>
          <w:p>
            <w:pPr>
              <w:spacing w:after="40" w:line="276" w:lineRule="auto"/>
              <w:jc w:val="left"/>
            </w:pPr>
            <w:r>
              <w:rPr>
                <w:b w:val="0"/>
                <w:i w:val="0"/>
              </w:rPr>
              <w:t>□</w:t>
            </w:r>
          </w:p>
        </w:tc>
      </w:tr>
      <w:tr>
        <w:trPr>
          <w:cantSplit/>
        </w:trPr>
        <w:tc>
          <w:tcPr>
            <w:tcW w:type="dxa" w:w="624"/>
            <w:vAlign w:val="center"/>
            <w:shd w:fill="FFFFFF"/>
          </w:tcPr>
          <w:p>
            <w:pPr>
              <w:spacing w:after="40" w:line="276" w:lineRule="auto"/>
              <w:jc w:val="left"/>
            </w:pPr>
            <w:r>
              <w:rPr>
                <w:b w:val="0"/>
                <w:i w:val="0"/>
              </w:rPr>
              <w:t>7</w:t>
            </w:r>
          </w:p>
        </w:tc>
        <w:tc>
          <w:tcPr>
            <w:tcW w:type="dxa" w:w="2438"/>
            <w:vAlign w:val="center"/>
            <w:shd w:fill="FFFFFF"/>
          </w:tcPr>
          <w:p>
            <w:pPr>
              <w:spacing w:after="40" w:line="276" w:lineRule="auto"/>
              <w:jc w:val="left"/>
            </w:pPr>
            <w:r>
              <w:rPr>
                <w:b w:val="0"/>
                <w:i w:val="0"/>
              </w:rPr>
              <w:t>Establish governance and monitoring committees</w:t>
            </w:r>
          </w:p>
        </w:tc>
        <w:tc>
          <w:tcPr>
            <w:tcW w:type="dxa" w:w="1814"/>
            <w:vAlign w:val="center"/>
            <w:shd w:fill="FFFFFF"/>
          </w:tcPr>
          <w:p>
            <w:pPr>
              <w:spacing w:after="40" w:line="276" w:lineRule="auto"/>
              <w:jc w:val="left"/>
            </w:pPr>
            <w:r>
              <w:rPr>
                <w:b w:val="0"/>
                <w:i w:val="0"/>
              </w:rPr>
              <w:t>Governing Body + IQAC</w:t>
            </w:r>
          </w:p>
        </w:tc>
        <w:tc>
          <w:tcPr>
            <w:tcW w:type="dxa" w:w="2098"/>
            <w:vAlign w:val="center"/>
            <w:shd w:fill="FFFFFF"/>
          </w:tcPr>
          <w:p>
            <w:pPr>
              <w:spacing w:after="40" w:line="276" w:lineRule="auto"/>
              <w:jc w:val="left"/>
            </w:pPr>
            <w:r>
              <w:rPr>
                <w:b w:val="0"/>
                <w:i w:val="0"/>
              </w:rPr>
              <w:t>Terms of Reference, committee charters</w:t>
            </w:r>
          </w:p>
        </w:tc>
        <w:tc>
          <w:tcPr>
            <w:tcW w:type="dxa" w:w="1757"/>
            <w:vAlign w:val="center"/>
            <w:shd w:fill="FFFFFF"/>
          </w:tcPr>
          <w:p>
            <w:pPr>
              <w:spacing w:after="40" w:line="276" w:lineRule="auto"/>
              <w:jc w:val="left"/>
            </w:pPr>
            <w:r>
              <w:rPr>
                <w:b w:val="0"/>
                <w:i w:val="0"/>
              </w:rPr>
              <w:t>Month 5</w:t>
            </w:r>
          </w:p>
        </w:tc>
        <w:tc>
          <w:tcPr>
            <w:tcW w:type="dxa" w:w="680"/>
            <w:vAlign w:val="center"/>
            <w:shd w:fill="FFFFFF"/>
          </w:tcPr>
          <w:p>
            <w:pPr>
              <w:spacing w:after="40" w:line="276" w:lineRule="auto"/>
              <w:jc w:val="left"/>
            </w:pPr>
            <w:r>
              <w:rPr>
                <w:b w:val="0"/>
                <w:i w:val="0"/>
              </w:rPr>
              <w:t>□</w:t>
            </w:r>
          </w:p>
        </w:tc>
      </w:tr>
      <w:tr>
        <w:trPr>
          <w:cantSplit/>
        </w:trPr>
        <w:tc>
          <w:tcPr>
            <w:tcW w:type="dxa" w:w="624"/>
            <w:vAlign w:val="center"/>
            <w:shd w:fill="EDF2F7"/>
          </w:tcPr>
          <w:p>
            <w:pPr>
              <w:spacing w:after="40" w:line="276" w:lineRule="auto"/>
              <w:jc w:val="left"/>
            </w:pPr>
            <w:r>
              <w:rPr>
                <w:b w:val="0"/>
                <w:i w:val="0"/>
              </w:rPr>
              <w:t>8</w:t>
            </w:r>
          </w:p>
        </w:tc>
        <w:tc>
          <w:tcPr>
            <w:tcW w:type="dxa" w:w="2438"/>
            <w:vAlign w:val="center"/>
            <w:shd w:fill="EDF2F7"/>
          </w:tcPr>
          <w:p>
            <w:pPr>
              <w:spacing w:after="40" w:line="276" w:lineRule="auto"/>
              <w:jc w:val="left"/>
            </w:pPr>
            <w:r>
              <w:rPr>
                <w:b w:val="0"/>
                <w:i w:val="0"/>
              </w:rPr>
              <w:t>Define KPIs for each program</w:t>
            </w:r>
          </w:p>
        </w:tc>
        <w:tc>
          <w:tcPr>
            <w:tcW w:type="dxa" w:w="1814"/>
            <w:vAlign w:val="center"/>
            <w:shd w:fill="EDF2F7"/>
          </w:tcPr>
          <w:p>
            <w:pPr>
              <w:spacing w:after="40" w:line="276" w:lineRule="auto"/>
              <w:jc w:val="left"/>
            </w:pPr>
            <w:r>
              <w:rPr>
                <w:b w:val="0"/>
                <w:i w:val="0"/>
              </w:rPr>
              <w:t>IQAC + Institutional Research Office</w:t>
            </w:r>
          </w:p>
        </w:tc>
        <w:tc>
          <w:tcPr>
            <w:tcW w:type="dxa" w:w="2098"/>
            <w:vAlign w:val="center"/>
            <w:shd w:fill="EDF2F7"/>
          </w:tcPr>
          <w:p>
            <w:pPr>
              <w:spacing w:after="40" w:line="276" w:lineRule="auto"/>
              <w:jc w:val="left"/>
            </w:pPr>
            <w:r>
              <w:rPr>
                <w:b w:val="0"/>
                <w:i w:val="0"/>
              </w:rPr>
              <w:t>KPI dashboard, Balanced Scorecard model</w:t>
            </w:r>
          </w:p>
        </w:tc>
        <w:tc>
          <w:tcPr>
            <w:tcW w:type="dxa" w:w="1757"/>
            <w:vAlign w:val="center"/>
            <w:shd w:fill="EDF2F7"/>
          </w:tcPr>
          <w:p>
            <w:pPr>
              <w:spacing w:after="40" w:line="276" w:lineRule="auto"/>
              <w:jc w:val="left"/>
            </w:pPr>
            <w:r>
              <w:rPr>
                <w:b w:val="0"/>
                <w:i w:val="0"/>
              </w:rPr>
              <w:t>Month 5–6</w:t>
            </w:r>
          </w:p>
        </w:tc>
        <w:tc>
          <w:tcPr>
            <w:tcW w:type="dxa" w:w="680"/>
            <w:vAlign w:val="center"/>
            <w:shd w:fill="EDF2F7"/>
          </w:tcPr>
          <w:p>
            <w:pPr>
              <w:spacing w:after="40" w:line="276" w:lineRule="auto"/>
              <w:jc w:val="left"/>
            </w:pPr>
            <w:r>
              <w:rPr>
                <w:b w:val="0"/>
                <w:i w:val="0"/>
              </w:rPr>
              <w:t>□</w:t>
            </w:r>
          </w:p>
        </w:tc>
      </w:tr>
      <w:tr>
        <w:trPr>
          <w:cantSplit/>
        </w:trPr>
        <w:tc>
          <w:tcPr>
            <w:tcW w:type="dxa" w:w="624"/>
            <w:vAlign w:val="center"/>
            <w:shd w:fill="FFFFFF"/>
          </w:tcPr>
          <w:p>
            <w:pPr>
              <w:spacing w:after="40" w:line="276" w:lineRule="auto"/>
              <w:jc w:val="left"/>
            </w:pPr>
            <w:r>
              <w:rPr>
                <w:b w:val="0"/>
                <w:i w:val="0"/>
              </w:rPr>
              <w:t>9</w:t>
            </w:r>
          </w:p>
        </w:tc>
        <w:tc>
          <w:tcPr>
            <w:tcW w:type="dxa" w:w="2438"/>
            <w:vAlign w:val="center"/>
            <w:shd w:fill="FFFFFF"/>
          </w:tcPr>
          <w:p>
            <w:pPr>
              <w:spacing w:after="40" w:line="276" w:lineRule="auto"/>
              <w:jc w:val="left"/>
            </w:pPr>
            <w:r>
              <w:rPr>
                <w:b w:val="0"/>
                <w:i w:val="0"/>
              </w:rPr>
              <w:t>Set up monitoring systems and ERP dashboards</w:t>
            </w:r>
          </w:p>
        </w:tc>
        <w:tc>
          <w:tcPr>
            <w:tcW w:type="dxa" w:w="1814"/>
            <w:vAlign w:val="center"/>
            <w:shd w:fill="FFFFFF"/>
          </w:tcPr>
          <w:p>
            <w:pPr>
              <w:spacing w:after="40" w:line="276" w:lineRule="auto"/>
              <w:jc w:val="left"/>
            </w:pPr>
            <w:r>
              <w:rPr>
                <w:b w:val="0"/>
                <w:i w:val="0"/>
              </w:rPr>
              <w:t>IT + IQAC</w:t>
            </w:r>
          </w:p>
        </w:tc>
        <w:tc>
          <w:tcPr>
            <w:tcW w:type="dxa" w:w="2098"/>
            <w:vAlign w:val="center"/>
            <w:shd w:fill="FFFFFF"/>
          </w:tcPr>
          <w:p>
            <w:pPr>
              <w:spacing w:after="40" w:line="276" w:lineRule="auto"/>
              <w:jc w:val="left"/>
            </w:pPr>
            <w:r>
              <w:rPr>
                <w:b w:val="0"/>
                <w:i w:val="0"/>
              </w:rPr>
              <w:t>ERP software, AI-based reporting tools</w:t>
            </w:r>
          </w:p>
        </w:tc>
        <w:tc>
          <w:tcPr>
            <w:tcW w:type="dxa" w:w="1757"/>
            <w:vAlign w:val="center"/>
            <w:shd w:fill="FFFFFF"/>
          </w:tcPr>
          <w:p>
            <w:pPr>
              <w:spacing w:after="40" w:line="276" w:lineRule="auto"/>
              <w:jc w:val="left"/>
            </w:pPr>
            <w:r>
              <w:rPr>
                <w:b w:val="0"/>
                <w:i w:val="0"/>
              </w:rPr>
              <w:t>Month 6</w:t>
            </w:r>
          </w:p>
        </w:tc>
        <w:tc>
          <w:tcPr>
            <w:tcW w:type="dxa" w:w="680"/>
            <w:vAlign w:val="center"/>
            <w:shd w:fill="FFFFFF"/>
          </w:tcPr>
          <w:p>
            <w:pPr>
              <w:spacing w:after="40" w:line="276" w:lineRule="auto"/>
              <w:jc w:val="left"/>
            </w:pPr>
            <w:r>
              <w:rPr>
                <w:b w:val="0"/>
                <w:i w:val="0"/>
              </w:rPr>
              <w:t>□</w:t>
            </w:r>
          </w:p>
        </w:tc>
      </w:tr>
      <w:tr>
        <w:trPr>
          <w:cantSplit/>
        </w:trPr>
        <w:tc>
          <w:tcPr>
            <w:tcW w:type="dxa" w:w="624"/>
            <w:vAlign w:val="center"/>
            <w:shd w:fill="EDF2F7"/>
          </w:tcPr>
          <w:p>
            <w:pPr>
              <w:spacing w:after="40" w:line="276" w:lineRule="auto"/>
              <w:jc w:val="left"/>
            </w:pPr>
            <w:r>
              <w:rPr>
                <w:b w:val="0"/>
                <w:i w:val="0"/>
              </w:rPr>
              <w:t>10</w:t>
            </w:r>
          </w:p>
        </w:tc>
        <w:tc>
          <w:tcPr>
            <w:tcW w:type="dxa" w:w="2438"/>
            <w:vAlign w:val="center"/>
            <w:shd w:fill="EDF2F7"/>
          </w:tcPr>
          <w:p>
            <w:pPr>
              <w:spacing w:after="40" w:line="276" w:lineRule="auto"/>
              <w:jc w:val="left"/>
            </w:pPr>
            <w:r>
              <w:rPr>
                <w:b w:val="0"/>
                <w:i w:val="0"/>
              </w:rPr>
              <w:t>Identify risks and mitigation measures</w:t>
            </w:r>
          </w:p>
        </w:tc>
        <w:tc>
          <w:tcPr>
            <w:tcW w:type="dxa" w:w="1814"/>
            <w:vAlign w:val="center"/>
            <w:shd w:fill="EDF2F7"/>
          </w:tcPr>
          <w:p>
            <w:pPr>
              <w:spacing w:after="40" w:line="276" w:lineRule="auto"/>
              <w:jc w:val="left"/>
            </w:pPr>
            <w:r>
              <w:rPr>
                <w:b w:val="0"/>
                <w:i w:val="0"/>
              </w:rPr>
              <w:t>Risk Management Committee</w:t>
            </w:r>
          </w:p>
        </w:tc>
        <w:tc>
          <w:tcPr>
            <w:tcW w:type="dxa" w:w="2098"/>
            <w:vAlign w:val="center"/>
            <w:shd w:fill="EDF2F7"/>
          </w:tcPr>
          <w:p>
            <w:pPr>
              <w:spacing w:after="40" w:line="276" w:lineRule="auto"/>
              <w:jc w:val="left"/>
            </w:pPr>
            <w:r>
              <w:rPr>
                <w:b w:val="0"/>
                <w:i w:val="0"/>
              </w:rPr>
              <w:t>Risk register, contingency plan</w:t>
            </w:r>
          </w:p>
        </w:tc>
        <w:tc>
          <w:tcPr>
            <w:tcW w:type="dxa" w:w="1757"/>
            <w:vAlign w:val="center"/>
            <w:shd w:fill="EDF2F7"/>
          </w:tcPr>
          <w:p>
            <w:pPr>
              <w:spacing w:after="40" w:line="276" w:lineRule="auto"/>
              <w:jc w:val="left"/>
            </w:pPr>
            <w:r>
              <w:rPr>
                <w:b w:val="0"/>
                <w:i w:val="0"/>
              </w:rPr>
              <w:t>Ongoing</w:t>
            </w:r>
          </w:p>
        </w:tc>
        <w:tc>
          <w:tcPr>
            <w:tcW w:type="dxa" w:w="680"/>
            <w:vAlign w:val="center"/>
            <w:shd w:fill="EDF2F7"/>
          </w:tcPr>
          <w:p>
            <w:pPr>
              <w:spacing w:after="40" w:line="276" w:lineRule="auto"/>
              <w:jc w:val="left"/>
            </w:pPr>
            <w:r>
              <w:rPr>
                <w:b w:val="0"/>
                <w:i w:val="0"/>
              </w:rPr>
              <w:t>□</w:t>
            </w:r>
          </w:p>
        </w:tc>
      </w:tr>
      <w:tr>
        <w:trPr>
          <w:cantSplit/>
        </w:trPr>
        <w:tc>
          <w:tcPr>
            <w:tcW w:type="dxa" w:w="624"/>
            <w:vAlign w:val="center"/>
            <w:shd w:fill="FFFFFF"/>
          </w:tcPr>
          <w:p>
            <w:pPr>
              <w:spacing w:after="40" w:line="276" w:lineRule="auto"/>
              <w:jc w:val="left"/>
            </w:pPr>
            <w:r>
              <w:rPr>
                <w:b w:val="0"/>
                <w:i w:val="0"/>
              </w:rPr>
              <w:t>11</w:t>
            </w:r>
          </w:p>
        </w:tc>
        <w:tc>
          <w:tcPr>
            <w:tcW w:type="dxa" w:w="2438"/>
            <w:vAlign w:val="center"/>
            <w:shd w:fill="FFFFFF"/>
          </w:tcPr>
          <w:p>
            <w:pPr>
              <w:spacing w:after="40" w:line="276" w:lineRule="auto"/>
              <w:jc w:val="left"/>
            </w:pPr>
            <w:r>
              <w:rPr>
                <w:b w:val="0"/>
                <w:i w:val="0"/>
              </w:rPr>
              <w:t>Develop communication &amp; stakeholder engagement plan</w:t>
            </w:r>
          </w:p>
        </w:tc>
        <w:tc>
          <w:tcPr>
            <w:tcW w:type="dxa" w:w="1814"/>
            <w:vAlign w:val="center"/>
            <w:shd w:fill="FFFFFF"/>
          </w:tcPr>
          <w:p>
            <w:pPr>
              <w:spacing w:after="40" w:line="276" w:lineRule="auto"/>
              <w:jc w:val="left"/>
            </w:pPr>
            <w:r>
              <w:rPr>
                <w:b w:val="0"/>
                <w:i w:val="0"/>
              </w:rPr>
              <w:t>PR Office + Leadership</w:t>
            </w:r>
          </w:p>
        </w:tc>
        <w:tc>
          <w:tcPr>
            <w:tcW w:type="dxa" w:w="2098"/>
            <w:vAlign w:val="center"/>
            <w:shd w:fill="FFFFFF"/>
          </w:tcPr>
          <w:p>
            <w:pPr>
              <w:spacing w:after="40" w:line="276" w:lineRule="auto"/>
              <w:jc w:val="left"/>
            </w:pPr>
            <w:r>
              <w:rPr>
                <w:b w:val="0"/>
                <w:i w:val="0"/>
              </w:rPr>
              <w:t>Reports, newsletters, town halls</w:t>
            </w:r>
          </w:p>
        </w:tc>
        <w:tc>
          <w:tcPr>
            <w:tcW w:type="dxa" w:w="1757"/>
            <w:vAlign w:val="center"/>
            <w:shd w:fill="FFFFFF"/>
          </w:tcPr>
          <w:p>
            <w:pPr>
              <w:spacing w:after="40" w:line="276" w:lineRule="auto"/>
              <w:jc w:val="left"/>
            </w:pPr>
            <w:r>
              <w:rPr>
                <w:b w:val="0"/>
                <w:i w:val="0"/>
              </w:rPr>
              <w:t>Month 6 onward</w:t>
            </w:r>
          </w:p>
        </w:tc>
        <w:tc>
          <w:tcPr>
            <w:tcW w:type="dxa" w:w="680"/>
            <w:vAlign w:val="center"/>
            <w:shd w:fill="FFFFFF"/>
          </w:tcPr>
          <w:p>
            <w:pPr>
              <w:spacing w:after="40" w:line="276" w:lineRule="auto"/>
              <w:jc w:val="left"/>
            </w:pPr>
            <w:r>
              <w:rPr>
                <w:b w:val="0"/>
                <w:i w:val="0"/>
              </w:rPr>
              <w:t>□</w:t>
            </w:r>
          </w:p>
        </w:tc>
      </w:tr>
      <w:tr>
        <w:trPr>
          <w:cantSplit/>
        </w:trPr>
        <w:tc>
          <w:tcPr>
            <w:tcW w:type="dxa" w:w="624"/>
            <w:vAlign w:val="center"/>
            <w:shd w:fill="EDF2F7"/>
          </w:tcPr>
          <w:p>
            <w:pPr>
              <w:spacing w:after="40" w:line="276" w:lineRule="auto"/>
              <w:jc w:val="left"/>
            </w:pPr>
            <w:r>
              <w:rPr>
                <w:b w:val="0"/>
                <w:i w:val="0"/>
              </w:rPr>
              <w:t>12</w:t>
            </w:r>
          </w:p>
        </w:tc>
        <w:tc>
          <w:tcPr>
            <w:tcW w:type="dxa" w:w="2438"/>
            <w:vAlign w:val="center"/>
            <w:shd w:fill="EDF2F7"/>
          </w:tcPr>
          <w:p>
            <w:pPr>
              <w:spacing w:after="40" w:line="276" w:lineRule="auto"/>
              <w:jc w:val="left"/>
            </w:pPr>
            <w:r>
              <w:rPr>
                <w:b w:val="0"/>
                <w:i w:val="0"/>
              </w:rPr>
              <w:t>Begin phased rollout of initiatives</w:t>
            </w:r>
          </w:p>
        </w:tc>
        <w:tc>
          <w:tcPr>
            <w:tcW w:type="dxa" w:w="1814"/>
            <w:vAlign w:val="center"/>
            <w:shd w:fill="EDF2F7"/>
          </w:tcPr>
          <w:p>
            <w:pPr>
              <w:spacing w:after="40" w:line="276" w:lineRule="auto"/>
              <w:jc w:val="left"/>
            </w:pPr>
            <w:r>
              <w:rPr>
                <w:b w:val="0"/>
                <w:i w:val="0"/>
              </w:rPr>
              <w:t>All Departments</w:t>
            </w:r>
          </w:p>
        </w:tc>
        <w:tc>
          <w:tcPr>
            <w:tcW w:type="dxa" w:w="2098"/>
            <w:vAlign w:val="center"/>
            <w:shd w:fill="EDF2F7"/>
          </w:tcPr>
          <w:p>
            <w:pPr>
              <w:spacing w:after="40" w:line="276" w:lineRule="auto"/>
              <w:jc w:val="left"/>
            </w:pPr>
            <w:r>
              <w:rPr>
                <w:b w:val="0"/>
                <w:i w:val="0"/>
              </w:rPr>
              <w:t>Implementation manuals, project trackers</w:t>
            </w:r>
          </w:p>
        </w:tc>
        <w:tc>
          <w:tcPr>
            <w:tcW w:type="dxa" w:w="1757"/>
            <w:vAlign w:val="center"/>
            <w:shd w:fill="EDF2F7"/>
          </w:tcPr>
          <w:p>
            <w:pPr>
              <w:spacing w:after="40" w:line="276" w:lineRule="auto"/>
              <w:jc w:val="left"/>
            </w:pPr>
            <w:r>
              <w:rPr>
                <w:b w:val="0"/>
                <w:i w:val="0"/>
              </w:rPr>
              <w:t>Year 1-20 (phased)</w:t>
            </w:r>
          </w:p>
        </w:tc>
        <w:tc>
          <w:tcPr>
            <w:tcW w:type="dxa" w:w="680"/>
            <w:vAlign w:val="center"/>
            <w:shd w:fill="EDF2F7"/>
          </w:tcPr>
          <w:p>
            <w:pPr>
              <w:spacing w:after="40" w:line="276" w:lineRule="auto"/>
              <w:jc w:val="left"/>
            </w:pPr>
            <w:r>
              <w:rPr>
                <w:b w:val="0"/>
                <w:i w:val="0"/>
              </w:rPr>
              <w:t>□</w:t>
            </w:r>
          </w:p>
        </w:tc>
      </w:tr>
      <w:tr>
        <w:trPr>
          <w:cantSplit/>
        </w:trPr>
        <w:tc>
          <w:tcPr>
            <w:tcW w:type="dxa" w:w="624"/>
            <w:vAlign w:val="center"/>
            <w:shd w:fill="FFFFFF"/>
          </w:tcPr>
          <w:p>
            <w:pPr>
              <w:spacing w:after="40" w:line="276" w:lineRule="auto"/>
              <w:jc w:val="left"/>
            </w:pPr>
            <w:r>
              <w:rPr>
                <w:b w:val="0"/>
                <w:i w:val="0"/>
              </w:rPr>
              <w:t>13</w:t>
            </w:r>
          </w:p>
        </w:tc>
        <w:tc>
          <w:tcPr>
            <w:tcW w:type="dxa" w:w="2438"/>
            <w:vAlign w:val="center"/>
            <w:shd w:fill="FFFFFF"/>
          </w:tcPr>
          <w:p>
            <w:pPr>
              <w:spacing w:after="40" w:line="276" w:lineRule="auto"/>
              <w:jc w:val="left"/>
            </w:pPr>
            <w:r>
              <w:rPr>
                <w:b w:val="0"/>
                <w:i w:val="0"/>
              </w:rPr>
              <w:t>Conduct quarterly/​annual reviews</w:t>
            </w:r>
          </w:p>
        </w:tc>
        <w:tc>
          <w:tcPr>
            <w:tcW w:type="dxa" w:w="1814"/>
            <w:vAlign w:val="center"/>
            <w:shd w:fill="FFFFFF"/>
          </w:tcPr>
          <w:p>
            <w:pPr>
              <w:spacing w:after="40" w:line="276" w:lineRule="auto"/>
              <w:jc w:val="left"/>
            </w:pPr>
            <w:r>
              <w:rPr>
                <w:b w:val="0"/>
                <w:i w:val="0"/>
              </w:rPr>
              <w:t>IQAC + Governing Body</w:t>
            </w:r>
          </w:p>
        </w:tc>
        <w:tc>
          <w:tcPr>
            <w:tcW w:type="dxa" w:w="2098"/>
            <w:vAlign w:val="center"/>
            <w:shd w:fill="FFFFFF"/>
          </w:tcPr>
          <w:p>
            <w:pPr>
              <w:spacing w:after="40" w:line="276" w:lineRule="auto"/>
              <w:jc w:val="left"/>
            </w:pPr>
            <w:r>
              <w:rPr>
                <w:b w:val="0"/>
                <w:i w:val="0"/>
              </w:rPr>
              <w:t>Review reports, audit checklists</w:t>
            </w:r>
          </w:p>
        </w:tc>
        <w:tc>
          <w:tcPr>
            <w:tcW w:type="dxa" w:w="1757"/>
            <w:vAlign w:val="center"/>
            <w:shd w:fill="FFFFFF"/>
          </w:tcPr>
          <w:p>
            <w:pPr>
              <w:spacing w:after="40" w:line="276" w:lineRule="auto"/>
              <w:jc w:val="left"/>
            </w:pPr>
            <w:r>
              <w:rPr>
                <w:b w:val="0"/>
                <w:i w:val="0"/>
              </w:rPr>
              <w:t>Ongoing</w:t>
            </w:r>
          </w:p>
        </w:tc>
        <w:tc>
          <w:tcPr>
            <w:tcW w:type="dxa" w:w="680"/>
            <w:vAlign w:val="center"/>
            <w:shd w:fill="FFFFFF"/>
          </w:tcPr>
          <w:p>
            <w:pPr>
              <w:spacing w:after="40" w:line="276" w:lineRule="auto"/>
              <w:jc w:val="left"/>
            </w:pPr>
            <w:r>
              <w:rPr>
                <w:b w:val="0"/>
                <w:i w:val="0"/>
              </w:rPr>
              <w:t>□</w:t>
            </w:r>
          </w:p>
        </w:tc>
      </w:tr>
      <w:tr>
        <w:trPr>
          <w:cantSplit/>
        </w:trPr>
        <w:tc>
          <w:tcPr>
            <w:tcW w:type="dxa" w:w="624"/>
            <w:vAlign w:val="center"/>
            <w:shd w:fill="EDF2F7"/>
          </w:tcPr>
          <w:p>
            <w:pPr>
              <w:spacing w:after="40" w:line="276" w:lineRule="auto"/>
              <w:jc w:val="left"/>
            </w:pPr>
            <w:r>
              <w:rPr>
                <w:b w:val="0"/>
                <w:i w:val="0"/>
              </w:rPr>
              <w:t>14</w:t>
            </w:r>
          </w:p>
        </w:tc>
        <w:tc>
          <w:tcPr>
            <w:tcW w:type="dxa" w:w="2438"/>
            <w:vAlign w:val="center"/>
            <w:shd w:fill="EDF2F7"/>
          </w:tcPr>
          <w:p>
            <w:pPr>
              <w:spacing w:after="40" w:line="276" w:lineRule="auto"/>
              <w:jc w:val="left"/>
            </w:pPr>
            <w:r>
              <w:rPr>
                <w:b w:val="0"/>
                <w:i w:val="0"/>
              </w:rPr>
              <w:t>Celebrate achievements and scale successful models</w:t>
            </w:r>
          </w:p>
        </w:tc>
        <w:tc>
          <w:tcPr>
            <w:tcW w:type="dxa" w:w="1814"/>
            <w:vAlign w:val="center"/>
            <w:shd w:fill="EDF2F7"/>
          </w:tcPr>
          <w:p>
            <w:pPr>
              <w:spacing w:after="40" w:line="276" w:lineRule="auto"/>
              <w:jc w:val="left"/>
            </w:pPr>
            <w:r>
              <w:rPr>
                <w:b w:val="0"/>
                <w:i w:val="0"/>
              </w:rPr>
              <w:t>Leadership + Stakeholders</w:t>
            </w:r>
          </w:p>
        </w:tc>
        <w:tc>
          <w:tcPr>
            <w:tcW w:type="dxa" w:w="2098"/>
            <w:vAlign w:val="center"/>
            <w:shd w:fill="EDF2F7"/>
          </w:tcPr>
          <w:p>
            <w:pPr>
              <w:spacing w:after="40" w:line="276" w:lineRule="auto"/>
              <w:jc w:val="left"/>
            </w:pPr>
            <w:r>
              <w:rPr>
                <w:b w:val="0"/>
                <w:i w:val="0"/>
              </w:rPr>
              <w:t>Annual report, recognition events</w:t>
            </w:r>
          </w:p>
        </w:tc>
        <w:tc>
          <w:tcPr>
            <w:tcW w:type="dxa" w:w="1757"/>
            <w:vAlign w:val="center"/>
            <w:shd w:fill="EDF2F7"/>
          </w:tcPr>
          <w:p>
            <w:pPr>
              <w:spacing w:after="40" w:line="276" w:lineRule="auto"/>
              <w:jc w:val="left"/>
            </w:pPr>
            <w:r>
              <w:rPr>
                <w:b w:val="0"/>
                <w:i w:val="0"/>
              </w:rPr>
              <w:t>Yearly</w:t>
            </w:r>
          </w:p>
        </w:tc>
        <w:tc>
          <w:tcPr>
            <w:tcW w:type="dxa" w:w="680"/>
            <w:vAlign w:val="center"/>
            <w:shd w:fill="EDF2F7"/>
          </w:tcPr>
          <w:p>
            <w:pPr>
              <w:spacing w:after="40" w:line="276" w:lineRule="auto"/>
              <w:jc w:val="left"/>
            </w:pPr>
            <w:r>
              <w:rPr>
                <w:b w:val="0"/>
                <w:i w:val="0"/>
              </w:rPr>
              <w:t>□</w:t>
            </w:r>
          </w:p>
        </w:tc>
      </w:tr>
    </w:tbl>
    <w:p>
      <w:pPr>
        <w:spacing w:after="40"/>
      </w:pPr>
    </w:p>
    <w:p>
      <w:pPr>
        <w:pStyle w:val="Heading2"/>
      </w:pPr>
      <w:r>
        <w:t>Phase 3: Implementation Planning – RACI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757"/>
        <w:gridCol w:w="1928"/>
        <w:gridCol w:w="1928"/>
        <w:gridCol w:w="1871"/>
        <w:gridCol w:w="1928"/>
      </w:tblGrid>
      <w:tr>
        <w:trPr>
          <w:tblHeader/>
          <w:cantSplit/>
        </w:trPr>
        <w:tc>
          <w:tcPr>
            <w:tcW w:type="dxa" w:w="1757"/>
            <w:vAlign w:val="center"/>
            <w:shd w:fill="1F3A5F"/>
          </w:tcPr>
          <w:p>
            <w:pPr>
              <w:keepNext/>
              <w:spacing w:after="40" w:line="276" w:lineRule="auto"/>
              <w:jc w:val="left"/>
            </w:pPr>
            <w:r>
              <w:rPr>
                <w:b/>
                <w:i w:val="0"/>
                <w:color w:val="FFFFFF"/>
              </w:rPr>
              <w:t>Task / Activity</w:t>
            </w:r>
          </w:p>
        </w:tc>
        <w:tc>
          <w:tcPr>
            <w:tcW w:type="dxa" w:w="1928"/>
            <w:vAlign w:val="center"/>
            <w:shd w:fill="1F3A5F"/>
          </w:tcPr>
          <w:p>
            <w:pPr>
              <w:keepNext/>
              <w:spacing w:after="40" w:line="276" w:lineRule="auto"/>
              <w:jc w:val="left"/>
            </w:pPr>
            <w:r>
              <w:rPr>
                <w:b/>
                <w:i w:val="0"/>
                <w:color w:val="FFFFFF"/>
              </w:rPr>
              <w:t>Responsible (R)</w:t>
            </w:r>
          </w:p>
        </w:tc>
        <w:tc>
          <w:tcPr>
            <w:tcW w:type="dxa" w:w="1928"/>
            <w:vAlign w:val="center"/>
            <w:shd w:fill="1F3A5F"/>
          </w:tcPr>
          <w:p>
            <w:pPr>
              <w:keepNext/>
              <w:spacing w:after="40" w:line="276" w:lineRule="auto"/>
              <w:jc w:val="left"/>
            </w:pPr>
            <w:r>
              <w:rPr>
                <w:b/>
                <w:i w:val="0"/>
                <w:color w:val="FFFFFF"/>
              </w:rPr>
              <w:t>Accountable (A)</w:t>
            </w:r>
          </w:p>
        </w:tc>
        <w:tc>
          <w:tcPr>
            <w:tcW w:type="dxa" w:w="1871"/>
            <w:vAlign w:val="center"/>
            <w:shd w:fill="1F3A5F"/>
          </w:tcPr>
          <w:p>
            <w:pPr>
              <w:keepNext/>
              <w:spacing w:after="40" w:line="276" w:lineRule="auto"/>
              <w:jc w:val="left"/>
            </w:pPr>
            <w:r>
              <w:rPr>
                <w:b/>
                <w:i w:val="0"/>
                <w:color w:val="FFFFFF"/>
              </w:rPr>
              <w:t>Consulted (C)</w:t>
            </w:r>
          </w:p>
        </w:tc>
        <w:tc>
          <w:tcPr>
            <w:tcW w:type="dxa" w:w="1928"/>
            <w:vAlign w:val="center"/>
            <w:shd w:fill="1F3A5F"/>
          </w:tcPr>
          <w:p>
            <w:pPr>
              <w:keepNext/>
              <w:spacing w:after="40" w:line="276" w:lineRule="auto"/>
              <w:jc w:val="left"/>
            </w:pPr>
            <w:r>
              <w:rPr>
                <w:b/>
                <w:i w:val="0"/>
                <w:color w:val="FFFFFF"/>
              </w:rPr>
              <w:t>Informed (I)</w:t>
            </w:r>
          </w:p>
        </w:tc>
      </w:tr>
      <w:tr>
        <w:trPr>
          <w:cantSplit/>
        </w:trPr>
        <w:tc>
          <w:tcPr>
            <w:tcW w:type="dxa" w:w="1757"/>
            <w:vAlign w:val="center"/>
            <w:shd w:fill="FFFFFF"/>
          </w:tcPr>
          <w:p>
            <w:pPr>
              <w:spacing w:after="40" w:line="276" w:lineRule="auto"/>
              <w:jc w:val="left"/>
            </w:pPr>
            <w:r>
              <w:rPr>
                <w:b w:val="0"/>
                <w:i w:val="0"/>
              </w:rPr>
              <w:t>Translate strategic pillars into programs/​projects</w:t>
            </w:r>
          </w:p>
        </w:tc>
        <w:tc>
          <w:tcPr>
            <w:tcW w:type="dxa" w:w="1928"/>
            <w:vAlign w:val="center"/>
            <w:shd w:fill="FFFFFF"/>
          </w:tcPr>
          <w:p>
            <w:pPr>
              <w:spacing w:after="40" w:line="276" w:lineRule="auto"/>
              <w:jc w:val="left"/>
            </w:pPr>
            <w:r>
              <w:rPr>
                <w:b w:val="0"/>
                <w:i w:val="0"/>
              </w:rPr>
              <w:t>Deans, Department Heads</w:t>
            </w:r>
          </w:p>
        </w:tc>
        <w:tc>
          <w:tcPr>
            <w:tcW w:type="dxa" w:w="1928"/>
            <w:vAlign w:val="center"/>
            <w:shd w:fill="FFFFFF"/>
          </w:tcPr>
          <w:p>
            <w:pPr>
              <w:spacing w:after="40" w:line="276" w:lineRule="auto"/>
              <w:jc w:val="left"/>
            </w:pPr>
            <w:r>
              <w:rPr>
                <w:b w:val="0"/>
                <w:i w:val="0"/>
              </w:rPr>
              <w:t>Vice-Chancellor (vc)</w:t>
            </w:r>
          </w:p>
        </w:tc>
        <w:tc>
          <w:tcPr>
            <w:tcW w:type="dxa" w:w="1871"/>
            <w:vAlign w:val="center"/>
            <w:shd w:fill="FFFFFF"/>
          </w:tcPr>
          <w:p>
            <w:pPr>
              <w:spacing w:after="40" w:line="276" w:lineRule="auto"/>
              <w:jc w:val="left"/>
            </w:pPr>
            <w:r>
              <w:rPr>
                <w:b w:val="0"/>
                <w:i w:val="0"/>
              </w:rPr>
              <w:t>IQAC, Planning Cell</w:t>
            </w:r>
          </w:p>
        </w:tc>
        <w:tc>
          <w:tcPr>
            <w:tcW w:type="dxa" w:w="1928"/>
            <w:vAlign w:val="center"/>
            <w:shd w:fill="FFFFFF"/>
          </w:tcPr>
          <w:p>
            <w:pPr>
              <w:spacing w:after="40" w:line="276" w:lineRule="auto"/>
              <w:jc w:val="left"/>
            </w:pPr>
            <w:r>
              <w:rPr>
                <w:b w:val="0"/>
                <w:i w:val="0"/>
              </w:rPr>
              <w:t>Governing Body, Faculty</w:t>
            </w:r>
          </w:p>
        </w:tc>
      </w:tr>
      <w:tr>
        <w:trPr>
          <w:cantSplit/>
        </w:trPr>
        <w:tc>
          <w:tcPr>
            <w:tcW w:type="dxa" w:w="1757"/>
            <w:vAlign w:val="center"/>
            <w:shd w:fill="EDF2F7"/>
          </w:tcPr>
          <w:p>
            <w:pPr>
              <w:spacing w:after="40" w:line="276" w:lineRule="auto"/>
              <w:jc w:val="left"/>
            </w:pPr>
            <w:r>
              <w:rPr>
                <w:b w:val="0"/>
                <w:i w:val="0"/>
              </w:rPr>
              <w:t>Develop detailed action plans with milestones</w:t>
            </w:r>
          </w:p>
        </w:tc>
        <w:tc>
          <w:tcPr>
            <w:tcW w:type="dxa" w:w="1928"/>
            <w:vAlign w:val="center"/>
            <w:shd w:fill="EDF2F7"/>
          </w:tcPr>
          <w:p>
            <w:pPr>
              <w:spacing w:after="40" w:line="276" w:lineRule="auto"/>
              <w:jc w:val="left"/>
            </w:pPr>
            <w:r>
              <w:rPr>
                <w:b w:val="0"/>
                <w:i w:val="0"/>
              </w:rPr>
              <w:t>Project Leads, IQAC</w:t>
            </w:r>
          </w:p>
        </w:tc>
        <w:tc>
          <w:tcPr>
            <w:tcW w:type="dxa" w:w="1928"/>
            <w:vAlign w:val="center"/>
            <w:shd w:fill="EDF2F7"/>
          </w:tcPr>
          <w:p>
            <w:pPr>
              <w:spacing w:after="40" w:line="276" w:lineRule="auto"/>
              <w:jc w:val="left"/>
            </w:pPr>
            <w:r>
              <w:rPr>
                <w:b w:val="0"/>
                <w:i w:val="0"/>
              </w:rPr>
              <w:t>Deans</w:t>
            </w:r>
          </w:p>
        </w:tc>
        <w:tc>
          <w:tcPr>
            <w:tcW w:type="dxa" w:w="1871"/>
            <w:vAlign w:val="center"/>
            <w:shd w:fill="EDF2F7"/>
          </w:tcPr>
          <w:p>
            <w:pPr>
              <w:spacing w:after="40" w:line="276" w:lineRule="auto"/>
              <w:jc w:val="left"/>
            </w:pPr>
            <w:r>
              <w:rPr>
                <w:b w:val="0"/>
                <w:i w:val="0"/>
              </w:rPr>
              <w:t>Institutional Research Office, Industry Experts</w:t>
            </w:r>
          </w:p>
        </w:tc>
        <w:tc>
          <w:tcPr>
            <w:tcW w:type="dxa" w:w="1928"/>
            <w:vAlign w:val="center"/>
            <w:shd w:fill="EDF2F7"/>
          </w:tcPr>
          <w:p>
            <w:pPr>
              <w:spacing w:after="40" w:line="276" w:lineRule="auto"/>
              <w:jc w:val="left"/>
            </w:pPr>
            <w:r>
              <w:rPr>
                <w:b w:val="0"/>
                <w:i w:val="0"/>
              </w:rPr>
              <w:t>Students, Staff</w:t>
            </w:r>
          </w:p>
        </w:tc>
      </w:tr>
      <w:tr>
        <w:trPr>
          <w:cantSplit/>
        </w:trPr>
        <w:tc>
          <w:tcPr>
            <w:tcW w:type="dxa" w:w="1757"/>
            <w:vAlign w:val="center"/>
            <w:shd w:fill="FFFFFF"/>
          </w:tcPr>
          <w:p>
            <w:pPr>
              <w:spacing w:after="40" w:line="276" w:lineRule="auto"/>
              <w:jc w:val="left"/>
            </w:pPr>
            <w:r>
              <w:rPr>
                <w:b w:val="0"/>
                <w:i w:val="0"/>
              </w:rPr>
              <w:t>Prioritize initiatives (short/​medium/​long-term)</w:t>
            </w:r>
          </w:p>
        </w:tc>
        <w:tc>
          <w:tcPr>
            <w:tcW w:type="dxa" w:w="1928"/>
            <w:vAlign w:val="center"/>
            <w:shd w:fill="FFFFFF"/>
          </w:tcPr>
          <w:p>
            <w:pPr>
              <w:spacing w:after="40" w:line="276" w:lineRule="auto"/>
              <w:jc w:val="left"/>
            </w:pPr>
            <w:r>
              <w:rPr>
                <w:b w:val="0"/>
                <w:i w:val="0"/>
              </w:rPr>
              <w:t>Planning Cell</w:t>
            </w:r>
          </w:p>
        </w:tc>
        <w:tc>
          <w:tcPr>
            <w:tcW w:type="dxa" w:w="1928"/>
            <w:vAlign w:val="center"/>
            <w:shd w:fill="FFFFFF"/>
          </w:tcPr>
          <w:p>
            <w:pPr>
              <w:spacing w:after="40" w:line="276" w:lineRule="auto"/>
              <w:jc w:val="left"/>
            </w:pPr>
            <w:r>
              <w:rPr>
                <w:b w:val="0"/>
                <w:i w:val="0"/>
              </w:rPr>
              <w:t>VC + Steering Committee</w:t>
            </w:r>
          </w:p>
        </w:tc>
        <w:tc>
          <w:tcPr>
            <w:tcW w:type="dxa" w:w="1871"/>
            <w:vAlign w:val="center"/>
            <w:shd w:fill="FFFFFF"/>
          </w:tcPr>
          <w:p>
            <w:pPr>
              <w:spacing w:after="40" w:line="276" w:lineRule="auto"/>
              <w:jc w:val="left"/>
            </w:pPr>
            <w:r>
              <w:rPr>
                <w:b w:val="0"/>
                <w:i w:val="0"/>
              </w:rPr>
              <w:t>Finance Office, Deans</w:t>
            </w:r>
          </w:p>
        </w:tc>
        <w:tc>
          <w:tcPr>
            <w:tcW w:type="dxa" w:w="1928"/>
            <w:vAlign w:val="center"/>
            <w:shd w:fill="FFFFFF"/>
          </w:tcPr>
          <w:p>
            <w:pPr>
              <w:spacing w:after="40" w:line="276" w:lineRule="auto"/>
              <w:jc w:val="left"/>
            </w:pPr>
            <w:r>
              <w:rPr>
                <w:b w:val="0"/>
                <w:i w:val="0"/>
              </w:rPr>
              <w:t>Governing Body</w:t>
            </w:r>
          </w:p>
        </w:tc>
      </w:tr>
      <w:tr>
        <w:trPr>
          <w:cantSplit/>
        </w:trPr>
        <w:tc>
          <w:tcPr>
            <w:tcW w:type="dxa" w:w="1757"/>
            <w:vAlign w:val="center"/>
            <w:shd w:fill="EDF2F7"/>
          </w:tcPr>
          <w:p>
            <w:pPr>
              <w:spacing w:after="40" w:line="276" w:lineRule="auto"/>
              <w:jc w:val="left"/>
            </w:pPr>
            <w:r>
              <w:rPr>
                <w:b w:val="0"/>
                <w:i w:val="0"/>
              </w:rPr>
              <w:t>Budget allocation &amp; financial planning</w:t>
            </w:r>
          </w:p>
        </w:tc>
        <w:tc>
          <w:tcPr>
            <w:tcW w:type="dxa" w:w="1928"/>
            <w:vAlign w:val="center"/>
            <w:shd w:fill="EDF2F7"/>
          </w:tcPr>
          <w:p>
            <w:pPr>
              <w:spacing w:after="40" w:line="276" w:lineRule="auto"/>
              <w:jc w:val="left"/>
            </w:pPr>
            <w:r>
              <w:rPr>
                <w:b w:val="0"/>
                <w:i w:val="0"/>
              </w:rPr>
              <w:t>Finance Office</w:t>
            </w:r>
          </w:p>
        </w:tc>
        <w:tc>
          <w:tcPr>
            <w:tcW w:type="dxa" w:w="1928"/>
            <w:vAlign w:val="center"/>
            <w:shd w:fill="EDF2F7"/>
          </w:tcPr>
          <w:p>
            <w:pPr>
              <w:spacing w:after="40" w:line="276" w:lineRule="auto"/>
              <w:jc w:val="left"/>
            </w:pPr>
            <w:r>
              <w:rPr>
                <w:b w:val="0"/>
                <w:i w:val="0"/>
              </w:rPr>
              <w:t>Registrar</w:t>
            </w:r>
          </w:p>
        </w:tc>
        <w:tc>
          <w:tcPr>
            <w:tcW w:type="dxa" w:w="1871"/>
            <w:vAlign w:val="center"/>
            <w:shd w:fill="EDF2F7"/>
          </w:tcPr>
          <w:p>
            <w:pPr>
              <w:spacing w:after="40" w:line="276" w:lineRule="auto"/>
              <w:jc w:val="left"/>
            </w:pPr>
            <w:r>
              <w:rPr>
                <w:b w:val="0"/>
                <w:i w:val="0"/>
              </w:rPr>
              <w:t>CSR Partners, Alumni Office</w:t>
            </w:r>
          </w:p>
        </w:tc>
        <w:tc>
          <w:tcPr>
            <w:tcW w:type="dxa" w:w="1928"/>
            <w:vAlign w:val="center"/>
            <w:shd w:fill="EDF2F7"/>
          </w:tcPr>
          <w:p>
            <w:pPr>
              <w:spacing w:after="40" w:line="276" w:lineRule="auto"/>
              <w:jc w:val="left"/>
            </w:pPr>
            <w:r>
              <w:rPr>
                <w:b w:val="0"/>
                <w:i w:val="0"/>
              </w:rPr>
              <w:t>Governing Body, Departments</w:t>
            </w:r>
          </w:p>
        </w:tc>
      </w:tr>
      <w:tr>
        <w:trPr>
          <w:cantSplit/>
        </w:trPr>
        <w:tc>
          <w:tcPr>
            <w:tcW w:type="dxa" w:w="1757"/>
            <w:vAlign w:val="center"/>
            <w:shd w:fill="FFFFFF"/>
          </w:tcPr>
          <w:p>
            <w:pPr>
              <w:spacing w:after="40" w:line="276" w:lineRule="auto"/>
              <w:jc w:val="left"/>
            </w:pPr>
            <w:r>
              <w:rPr>
                <w:b w:val="0"/>
                <w:i w:val="0"/>
              </w:rPr>
              <w:t>Manpower assignment (RACI workload mapping)</w:t>
            </w:r>
          </w:p>
        </w:tc>
        <w:tc>
          <w:tcPr>
            <w:tcW w:type="dxa" w:w="1928"/>
            <w:vAlign w:val="center"/>
            <w:shd w:fill="FFFFFF"/>
          </w:tcPr>
          <w:p>
            <w:pPr>
              <w:spacing w:after="40" w:line="276" w:lineRule="auto"/>
              <w:jc w:val="left"/>
            </w:pPr>
            <w:r>
              <w:rPr>
                <w:b w:val="0"/>
                <w:i w:val="0"/>
              </w:rPr>
              <w:t>HR Office, Department Heads</w:t>
            </w:r>
          </w:p>
        </w:tc>
        <w:tc>
          <w:tcPr>
            <w:tcW w:type="dxa" w:w="1928"/>
            <w:vAlign w:val="center"/>
            <w:shd w:fill="FFFFFF"/>
          </w:tcPr>
          <w:p>
            <w:pPr>
              <w:spacing w:after="40" w:line="276" w:lineRule="auto"/>
              <w:jc w:val="left"/>
            </w:pPr>
            <w:r>
              <w:rPr>
                <w:b w:val="0"/>
                <w:i w:val="0"/>
              </w:rPr>
              <w:t>Registrar</w:t>
            </w:r>
          </w:p>
        </w:tc>
        <w:tc>
          <w:tcPr>
            <w:tcW w:type="dxa" w:w="1871"/>
            <w:vAlign w:val="center"/>
            <w:shd w:fill="FFFFFF"/>
          </w:tcPr>
          <w:p>
            <w:pPr>
              <w:spacing w:after="40" w:line="276" w:lineRule="auto"/>
              <w:jc w:val="left"/>
            </w:pPr>
            <w:r>
              <w:rPr>
                <w:b w:val="0"/>
                <w:i w:val="0"/>
              </w:rPr>
              <w:t>Deans, IQAC</w:t>
            </w:r>
          </w:p>
        </w:tc>
        <w:tc>
          <w:tcPr>
            <w:tcW w:type="dxa" w:w="1928"/>
            <w:vAlign w:val="center"/>
            <w:shd w:fill="FFFFFF"/>
          </w:tcPr>
          <w:p>
            <w:pPr>
              <w:spacing w:after="40" w:line="276" w:lineRule="auto"/>
              <w:jc w:val="left"/>
            </w:pPr>
            <w:r>
              <w:rPr>
                <w:b w:val="0"/>
                <w:i w:val="0"/>
              </w:rPr>
              <w:t>Faculty, Staff</w:t>
            </w:r>
          </w:p>
        </w:tc>
      </w:tr>
      <w:tr>
        <w:trPr>
          <w:cantSplit/>
        </w:trPr>
        <w:tc>
          <w:tcPr>
            <w:tcW w:type="dxa" w:w="1757"/>
            <w:vAlign w:val="center"/>
            <w:shd w:fill="EDF2F7"/>
          </w:tcPr>
          <w:p>
            <w:pPr>
              <w:spacing w:after="40" w:line="276" w:lineRule="auto"/>
              <w:jc w:val="left"/>
            </w:pPr>
            <w:r>
              <w:rPr>
                <w:b w:val="0"/>
                <w:i w:val="0"/>
              </w:rPr>
              <w:t>Infrastructure upgrades (labs, ICT, green campus)</w:t>
            </w:r>
          </w:p>
        </w:tc>
        <w:tc>
          <w:tcPr>
            <w:tcW w:type="dxa" w:w="1928"/>
            <w:vAlign w:val="center"/>
            <w:shd w:fill="EDF2F7"/>
          </w:tcPr>
          <w:p>
            <w:pPr>
              <w:spacing w:after="40" w:line="276" w:lineRule="auto"/>
              <w:jc w:val="left"/>
            </w:pPr>
            <w:r>
              <w:rPr>
                <w:b w:val="0"/>
                <w:i w:val="0"/>
              </w:rPr>
              <w:t>Infra Committee, IT Services</w:t>
            </w:r>
          </w:p>
        </w:tc>
        <w:tc>
          <w:tcPr>
            <w:tcW w:type="dxa" w:w="1928"/>
            <w:vAlign w:val="center"/>
            <w:shd w:fill="EDF2F7"/>
          </w:tcPr>
          <w:p>
            <w:pPr>
              <w:spacing w:after="40" w:line="276" w:lineRule="auto"/>
              <w:jc w:val="left"/>
            </w:pPr>
            <w:r>
              <w:rPr>
                <w:b w:val="0"/>
                <w:i w:val="0"/>
              </w:rPr>
              <w:t>Registrar</w:t>
            </w:r>
          </w:p>
        </w:tc>
        <w:tc>
          <w:tcPr>
            <w:tcW w:type="dxa" w:w="1871"/>
            <w:vAlign w:val="center"/>
            <w:shd w:fill="EDF2F7"/>
          </w:tcPr>
          <w:p>
            <w:pPr>
              <w:spacing w:after="40" w:line="276" w:lineRule="auto"/>
              <w:jc w:val="left"/>
            </w:pPr>
            <w:r>
              <w:rPr>
                <w:b w:val="0"/>
                <w:i w:val="0"/>
              </w:rPr>
              <w:t>Sustainability Office, External Vendors</w:t>
            </w:r>
          </w:p>
        </w:tc>
        <w:tc>
          <w:tcPr>
            <w:tcW w:type="dxa" w:w="1928"/>
            <w:vAlign w:val="center"/>
            <w:shd w:fill="EDF2F7"/>
          </w:tcPr>
          <w:p>
            <w:pPr>
              <w:spacing w:after="40" w:line="276" w:lineRule="auto"/>
              <w:jc w:val="left"/>
            </w:pPr>
            <w:r>
              <w:rPr>
                <w:b w:val="0"/>
                <w:i w:val="0"/>
              </w:rPr>
              <w:t>Students, Staff</w:t>
            </w:r>
          </w:p>
        </w:tc>
      </w:tr>
      <w:tr>
        <w:trPr>
          <w:cantSplit/>
        </w:trPr>
        <w:tc>
          <w:tcPr>
            <w:tcW w:type="dxa" w:w="1757"/>
            <w:vAlign w:val="center"/>
            <w:shd w:fill="FFFFFF"/>
          </w:tcPr>
          <w:p>
            <w:pPr>
              <w:spacing w:after="40" w:line="276" w:lineRule="auto"/>
              <w:jc w:val="left"/>
            </w:pPr>
            <w:r>
              <w:rPr>
                <w:b w:val="0"/>
                <w:i w:val="0"/>
              </w:rPr>
              <w:t>Governance &amp; monitoring committee setup</w:t>
            </w:r>
          </w:p>
        </w:tc>
        <w:tc>
          <w:tcPr>
            <w:tcW w:type="dxa" w:w="1928"/>
            <w:vAlign w:val="center"/>
            <w:shd w:fill="FFFFFF"/>
          </w:tcPr>
          <w:p>
            <w:pPr>
              <w:spacing w:after="40" w:line="276" w:lineRule="auto"/>
              <w:jc w:val="left"/>
            </w:pPr>
            <w:r>
              <w:rPr>
                <w:b w:val="0"/>
                <w:i w:val="0"/>
              </w:rPr>
              <w:t>IQAC</w:t>
            </w:r>
          </w:p>
        </w:tc>
        <w:tc>
          <w:tcPr>
            <w:tcW w:type="dxa" w:w="1928"/>
            <w:vAlign w:val="center"/>
            <w:shd w:fill="FFFFFF"/>
          </w:tcPr>
          <w:p>
            <w:pPr>
              <w:spacing w:after="40" w:line="276" w:lineRule="auto"/>
              <w:jc w:val="left"/>
            </w:pPr>
            <w:r>
              <w:rPr>
                <w:b w:val="0"/>
                <w:i w:val="0"/>
              </w:rPr>
              <w:t>vc + Governing Body</w:t>
            </w:r>
          </w:p>
        </w:tc>
        <w:tc>
          <w:tcPr>
            <w:tcW w:type="dxa" w:w="1871"/>
            <w:vAlign w:val="center"/>
            <w:shd w:fill="FFFFFF"/>
          </w:tcPr>
          <w:p>
            <w:pPr>
              <w:spacing w:after="40" w:line="276" w:lineRule="auto"/>
              <w:jc w:val="left"/>
            </w:pPr>
            <w:r>
              <w:rPr>
                <w:b w:val="0"/>
                <w:i w:val="0"/>
              </w:rPr>
              <w:t>Deans, Academic Council</w:t>
            </w:r>
          </w:p>
        </w:tc>
        <w:tc>
          <w:tcPr>
            <w:tcW w:type="dxa" w:w="1928"/>
            <w:vAlign w:val="center"/>
            <w:shd w:fill="FFFFFF"/>
          </w:tcPr>
          <w:p>
            <w:pPr>
              <w:spacing w:after="40" w:line="276" w:lineRule="auto"/>
              <w:jc w:val="left"/>
            </w:pPr>
            <w:r>
              <w:rPr>
                <w:b w:val="0"/>
                <w:i w:val="0"/>
              </w:rPr>
              <w:t>All Stakeholders</w:t>
            </w:r>
          </w:p>
        </w:tc>
      </w:tr>
      <w:tr>
        <w:trPr>
          <w:cantSplit/>
        </w:trPr>
        <w:tc>
          <w:tcPr>
            <w:tcW w:type="dxa" w:w="1757"/>
            <w:vAlign w:val="center"/>
            <w:shd w:fill="EDF2F7"/>
          </w:tcPr>
          <w:p>
            <w:pPr>
              <w:spacing w:after="40" w:line="276" w:lineRule="auto"/>
              <w:jc w:val="left"/>
            </w:pPr>
            <w:r>
              <w:rPr>
                <w:b w:val="0"/>
                <w:i w:val="0"/>
              </w:rPr>
              <w:t>Define KPIs &amp; performance indicators</w:t>
            </w:r>
          </w:p>
        </w:tc>
        <w:tc>
          <w:tcPr>
            <w:tcW w:type="dxa" w:w="1928"/>
            <w:vAlign w:val="center"/>
            <w:shd w:fill="EDF2F7"/>
          </w:tcPr>
          <w:p>
            <w:pPr>
              <w:spacing w:after="40" w:line="276" w:lineRule="auto"/>
              <w:jc w:val="left"/>
            </w:pPr>
            <w:r>
              <w:rPr>
                <w:b w:val="0"/>
                <w:i w:val="0"/>
              </w:rPr>
              <w:t>Institutional Research Office</w:t>
            </w:r>
          </w:p>
        </w:tc>
        <w:tc>
          <w:tcPr>
            <w:tcW w:type="dxa" w:w="1928"/>
            <w:vAlign w:val="center"/>
            <w:shd w:fill="EDF2F7"/>
          </w:tcPr>
          <w:p>
            <w:pPr>
              <w:spacing w:after="40" w:line="276" w:lineRule="auto"/>
              <w:jc w:val="left"/>
            </w:pPr>
            <w:r>
              <w:rPr>
                <w:b w:val="0"/>
                <w:i w:val="0"/>
              </w:rPr>
              <w:t>IQAC</w:t>
            </w:r>
          </w:p>
        </w:tc>
        <w:tc>
          <w:tcPr>
            <w:tcW w:type="dxa" w:w="1871"/>
            <w:vAlign w:val="center"/>
            <w:shd w:fill="EDF2F7"/>
          </w:tcPr>
          <w:p>
            <w:pPr>
              <w:spacing w:after="40" w:line="276" w:lineRule="auto"/>
              <w:jc w:val="left"/>
            </w:pPr>
            <w:r>
              <w:rPr>
                <w:b w:val="0"/>
                <w:i w:val="0"/>
              </w:rPr>
              <w:t>Deans, External Accreditation Experts</w:t>
            </w:r>
          </w:p>
        </w:tc>
        <w:tc>
          <w:tcPr>
            <w:tcW w:type="dxa" w:w="1928"/>
            <w:vAlign w:val="center"/>
            <w:shd w:fill="EDF2F7"/>
          </w:tcPr>
          <w:p>
            <w:pPr>
              <w:spacing w:after="40" w:line="276" w:lineRule="auto"/>
              <w:jc w:val="left"/>
            </w:pPr>
            <w:r>
              <w:rPr>
                <w:b w:val="0"/>
                <w:i w:val="0"/>
              </w:rPr>
              <w:t>Governing Body, Faculty</w:t>
            </w:r>
          </w:p>
        </w:tc>
      </w:tr>
      <w:tr>
        <w:trPr>
          <w:cantSplit/>
        </w:trPr>
        <w:tc>
          <w:tcPr>
            <w:tcW w:type="dxa" w:w="1757"/>
            <w:vAlign w:val="center"/>
            <w:shd w:fill="FFFFFF"/>
          </w:tcPr>
          <w:p>
            <w:pPr>
              <w:spacing w:after="40" w:line="276" w:lineRule="auto"/>
              <w:jc w:val="left"/>
            </w:pPr>
            <w:r>
              <w:rPr>
                <w:b w:val="0"/>
                <w:i w:val="0"/>
              </w:rPr>
              <w:t>Set up ERP dashboards &amp; monitoring tools</w:t>
            </w:r>
          </w:p>
        </w:tc>
        <w:tc>
          <w:tcPr>
            <w:tcW w:type="dxa" w:w="1928"/>
            <w:vAlign w:val="center"/>
            <w:shd w:fill="FFFFFF"/>
          </w:tcPr>
          <w:p>
            <w:pPr>
              <w:spacing w:after="40" w:line="276" w:lineRule="auto"/>
              <w:jc w:val="left"/>
            </w:pPr>
            <w:r>
              <w:rPr>
                <w:b w:val="0"/>
                <w:i w:val="0"/>
              </w:rPr>
              <w:t>IT Services, IQAC</w:t>
            </w:r>
          </w:p>
        </w:tc>
        <w:tc>
          <w:tcPr>
            <w:tcW w:type="dxa" w:w="1928"/>
            <w:vAlign w:val="center"/>
            <w:shd w:fill="FFFFFF"/>
          </w:tcPr>
          <w:p>
            <w:pPr>
              <w:spacing w:after="40" w:line="276" w:lineRule="auto"/>
              <w:jc w:val="left"/>
            </w:pPr>
            <w:r>
              <w:rPr>
                <w:b w:val="0"/>
                <w:i w:val="0"/>
              </w:rPr>
              <w:t>Registrar</w:t>
            </w:r>
          </w:p>
        </w:tc>
        <w:tc>
          <w:tcPr>
            <w:tcW w:type="dxa" w:w="1871"/>
            <w:vAlign w:val="center"/>
            <w:shd w:fill="FFFFFF"/>
          </w:tcPr>
          <w:p>
            <w:pPr>
              <w:spacing w:after="40" w:line="276" w:lineRule="auto"/>
              <w:jc w:val="left"/>
            </w:pPr>
            <w:r>
              <w:rPr>
                <w:b w:val="0"/>
                <w:i w:val="0"/>
              </w:rPr>
              <w:t>External Consultants, Accreditation Cell</w:t>
            </w:r>
          </w:p>
        </w:tc>
        <w:tc>
          <w:tcPr>
            <w:tcW w:type="dxa" w:w="1928"/>
            <w:vAlign w:val="center"/>
            <w:shd w:fill="FFFFFF"/>
          </w:tcPr>
          <w:p>
            <w:pPr>
              <w:spacing w:after="40" w:line="276" w:lineRule="auto"/>
              <w:jc w:val="left"/>
            </w:pPr>
            <w:r>
              <w:rPr>
                <w:b w:val="0"/>
                <w:i w:val="0"/>
              </w:rPr>
              <w:t>Departments, Staff</w:t>
            </w:r>
          </w:p>
        </w:tc>
      </w:tr>
      <w:tr>
        <w:trPr>
          <w:cantSplit/>
        </w:trPr>
        <w:tc>
          <w:tcPr>
            <w:tcW w:type="dxa" w:w="1757"/>
            <w:vAlign w:val="center"/>
            <w:shd w:fill="EDF2F7"/>
          </w:tcPr>
          <w:p>
            <w:pPr>
              <w:spacing w:after="40" w:line="276" w:lineRule="auto"/>
              <w:jc w:val="left"/>
            </w:pPr>
            <w:r>
              <w:rPr>
                <w:b w:val="0"/>
                <w:i w:val="0"/>
              </w:rPr>
              <w:t>Risk identification &amp; mitigation</w:t>
            </w:r>
          </w:p>
        </w:tc>
        <w:tc>
          <w:tcPr>
            <w:tcW w:type="dxa" w:w="1928"/>
            <w:vAlign w:val="center"/>
            <w:shd w:fill="EDF2F7"/>
          </w:tcPr>
          <w:p>
            <w:pPr>
              <w:spacing w:after="40" w:line="276" w:lineRule="auto"/>
              <w:jc w:val="left"/>
            </w:pPr>
            <w:r>
              <w:rPr>
                <w:b w:val="0"/>
                <w:i w:val="0"/>
              </w:rPr>
              <w:t>Risk Management Committee</w:t>
            </w:r>
          </w:p>
        </w:tc>
        <w:tc>
          <w:tcPr>
            <w:tcW w:type="dxa" w:w="1928"/>
            <w:vAlign w:val="center"/>
            <w:shd w:fill="EDF2F7"/>
          </w:tcPr>
          <w:p>
            <w:pPr>
              <w:spacing w:after="40" w:line="276" w:lineRule="auto"/>
              <w:jc w:val="left"/>
            </w:pPr>
            <w:r>
              <w:rPr>
                <w:b w:val="0"/>
                <w:i w:val="0"/>
              </w:rPr>
              <w:t>vc</w:t>
            </w:r>
          </w:p>
        </w:tc>
        <w:tc>
          <w:tcPr>
            <w:tcW w:type="dxa" w:w="1871"/>
            <w:vAlign w:val="center"/>
            <w:shd w:fill="EDF2F7"/>
          </w:tcPr>
          <w:p>
            <w:pPr>
              <w:spacing w:after="40" w:line="276" w:lineRule="auto"/>
              <w:jc w:val="left"/>
            </w:pPr>
            <w:r>
              <w:rPr>
                <w:b w:val="0"/>
                <w:i w:val="0"/>
              </w:rPr>
              <w:t>Finance Office, HR, Infra Committee</w:t>
            </w:r>
          </w:p>
        </w:tc>
        <w:tc>
          <w:tcPr>
            <w:tcW w:type="dxa" w:w="1928"/>
            <w:vAlign w:val="center"/>
            <w:shd w:fill="EDF2F7"/>
          </w:tcPr>
          <w:p>
            <w:pPr>
              <w:spacing w:after="40" w:line="276" w:lineRule="auto"/>
              <w:jc w:val="left"/>
            </w:pPr>
            <w:r>
              <w:rPr>
                <w:b w:val="0"/>
                <w:i w:val="0"/>
              </w:rPr>
              <w:t>Governing Body</w:t>
            </w:r>
          </w:p>
        </w:tc>
      </w:tr>
      <w:tr>
        <w:trPr>
          <w:cantSplit/>
        </w:trPr>
        <w:tc>
          <w:tcPr>
            <w:tcW w:type="dxa" w:w="1757"/>
            <w:vAlign w:val="center"/>
            <w:shd w:fill="FFFFFF"/>
          </w:tcPr>
          <w:p>
            <w:pPr>
              <w:spacing w:after="40" w:line="276" w:lineRule="auto"/>
              <w:jc w:val="left"/>
            </w:pPr>
            <w:r>
              <w:rPr>
                <w:b w:val="0"/>
                <w:i w:val="0"/>
              </w:rPr>
              <w:t>Communication &amp; stakeholder engagement</w:t>
            </w:r>
          </w:p>
        </w:tc>
        <w:tc>
          <w:tcPr>
            <w:tcW w:type="dxa" w:w="1928"/>
            <w:vAlign w:val="center"/>
            <w:shd w:fill="FFFFFF"/>
          </w:tcPr>
          <w:p>
            <w:pPr>
              <w:spacing w:after="40" w:line="276" w:lineRule="auto"/>
              <w:jc w:val="left"/>
            </w:pPr>
            <w:r>
              <w:rPr>
                <w:b w:val="0"/>
                <w:i w:val="0"/>
              </w:rPr>
              <w:t>PR office</w:t>
            </w:r>
          </w:p>
        </w:tc>
        <w:tc>
          <w:tcPr>
            <w:tcW w:type="dxa" w:w="1928"/>
            <w:vAlign w:val="center"/>
            <w:shd w:fill="FFFFFF"/>
          </w:tcPr>
          <w:p>
            <w:pPr>
              <w:spacing w:after="40" w:line="276" w:lineRule="auto"/>
              <w:jc w:val="left"/>
            </w:pPr>
            <w:r>
              <w:rPr>
                <w:b w:val="0"/>
                <w:i w:val="0"/>
              </w:rPr>
              <w:t>Registrar</w:t>
            </w:r>
          </w:p>
        </w:tc>
        <w:tc>
          <w:tcPr>
            <w:tcW w:type="dxa" w:w="1871"/>
            <w:vAlign w:val="center"/>
            <w:shd w:fill="FFFFFF"/>
          </w:tcPr>
          <w:p>
            <w:pPr>
              <w:spacing w:after="40" w:line="276" w:lineRule="auto"/>
              <w:jc w:val="left"/>
            </w:pPr>
            <w:r>
              <w:rPr>
                <w:b w:val="0"/>
                <w:i w:val="0"/>
              </w:rPr>
              <w:t>Deans, Student Council, Alumni Relations</w:t>
            </w:r>
          </w:p>
        </w:tc>
        <w:tc>
          <w:tcPr>
            <w:tcW w:type="dxa" w:w="1928"/>
            <w:vAlign w:val="center"/>
            <w:shd w:fill="FFFFFF"/>
          </w:tcPr>
          <w:p>
            <w:pPr>
              <w:spacing w:after="40" w:line="276" w:lineRule="auto"/>
              <w:jc w:val="left"/>
            </w:pPr>
            <w:r>
              <w:rPr>
                <w:b w:val="0"/>
                <w:i w:val="0"/>
              </w:rPr>
              <w:t>Students, Community</w:t>
            </w:r>
          </w:p>
        </w:tc>
      </w:tr>
      <w:tr>
        <w:trPr>
          <w:cantSplit/>
        </w:trPr>
        <w:tc>
          <w:tcPr>
            <w:tcW w:type="dxa" w:w="1757"/>
            <w:vAlign w:val="center"/>
            <w:shd w:fill="EDF2F7"/>
          </w:tcPr>
          <w:p>
            <w:pPr>
              <w:spacing w:after="40" w:line="276" w:lineRule="auto"/>
              <w:jc w:val="left"/>
            </w:pPr>
            <w:r>
              <w:rPr>
                <w:b w:val="0"/>
                <w:i w:val="0"/>
              </w:rPr>
              <w:t>Quarterly &amp; annual reviews</w:t>
            </w:r>
          </w:p>
        </w:tc>
        <w:tc>
          <w:tcPr>
            <w:tcW w:type="dxa" w:w="1928"/>
            <w:vAlign w:val="center"/>
            <w:shd w:fill="EDF2F7"/>
          </w:tcPr>
          <w:p>
            <w:pPr>
              <w:spacing w:after="40" w:line="276" w:lineRule="auto"/>
              <w:jc w:val="left"/>
            </w:pPr>
            <w:r>
              <w:rPr>
                <w:b w:val="0"/>
                <w:i w:val="0"/>
              </w:rPr>
              <w:t>IQAC, Project Leads</w:t>
            </w:r>
          </w:p>
        </w:tc>
        <w:tc>
          <w:tcPr>
            <w:tcW w:type="dxa" w:w="1928"/>
            <w:vAlign w:val="center"/>
            <w:shd w:fill="EDF2F7"/>
          </w:tcPr>
          <w:p>
            <w:pPr>
              <w:spacing w:after="40" w:line="276" w:lineRule="auto"/>
              <w:jc w:val="left"/>
            </w:pPr>
            <w:r>
              <w:rPr>
                <w:b w:val="0"/>
                <w:i w:val="0"/>
              </w:rPr>
              <w:t>Governing Body</w:t>
            </w:r>
          </w:p>
        </w:tc>
        <w:tc>
          <w:tcPr>
            <w:tcW w:type="dxa" w:w="1871"/>
            <w:vAlign w:val="center"/>
            <w:shd w:fill="EDF2F7"/>
          </w:tcPr>
          <w:p>
            <w:pPr>
              <w:spacing w:after="40" w:line="276" w:lineRule="auto"/>
              <w:jc w:val="left"/>
            </w:pPr>
            <w:r>
              <w:rPr>
                <w:b w:val="0"/>
                <w:i w:val="0"/>
              </w:rPr>
              <w:t>External Auditors, Accreditation Agencies</w:t>
            </w:r>
          </w:p>
        </w:tc>
        <w:tc>
          <w:tcPr>
            <w:tcW w:type="dxa" w:w="1928"/>
            <w:vAlign w:val="center"/>
            <w:shd w:fill="EDF2F7"/>
          </w:tcPr>
          <w:p>
            <w:pPr>
              <w:spacing w:after="40" w:line="276" w:lineRule="auto"/>
              <w:jc w:val="left"/>
            </w:pPr>
            <w:r>
              <w:rPr>
                <w:b w:val="0"/>
                <w:i w:val="0"/>
              </w:rPr>
              <w:t>All Stakeholders</w:t>
            </w:r>
          </w:p>
        </w:tc>
      </w:tr>
      <w:tr>
        <w:trPr>
          <w:cantSplit/>
        </w:trPr>
        <w:tc>
          <w:tcPr>
            <w:tcW w:type="dxa" w:w="1757"/>
            <w:vAlign w:val="center"/>
            <w:shd w:fill="FFFFFF"/>
          </w:tcPr>
          <w:p>
            <w:pPr>
              <w:spacing w:after="40" w:line="276" w:lineRule="auto"/>
              <w:jc w:val="left"/>
            </w:pPr>
            <w:r>
              <w:rPr>
                <w:b w:val="0"/>
                <w:i w:val="0"/>
              </w:rPr>
              <w:t>Celebration &amp; dissemination of achievements</w:t>
            </w:r>
          </w:p>
        </w:tc>
        <w:tc>
          <w:tcPr>
            <w:tcW w:type="dxa" w:w="1928"/>
            <w:vAlign w:val="center"/>
            <w:shd w:fill="FFFFFF"/>
          </w:tcPr>
          <w:p>
            <w:pPr>
              <w:spacing w:after="40" w:line="276" w:lineRule="auto"/>
              <w:jc w:val="left"/>
            </w:pPr>
            <w:r>
              <w:rPr>
                <w:b w:val="0"/>
                <w:i w:val="0"/>
              </w:rPr>
              <w:t>PR Office, Leadership</w:t>
            </w:r>
          </w:p>
        </w:tc>
        <w:tc>
          <w:tcPr>
            <w:tcW w:type="dxa" w:w="1928"/>
            <w:vAlign w:val="center"/>
            <w:shd w:fill="FFFFFF"/>
          </w:tcPr>
          <w:p>
            <w:pPr>
              <w:spacing w:after="40" w:line="276" w:lineRule="auto"/>
              <w:jc w:val="left"/>
            </w:pPr>
            <w:r>
              <w:rPr>
                <w:b w:val="0"/>
                <w:i w:val="0"/>
              </w:rPr>
              <w:t>vc</w:t>
            </w:r>
          </w:p>
        </w:tc>
        <w:tc>
          <w:tcPr>
            <w:tcW w:type="dxa" w:w="1871"/>
            <w:vAlign w:val="center"/>
            <w:shd w:fill="FFFFFF"/>
          </w:tcPr>
          <w:p>
            <w:pPr>
              <w:spacing w:after="40" w:line="276" w:lineRule="auto"/>
              <w:jc w:val="left"/>
            </w:pPr>
            <w:r>
              <w:rPr>
                <w:b w:val="0"/>
                <w:i w:val="0"/>
              </w:rPr>
              <w:t>Alumni Office, Deans</w:t>
            </w:r>
          </w:p>
        </w:tc>
        <w:tc>
          <w:tcPr>
            <w:tcW w:type="dxa" w:w="1928"/>
            <w:vAlign w:val="center"/>
            <w:shd w:fill="FFFFFF"/>
          </w:tcPr>
          <w:p>
            <w:pPr>
              <w:spacing w:after="40" w:line="276" w:lineRule="auto"/>
              <w:jc w:val="left"/>
            </w:pPr>
            <w:r>
              <w:rPr>
                <w:b w:val="0"/>
                <w:i w:val="0"/>
              </w:rPr>
              <w:t>Students, Public</w:t>
            </w:r>
          </w:p>
        </w:tc>
      </w:tr>
    </w:tbl>
    <w:p>
      <w:pPr>
        <w:spacing w:after="40"/>
      </w:pPr>
    </w:p>
    <w:p>
      <w:pPr>
        <w:pStyle w:val="Heading2"/>
      </w:pPr>
      <w:r>
        <w:t>Phase 3: Balanced Scorecard – Implementation Planning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757"/>
        <w:gridCol w:w="1928"/>
        <w:gridCol w:w="1928"/>
        <w:gridCol w:w="1871"/>
        <w:gridCol w:w="1928"/>
      </w:tblGrid>
      <w:tr>
        <w:trPr>
          <w:tblHeader/>
          <w:cantSplit/>
        </w:trPr>
        <w:tc>
          <w:tcPr>
            <w:tcW w:type="dxa" w:w="1757"/>
            <w:vAlign w:val="center"/>
            <w:shd w:fill="1F3A5F"/>
          </w:tcPr>
          <w:p>
            <w:pPr>
              <w:keepNext/>
              <w:spacing w:after="40" w:line="276" w:lineRule="auto"/>
              <w:jc w:val="left"/>
            </w:pPr>
            <w:r>
              <w:rPr>
                <w:b/>
                <w:i w:val="0"/>
                <w:color w:val="FFFFFF"/>
              </w:rPr>
              <w:t>Perspective</w:t>
            </w:r>
          </w:p>
        </w:tc>
        <w:tc>
          <w:tcPr>
            <w:tcW w:type="dxa" w:w="1928"/>
            <w:vAlign w:val="center"/>
            <w:shd w:fill="1F3A5F"/>
          </w:tcPr>
          <w:p>
            <w:pPr>
              <w:keepNext/>
              <w:spacing w:after="40" w:line="276" w:lineRule="auto"/>
              <w:jc w:val="left"/>
            </w:pPr>
            <w:r>
              <w:rPr>
                <w:b/>
                <w:i w:val="0"/>
                <w:color w:val="FFFFFF"/>
              </w:rPr>
              <w:t>Strategic Objective</w:t>
            </w:r>
          </w:p>
        </w:tc>
        <w:tc>
          <w:tcPr>
            <w:tcW w:type="dxa" w:w="1928"/>
            <w:vAlign w:val="center"/>
            <w:shd w:fill="1F3A5F"/>
          </w:tcPr>
          <w:p>
            <w:pPr>
              <w:keepNext/>
              <w:spacing w:after="40" w:line="276" w:lineRule="auto"/>
              <w:jc w:val="left"/>
            </w:pPr>
            <w:r>
              <w:rPr>
                <w:b/>
                <w:i w:val="0"/>
                <w:color w:val="FFFFFF"/>
              </w:rPr>
              <w:t>Planning Actions</w:t>
            </w:r>
          </w:p>
        </w:tc>
        <w:tc>
          <w:tcPr>
            <w:tcW w:type="dxa" w:w="1871"/>
            <w:vAlign w:val="center"/>
            <w:shd w:fill="1F3A5F"/>
          </w:tcPr>
          <w:p>
            <w:pPr>
              <w:keepNext/>
              <w:spacing w:after="40" w:line="276" w:lineRule="auto"/>
              <w:jc w:val="left"/>
            </w:pPr>
            <w:r>
              <w:rPr>
                <w:b/>
                <w:i w:val="0"/>
                <w:color w:val="FFFFFF"/>
              </w:rPr>
              <w:t>KPIs (Indicators)</w:t>
            </w:r>
          </w:p>
        </w:tc>
        <w:tc>
          <w:tcPr>
            <w:tcW w:type="dxa" w:w="1928"/>
            <w:vAlign w:val="center"/>
            <w:shd w:fill="1F3A5F"/>
          </w:tcPr>
          <w:p>
            <w:pPr>
              <w:keepNext/>
              <w:spacing w:after="40" w:line="276" w:lineRule="auto"/>
              <w:jc w:val="left"/>
            </w:pPr>
            <w:r>
              <w:rPr>
                <w:b/>
                <w:i w:val="0"/>
                <w:color w:val="FFFFFF"/>
              </w:rPr>
              <w:t>Target (Phase 3)</w:t>
            </w:r>
          </w:p>
        </w:tc>
      </w:tr>
      <w:tr>
        <w:trPr>
          <w:cantSplit/>
        </w:trPr>
        <w:tc>
          <w:tcPr>
            <w:tcW w:type="dxa" w:w="1757"/>
            <w:vAlign w:val="center"/>
            <w:shd w:fill="FFFFFF"/>
          </w:tcPr>
          <w:p>
            <w:pPr>
              <w:spacing w:after="40" w:line="276" w:lineRule="auto"/>
              <w:jc w:val="left"/>
            </w:pPr>
            <w:r>
              <w:rPr>
                <w:b w:val="0"/>
                <w:i w:val="0"/>
              </w:rPr>
              <w:t>Academic Excellence &amp; Learning</w:t>
            </w:r>
          </w:p>
        </w:tc>
        <w:tc>
          <w:tcPr>
            <w:tcW w:type="dxa" w:w="1928"/>
            <w:vAlign w:val="center"/>
            <w:shd w:fill="FFFFFF"/>
          </w:tcPr>
          <w:p>
            <w:pPr>
              <w:spacing w:after="40" w:line="276" w:lineRule="auto"/>
              <w:jc w:val="left"/>
            </w:pPr>
            <w:r>
              <w:rPr>
                <w:b w:val="0"/>
                <w:i w:val="0"/>
              </w:rPr>
              <w:t>Translate Vision into actionable academic initiatives</w:t>
            </w:r>
          </w:p>
        </w:tc>
        <w:tc>
          <w:tcPr>
            <w:tcW w:type="dxa" w:w="1928"/>
            <w:vAlign w:val="center"/>
            <w:shd w:fill="FFFFFF"/>
          </w:tcPr>
          <w:p>
            <w:pPr>
              <w:spacing w:after="40" w:line="276" w:lineRule="auto"/>
              <w:ind w:left="125" w:hanging="125"/>
              <w:jc w:val="left"/>
            </w:pPr>
            <w:r>
              <w:t xml:space="preserve">• </w:t>
            </w:r>
            <w:r>
              <w:rPr>
                <w:b w:val="0"/>
                <w:i w:val="0"/>
              </w:rPr>
              <w:t>Develop Action Plans for curriculum reform.</w:t>
            </w:r>
          </w:p>
          <w:p>
            <w:pPr>
              <w:spacing w:after="40" w:line="276" w:lineRule="auto"/>
              <w:ind w:left="125" w:hanging="125"/>
              <w:jc w:val="left"/>
            </w:pPr>
            <w:r>
              <w:t xml:space="preserve">• </w:t>
            </w:r>
            <w:r>
              <w:rPr>
                <w:b w:val="0"/>
                <w:i w:val="0"/>
              </w:rPr>
              <w:t>Define short-. medium-, and long-term milestones.</w:t>
            </w:r>
          </w:p>
          <w:p>
            <w:pPr>
              <w:spacing w:after="40" w:line="276" w:lineRule="auto"/>
              <w:ind w:left="125" w:hanging="125"/>
              <w:jc w:val="left"/>
            </w:pPr>
            <w:r>
              <w:t xml:space="preserve">• </w:t>
            </w:r>
            <w:r>
              <w:rPr>
                <w:b w:val="0"/>
                <w:i w:val="0"/>
              </w:rPr>
              <w:t>Map programs to NEP 2020.</w:t>
            </w:r>
          </w:p>
        </w:tc>
        <w:tc>
          <w:tcPr>
            <w:tcW w:type="dxa" w:w="1871"/>
            <w:vAlign w:val="center"/>
            <w:shd w:fill="FFFFFF"/>
          </w:tcPr>
          <w:p>
            <w:pPr>
              <w:spacing w:after="40" w:line="276" w:lineRule="auto"/>
              <w:ind w:left="125" w:hanging="125"/>
              <w:jc w:val="left"/>
            </w:pPr>
            <w:r>
              <w:t xml:space="preserve">• </w:t>
            </w:r>
            <w:r>
              <w:rPr>
                <w:b w:val="0"/>
                <w:i w:val="0"/>
              </w:rPr>
              <w:t>% academic initiatives with action plans.</w:t>
            </w:r>
          </w:p>
          <w:p>
            <w:pPr>
              <w:spacing w:after="40" w:line="276" w:lineRule="auto"/>
              <w:ind w:left="125" w:hanging="125"/>
              <w:jc w:val="left"/>
            </w:pPr>
            <w:r>
              <w:t xml:space="preserve">• </w:t>
            </w:r>
            <w:r>
              <w:rPr>
                <w:b w:val="0"/>
                <w:i w:val="0"/>
              </w:rPr>
              <w:t>No. of milestones defined.</w:t>
            </w:r>
          </w:p>
          <w:p>
            <w:pPr>
              <w:spacing w:after="40" w:line="276" w:lineRule="auto"/>
              <w:ind w:left="125" w:hanging="125"/>
              <w:jc w:val="left"/>
            </w:pPr>
            <w:r>
              <w:t xml:space="preserve">• </w:t>
            </w:r>
            <w:r>
              <w:rPr>
                <w:b w:val="0"/>
                <w:i w:val="0"/>
              </w:rPr>
              <w:t>NEP-aligned curriculum coverage.</w:t>
            </w:r>
          </w:p>
        </w:tc>
        <w:tc>
          <w:tcPr>
            <w:tcW w:type="dxa" w:w="1928"/>
            <w:vAlign w:val="center"/>
            <w:shd w:fill="FFFFFF"/>
          </w:tcPr>
          <w:p>
            <w:pPr>
              <w:spacing w:after="40" w:line="276" w:lineRule="auto"/>
              <w:ind w:left="125" w:hanging="125"/>
              <w:jc w:val="left"/>
            </w:pPr>
            <w:r>
              <w:t xml:space="preserve">• </w:t>
            </w:r>
            <w:r>
              <w:rPr>
                <w:b w:val="0"/>
                <w:i w:val="0"/>
              </w:rPr>
              <w:t>100% programs mapped.</w:t>
            </w:r>
          </w:p>
          <w:p>
            <w:pPr>
              <w:spacing w:after="40" w:line="276" w:lineRule="auto"/>
              <w:ind w:left="125" w:hanging="125"/>
              <w:jc w:val="left"/>
            </w:pPr>
            <w:r>
              <w:t xml:space="preserve">• </w:t>
            </w:r>
            <w:r>
              <w:rPr>
                <w:b w:val="0"/>
                <w:i w:val="0"/>
              </w:rPr>
              <w:t>≥90% milestones set.</w:t>
            </w:r>
          </w:p>
          <w:p>
            <w:pPr>
              <w:spacing w:after="40" w:line="276" w:lineRule="auto"/>
              <w:ind w:left="125" w:hanging="125"/>
              <w:jc w:val="left"/>
            </w:pPr>
            <w:r>
              <w:t xml:space="preserve">• </w:t>
            </w:r>
            <w:r>
              <w:rPr>
                <w:b w:val="0"/>
                <w:i w:val="0"/>
              </w:rPr>
              <w:t>100% NEP compliance.</w:t>
            </w:r>
          </w:p>
        </w:tc>
      </w:tr>
      <w:tr>
        <w:trPr>
          <w:cantSplit/>
        </w:trPr>
        <w:tc>
          <w:tcPr>
            <w:tcW w:type="dxa" w:w="1757"/>
            <w:vAlign w:val="center"/>
            <w:shd w:fill="EDF2F7"/>
          </w:tcPr>
          <w:p>
            <w:pPr>
              <w:spacing w:after="40" w:line="276" w:lineRule="auto"/>
              <w:jc w:val="left"/>
            </w:pPr>
            <w:r>
              <w:rPr>
                <w:b w:val="0"/>
                <w:i w:val="0"/>
              </w:rPr>
              <w:t>Research &amp; Innovation</w:t>
            </w:r>
          </w:p>
        </w:tc>
        <w:tc>
          <w:tcPr>
            <w:tcW w:type="dxa" w:w="1928"/>
            <w:vAlign w:val="center"/>
            <w:shd w:fill="EDF2F7"/>
          </w:tcPr>
          <w:p>
            <w:pPr>
              <w:spacing w:after="40" w:line="276" w:lineRule="auto"/>
              <w:jc w:val="left"/>
            </w:pPr>
            <w:r>
              <w:rPr>
                <w:b w:val="0"/>
                <w:i w:val="0"/>
              </w:rPr>
              <w:t>Plan research infrastructure and programs</w:t>
            </w:r>
          </w:p>
        </w:tc>
        <w:tc>
          <w:tcPr>
            <w:tcW w:type="dxa" w:w="1928"/>
            <w:vAlign w:val="center"/>
            <w:shd w:fill="EDF2F7"/>
          </w:tcPr>
          <w:p>
            <w:pPr>
              <w:spacing w:after="40" w:line="276" w:lineRule="auto"/>
              <w:ind w:left="125" w:hanging="125"/>
              <w:jc w:val="left"/>
            </w:pPr>
            <w:r>
              <w:t xml:space="preserve">• </w:t>
            </w:r>
            <w:r>
              <w:rPr>
                <w:b w:val="0"/>
                <w:i w:val="0"/>
              </w:rPr>
              <w:t>Define Centers of Excellence (coEs).</w:t>
            </w:r>
          </w:p>
          <w:p>
            <w:pPr>
              <w:spacing w:after="40" w:line="276" w:lineRule="auto"/>
              <w:ind w:left="125" w:hanging="125"/>
              <w:jc w:val="left"/>
            </w:pPr>
            <w:r>
              <w:t xml:space="preserve">• </w:t>
            </w:r>
            <w:r>
              <w:rPr>
                <w:b w:val="0"/>
                <w:i w:val="0"/>
              </w:rPr>
              <w:t>Allocate resources for research clusters.</w:t>
            </w:r>
          </w:p>
          <w:p>
            <w:pPr>
              <w:spacing w:after="40" w:line="276" w:lineRule="auto"/>
              <w:ind w:left="125" w:hanging="125"/>
              <w:jc w:val="left"/>
            </w:pPr>
            <w:r>
              <w:t xml:space="preserve">• </w:t>
            </w:r>
            <w:r>
              <w:rPr>
                <w:b w:val="0"/>
                <w:i w:val="0"/>
              </w:rPr>
              <w:t>Draft research funding proposals.</w:t>
            </w:r>
          </w:p>
        </w:tc>
        <w:tc>
          <w:tcPr>
            <w:tcW w:type="dxa" w:w="1871"/>
            <w:vAlign w:val="center"/>
            <w:shd w:fill="EDF2F7"/>
          </w:tcPr>
          <w:p>
            <w:pPr>
              <w:spacing w:after="40" w:line="276" w:lineRule="auto"/>
              <w:ind w:left="125" w:hanging="125"/>
              <w:jc w:val="left"/>
            </w:pPr>
            <w:r>
              <w:t xml:space="preserve">• </w:t>
            </w:r>
            <w:r>
              <w:rPr>
                <w:b w:val="0"/>
                <w:i w:val="0"/>
              </w:rPr>
              <w:t>No. of CoEs planned.</w:t>
            </w:r>
          </w:p>
          <w:p>
            <w:pPr>
              <w:spacing w:after="40" w:line="276" w:lineRule="auto"/>
              <w:ind w:left="125" w:hanging="125"/>
              <w:jc w:val="left"/>
            </w:pPr>
            <w:r>
              <w:t xml:space="preserve">• </w:t>
            </w:r>
            <w:r>
              <w:rPr>
                <w:b w:val="0"/>
                <w:i w:val="0"/>
              </w:rPr>
              <w:t>Research budget allocated.</w:t>
            </w:r>
          </w:p>
          <w:p>
            <w:pPr>
              <w:spacing w:after="40" w:line="276" w:lineRule="auto"/>
              <w:ind w:left="125" w:hanging="125"/>
              <w:jc w:val="left"/>
            </w:pPr>
            <w:r>
              <w:t xml:space="preserve">• </w:t>
            </w:r>
            <w:r>
              <w:rPr>
                <w:b w:val="0"/>
                <w:i w:val="0"/>
              </w:rPr>
              <w:t>% projects with funding sources identified.</w:t>
            </w:r>
          </w:p>
        </w:tc>
        <w:tc>
          <w:tcPr>
            <w:tcW w:type="dxa" w:w="1928"/>
            <w:vAlign w:val="center"/>
            <w:shd w:fill="EDF2F7"/>
          </w:tcPr>
          <w:p>
            <w:pPr>
              <w:spacing w:after="40" w:line="276" w:lineRule="auto"/>
              <w:ind w:left="125" w:hanging="125"/>
              <w:jc w:val="left"/>
            </w:pPr>
            <w:r>
              <w:t xml:space="preserve">• </w:t>
            </w:r>
            <w:r>
              <w:rPr>
                <w:b w:val="0"/>
                <w:i w:val="0"/>
              </w:rPr>
              <w:t>≥5 CoEs planned.</w:t>
            </w:r>
          </w:p>
          <w:p>
            <w:pPr>
              <w:spacing w:after="40" w:line="276" w:lineRule="auto"/>
              <w:ind w:left="125" w:hanging="125"/>
              <w:jc w:val="left"/>
            </w:pPr>
            <w:r>
              <w:t xml:space="preserve">• </w:t>
            </w:r>
            <w:r>
              <w:rPr>
                <w:b w:val="0"/>
                <w:i w:val="0"/>
              </w:rPr>
              <w:t>Research budget ≥15% of total.</w:t>
            </w:r>
          </w:p>
          <w:p>
            <w:pPr>
              <w:spacing w:after="40" w:line="276" w:lineRule="auto"/>
              <w:ind w:left="125" w:hanging="125"/>
              <w:jc w:val="left"/>
            </w:pPr>
            <w:r>
              <w:t xml:space="preserve">• </w:t>
            </w:r>
            <w:r>
              <w:rPr>
                <w:b w:val="0"/>
                <w:i w:val="0"/>
              </w:rPr>
              <w:t>100% projects with funding plans.</w:t>
            </w:r>
          </w:p>
        </w:tc>
      </w:tr>
      <w:tr>
        <w:trPr>
          <w:cantSplit/>
        </w:trPr>
        <w:tc>
          <w:tcPr>
            <w:tcW w:type="dxa" w:w="1757"/>
            <w:vAlign w:val="center"/>
            <w:shd w:fill="FFFFFF"/>
          </w:tcPr>
          <w:p>
            <w:pPr>
              <w:spacing w:after="40" w:line="276" w:lineRule="auto"/>
              <w:jc w:val="left"/>
            </w:pPr>
            <w:r>
              <w:rPr>
                <w:b w:val="0"/>
                <w:i w:val="0"/>
              </w:rPr>
              <w:t>Financial Sustainability</w:t>
            </w:r>
          </w:p>
        </w:tc>
        <w:tc>
          <w:tcPr>
            <w:tcW w:type="dxa" w:w="1928"/>
            <w:vAlign w:val="center"/>
            <w:shd w:fill="FFFFFF"/>
          </w:tcPr>
          <w:p>
            <w:pPr>
              <w:spacing w:after="40" w:line="276" w:lineRule="auto"/>
              <w:jc w:val="left"/>
            </w:pPr>
            <w:r>
              <w:rPr>
                <w:b w:val="0"/>
                <w:i w:val="0"/>
              </w:rPr>
              <w:t>Ensure realistic budget &amp; resource allocation</w:t>
            </w:r>
          </w:p>
        </w:tc>
        <w:tc>
          <w:tcPr>
            <w:tcW w:type="dxa" w:w="1928"/>
            <w:vAlign w:val="center"/>
            <w:shd w:fill="FFFFFF"/>
          </w:tcPr>
          <w:p>
            <w:pPr>
              <w:spacing w:after="40" w:line="276" w:lineRule="auto"/>
              <w:ind w:left="125" w:hanging="125"/>
              <w:jc w:val="left"/>
            </w:pPr>
            <w:r>
              <w:t xml:space="preserve">• </w:t>
            </w:r>
            <w:r>
              <w:rPr>
                <w:b w:val="0"/>
                <w:i w:val="0"/>
              </w:rPr>
              <w:t>Create budget–manpower–infrastructure tables.</w:t>
            </w:r>
          </w:p>
          <w:p>
            <w:pPr>
              <w:spacing w:after="40" w:line="276" w:lineRule="auto"/>
              <w:ind w:left="125" w:hanging="125"/>
              <w:jc w:val="left"/>
            </w:pPr>
            <w:r>
              <w:t xml:space="preserve">• </w:t>
            </w:r>
            <w:r>
              <w:rPr>
                <w:b w:val="0"/>
                <w:i w:val="0"/>
              </w:rPr>
              <w:t>Identify CSR, alumni, PPP sources.</w:t>
            </w:r>
          </w:p>
          <w:p>
            <w:pPr>
              <w:spacing w:after="40" w:line="276" w:lineRule="auto"/>
              <w:ind w:left="125" w:hanging="125"/>
              <w:jc w:val="left"/>
            </w:pPr>
            <w:r>
              <w:t xml:space="preserve">• </w:t>
            </w:r>
            <w:r>
              <w:rPr>
                <w:b w:val="0"/>
                <w:i w:val="0"/>
              </w:rPr>
              <w:t>Align funding to strategic pillars.</w:t>
            </w:r>
          </w:p>
        </w:tc>
        <w:tc>
          <w:tcPr>
            <w:tcW w:type="dxa" w:w="1871"/>
            <w:vAlign w:val="center"/>
            <w:shd w:fill="FFFFFF"/>
          </w:tcPr>
          <w:p>
            <w:pPr>
              <w:spacing w:after="40" w:line="276" w:lineRule="auto"/>
              <w:ind w:left="125" w:hanging="125"/>
              <w:jc w:val="left"/>
            </w:pPr>
            <w:r>
              <w:t xml:space="preserve">• </w:t>
            </w:r>
            <w:r>
              <w:rPr>
                <w:b w:val="0"/>
                <w:i w:val="0"/>
              </w:rPr>
              <w:t>% budget allocated per pillar.</w:t>
            </w:r>
          </w:p>
          <w:p>
            <w:pPr>
              <w:spacing w:after="40" w:line="276" w:lineRule="auto"/>
              <w:ind w:left="125" w:hanging="125"/>
              <w:jc w:val="left"/>
            </w:pPr>
            <w:r>
              <w:t xml:space="preserve">• </w:t>
            </w:r>
            <w:r>
              <w:rPr>
                <w:b w:val="0"/>
                <w:i w:val="0"/>
              </w:rPr>
              <w:t>No. of external funding sources secured.</w:t>
            </w:r>
          </w:p>
          <w:p>
            <w:pPr>
              <w:spacing w:after="40" w:line="276" w:lineRule="auto"/>
              <w:ind w:left="125" w:hanging="125"/>
              <w:jc w:val="left"/>
            </w:pPr>
            <w:r>
              <w:t xml:space="preserve">• </w:t>
            </w:r>
            <w:r>
              <w:rPr>
                <w:b w:val="0"/>
                <w:i w:val="0"/>
              </w:rPr>
              <w:t>Endowment planning progress.</w:t>
            </w:r>
          </w:p>
        </w:tc>
        <w:tc>
          <w:tcPr>
            <w:tcW w:type="dxa" w:w="1928"/>
            <w:vAlign w:val="center"/>
            <w:shd w:fill="FFFFFF"/>
          </w:tcPr>
          <w:p>
            <w:pPr>
              <w:spacing w:after="40" w:line="276" w:lineRule="auto"/>
              <w:ind w:left="125" w:hanging="125"/>
              <w:jc w:val="left"/>
            </w:pPr>
            <w:r>
              <w:t xml:space="preserve">• </w:t>
            </w:r>
            <w:r>
              <w:rPr>
                <w:b w:val="0"/>
                <w:i w:val="0"/>
              </w:rPr>
              <w:t>100% pillars funded.</w:t>
            </w:r>
          </w:p>
          <w:p>
            <w:pPr>
              <w:spacing w:after="40" w:line="276" w:lineRule="auto"/>
              <w:ind w:left="125" w:hanging="125"/>
              <w:jc w:val="left"/>
            </w:pPr>
            <w:r>
              <w:t xml:space="preserve">• </w:t>
            </w:r>
            <w:r>
              <w:rPr>
                <w:b w:val="0"/>
                <w:i w:val="0"/>
              </w:rPr>
              <w:t>≥3 funding sources per pillar.</w:t>
            </w:r>
          </w:p>
          <w:p>
            <w:pPr>
              <w:spacing w:after="40" w:line="276" w:lineRule="auto"/>
              <w:ind w:left="125" w:hanging="125"/>
              <w:jc w:val="left"/>
            </w:pPr>
            <w:r>
              <w:t xml:space="preserve">• </w:t>
            </w:r>
            <w:r>
              <w:rPr>
                <w:b w:val="0"/>
                <w:i w:val="0"/>
              </w:rPr>
              <w:t>Endowment framework approved.</w:t>
            </w:r>
          </w:p>
        </w:tc>
      </w:tr>
      <w:tr>
        <w:trPr>
          <w:cantSplit/>
        </w:trPr>
        <w:tc>
          <w:tcPr>
            <w:tcW w:type="dxa" w:w="1757"/>
            <w:vAlign w:val="center"/>
            <w:shd w:fill="EDF2F7"/>
          </w:tcPr>
          <w:p>
            <w:pPr>
              <w:spacing w:after="40" w:line="276" w:lineRule="auto"/>
              <w:jc w:val="left"/>
            </w:pPr>
            <w:r>
              <w:rPr>
                <w:b w:val="0"/>
                <w:i w:val="0"/>
              </w:rPr>
              <w:t>Internal Processes &amp; Governance</w:t>
            </w:r>
          </w:p>
        </w:tc>
        <w:tc>
          <w:tcPr>
            <w:tcW w:type="dxa" w:w="1928"/>
            <w:vAlign w:val="center"/>
            <w:shd w:fill="EDF2F7"/>
          </w:tcPr>
          <w:p>
            <w:pPr>
              <w:spacing w:after="40" w:line="276" w:lineRule="auto"/>
              <w:jc w:val="left"/>
            </w:pPr>
            <w:r>
              <w:rPr>
                <w:b w:val="0"/>
                <w:i w:val="0"/>
              </w:rPr>
              <w:t>Define accountability &amp; governance systems</w:t>
            </w:r>
          </w:p>
        </w:tc>
        <w:tc>
          <w:tcPr>
            <w:tcW w:type="dxa" w:w="1928"/>
            <w:vAlign w:val="center"/>
            <w:shd w:fill="EDF2F7"/>
          </w:tcPr>
          <w:p>
            <w:pPr>
              <w:spacing w:after="40" w:line="276" w:lineRule="auto"/>
              <w:ind w:left="125" w:hanging="125"/>
              <w:jc w:val="left"/>
            </w:pPr>
            <w:r>
              <w:t xml:space="preserve">• </w:t>
            </w:r>
            <w:r>
              <w:rPr>
                <w:b w:val="0"/>
                <w:i w:val="0"/>
              </w:rPr>
              <w:t>Develop RACI matrices.</w:t>
            </w:r>
          </w:p>
          <w:p>
            <w:pPr>
              <w:spacing w:after="40" w:line="276" w:lineRule="auto"/>
              <w:ind w:left="125" w:hanging="125"/>
              <w:jc w:val="left"/>
            </w:pPr>
            <w:r>
              <w:t xml:space="preserve">• </w:t>
            </w:r>
            <w:r>
              <w:rPr>
                <w:b w:val="0"/>
                <w:i w:val="0"/>
              </w:rPr>
              <w:t>Form Steering &amp; Monitoring Committees.</w:t>
            </w:r>
          </w:p>
          <w:p>
            <w:pPr>
              <w:spacing w:after="40" w:line="276" w:lineRule="auto"/>
              <w:ind w:left="125" w:hanging="125"/>
              <w:jc w:val="left"/>
            </w:pPr>
            <w:r>
              <w:t xml:space="preserve">• </w:t>
            </w:r>
            <w:r>
              <w:rPr>
                <w:b w:val="0"/>
                <w:i w:val="0"/>
              </w:rPr>
              <w:t>Finalize KPI dashboards.</w:t>
            </w:r>
          </w:p>
        </w:tc>
        <w:tc>
          <w:tcPr>
            <w:tcW w:type="dxa" w:w="1871"/>
            <w:vAlign w:val="center"/>
            <w:shd w:fill="EDF2F7"/>
          </w:tcPr>
          <w:p>
            <w:pPr>
              <w:spacing w:after="40" w:line="276" w:lineRule="auto"/>
              <w:ind w:left="125" w:hanging="125"/>
              <w:jc w:val="left"/>
            </w:pPr>
            <w:r>
              <w:t xml:space="preserve">• </w:t>
            </w:r>
            <w:r>
              <w:rPr>
                <w:b w:val="0"/>
                <w:i w:val="0"/>
              </w:rPr>
              <w:t>No. of governance committees formed.</w:t>
            </w:r>
          </w:p>
          <w:p>
            <w:pPr>
              <w:spacing w:after="40" w:line="276" w:lineRule="auto"/>
              <w:ind w:left="125" w:hanging="125"/>
              <w:jc w:val="left"/>
            </w:pPr>
            <w:r>
              <w:t xml:space="preserve">• </w:t>
            </w:r>
            <w:r>
              <w:rPr>
                <w:b w:val="0"/>
                <w:i w:val="0"/>
              </w:rPr>
              <w:t>RACI matrix coverage.</w:t>
            </w:r>
          </w:p>
          <w:p>
            <w:pPr>
              <w:spacing w:after="40" w:line="276" w:lineRule="auto"/>
              <w:ind w:left="125" w:hanging="125"/>
              <w:jc w:val="left"/>
            </w:pPr>
            <w:r>
              <w:t xml:space="preserve">• </w:t>
            </w:r>
            <w:r>
              <w:rPr>
                <w:b w:val="0"/>
                <w:i w:val="0"/>
              </w:rPr>
              <w:t>% KPIs finalized.</w:t>
            </w:r>
          </w:p>
        </w:tc>
        <w:tc>
          <w:tcPr>
            <w:tcW w:type="dxa" w:w="1928"/>
            <w:vAlign w:val="center"/>
            <w:shd w:fill="EDF2F7"/>
          </w:tcPr>
          <w:p>
            <w:pPr>
              <w:spacing w:after="40" w:line="276" w:lineRule="auto"/>
              <w:ind w:left="125" w:hanging="125"/>
              <w:jc w:val="left"/>
            </w:pPr>
            <w:r>
              <w:t xml:space="preserve">• </w:t>
            </w:r>
            <w:r>
              <w:rPr>
                <w:b w:val="0"/>
                <w:i w:val="0"/>
              </w:rPr>
              <w:t>≥5 governance committees.</w:t>
            </w:r>
          </w:p>
          <w:p>
            <w:pPr>
              <w:spacing w:after="40" w:line="276" w:lineRule="auto"/>
              <w:ind w:left="125" w:hanging="125"/>
              <w:jc w:val="left"/>
            </w:pPr>
            <w:r>
              <w:t xml:space="preserve">• </w:t>
            </w:r>
            <w:r>
              <w:rPr>
                <w:b w:val="0"/>
                <w:i w:val="0"/>
              </w:rPr>
              <w:t>100% RACI coverage.</w:t>
            </w:r>
          </w:p>
          <w:p>
            <w:pPr>
              <w:spacing w:after="40" w:line="276" w:lineRule="auto"/>
              <w:ind w:left="125" w:hanging="125"/>
              <w:jc w:val="left"/>
            </w:pPr>
            <w:r>
              <w:t xml:space="preserve">• </w:t>
            </w:r>
            <w:r>
              <w:rPr>
                <w:b w:val="0"/>
                <w:i w:val="0"/>
              </w:rPr>
              <w:t>≥90% KPIs ready.</w:t>
            </w:r>
          </w:p>
        </w:tc>
      </w:tr>
      <w:tr>
        <w:trPr>
          <w:cantSplit/>
        </w:trPr>
        <w:tc>
          <w:tcPr>
            <w:tcW w:type="dxa" w:w="1757"/>
            <w:vAlign w:val="center"/>
            <w:shd w:fill="FFFFFF"/>
          </w:tcPr>
          <w:p>
            <w:pPr>
              <w:spacing w:after="40" w:line="276" w:lineRule="auto"/>
              <w:jc w:val="left"/>
            </w:pPr>
            <w:r>
              <w:rPr>
                <w:b w:val="0"/>
                <w:i w:val="0"/>
              </w:rPr>
              <w:t>Community &amp; Social Impact</w:t>
            </w:r>
          </w:p>
        </w:tc>
        <w:tc>
          <w:tcPr>
            <w:tcW w:type="dxa" w:w="1928"/>
            <w:vAlign w:val="center"/>
            <w:shd w:fill="FFFFFF"/>
          </w:tcPr>
          <w:p>
            <w:pPr>
              <w:spacing w:after="40" w:line="276" w:lineRule="auto"/>
              <w:jc w:val="left"/>
            </w:pPr>
            <w:r>
              <w:rPr>
                <w:b w:val="0"/>
                <w:i w:val="0"/>
              </w:rPr>
              <w:t>Plan ISR &amp; SDG-linked activities</w:t>
            </w:r>
          </w:p>
        </w:tc>
        <w:tc>
          <w:tcPr>
            <w:tcW w:type="dxa" w:w="1928"/>
            <w:vAlign w:val="center"/>
            <w:shd w:fill="FFFFFF"/>
          </w:tcPr>
          <w:p>
            <w:pPr>
              <w:spacing w:after="40" w:line="276" w:lineRule="auto"/>
              <w:ind w:left="125" w:hanging="125"/>
              <w:jc w:val="left"/>
            </w:pPr>
            <w:r>
              <w:t xml:space="preserve">• </w:t>
            </w:r>
            <w:r>
              <w:rPr>
                <w:b w:val="0"/>
                <w:i w:val="0"/>
              </w:rPr>
              <w:t>Allocate resources for ISR projects.</w:t>
            </w:r>
          </w:p>
          <w:p>
            <w:pPr>
              <w:spacing w:after="40" w:line="276" w:lineRule="auto"/>
              <w:ind w:left="125" w:hanging="125"/>
              <w:jc w:val="left"/>
            </w:pPr>
            <w:r>
              <w:t xml:space="preserve">• </w:t>
            </w:r>
            <w:r>
              <w:rPr>
                <w:b w:val="0"/>
                <w:i w:val="0"/>
              </w:rPr>
              <w:t>Define service-learning integration.</w:t>
            </w:r>
          </w:p>
          <w:p>
            <w:pPr>
              <w:spacing w:after="40" w:line="276" w:lineRule="auto"/>
              <w:ind w:left="125" w:hanging="125"/>
              <w:jc w:val="left"/>
            </w:pPr>
            <w:r>
              <w:t xml:space="preserve">• </w:t>
            </w:r>
            <w:r>
              <w:rPr>
                <w:b w:val="0"/>
                <w:i w:val="0"/>
              </w:rPr>
              <w:t>Partner with NGOs/​local bodies.</w:t>
            </w:r>
          </w:p>
        </w:tc>
        <w:tc>
          <w:tcPr>
            <w:tcW w:type="dxa" w:w="1871"/>
            <w:vAlign w:val="center"/>
            <w:shd w:fill="FFFFFF"/>
          </w:tcPr>
          <w:p>
            <w:pPr>
              <w:spacing w:after="40" w:line="276" w:lineRule="auto"/>
              <w:ind w:left="125" w:hanging="125"/>
              <w:jc w:val="left"/>
            </w:pPr>
            <w:r>
              <w:t xml:space="preserve">• </w:t>
            </w:r>
            <w:r>
              <w:rPr>
                <w:b w:val="0"/>
                <w:i w:val="0"/>
              </w:rPr>
              <w:t>% ISR projects with funding.</w:t>
            </w:r>
          </w:p>
          <w:p>
            <w:pPr>
              <w:spacing w:after="40" w:line="276" w:lineRule="auto"/>
              <w:ind w:left="125" w:hanging="125"/>
              <w:jc w:val="left"/>
            </w:pPr>
            <w:r>
              <w:t xml:space="preserve">• </w:t>
            </w:r>
            <w:r>
              <w:rPr>
                <w:b w:val="0"/>
                <w:i w:val="0"/>
              </w:rPr>
              <w:t>No. of service-learning modules planned.</w:t>
            </w:r>
          </w:p>
          <w:p>
            <w:pPr>
              <w:spacing w:after="40" w:line="276" w:lineRule="auto"/>
              <w:ind w:left="125" w:hanging="125"/>
              <w:jc w:val="left"/>
            </w:pPr>
            <w:r>
              <w:t xml:space="preserve">• </w:t>
            </w:r>
            <w:r>
              <w:rPr>
                <w:b w:val="0"/>
                <w:i w:val="0"/>
              </w:rPr>
              <w:t>No. of MoUs with community partners.</w:t>
            </w:r>
          </w:p>
        </w:tc>
        <w:tc>
          <w:tcPr>
            <w:tcW w:type="dxa" w:w="1928"/>
            <w:vAlign w:val="center"/>
            <w:shd w:fill="FFFFFF"/>
          </w:tcPr>
          <w:p>
            <w:pPr>
              <w:spacing w:after="40" w:line="276" w:lineRule="auto"/>
              <w:ind w:left="125" w:hanging="125"/>
              <w:jc w:val="left"/>
            </w:pPr>
            <w:r>
              <w:t xml:space="preserve">• </w:t>
            </w:r>
            <w:r>
              <w:rPr>
                <w:b w:val="0"/>
                <w:i w:val="0"/>
              </w:rPr>
              <w:t>≥80% ISR projects resourced.</w:t>
            </w:r>
          </w:p>
          <w:p>
            <w:pPr>
              <w:spacing w:after="40" w:line="276" w:lineRule="auto"/>
              <w:ind w:left="125" w:hanging="125"/>
              <w:jc w:val="left"/>
            </w:pPr>
            <w:r>
              <w:t xml:space="preserve">• </w:t>
            </w:r>
            <w:r>
              <w:rPr>
                <w:b w:val="0"/>
                <w:i w:val="0"/>
              </w:rPr>
              <w:t>≥5 service-learning modules.</w:t>
            </w:r>
          </w:p>
          <w:p>
            <w:pPr>
              <w:spacing w:after="40" w:line="276" w:lineRule="auto"/>
              <w:ind w:left="125" w:hanging="125"/>
              <w:jc w:val="left"/>
            </w:pPr>
            <w:r>
              <w:t xml:space="preserve">• </w:t>
            </w:r>
            <w:r>
              <w:rPr>
                <w:b w:val="0"/>
                <w:i w:val="0"/>
              </w:rPr>
              <w:t>≥10 MoUs signed.</w:t>
            </w:r>
          </w:p>
        </w:tc>
      </w:tr>
      <w:tr>
        <w:trPr>
          <w:cantSplit/>
        </w:trPr>
        <w:tc>
          <w:tcPr>
            <w:tcW w:type="dxa" w:w="1757"/>
            <w:vAlign w:val="center"/>
            <w:shd w:fill="EDF2F7"/>
          </w:tcPr>
          <w:p>
            <w:pPr>
              <w:spacing w:after="40" w:line="276" w:lineRule="auto"/>
              <w:jc w:val="left"/>
            </w:pPr>
            <w:r>
              <w:rPr>
                <w:b w:val="0"/>
                <w:i w:val="0"/>
              </w:rPr>
              <w:t>Global Engagement</w:t>
            </w:r>
          </w:p>
        </w:tc>
        <w:tc>
          <w:tcPr>
            <w:tcW w:type="dxa" w:w="1928"/>
            <w:vAlign w:val="center"/>
            <w:shd w:fill="EDF2F7"/>
          </w:tcPr>
          <w:p>
            <w:pPr>
              <w:spacing w:after="40" w:line="276" w:lineRule="auto"/>
              <w:jc w:val="left"/>
            </w:pPr>
            <w:r>
              <w:rPr>
                <w:b w:val="0"/>
                <w:i w:val="0"/>
              </w:rPr>
              <w:t>Plan international collaborations &amp; rankings</w:t>
            </w:r>
          </w:p>
        </w:tc>
        <w:tc>
          <w:tcPr>
            <w:tcW w:type="dxa" w:w="1928"/>
            <w:vAlign w:val="center"/>
            <w:shd w:fill="EDF2F7"/>
          </w:tcPr>
          <w:p>
            <w:pPr>
              <w:spacing w:after="40" w:line="276" w:lineRule="auto"/>
              <w:ind w:left="125" w:hanging="125"/>
              <w:jc w:val="left"/>
            </w:pPr>
            <w:r>
              <w:t xml:space="preserve">• </w:t>
            </w:r>
            <w:r>
              <w:rPr>
                <w:b w:val="0"/>
                <w:i w:val="0"/>
              </w:rPr>
              <w:t>Draft MoUs with global universities.</w:t>
            </w:r>
          </w:p>
          <w:p>
            <w:pPr>
              <w:spacing w:after="40" w:line="276" w:lineRule="auto"/>
              <w:ind w:left="125" w:hanging="125"/>
              <w:jc w:val="left"/>
            </w:pPr>
            <w:r>
              <w:t xml:space="preserve">• </w:t>
            </w:r>
            <w:r>
              <w:rPr>
                <w:b w:val="0"/>
                <w:i w:val="0"/>
              </w:rPr>
              <w:t>Define global mobility targets.</w:t>
            </w:r>
          </w:p>
          <w:p>
            <w:pPr>
              <w:spacing w:after="40" w:line="276" w:lineRule="auto"/>
              <w:ind w:left="125" w:hanging="125"/>
              <w:jc w:val="left"/>
            </w:pPr>
            <w:r>
              <w:t xml:space="preserve">• </w:t>
            </w:r>
            <w:r>
              <w:rPr>
                <w:b w:val="0"/>
                <w:i w:val="0"/>
              </w:rPr>
              <w:t>Align plan with QS/​THE standards.</w:t>
            </w:r>
          </w:p>
        </w:tc>
        <w:tc>
          <w:tcPr>
            <w:tcW w:type="dxa" w:w="1871"/>
            <w:vAlign w:val="center"/>
            <w:shd w:fill="EDF2F7"/>
          </w:tcPr>
          <w:p>
            <w:pPr>
              <w:spacing w:after="40" w:line="276" w:lineRule="auto"/>
              <w:ind w:left="125" w:hanging="125"/>
              <w:jc w:val="left"/>
            </w:pPr>
            <w:r>
              <w:t xml:space="preserve">• </w:t>
            </w:r>
            <w:r>
              <w:rPr>
                <w:b w:val="0"/>
                <w:i w:val="0"/>
              </w:rPr>
              <w:t>No. of MoUs drafted.</w:t>
            </w:r>
          </w:p>
          <w:p>
            <w:pPr>
              <w:spacing w:after="40" w:line="276" w:lineRule="auto"/>
              <w:ind w:left="125" w:hanging="125"/>
              <w:jc w:val="left"/>
            </w:pPr>
            <w:r>
              <w:t xml:space="preserve">• </w:t>
            </w:r>
            <w:r>
              <w:rPr>
                <w:b w:val="0"/>
                <w:i w:val="0"/>
              </w:rPr>
              <w:t>Mobility targets defined.</w:t>
            </w:r>
          </w:p>
          <w:p>
            <w:pPr>
              <w:spacing w:after="40" w:line="276" w:lineRule="auto"/>
              <w:ind w:left="125" w:hanging="125"/>
              <w:jc w:val="left"/>
            </w:pPr>
            <w:r>
              <w:t xml:space="preserve">• </w:t>
            </w:r>
            <w:r>
              <w:rPr>
                <w:b w:val="0"/>
                <w:i w:val="0"/>
              </w:rPr>
              <w:t>% objectives mapped to QS/​THE.</w:t>
            </w:r>
          </w:p>
        </w:tc>
        <w:tc>
          <w:tcPr>
            <w:tcW w:type="dxa" w:w="1928"/>
            <w:vAlign w:val="center"/>
            <w:shd w:fill="EDF2F7"/>
          </w:tcPr>
          <w:p>
            <w:pPr>
              <w:spacing w:after="40" w:line="276" w:lineRule="auto"/>
              <w:ind w:left="125" w:hanging="125"/>
              <w:jc w:val="left"/>
            </w:pPr>
            <w:r>
              <w:t xml:space="preserve">• </w:t>
            </w:r>
            <w:r>
              <w:rPr>
                <w:b w:val="0"/>
                <w:i w:val="0"/>
              </w:rPr>
              <w:t>≥10 MoUs planned.</w:t>
            </w:r>
          </w:p>
          <w:p>
            <w:pPr>
              <w:spacing w:after="40" w:line="276" w:lineRule="auto"/>
              <w:ind w:left="125" w:hanging="125"/>
              <w:jc w:val="left"/>
            </w:pPr>
            <w:r>
              <w:t xml:space="preserve">• </w:t>
            </w:r>
            <w:r>
              <w:rPr>
                <w:b w:val="0"/>
                <w:i w:val="0"/>
              </w:rPr>
              <w:t>≥200 students/​faculty in pipeline.</w:t>
            </w:r>
          </w:p>
          <w:p>
            <w:pPr>
              <w:spacing w:after="40" w:line="276" w:lineRule="auto"/>
              <w:ind w:left="125" w:hanging="125"/>
              <w:jc w:val="left"/>
            </w:pPr>
            <w:r>
              <w:t xml:space="preserve">• </w:t>
            </w:r>
            <w:r>
              <w:rPr>
                <w:b w:val="0"/>
                <w:i w:val="0"/>
              </w:rPr>
              <w:t>100% objectives mapped</w:t>
            </w:r>
          </w:p>
        </w:tc>
      </w:tr>
    </w:tbl>
    <w:p>
      <w:pPr>
        <w:spacing w:after="40"/>
      </w:pPr>
    </w:p>
    <w:p>
      <w:pPr>
        <w:pStyle w:val="Heading1"/>
      </w:pPr>
      <w:r>
        <w:t>19. Phase 4: Execution</w:t>
      </w:r>
    </w:p>
    <w:p>
      <w:pPr>
        <w:pStyle w:val="Heading2"/>
      </w:pPr>
      <w:r>
        <w:t>Purpose</w:t>
      </w:r>
    </w:p>
    <w:p>
      <w:pPr>
        <w:pStyle w:val="ListBullet"/>
        <w:numPr>
          <w:ilvl w:val="0"/>
          <w:numId w:val="90"/>
        </w:numPr>
        <w:ind w:left="340" w:hanging="142"/>
      </w:pPr>
      <w:r>
        <w:rPr>
          <w:b w:val="0"/>
          <w:i w:val="0"/>
        </w:rPr>
        <w:t>To operationalize the implementation plans developed in Phase 3.</w:t>
      </w:r>
    </w:p>
    <w:p>
      <w:pPr>
        <w:pStyle w:val="ListBullet"/>
        <w:numPr>
          <w:ilvl w:val="0"/>
          <w:numId w:val="90"/>
        </w:numPr>
        <w:ind w:left="340" w:hanging="142"/>
      </w:pPr>
      <w:r>
        <w:rPr>
          <w:b w:val="0"/>
          <w:i w:val="0"/>
        </w:rPr>
        <w:t>To ensure that strategies are rolled out on schedule, with resources mobilized, actions monitored, and outcomes delivered.</w:t>
      </w:r>
    </w:p>
    <w:p>
      <w:pPr>
        <w:pStyle w:val="Heading2"/>
      </w:pPr>
      <w:r>
        <w:t>Key Components</w:t>
      </w:r>
    </w:p>
    <w:p>
      <w:pPr>
        <w:pStyle w:val="Heading2"/>
      </w:pPr>
      <w:r>
        <w:t>1. Operational Rollout</w:t>
      </w:r>
    </w:p>
    <w:p>
      <w:pPr>
        <w:pStyle w:val="ListBullet2"/>
        <w:numPr>
          <w:ilvl w:val="1"/>
          <w:numId w:val="90"/>
        </w:numPr>
        <w:ind w:left="652" w:hanging="142"/>
      </w:pPr>
      <w:r>
        <w:rPr>
          <w:b w:val="0"/>
          <w:i w:val="0"/>
        </w:rPr>
        <w:t>Launch strategic projects and programs as per the roadmap.</w:t>
      </w:r>
    </w:p>
    <w:p>
      <w:pPr>
        <w:pStyle w:val="ListBullet2"/>
        <w:numPr>
          <w:ilvl w:val="1"/>
          <w:numId w:val="90"/>
        </w:numPr>
        <w:ind w:left="652" w:hanging="142"/>
      </w:pPr>
      <w:r>
        <w:rPr>
          <w:b w:val="0"/>
          <w:i w:val="0"/>
        </w:rPr>
        <w:t>Ensure departmental and cross-functional coordination.</w:t>
      </w:r>
    </w:p>
    <w:p>
      <w:pPr>
        <w:pStyle w:val="ListBullet2"/>
        <w:numPr>
          <w:ilvl w:val="1"/>
          <w:numId w:val="90"/>
        </w:numPr>
        <w:ind w:left="652" w:hanging="142"/>
      </w:pPr>
      <w:r>
        <w:rPr>
          <w:b w:val="0"/>
          <w:i w:val="0"/>
        </w:rPr>
        <w:t>Activate governance committees for monitoring.</w:t>
      </w:r>
    </w:p>
    <w:p>
      <w:pPr>
        <w:pStyle w:val="Heading2"/>
      </w:pPr>
      <w:r>
        <w:t>2. Resource Deployment</w:t>
      </w:r>
    </w:p>
    <w:p>
      <w:pPr>
        <w:pStyle w:val="ListBullet2"/>
        <w:numPr>
          <w:ilvl w:val="1"/>
          <w:numId w:val="90"/>
        </w:numPr>
        <w:ind w:left="652" w:hanging="142"/>
      </w:pPr>
      <w:r>
        <w:rPr>
          <w:b w:val="0"/>
          <w:i w:val="0"/>
        </w:rPr>
        <w:t>Mobilize funds from approved budgets, CSR, and alumni endowments.</w:t>
      </w:r>
    </w:p>
    <w:p>
      <w:pPr>
        <w:pStyle w:val="ListBullet2"/>
        <w:numPr>
          <w:ilvl w:val="1"/>
          <w:numId w:val="90"/>
        </w:numPr>
        <w:ind w:left="652" w:hanging="142"/>
      </w:pPr>
      <w:r>
        <w:rPr>
          <w:b w:val="0"/>
          <w:i w:val="0"/>
        </w:rPr>
        <w:t>Assign human resources (faculty, staff, project leads).</w:t>
      </w:r>
    </w:p>
    <w:p>
      <w:pPr>
        <w:pStyle w:val="ListBullet2"/>
        <w:numPr>
          <w:ilvl w:val="1"/>
          <w:numId w:val="90"/>
        </w:numPr>
        <w:ind w:left="652" w:hanging="142"/>
      </w:pPr>
      <w:r>
        <w:rPr>
          <w:b w:val="0"/>
          <w:i w:val="0"/>
        </w:rPr>
        <w:t>Implement technology systems (ERP, LMS, AI dashboards).</w:t>
      </w:r>
    </w:p>
    <w:p>
      <w:pPr>
        <w:pStyle w:val="Heading2"/>
      </w:pPr>
      <w:r>
        <w:t>3. Process Management</w:t>
      </w:r>
    </w:p>
    <w:p>
      <w:pPr>
        <w:pStyle w:val="ListBullet2"/>
        <w:numPr>
          <w:ilvl w:val="1"/>
          <w:numId w:val="90"/>
        </w:numPr>
        <w:ind w:left="652" w:hanging="142"/>
      </w:pPr>
      <w:r>
        <w:rPr>
          <w:b w:val="0"/>
          <w:i w:val="0"/>
        </w:rPr>
        <w:t>Use project management tools (Gantt charts, dashboards, trackers).</w:t>
      </w:r>
    </w:p>
    <w:p>
      <w:pPr>
        <w:pStyle w:val="ListBullet2"/>
        <w:numPr>
          <w:ilvl w:val="1"/>
          <w:numId w:val="90"/>
        </w:numPr>
        <w:ind w:left="652" w:hanging="142"/>
      </w:pPr>
      <w:r>
        <w:rPr>
          <w:b w:val="0"/>
          <w:i w:val="0"/>
        </w:rPr>
        <w:t>Standardize operating procedures for academic, research, and outreach activities.</w:t>
      </w:r>
    </w:p>
    <w:p>
      <w:pPr>
        <w:pStyle w:val="ListBullet2"/>
        <w:numPr>
          <w:ilvl w:val="1"/>
          <w:numId w:val="90"/>
        </w:numPr>
        <w:ind w:left="652" w:hanging="142"/>
      </w:pPr>
      <w:r>
        <w:rPr>
          <w:b w:val="0"/>
          <w:i w:val="0"/>
        </w:rPr>
        <w:t>Establish escalation mechanisms for bottlenecks.</w:t>
      </w:r>
    </w:p>
    <w:p>
      <w:pPr>
        <w:pStyle w:val="Heading2"/>
      </w:pPr>
      <w:r>
        <w:t>4. Monitoring &amp; Feedback Loops</w:t>
      </w:r>
    </w:p>
    <w:p>
      <w:pPr>
        <w:pStyle w:val="ListBullet2"/>
        <w:numPr>
          <w:ilvl w:val="1"/>
          <w:numId w:val="90"/>
        </w:numPr>
        <w:ind w:left="652" w:hanging="142"/>
      </w:pPr>
      <w:r>
        <w:rPr>
          <w:b w:val="0"/>
          <w:i w:val="0"/>
        </w:rPr>
        <w:t>Track KPIs for each strategic pillar.</w:t>
      </w:r>
    </w:p>
    <w:p>
      <w:pPr>
        <w:pStyle w:val="ListBullet2"/>
        <w:numPr>
          <w:ilvl w:val="1"/>
          <w:numId w:val="90"/>
        </w:numPr>
        <w:ind w:left="652" w:hanging="142"/>
      </w:pPr>
      <w:r>
        <w:rPr>
          <w:b w:val="0"/>
          <w:i w:val="0"/>
        </w:rPr>
        <w:t>Conduct monthly/quarterly reviews by IQAC and Governing Body.</w:t>
      </w:r>
    </w:p>
    <w:p>
      <w:pPr>
        <w:pStyle w:val="ListBullet2"/>
        <w:numPr>
          <w:ilvl w:val="1"/>
          <w:numId w:val="90"/>
        </w:numPr>
        <w:ind w:left="652" w:hanging="142"/>
      </w:pPr>
      <w:r>
        <w:rPr>
          <w:b w:val="0"/>
          <w:i w:val="0"/>
        </w:rPr>
        <w:t>Collect stakeholder feedback (faculty, students, industry, community).</w:t>
      </w:r>
    </w:p>
    <w:p>
      <w:pPr>
        <w:pStyle w:val="Heading2"/>
      </w:pPr>
      <w:r>
        <w:t>5. Risk Control &amp; Mitigation</w:t>
      </w:r>
    </w:p>
    <w:p>
      <w:pPr>
        <w:pStyle w:val="ListBullet2"/>
        <w:numPr>
          <w:ilvl w:val="1"/>
          <w:numId w:val="90"/>
        </w:numPr>
        <w:ind w:left="652" w:hanging="142"/>
      </w:pPr>
      <w:r>
        <w:rPr>
          <w:b w:val="0"/>
          <w:i w:val="0"/>
        </w:rPr>
        <w:t>Apply risk management frameworks defined in Phase 3.</w:t>
      </w:r>
    </w:p>
    <w:p>
      <w:pPr>
        <w:pStyle w:val="ListBullet2"/>
        <w:numPr>
          <w:ilvl w:val="1"/>
          <w:numId w:val="90"/>
        </w:numPr>
        <w:ind w:left="652" w:hanging="142"/>
      </w:pPr>
      <w:r>
        <w:rPr>
          <w:b w:val="0"/>
          <w:i w:val="0"/>
        </w:rPr>
        <w:t>Respond proactively to policy, economic, or technological shifts.</w:t>
      </w:r>
    </w:p>
    <w:p>
      <w:pPr>
        <w:pStyle w:val="ListBullet2"/>
        <w:numPr>
          <w:ilvl w:val="1"/>
          <w:numId w:val="90"/>
        </w:numPr>
        <w:ind w:left="652" w:hanging="142"/>
      </w:pPr>
      <w:r>
        <w:rPr>
          <w:b w:val="0"/>
          <w:i w:val="0"/>
        </w:rPr>
        <w:t>Conduct scenario planning for climate, funding, or cyber risks.</w:t>
      </w:r>
    </w:p>
    <w:p>
      <w:pPr>
        <w:pStyle w:val="Heading2"/>
      </w:pPr>
      <w:r>
        <w:t>6. Communication &amp; Transparency</w:t>
      </w:r>
    </w:p>
    <w:p>
      <w:pPr>
        <w:pStyle w:val="ListBullet2"/>
        <w:numPr>
          <w:ilvl w:val="1"/>
          <w:numId w:val="90"/>
        </w:numPr>
        <w:ind w:left="652" w:hanging="142"/>
      </w:pPr>
      <w:r>
        <w:rPr>
          <w:b w:val="0"/>
          <w:i w:val="0"/>
        </w:rPr>
        <w:t>Publish progress reports and newsletters.</w:t>
      </w:r>
    </w:p>
    <w:p>
      <w:pPr>
        <w:pStyle w:val="ListBullet2"/>
        <w:numPr>
          <w:ilvl w:val="1"/>
          <w:numId w:val="90"/>
        </w:numPr>
        <w:ind w:left="652" w:hanging="142"/>
      </w:pPr>
      <w:r>
        <w:rPr>
          <w:b w:val="0"/>
          <w:i w:val="0"/>
        </w:rPr>
        <w:t>Hold stakeholder meetings and town halls.</w:t>
      </w:r>
    </w:p>
    <w:p>
      <w:pPr>
        <w:pStyle w:val="ListBullet2"/>
        <w:numPr>
          <w:ilvl w:val="1"/>
          <w:numId w:val="90"/>
        </w:numPr>
        <w:ind w:left="652" w:hanging="142"/>
      </w:pPr>
      <w:r>
        <w:rPr>
          <w:b w:val="0"/>
          <w:i w:val="0"/>
        </w:rPr>
        <w:t>Use digital dashboards for real-time updates to leadership.</w:t>
      </w:r>
    </w:p>
    <w:p>
      <w:pPr>
        <w:pStyle w:val="Heading2"/>
      </w:pPr>
      <w:r>
        <w:t>7. Continuous Improvement</w:t>
      </w:r>
    </w:p>
    <w:p>
      <w:pPr>
        <w:pStyle w:val="ListBullet2"/>
        <w:numPr>
          <w:ilvl w:val="1"/>
          <w:numId w:val="90"/>
        </w:numPr>
        <w:ind w:left="652" w:hanging="142"/>
      </w:pPr>
      <w:r>
        <w:rPr>
          <w:b w:val="0"/>
          <w:i w:val="0"/>
        </w:rPr>
        <w:t>Document lessons learned during execution.</w:t>
      </w:r>
    </w:p>
    <w:p>
      <w:pPr>
        <w:pStyle w:val="ListBullet2"/>
        <w:numPr>
          <w:ilvl w:val="1"/>
          <w:numId w:val="90"/>
        </w:numPr>
        <w:ind w:left="652" w:hanging="142"/>
      </w:pPr>
      <w:r>
        <w:rPr>
          <w:b w:val="0"/>
          <w:i w:val="0"/>
        </w:rPr>
        <w:t>Scale successful pilot projects to institution-wide level.</w:t>
      </w:r>
    </w:p>
    <w:p>
      <w:pPr>
        <w:pStyle w:val="ListBullet2"/>
        <w:numPr>
          <w:ilvl w:val="1"/>
          <w:numId w:val="90"/>
        </w:numPr>
        <w:ind w:left="652" w:hanging="142"/>
      </w:pPr>
      <w:r>
        <w:rPr>
          <w:b w:val="0"/>
          <w:i w:val="0"/>
        </w:rPr>
        <w:t>Update strategies dynamically in response to external changes.</w:t>
      </w:r>
    </w:p>
    <w:p>
      <w:pPr>
        <w:pStyle w:val="Heading2"/>
      </w:pPr>
      <w:r>
        <w:t>Expected Outcomes</w:t>
      </w:r>
    </w:p>
    <w:p>
      <w:pPr>
        <w:pStyle w:val="ListBullet"/>
        <w:numPr>
          <w:ilvl w:val="0"/>
          <w:numId w:val="90"/>
        </w:numPr>
        <w:ind w:left="340" w:hanging="142"/>
      </w:pPr>
      <w:r>
        <w:rPr>
          <w:b w:val="0"/>
          <w:i w:val="0"/>
        </w:rPr>
        <w:t>Smooth rollout of strategic initiatives across all pillars.</w:t>
      </w:r>
    </w:p>
    <w:p>
      <w:pPr>
        <w:pStyle w:val="ListBullet"/>
        <w:numPr>
          <w:ilvl w:val="0"/>
          <w:numId w:val="90"/>
        </w:numPr>
        <w:ind w:left="340" w:hanging="142"/>
      </w:pPr>
      <w:r>
        <w:rPr>
          <w:b w:val="0"/>
          <w:i w:val="0"/>
        </w:rPr>
        <w:t>Optimal use of resources with accountability in execution.</w:t>
      </w:r>
    </w:p>
    <w:p>
      <w:pPr>
        <w:pStyle w:val="ListBullet"/>
        <w:numPr>
          <w:ilvl w:val="0"/>
          <w:numId w:val="90"/>
        </w:numPr>
        <w:ind w:left="340" w:hanging="142"/>
      </w:pPr>
      <w:r>
        <w:rPr>
          <w:b w:val="0"/>
          <w:i w:val="0"/>
        </w:rPr>
        <w:t>Early identification and resolution of risks and bottlenecks.</w:t>
      </w:r>
    </w:p>
    <w:p>
      <w:pPr>
        <w:pStyle w:val="ListBullet"/>
        <w:numPr>
          <w:ilvl w:val="0"/>
          <w:numId w:val="90"/>
        </w:numPr>
        <w:ind w:left="340" w:hanging="142"/>
      </w:pPr>
      <w:r>
        <w:rPr>
          <w:b w:val="0"/>
          <w:i w:val="0"/>
        </w:rPr>
        <w:t>Tangible progress toward NEP 2020 alignment, SDG contributions, and accreditation excellence.</w:t>
      </w:r>
    </w:p>
    <w:p>
      <w:pPr>
        <w:pStyle w:val="Heading2"/>
      </w:pPr>
      <w:r>
        <w:t>Phase 4: Execution – Checklist Table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624"/>
        <w:gridCol w:w="2438"/>
        <w:gridCol w:w="1814"/>
        <w:gridCol w:w="2098"/>
        <w:gridCol w:w="1757"/>
        <w:gridCol w:w="680"/>
      </w:tblGrid>
      <w:tr>
        <w:trPr>
          <w:tblHeader/>
          <w:cantSplit/>
        </w:trPr>
        <w:tc>
          <w:tcPr>
            <w:tcW w:type="dxa" w:w="624"/>
            <w:vAlign w:val="center"/>
            <w:shd w:fill="1F3A5F"/>
          </w:tcPr>
          <w:p>
            <w:pPr>
              <w:keepNext/>
              <w:spacing w:after="40" w:line="276" w:lineRule="auto"/>
              <w:jc w:val="left"/>
            </w:pPr>
            <w:r>
              <w:rPr>
                <w:b/>
                <w:i w:val="0"/>
                <w:color w:val="FFFFFF"/>
              </w:rPr>
              <w:t>Step</w:t>
            </w:r>
          </w:p>
        </w:tc>
        <w:tc>
          <w:tcPr>
            <w:tcW w:type="dxa" w:w="2438"/>
            <w:vAlign w:val="center"/>
            <w:shd w:fill="1F3A5F"/>
          </w:tcPr>
          <w:p>
            <w:pPr>
              <w:keepNext/>
              <w:spacing w:after="40" w:line="276" w:lineRule="auto"/>
              <w:jc w:val="left"/>
            </w:pPr>
            <w:r>
              <w:rPr>
                <w:b/>
                <w:i w:val="0"/>
                <w:color w:val="FFFFFF"/>
              </w:rPr>
              <w:t>Task</w:t>
            </w:r>
          </w:p>
        </w:tc>
        <w:tc>
          <w:tcPr>
            <w:tcW w:type="dxa" w:w="1814"/>
            <w:vAlign w:val="center"/>
            <w:shd w:fill="1F3A5F"/>
          </w:tcPr>
          <w:p>
            <w:pPr>
              <w:keepNext/>
              <w:spacing w:after="40" w:line="276" w:lineRule="auto"/>
              <w:jc w:val="left"/>
            </w:pPr>
            <w:r>
              <w:rPr>
                <w:b/>
                <w:i w:val="0"/>
                <w:color w:val="FFFFFF"/>
              </w:rPr>
              <w:t>Responsible Unit</w:t>
            </w:r>
          </w:p>
        </w:tc>
        <w:tc>
          <w:tcPr>
            <w:tcW w:type="dxa" w:w="2098"/>
            <w:vAlign w:val="center"/>
            <w:shd w:fill="1F3A5F"/>
          </w:tcPr>
          <w:p>
            <w:pPr>
              <w:keepNext/>
              <w:spacing w:after="40" w:line="276" w:lineRule="auto"/>
              <w:jc w:val="left"/>
            </w:pPr>
            <w:r>
              <w:rPr>
                <w:b/>
                <w:i w:val="0"/>
                <w:color w:val="FFFFFF"/>
              </w:rPr>
              <w:t>Tools/​Resources Needed</w:t>
            </w:r>
          </w:p>
        </w:tc>
        <w:tc>
          <w:tcPr>
            <w:tcW w:type="dxa" w:w="1757"/>
            <w:vAlign w:val="center"/>
            <w:shd w:fill="1F3A5F"/>
          </w:tcPr>
          <w:p>
            <w:pPr>
              <w:keepNext/>
              <w:spacing w:after="40" w:line="276" w:lineRule="auto"/>
              <w:jc w:val="left"/>
            </w:pPr>
            <w:r>
              <w:rPr>
                <w:b/>
                <w:i w:val="0"/>
                <w:color w:val="FFFFFF"/>
              </w:rPr>
              <w:t>Timeline</w:t>
            </w:r>
          </w:p>
        </w:tc>
        <w:tc>
          <w:tcPr>
            <w:tcW w:type="dxa" w:w="680"/>
            <w:vAlign w:val="center"/>
            <w:shd w:fill="1F3A5F"/>
          </w:tcPr>
          <w:p>
            <w:pPr>
              <w:keepNext/>
              <w:spacing w:after="40" w:line="276" w:lineRule="auto"/>
              <w:jc w:val="left"/>
            </w:pPr>
            <w:r>
              <w:rPr>
                <w:b/>
                <w:i w:val="0"/>
                <w:color w:val="FFFFFF"/>
              </w:rPr>
              <w:t>Status</w:t>
            </w:r>
          </w:p>
        </w:tc>
      </w:tr>
      <w:tr>
        <w:trPr>
          <w:cantSplit/>
        </w:trPr>
        <w:tc>
          <w:tcPr>
            <w:tcW w:type="dxa" w:w="624"/>
            <w:vAlign w:val="center"/>
            <w:shd w:fill="FFFFFF"/>
          </w:tcPr>
          <w:p>
            <w:pPr>
              <w:spacing w:after="40" w:line="276" w:lineRule="auto"/>
              <w:jc w:val="left"/>
            </w:pPr>
            <w:r>
              <w:rPr>
                <w:b w:val="0"/>
                <w:i w:val="0"/>
              </w:rPr>
              <w:t>1</w:t>
            </w:r>
          </w:p>
        </w:tc>
        <w:tc>
          <w:tcPr>
            <w:tcW w:type="dxa" w:w="2438"/>
            <w:vAlign w:val="center"/>
            <w:shd w:fill="FFFFFF"/>
          </w:tcPr>
          <w:p>
            <w:pPr>
              <w:spacing w:after="40" w:line="276" w:lineRule="auto"/>
              <w:jc w:val="left"/>
            </w:pPr>
            <w:r>
              <w:rPr>
                <w:b w:val="0"/>
                <w:i w:val="0"/>
              </w:rPr>
              <w:t>Launch strategic initiatives and projects under each pillar</w:t>
            </w:r>
          </w:p>
        </w:tc>
        <w:tc>
          <w:tcPr>
            <w:tcW w:type="dxa" w:w="1814"/>
            <w:vAlign w:val="center"/>
            <w:shd w:fill="FFFFFF"/>
          </w:tcPr>
          <w:p>
            <w:pPr>
              <w:spacing w:after="40" w:line="276" w:lineRule="auto"/>
              <w:jc w:val="left"/>
            </w:pPr>
            <w:r>
              <w:rPr>
                <w:b w:val="0"/>
                <w:i w:val="0"/>
              </w:rPr>
              <w:t>Deans + Department Heads</w:t>
            </w:r>
          </w:p>
        </w:tc>
        <w:tc>
          <w:tcPr>
            <w:tcW w:type="dxa" w:w="2098"/>
            <w:vAlign w:val="center"/>
            <w:shd w:fill="FFFFFF"/>
          </w:tcPr>
          <w:p>
            <w:pPr>
              <w:spacing w:after="40" w:line="276" w:lineRule="auto"/>
              <w:jc w:val="left"/>
            </w:pPr>
            <w:r>
              <w:rPr>
                <w:b w:val="0"/>
                <w:i w:val="0"/>
              </w:rPr>
              <w:t>Project charters, action plans</w:t>
            </w:r>
          </w:p>
        </w:tc>
        <w:tc>
          <w:tcPr>
            <w:tcW w:type="dxa" w:w="1757"/>
            <w:vAlign w:val="center"/>
            <w:shd w:fill="FFFFFF"/>
          </w:tcPr>
          <w:p>
            <w:pPr>
              <w:spacing w:after="40" w:line="276" w:lineRule="auto"/>
              <w:jc w:val="left"/>
            </w:pPr>
            <w:r>
              <w:rPr>
                <w:b w:val="0"/>
                <w:i w:val="0"/>
              </w:rPr>
              <w:t>Month 1–2</w:t>
            </w:r>
          </w:p>
        </w:tc>
        <w:tc>
          <w:tcPr>
            <w:tcW w:type="dxa" w:w="680"/>
            <w:vAlign w:val="center"/>
            <w:shd w:fill="FFFFFF"/>
          </w:tcPr>
          <w:p>
            <w:pPr>
              <w:spacing w:after="40" w:line="276" w:lineRule="auto"/>
              <w:jc w:val="left"/>
            </w:pPr>
            <w:r>
              <w:rPr>
                <w:b w:val="0"/>
                <w:i w:val="0"/>
              </w:rPr>
              <w:t>□</w:t>
            </w:r>
          </w:p>
        </w:tc>
      </w:tr>
      <w:tr>
        <w:trPr>
          <w:cantSplit/>
        </w:trPr>
        <w:tc>
          <w:tcPr>
            <w:tcW w:type="dxa" w:w="624"/>
            <w:vAlign w:val="center"/>
            <w:shd w:fill="EDF2F7"/>
          </w:tcPr>
          <w:p>
            <w:pPr>
              <w:spacing w:after="40" w:line="276" w:lineRule="auto"/>
              <w:jc w:val="left"/>
            </w:pPr>
            <w:r>
              <w:rPr>
                <w:b w:val="0"/>
                <w:i w:val="0"/>
              </w:rPr>
              <w:t>2</w:t>
            </w:r>
          </w:p>
        </w:tc>
        <w:tc>
          <w:tcPr>
            <w:tcW w:type="dxa" w:w="2438"/>
            <w:vAlign w:val="center"/>
            <w:shd w:fill="EDF2F7"/>
          </w:tcPr>
          <w:p>
            <w:pPr>
              <w:spacing w:after="40" w:line="276" w:lineRule="auto"/>
              <w:jc w:val="left"/>
            </w:pPr>
            <w:r>
              <w:rPr>
                <w:b w:val="0"/>
                <w:i w:val="0"/>
              </w:rPr>
              <w:t>Deploy financial resources as per approved budgets</w:t>
            </w:r>
          </w:p>
        </w:tc>
        <w:tc>
          <w:tcPr>
            <w:tcW w:type="dxa" w:w="1814"/>
            <w:vAlign w:val="center"/>
            <w:shd w:fill="EDF2F7"/>
          </w:tcPr>
          <w:p>
            <w:pPr>
              <w:spacing w:after="40" w:line="276" w:lineRule="auto"/>
              <w:jc w:val="left"/>
            </w:pPr>
            <w:r>
              <w:rPr>
                <w:b w:val="0"/>
                <w:i w:val="0"/>
              </w:rPr>
              <w:t>Finance Office</w:t>
            </w:r>
          </w:p>
        </w:tc>
        <w:tc>
          <w:tcPr>
            <w:tcW w:type="dxa" w:w="2098"/>
            <w:vAlign w:val="center"/>
            <w:shd w:fill="EDF2F7"/>
          </w:tcPr>
          <w:p>
            <w:pPr>
              <w:spacing w:after="40" w:line="276" w:lineRule="auto"/>
              <w:jc w:val="left"/>
            </w:pPr>
            <w:r>
              <w:rPr>
                <w:b w:val="0"/>
                <w:i w:val="0"/>
              </w:rPr>
              <w:t>Budget sheets, CSR/​Alumni funds, PPP support</w:t>
            </w:r>
          </w:p>
        </w:tc>
        <w:tc>
          <w:tcPr>
            <w:tcW w:type="dxa" w:w="1757"/>
            <w:vAlign w:val="center"/>
            <w:shd w:fill="EDF2F7"/>
          </w:tcPr>
          <w:p>
            <w:pPr>
              <w:spacing w:after="40" w:line="276" w:lineRule="auto"/>
              <w:jc w:val="left"/>
            </w:pPr>
            <w:r>
              <w:rPr>
                <w:b w:val="0"/>
                <w:i w:val="0"/>
              </w:rPr>
              <w:t>Month 1–3</w:t>
            </w:r>
          </w:p>
        </w:tc>
        <w:tc>
          <w:tcPr>
            <w:tcW w:type="dxa" w:w="680"/>
            <w:vAlign w:val="center"/>
            <w:shd w:fill="EDF2F7"/>
          </w:tcPr>
          <w:p>
            <w:pPr>
              <w:spacing w:after="40" w:line="276" w:lineRule="auto"/>
              <w:jc w:val="left"/>
            </w:pPr>
            <w:r>
              <w:rPr>
                <w:b w:val="0"/>
                <w:i w:val="0"/>
              </w:rPr>
              <w:t>□</w:t>
            </w:r>
          </w:p>
        </w:tc>
      </w:tr>
      <w:tr>
        <w:trPr>
          <w:cantSplit/>
        </w:trPr>
        <w:tc>
          <w:tcPr>
            <w:tcW w:type="dxa" w:w="624"/>
            <w:vAlign w:val="center"/>
            <w:shd w:fill="FFFFFF"/>
          </w:tcPr>
          <w:p>
            <w:pPr>
              <w:spacing w:after="40" w:line="276" w:lineRule="auto"/>
              <w:jc w:val="left"/>
            </w:pPr>
            <w:r>
              <w:rPr>
                <w:b w:val="0"/>
                <w:i w:val="0"/>
              </w:rPr>
              <w:t>3</w:t>
            </w:r>
          </w:p>
        </w:tc>
        <w:tc>
          <w:tcPr>
            <w:tcW w:type="dxa" w:w="2438"/>
            <w:vAlign w:val="center"/>
            <w:shd w:fill="FFFFFF"/>
          </w:tcPr>
          <w:p>
            <w:pPr>
              <w:spacing w:after="40" w:line="276" w:lineRule="auto"/>
              <w:jc w:val="left"/>
            </w:pPr>
            <w:r>
              <w:rPr>
                <w:b w:val="0"/>
                <w:i w:val="0"/>
              </w:rPr>
              <w:t>Assign human resources (faculty, staff, project teams)</w:t>
            </w:r>
          </w:p>
        </w:tc>
        <w:tc>
          <w:tcPr>
            <w:tcW w:type="dxa" w:w="1814"/>
            <w:vAlign w:val="center"/>
            <w:shd w:fill="FFFFFF"/>
          </w:tcPr>
          <w:p>
            <w:pPr>
              <w:spacing w:after="40" w:line="276" w:lineRule="auto"/>
              <w:jc w:val="left"/>
            </w:pPr>
            <w:r>
              <w:rPr>
                <w:b w:val="0"/>
                <w:i w:val="0"/>
              </w:rPr>
              <w:t>HR Office + Academic Council</w:t>
            </w:r>
          </w:p>
        </w:tc>
        <w:tc>
          <w:tcPr>
            <w:tcW w:type="dxa" w:w="2098"/>
            <w:vAlign w:val="center"/>
            <w:shd w:fill="FFFFFF"/>
          </w:tcPr>
          <w:p>
            <w:pPr>
              <w:spacing w:after="40" w:line="276" w:lineRule="auto"/>
              <w:jc w:val="left"/>
            </w:pPr>
            <w:r>
              <w:rPr>
                <w:b w:val="0"/>
                <w:i w:val="0"/>
              </w:rPr>
              <w:t>Workload allocation plans, RACI matrix</w:t>
            </w:r>
          </w:p>
        </w:tc>
        <w:tc>
          <w:tcPr>
            <w:tcW w:type="dxa" w:w="1757"/>
            <w:vAlign w:val="center"/>
            <w:shd w:fill="FFFFFF"/>
          </w:tcPr>
          <w:p>
            <w:pPr>
              <w:spacing w:after="40" w:line="276" w:lineRule="auto"/>
              <w:jc w:val="left"/>
            </w:pPr>
            <w:r>
              <w:rPr>
                <w:b w:val="0"/>
                <w:i w:val="0"/>
              </w:rPr>
              <w:t>Month 2</w:t>
            </w:r>
          </w:p>
        </w:tc>
        <w:tc>
          <w:tcPr>
            <w:tcW w:type="dxa" w:w="680"/>
            <w:vAlign w:val="center"/>
            <w:shd w:fill="FFFFFF"/>
          </w:tcPr>
          <w:p>
            <w:pPr>
              <w:spacing w:after="40" w:line="276" w:lineRule="auto"/>
              <w:jc w:val="left"/>
            </w:pPr>
            <w:r>
              <w:rPr>
                <w:b w:val="0"/>
                <w:i w:val="0"/>
              </w:rPr>
              <w:t>□</w:t>
            </w:r>
          </w:p>
        </w:tc>
      </w:tr>
      <w:tr>
        <w:trPr>
          <w:cantSplit/>
        </w:trPr>
        <w:tc>
          <w:tcPr>
            <w:tcW w:type="dxa" w:w="624"/>
            <w:vAlign w:val="center"/>
            <w:shd w:fill="EDF2F7"/>
          </w:tcPr>
          <w:p>
            <w:pPr>
              <w:spacing w:after="40" w:line="276" w:lineRule="auto"/>
              <w:jc w:val="left"/>
            </w:pPr>
            <w:r>
              <w:rPr>
                <w:b w:val="0"/>
                <w:i w:val="0"/>
              </w:rPr>
              <w:t>4</w:t>
            </w:r>
          </w:p>
        </w:tc>
        <w:tc>
          <w:tcPr>
            <w:tcW w:type="dxa" w:w="2438"/>
            <w:vAlign w:val="center"/>
            <w:shd w:fill="EDF2F7"/>
          </w:tcPr>
          <w:p>
            <w:pPr>
              <w:spacing w:after="40" w:line="276" w:lineRule="auto"/>
              <w:jc w:val="left"/>
            </w:pPr>
            <w:r>
              <w:rPr>
                <w:b w:val="0"/>
                <w:i w:val="0"/>
              </w:rPr>
              <w:t>Implement technology systems (ERP, LMS, dashboards)</w:t>
            </w:r>
          </w:p>
        </w:tc>
        <w:tc>
          <w:tcPr>
            <w:tcW w:type="dxa" w:w="1814"/>
            <w:vAlign w:val="center"/>
            <w:shd w:fill="EDF2F7"/>
          </w:tcPr>
          <w:p>
            <w:pPr>
              <w:spacing w:after="40" w:line="276" w:lineRule="auto"/>
              <w:jc w:val="left"/>
            </w:pPr>
            <w:r>
              <w:rPr>
                <w:b w:val="0"/>
                <w:i w:val="0"/>
              </w:rPr>
              <w:t>IT Services + IQAC</w:t>
            </w:r>
          </w:p>
        </w:tc>
        <w:tc>
          <w:tcPr>
            <w:tcW w:type="dxa" w:w="2098"/>
            <w:vAlign w:val="center"/>
            <w:shd w:fill="EDF2F7"/>
          </w:tcPr>
          <w:p>
            <w:pPr>
              <w:spacing w:after="40" w:line="276" w:lineRule="auto"/>
              <w:jc w:val="left"/>
            </w:pPr>
            <w:r>
              <w:rPr>
                <w:b w:val="0"/>
                <w:i w:val="0"/>
              </w:rPr>
              <w:t>ERP software, LMS platforms, AI dashboards</w:t>
            </w:r>
          </w:p>
        </w:tc>
        <w:tc>
          <w:tcPr>
            <w:tcW w:type="dxa" w:w="1757"/>
            <w:vAlign w:val="center"/>
            <w:shd w:fill="EDF2F7"/>
          </w:tcPr>
          <w:p>
            <w:pPr>
              <w:spacing w:after="40" w:line="276" w:lineRule="auto"/>
              <w:jc w:val="left"/>
            </w:pPr>
            <w:r>
              <w:rPr>
                <w:b w:val="0"/>
                <w:i w:val="0"/>
              </w:rPr>
              <w:t>Month 2–4</w:t>
            </w:r>
          </w:p>
        </w:tc>
        <w:tc>
          <w:tcPr>
            <w:tcW w:type="dxa" w:w="680"/>
            <w:vAlign w:val="center"/>
            <w:shd w:fill="EDF2F7"/>
          </w:tcPr>
          <w:p>
            <w:pPr>
              <w:spacing w:after="40" w:line="276" w:lineRule="auto"/>
              <w:jc w:val="left"/>
            </w:pPr>
            <w:r>
              <w:rPr>
                <w:b w:val="0"/>
                <w:i w:val="0"/>
              </w:rPr>
              <w:t>□</w:t>
            </w:r>
          </w:p>
        </w:tc>
      </w:tr>
      <w:tr>
        <w:trPr>
          <w:cantSplit/>
        </w:trPr>
        <w:tc>
          <w:tcPr>
            <w:tcW w:type="dxa" w:w="624"/>
            <w:vAlign w:val="center"/>
            <w:shd w:fill="FFFFFF"/>
          </w:tcPr>
          <w:p>
            <w:pPr>
              <w:spacing w:after="40" w:line="276" w:lineRule="auto"/>
              <w:jc w:val="left"/>
            </w:pPr>
            <w:r>
              <w:rPr>
                <w:b w:val="0"/>
                <w:i w:val="0"/>
              </w:rPr>
              <w:t>5</w:t>
            </w:r>
          </w:p>
        </w:tc>
        <w:tc>
          <w:tcPr>
            <w:tcW w:type="dxa" w:w="2438"/>
            <w:vAlign w:val="center"/>
            <w:shd w:fill="FFFFFF"/>
          </w:tcPr>
          <w:p>
            <w:pPr>
              <w:spacing w:after="40" w:line="276" w:lineRule="auto"/>
              <w:jc w:val="left"/>
            </w:pPr>
            <w:r>
              <w:rPr>
                <w:b w:val="0"/>
                <w:i w:val="0"/>
              </w:rPr>
              <w:t>Conduct capacity-building workshops for faculty/​staff</w:t>
            </w:r>
          </w:p>
        </w:tc>
        <w:tc>
          <w:tcPr>
            <w:tcW w:type="dxa" w:w="1814"/>
            <w:vAlign w:val="center"/>
            <w:shd w:fill="FFFFFF"/>
          </w:tcPr>
          <w:p>
            <w:pPr>
              <w:spacing w:after="40" w:line="276" w:lineRule="auto"/>
              <w:jc w:val="left"/>
            </w:pPr>
            <w:r>
              <w:rPr>
                <w:b w:val="0"/>
                <w:i w:val="0"/>
              </w:rPr>
              <w:t>HR Office + IQAC</w:t>
            </w:r>
          </w:p>
        </w:tc>
        <w:tc>
          <w:tcPr>
            <w:tcW w:type="dxa" w:w="2098"/>
            <w:vAlign w:val="center"/>
            <w:shd w:fill="FFFFFF"/>
          </w:tcPr>
          <w:p>
            <w:pPr>
              <w:spacing w:after="40" w:line="276" w:lineRule="auto"/>
              <w:jc w:val="left"/>
            </w:pPr>
            <w:r>
              <w:rPr>
                <w:b w:val="0"/>
                <w:i w:val="0"/>
              </w:rPr>
              <w:t>FDP modules, training materials</w:t>
            </w:r>
          </w:p>
        </w:tc>
        <w:tc>
          <w:tcPr>
            <w:tcW w:type="dxa" w:w="1757"/>
            <w:vAlign w:val="center"/>
            <w:shd w:fill="FFFFFF"/>
          </w:tcPr>
          <w:p>
            <w:pPr>
              <w:spacing w:after="40" w:line="276" w:lineRule="auto"/>
              <w:jc w:val="left"/>
            </w:pPr>
            <w:r>
              <w:rPr>
                <w:b w:val="0"/>
                <w:i w:val="0"/>
              </w:rPr>
              <w:t>Ongoing</w:t>
            </w:r>
          </w:p>
        </w:tc>
        <w:tc>
          <w:tcPr>
            <w:tcW w:type="dxa" w:w="680"/>
            <w:vAlign w:val="center"/>
            <w:shd w:fill="FFFFFF"/>
          </w:tcPr>
          <w:p>
            <w:pPr>
              <w:spacing w:after="40" w:line="276" w:lineRule="auto"/>
              <w:jc w:val="left"/>
            </w:pPr>
            <w:r>
              <w:rPr>
                <w:b w:val="0"/>
                <w:i w:val="0"/>
              </w:rPr>
              <w:t>□</w:t>
            </w:r>
          </w:p>
        </w:tc>
      </w:tr>
      <w:tr>
        <w:trPr>
          <w:cantSplit/>
        </w:trPr>
        <w:tc>
          <w:tcPr>
            <w:tcW w:type="dxa" w:w="624"/>
            <w:vAlign w:val="center"/>
            <w:shd w:fill="EDF2F7"/>
          </w:tcPr>
          <w:p>
            <w:pPr>
              <w:spacing w:after="40" w:line="276" w:lineRule="auto"/>
              <w:jc w:val="left"/>
            </w:pPr>
            <w:r>
              <w:rPr>
                <w:b w:val="0"/>
                <w:i w:val="0"/>
              </w:rPr>
              <w:t>6</w:t>
            </w:r>
          </w:p>
        </w:tc>
        <w:tc>
          <w:tcPr>
            <w:tcW w:type="dxa" w:w="2438"/>
            <w:vAlign w:val="center"/>
            <w:shd w:fill="EDF2F7"/>
          </w:tcPr>
          <w:p>
            <w:pPr>
              <w:spacing w:after="40" w:line="276" w:lineRule="auto"/>
              <w:jc w:val="left"/>
            </w:pPr>
            <w:r>
              <w:rPr>
                <w:b w:val="0"/>
                <w:i w:val="0"/>
              </w:rPr>
              <w:t>Execute academic reforms (curriculum rollout, blended learning)</w:t>
            </w:r>
          </w:p>
        </w:tc>
        <w:tc>
          <w:tcPr>
            <w:tcW w:type="dxa" w:w="1814"/>
            <w:vAlign w:val="center"/>
            <w:shd w:fill="EDF2F7"/>
          </w:tcPr>
          <w:p>
            <w:pPr>
              <w:spacing w:after="40" w:line="276" w:lineRule="auto"/>
              <w:jc w:val="left"/>
            </w:pPr>
            <w:r>
              <w:rPr>
                <w:b w:val="0"/>
                <w:i w:val="0"/>
              </w:rPr>
              <w:t>Curriculum Committee + Deans</w:t>
            </w:r>
          </w:p>
        </w:tc>
        <w:tc>
          <w:tcPr>
            <w:tcW w:type="dxa" w:w="2098"/>
            <w:vAlign w:val="center"/>
            <w:shd w:fill="EDF2F7"/>
          </w:tcPr>
          <w:p>
            <w:pPr>
              <w:spacing w:after="40" w:line="276" w:lineRule="auto"/>
              <w:jc w:val="left"/>
            </w:pPr>
            <w:r>
              <w:rPr>
                <w:b w:val="0"/>
                <w:i w:val="0"/>
              </w:rPr>
              <w:t>Revised syllabi, OBE frameworks</w:t>
            </w:r>
          </w:p>
        </w:tc>
        <w:tc>
          <w:tcPr>
            <w:tcW w:type="dxa" w:w="1757"/>
            <w:vAlign w:val="center"/>
            <w:shd w:fill="EDF2F7"/>
          </w:tcPr>
          <w:p>
            <w:pPr>
              <w:spacing w:after="40" w:line="276" w:lineRule="auto"/>
              <w:jc w:val="left"/>
            </w:pPr>
            <w:r>
              <w:rPr>
                <w:b w:val="0"/>
                <w:i w:val="0"/>
              </w:rPr>
              <w:t>Year 1–2</w:t>
            </w:r>
          </w:p>
        </w:tc>
        <w:tc>
          <w:tcPr>
            <w:tcW w:type="dxa" w:w="680"/>
            <w:vAlign w:val="center"/>
            <w:shd w:fill="EDF2F7"/>
          </w:tcPr>
          <w:p>
            <w:pPr>
              <w:spacing w:after="40" w:line="276" w:lineRule="auto"/>
              <w:jc w:val="left"/>
            </w:pPr>
            <w:r>
              <w:rPr>
                <w:b w:val="0"/>
                <w:i w:val="0"/>
              </w:rPr>
              <w:t>□</w:t>
            </w:r>
          </w:p>
        </w:tc>
      </w:tr>
      <w:tr>
        <w:trPr>
          <w:cantSplit/>
        </w:trPr>
        <w:tc>
          <w:tcPr>
            <w:tcW w:type="dxa" w:w="624"/>
            <w:vAlign w:val="center"/>
            <w:shd w:fill="FFFFFF"/>
          </w:tcPr>
          <w:p>
            <w:pPr>
              <w:spacing w:after="40" w:line="276" w:lineRule="auto"/>
              <w:jc w:val="left"/>
            </w:pPr>
            <w:r>
              <w:rPr>
                <w:b w:val="0"/>
                <w:i w:val="0"/>
              </w:rPr>
              <w:t>7</w:t>
            </w:r>
          </w:p>
        </w:tc>
        <w:tc>
          <w:tcPr>
            <w:tcW w:type="dxa" w:w="2438"/>
            <w:vAlign w:val="center"/>
            <w:shd w:fill="FFFFFF"/>
          </w:tcPr>
          <w:p>
            <w:pPr>
              <w:spacing w:after="40" w:line="276" w:lineRule="auto"/>
              <w:jc w:val="left"/>
            </w:pPr>
            <w:r>
              <w:rPr>
                <w:b w:val="0"/>
                <w:i w:val="0"/>
              </w:rPr>
              <w:t>Establish research clusters and centers of excellence</w:t>
            </w:r>
          </w:p>
        </w:tc>
        <w:tc>
          <w:tcPr>
            <w:tcW w:type="dxa" w:w="1814"/>
            <w:vAlign w:val="center"/>
            <w:shd w:fill="FFFFFF"/>
          </w:tcPr>
          <w:p>
            <w:pPr>
              <w:spacing w:after="40" w:line="276" w:lineRule="auto"/>
              <w:jc w:val="left"/>
            </w:pPr>
            <w:r>
              <w:rPr>
                <w:b w:val="0"/>
                <w:i w:val="0"/>
              </w:rPr>
              <w:t>Research &amp; Innovation Cell</w:t>
            </w:r>
          </w:p>
        </w:tc>
        <w:tc>
          <w:tcPr>
            <w:tcW w:type="dxa" w:w="2098"/>
            <w:vAlign w:val="center"/>
            <w:shd w:fill="FFFFFF"/>
          </w:tcPr>
          <w:p>
            <w:pPr>
              <w:spacing w:after="40" w:line="276" w:lineRule="auto"/>
              <w:jc w:val="left"/>
            </w:pPr>
            <w:r>
              <w:rPr>
                <w:b w:val="0"/>
                <w:i w:val="0"/>
              </w:rPr>
              <w:t>Labs, research grants, industry partnerships</w:t>
            </w:r>
          </w:p>
        </w:tc>
        <w:tc>
          <w:tcPr>
            <w:tcW w:type="dxa" w:w="1757"/>
            <w:vAlign w:val="center"/>
            <w:shd w:fill="FFFFFF"/>
          </w:tcPr>
          <w:p>
            <w:pPr>
              <w:spacing w:after="40" w:line="276" w:lineRule="auto"/>
              <w:jc w:val="left"/>
            </w:pPr>
            <w:r>
              <w:rPr>
                <w:b w:val="0"/>
                <w:i w:val="0"/>
              </w:rPr>
              <w:t>Year 1–3</w:t>
            </w:r>
          </w:p>
        </w:tc>
        <w:tc>
          <w:tcPr>
            <w:tcW w:type="dxa" w:w="680"/>
            <w:vAlign w:val="center"/>
            <w:shd w:fill="FFFFFF"/>
          </w:tcPr>
          <w:p>
            <w:pPr>
              <w:spacing w:after="40" w:line="276" w:lineRule="auto"/>
              <w:jc w:val="left"/>
            </w:pPr>
            <w:r>
              <w:rPr>
                <w:b w:val="0"/>
                <w:i w:val="0"/>
              </w:rPr>
              <w:t>□</w:t>
            </w:r>
          </w:p>
        </w:tc>
      </w:tr>
      <w:tr>
        <w:trPr>
          <w:cantSplit/>
        </w:trPr>
        <w:tc>
          <w:tcPr>
            <w:tcW w:type="dxa" w:w="624"/>
            <w:vAlign w:val="center"/>
            <w:shd w:fill="EDF2F7"/>
          </w:tcPr>
          <w:p>
            <w:pPr>
              <w:spacing w:after="40" w:line="276" w:lineRule="auto"/>
              <w:jc w:val="left"/>
            </w:pPr>
            <w:r>
              <w:rPr>
                <w:b w:val="0"/>
                <w:i w:val="0"/>
              </w:rPr>
              <w:t>8</w:t>
            </w:r>
          </w:p>
        </w:tc>
        <w:tc>
          <w:tcPr>
            <w:tcW w:type="dxa" w:w="2438"/>
            <w:vAlign w:val="center"/>
            <w:shd w:fill="EDF2F7"/>
          </w:tcPr>
          <w:p>
            <w:pPr>
              <w:spacing w:after="40" w:line="276" w:lineRule="auto"/>
              <w:jc w:val="left"/>
            </w:pPr>
            <w:r>
              <w:rPr>
                <w:b w:val="0"/>
                <w:i w:val="0"/>
              </w:rPr>
              <w:t>Expand ISR &amp; community engagement programs</w:t>
            </w:r>
          </w:p>
        </w:tc>
        <w:tc>
          <w:tcPr>
            <w:tcW w:type="dxa" w:w="1814"/>
            <w:vAlign w:val="center"/>
            <w:shd w:fill="EDF2F7"/>
          </w:tcPr>
          <w:p>
            <w:pPr>
              <w:spacing w:after="40" w:line="276" w:lineRule="auto"/>
              <w:jc w:val="left"/>
            </w:pPr>
            <w:r>
              <w:rPr>
                <w:b w:val="0"/>
                <w:i w:val="0"/>
              </w:rPr>
              <w:t>ISR Cell + Student Affairs</w:t>
            </w:r>
          </w:p>
        </w:tc>
        <w:tc>
          <w:tcPr>
            <w:tcW w:type="dxa" w:w="2098"/>
            <w:vAlign w:val="center"/>
            <w:shd w:fill="EDF2F7"/>
          </w:tcPr>
          <w:p>
            <w:pPr>
              <w:spacing w:after="40" w:line="276" w:lineRule="auto"/>
              <w:jc w:val="left"/>
            </w:pPr>
            <w:r>
              <w:rPr>
                <w:b w:val="0"/>
                <w:i w:val="0"/>
              </w:rPr>
              <w:t>NGO partnerships, community projects</w:t>
            </w:r>
          </w:p>
        </w:tc>
        <w:tc>
          <w:tcPr>
            <w:tcW w:type="dxa" w:w="1757"/>
            <w:vAlign w:val="center"/>
            <w:shd w:fill="EDF2F7"/>
          </w:tcPr>
          <w:p>
            <w:pPr>
              <w:spacing w:after="40" w:line="276" w:lineRule="auto"/>
              <w:jc w:val="left"/>
            </w:pPr>
            <w:r>
              <w:rPr>
                <w:b w:val="0"/>
                <w:i w:val="0"/>
              </w:rPr>
              <w:t>Year 1 onward</w:t>
            </w:r>
          </w:p>
        </w:tc>
        <w:tc>
          <w:tcPr>
            <w:tcW w:type="dxa" w:w="680"/>
            <w:vAlign w:val="center"/>
            <w:shd w:fill="EDF2F7"/>
          </w:tcPr>
          <w:p>
            <w:pPr>
              <w:spacing w:after="40" w:line="276" w:lineRule="auto"/>
              <w:jc w:val="left"/>
            </w:pPr>
            <w:r>
              <w:rPr>
                <w:b w:val="0"/>
                <w:i w:val="0"/>
              </w:rPr>
              <w:t>□</w:t>
            </w:r>
          </w:p>
        </w:tc>
      </w:tr>
      <w:tr>
        <w:trPr>
          <w:cantSplit/>
        </w:trPr>
        <w:tc>
          <w:tcPr>
            <w:tcW w:type="dxa" w:w="624"/>
            <w:vAlign w:val="center"/>
            <w:shd w:fill="FFFFFF"/>
          </w:tcPr>
          <w:p>
            <w:pPr>
              <w:spacing w:after="40" w:line="276" w:lineRule="auto"/>
              <w:jc w:val="left"/>
            </w:pPr>
            <w:r>
              <w:rPr>
                <w:b w:val="0"/>
                <w:i w:val="0"/>
              </w:rPr>
              <w:t>9</w:t>
            </w:r>
          </w:p>
        </w:tc>
        <w:tc>
          <w:tcPr>
            <w:tcW w:type="dxa" w:w="2438"/>
            <w:vAlign w:val="center"/>
            <w:shd w:fill="FFFFFF"/>
          </w:tcPr>
          <w:p>
            <w:pPr>
              <w:spacing w:after="40" w:line="276" w:lineRule="auto"/>
              <w:jc w:val="left"/>
            </w:pPr>
            <w:r>
              <w:rPr>
                <w:b w:val="0"/>
                <w:i w:val="0"/>
              </w:rPr>
              <w:t>Monitor progress via KPI dashboards and reviews</w:t>
            </w:r>
          </w:p>
        </w:tc>
        <w:tc>
          <w:tcPr>
            <w:tcW w:type="dxa" w:w="1814"/>
            <w:vAlign w:val="center"/>
            <w:shd w:fill="FFFFFF"/>
          </w:tcPr>
          <w:p>
            <w:pPr>
              <w:spacing w:after="40" w:line="276" w:lineRule="auto"/>
              <w:jc w:val="left"/>
            </w:pPr>
            <w:r>
              <w:rPr>
                <w:b w:val="0"/>
                <w:i w:val="0"/>
              </w:rPr>
              <w:t>IQAC + Institutional Research Office</w:t>
            </w:r>
          </w:p>
        </w:tc>
        <w:tc>
          <w:tcPr>
            <w:tcW w:type="dxa" w:w="2098"/>
            <w:vAlign w:val="center"/>
            <w:shd w:fill="FFFFFF"/>
          </w:tcPr>
          <w:p>
            <w:pPr>
              <w:spacing w:after="40" w:line="276" w:lineRule="auto"/>
              <w:jc w:val="left"/>
            </w:pPr>
            <w:r>
              <w:rPr>
                <w:b w:val="0"/>
                <w:i w:val="0"/>
              </w:rPr>
              <w:t>Balanced Scorecard, KPI tracker</w:t>
            </w:r>
          </w:p>
        </w:tc>
        <w:tc>
          <w:tcPr>
            <w:tcW w:type="dxa" w:w="1757"/>
            <w:vAlign w:val="center"/>
            <w:shd w:fill="FFFFFF"/>
          </w:tcPr>
          <w:p>
            <w:pPr>
              <w:spacing w:after="40" w:line="276" w:lineRule="auto"/>
              <w:jc w:val="left"/>
            </w:pPr>
            <w:r>
              <w:rPr>
                <w:b w:val="0"/>
                <w:i w:val="0"/>
              </w:rPr>
              <w:t>Quarterly</w:t>
            </w:r>
          </w:p>
        </w:tc>
        <w:tc>
          <w:tcPr>
            <w:tcW w:type="dxa" w:w="680"/>
            <w:vAlign w:val="center"/>
            <w:shd w:fill="FFFFFF"/>
          </w:tcPr>
          <w:p>
            <w:pPr>
              <w:spacing w:after="40" w:line="276" w:lineRule="auto"/>
              <w:jc w:val="left"/>
            </w:pPr>
            <w:r>
              <w:rPr>
                <w:b w:val="0"/>
                <w:i w:val="0"/>
              </w:rPr>
              <w:t>□</w:t>
            </w:r>
          </w:p>
        </w:tc>
      </w:tr>
      <w:tr>
        <w:trPr>
          <w:cantSplit/>
        </w:trPr>
        <w:tc>
          <w:tcPr>
            <w:tcW w:type="dxa" w:w="624"/>
            <w:vAlign w:val="center"/>
            <w:shd w:fill="EDF2F7"/>
          </w:tcPr>
          <w:p>
            <w:pPr>
              <w:spacing w:after="40" w:line="276" w:lineRule="auto"/>
              <w:jc w:val="left"/>
            </w:pPr>
            <w:r>
              <w:rPr>
                <w:b w:val="0"/>
                <w:i w:val="0"/>
              </w:rPr>
              <w:t>10</w:t>
            </w:r>
          </w:p>
        </w:tc>
        <w:tc>
          <w:tcPr>
            <w:tcW w:type="dxa" w:w="2438"/>
            <w:vAlign w:val="center"/>
            <w:shd w:fill="EDF2F7"/>
          </w:tcPr>
          <w:p>
            <w:pPr>
              <w:spacing w:after="40" w:line="276" w:lineRule="auto"/>
              <w:jc w:val="left"/>
            </w:pPr>
            <w:r>
              <w:rPr>
                <w:b w:val="0"/>
                <w:i w:val="0"/>
              </w:rPr>
              <w:t>Collect stakeholder feedback (students, faculty, industry, community)</w:t>
            </w:r>
          </w:p>
        </w:tc>
        <w:tc>
          <w:tcPr>
            <w:tcW w:type="dxa" w:w="1814"/>
            <w:vAlign w:val="center"/>
            <w:shd w:fill="EDF2F7"/>
          </w:tcPr>
          <w:p>
            <w:pPr>
              <w:spacing w:after="40" w:line="276" w:lineRule="auto"/>
              <w:jc w:val="left"/>
            </w:pPr>
            <w:r>
              <w:rPr>
                <w:b w:val="0"/>
                <w:i w:val="0"/>
              </w:rPr>
              <w:t>IQAC + PR Office</w:t>
            </w:r>
          </w:p>
        </w:tc>
        <w:tc>
          <w:tcPr>
            <w:tcW w:type="dxa" w:w="2098"/>
            <w:vAlign w:val="center"/>
            <w:shd w:fill="EDF2F7"/>
          </w:tcPr>
          <w:p>
            <w:pPr>
              <w:spacing w:after="40" w:line="276" w:lineRule="auto"/>
              <w:jc w:val="left"/>
            </w:pPr>
            <w:r>
              <w:rPr>
                <w:b w:val="0"/>
                <w:i w:val="0"/>
              </w:rPr>
              <w:t>Surveys, town halls, focus groups</w:t>
            </w:r>
          </w:p>
        </w:tc>
        <w:tc>
          <w:tcPr>
            <w:tcW w:type="dxa" w:w="1757"/>
            <w:vAlign w:val="center"/>
            <w:shd w:fill="EDF2F7"/>
          </w:tcPr>
          <w:p>
            <w:pPr>
              <w:spacing w:after="40" w:line="276" w:lineRule="auto"/>
              <w:jc w:val="left"/>
            </w:pPr>
            <w:r>
              <w:rPr>
                <w:b w:val="0"/>
                <w:i w:val="0"/>
              </w:rPr>
              <w:t>Bi-annual</w:t>
            </w:r>
          </w:p>
        </w:tc>
        <w:tc>
          <w:tcPr>
            <w:tcW w:type="dxa" w:w="680"/>
            <w:vAlign w:val="center"/>
            <w:shd w:fill="EDF2F7"/>
          </w:tcPr>
          <w:p>
            <w:pPr>
              <w:spacing w:after="40" w:line="276" w:lineRule="auto"/>
              <w:jc w:val="left"/>
            </w:pPr>
            <w:r>
              <w:rPr>
                <w:b w:val="0"/>
                <w:i w:val="0"/>
              </w:rPr>
              <w:t>□</w:t>
            </w:r>
          </w:p>
        </w:tc>
      </w:tr>
      <w:tr>
        <w:trPr>
          <w:cantSplit/>
        </w:trPr>
        <w:tc>
          <w:tcPr>
            <w:tcW w:type="dxa" w:w="624"/>
            <w:vAlign w:val="center"/>
            <w:shd w:fill="FFFFFF"/>
          </w:tcPr>
          <w:p>
            <w:pPr>
              <w:spacing w:after="40" w:line="276" w:lineRule="auto"/>
              <w:jc w:val="left"/>
            </w:pPr>
            <w:r>
              <w:rPr>
                <w:b w:val="0"/>
                <w:i w:val="0"/>
              </w:rPr>
              <w:t>11</w:t>
            </w:r>
          </w:p>
        </w:tc>
        <w:tc>
          <w:tcPr>
            <w:tcW w:type="dxa" w:w="2438"/>
            <w:vAlign w:val="center"/>
            <w:shd w:fill="FFFFFF"/>
          </w:tcPr>
          <w:p>
            <w:pPr>
              <w:spacing w:after="40" w:line="276" w:lineRule="auto"/>
              <w:jc w:val="left"/>
            </w:pPr>
            <w:r>
              <w:rPr>
                <w:b w:val="0"/>
                <w:i w:val="0"/>
              </w:rPr>
              <w:t>Address risks and bottlenecks through mitigation plans</w:t>
            </w:r>
          </w:p>
        </w:tc>
        <w:tc>
          <w:tcPr>
            <w:tcW w:type="dxa" w:w="1814"/>
            <w:vAlign w:val="center"/>
            <w:shd w:fill="FFFFFF"/>
          </w:tcPr>
          <w:p>
            <w:pPr>
              <w:spacing w:after="40" w:line="276" w:lineRule="auto"/>
              <w:jc w:val="left"/>
            </w:pPr>
            <w:r>
              <w:rPr>
                <w:b w:val="0"/>
                <w:i w:val="0"/>
              </w:rPr>
              <w:t>Risk Management Committee</w:t>
            </w:r>
          </w:p>
        </w:tc>
        <w:tc>
          <w:tcPr>
            <w:tcW w:type="dxa" w:w="2098"/>
            <w:vAlign w:val="center"/>
            <w:shd w:fill="FFFFFF"/>
          </w:tcPr>
          <w:p>
            <w:pPr>
              <w:spacing w:after="40" w:line="276" w:lineRule="auto"/>
              <w:jc w:val="left"/>
            </w:pPr>
            <w:r>
              <w:rPr>
                <w:b w:val="0"/>
                <w:i w:val="0"/>
              </w:rPr>
              <w:t>Risk register, scenario planning tools</w:t>
            </w:r>
          </w:p>
        </w:tc>
        <w:tc>
          <w:tcPr>
            <w:tcW w:type="dxa" w:w="1757"/>
            <w:vAlign w:val="center"/>
            <w:shd w:fill="FFFFFF"/>
          </w:tcPr>
          <w:p>
            <w:pPr>
              <w:spacing w:after="40" w:line="276" w:lineRule="auto"/>
              <w:jc w:val="left"/>
            </w:pPr>
            <w:r>
              <w:rPr>
                <w:b w:val="0"/>
                <w:i w:val="0"/>
              </w:rPr>
              <w:t>Ongoing</w:t>
            </w:r>
          </w:p>
        </w:tc>
        <w:tc>
          <w:tcPr>
            <w:tcW w:type="dxa" w:w="680"/>
            <w:vAlign w:val="center"/>
            <w:shd w:fill="FFFFFF"/>
          </w:tcPr>
          <w:p>
            <w:pPr>
              <w:spacing w:after="40" w:line="276" w:lineRule="auto"/>
              <w:jc w:val="left"/>
            </w:pPr>
            <w:r>
              <w:rPr>
                <w:b w:val="0"/>
                <w:i w:val="0"/>
              </w:rPr>
              <w:t>□</w:t>
            </w:r>
          </w:p>
        </w:tc>
      </w:tr>
      <w:tr>
        <w:trPr>
          <w:cantSplit/>
        </w:trPr>
        <w:tc>
          <w:tcPr>
            <w:tcW w:type="dxa" w:w="624"/>
            <w:vAlign w:val="center"/>
            <w:shd w:fill="EDF2F7"/>
          </w:tcPr>
          <w:p>
            <w:pPr>
              <w:spacing w:after="40" w:line="276" w:lineRule="auto"/>
              <w:jc w:val="left"/>
            </w:pPr>
            <w:r>
              <w:rPr>
                <w:b w:val="0"/>
                <w:i w:val="0"/>
              </w:rPr>
              <w:t>12</w:t>
            </w:r>
          </w:p>
        </w:tc>
        <w:tc>
          <w:tcPr>
            <w:tcW w:type="dxa" w:w="2438"/>
            <w:vAlign w:val="center"/>
            <w:shd w:fill="EDF2F7"/>
          </w:tcPr>
          <w:p>
            <w:pPr>
              <w:spacing w:after="40" w:line="276" w:lineRule="auto"/>
              <w:jc w:val="left"/>
            </w:pPr>
            <w:r>
              <w:rPr>
                <w:b w:val="0"/>
                <w:i w:val="0"/>
              </w:rPr>
              <w:t>Publish progress reports and achievements</w:t>
            </w:r>
          </w:p>
        </w:tc>
        <w:tc>
          <w:tcPr>
            <w:tcW w:type="dxa" w:w="1814"/>
            <w:vAlign w:val="center"/>
            <w:shd w:fill="EDF2F7"/>
          </w:tcPr>
          <w:p>
            <w:pPr>
              <w:spacing w:after="40" w:line="276" w:lineRule="auto"/>
              <w:jc w:val="left"/>
            </w:pPr>
            <w:r>
              <w:rPr>
                <w:b w:val="0"/>
                <w:i w:val="0"/>
              </w:rPr>
              <w:t>PR Office + Governing Body</w:t>
            </w:r>
          </w:p>
        </w:tc>
        <w:tc>
          <w:tcPr>
            <w:tcW w:type="dxa" w:w="2098"/>
            <w:vAlign w:val="center"/>
            <w:shd w:fill="EDF2F7"/>
          </w:tcPr>
          <w:p>
            <w:pPr>
              <w:spacing w:after="40" w:line="276" w:lineRule="auto"/>
              <w:jc w:val="left"/>
            </w:pPr>
            <w:r>
              <w:rPr>
                <w:b w:val="0"/>
                <w:i w:val="0"/>
              </w:rPr>
              <w:t>Newsletters, annual reports, websites</w:t>
            </w:r>
          </w:p>
        </w:tc>
        <w:tc>
          <w:tcPr>
            <w:tcW w:type="dxa" w:w="1757"/>
            <w:vAlign w:val="center"/>
            <w:shd w:fill="EDF2F7"/>
          </w:tcPr>
          <w:p>
            <w:pPr>
              <w:spacing w:after="40" w:line="276" w:lineRule="auto"/>
              <w:jc w:val="left"/>
            </w:pPr>
            <w:r>
              <w:rPr>
                <w:b w:val="0"/>
                <w:i w:val="0"/>
              </w:rPr>
              <w:t>Annual</w:t>
            </w:r>
          </w:p>
        </w:tc>
        <w:tc>
          <w:tcPr>
            <w:tcW w:type="dxa" w:w="680"/>
            <w:vAlign w:val="center"/>
            <w:shd w:fill="EDF2F7"/>
          </w:tcPr>
          <w:p>
            <w:pPr>
              <w:spacing w:after="40" w:line="276" w:lineRule="auto"/>
              <w:jc w:val="left"/>
            </w:pPr>
            <w:r>
              <w:rPr>
                <w:b w:val="0"/>
                <w:i w:val="0"/>
              </w:rPr>
              <w:t>□</w:t>
            </w:r>
          </w:p>
        </w:tc>
      </w:tr>
      <w:tr>
        <w:trPr>
          <w:cantSplit/>
        </w:trPr>
        <w:tc>
          <w:tcPr>
            <w:tcW w:type="dxa" w:w="624"/>
            <w:vAlign w:val="center"/>
            <w:shd w:fill="FFFFFF"/>
          </w:tcPr>
          <w:p>
            <w:pPr>
              <w:spacing w:after="40" w:line="276" w:lineRule="auto"/>
              <w:jc w:val="left"/>
            </w:pPr>
            <w:r>
              <w:rPr>
                <w:b w:val="0"/>
                <w:i w:val="0"/>
              </w:rPr>
              <w:t>13</w:t>
            </w:r>
          </w:p>
        </w:tc>
        <w:tc>
          <w:tcPr>
            <w:tcW w:type="dxa" w:w="2438"/>
            <w:vAlign w:val="center"/>
            <w:shd w:fill="FFFFFF"/>
          </w:tcPr>
          <w:p>
            <w:pPr>
              <w:spacing w:after="40" w:line="276" w:lineRule="auto"/>
              <w:jc w:val="left"/>
            </w:pPr>
            <w:r>
              <w:rPr>
                <w:b w:val="0"/>
                <w:i w:val="0"/>
              </w:rPr>
              <w:t>Scale up successful pilot projects across institution</w:t>
            </w:r>
          </w:p>
        </w:tc>
        <w:tc>
          <w:tcPr>
            <w:tcW w:type="dxa" w:w="1814"/>
            <w:vAlign w:val="center"/>
            <w:shd w:fill="FFFFFF"/>
          </w:tcPr>
          <w:p>
            <w:pPr>
              <w:spacing w:after="40" w:line="276" w:lineRule="auto"/>
              <w:jc w:val="left"/>
            </w:pPr>
            <w:r>
              <w:rPr>
                <w:b w:val="0"/>
                <w:i w:val="0"/>
              </w:rPr>
              <w:t>Deans + Project Leads</w:t>
            </w:r>
          </w:p>
        </w:tc>
        <w:tc>
          <w:tcPr>
            <w:tcW w:type="dxa" w:w="2098"/>
            <w:vAlign w:val="center"/>
            <w:shd w:fill="FFFFFF"/>
          </w:tcPr>
          <w:p>
            <w:pPr>
              <w:spacing w:after="40" w:line="276" w:lineRule="auto"/>
              <w:jc w:val="left"/>
            </w:pPr>
            <w:r>
              <w:rPr>
                <w:b w:val="0"/>
                <w:i w:val="0"/>
              </w:rPr>
              <w:t>Evaluation reports, replication frameworks</w:t>
            </w:r>
          </w:p>
        </w:tc>
        <w:tc>
          <w:tcPr>
            <w:tcW w:type="dxa" w:w="1757"/>
            <w:vAlign w:val="center"/>
            <w:shd w:fill="FFFFFF"/>
          </w:tcPr>
          <w:p>
            <w:pPr>
              <w:spacing w:after="40" w:line="276" w:lineRule="auto"/>
              <w:jc w:val="left"/>
            </w:pPr>
            <w:r>
              <w:rPr>
                <w:b w:val="0"/>
                <w:i w:val="0"/>
              </w:rPr>
              <w:t>After Year 2</w:t>
            </w:r>
          </w:p>
        </w:tc>
        <w:tc>
          <w:tcPr>
            <w:tcW w:type="dxa" w:w="680"/>
            <w:vAlign w:val="center"/>
            <w:shd w:fill="FFFFFF"/>
          </w:tcPr>
          <w:p>
            <w:pPr>
              <w:spacing w:after="40" w:line="276" w:lineRule="auto"/>
              <w:jc w:val="left"/>
            </w:pPr>
            <w:r>
              <w:rPr>
                <w:b w:val="0"/>
                <w:i w:val="0"/>
              </w:rPr>
              <w:t>□</w:t>
            </w:r>
          </w:p>
        </w:tc>
      </w:tr>
      <w:tr>
        <w:trPr>
          <w:cantSplit/>
        </w:trPr>
        <w:tc>
          <w:tcPr>
            <w:tcW w:type="dxa" w:w="624"/>
            <w:vAlign w:val="center"/>
            <w:shd w:fill="EDF2F7"/>
          </w:tcPr>
          <w:p>
            <w:pPr>
              <w:spacing w:after="40" w:line="276" w:lineRule="auto"/>
              <w:jc w:val="left"/>
            </w:pPr>
            <w:r>
              <w:rPr>
                <w:b w:val="0"/>
                <w:i w:val="0"/>
              </w:rPr>
              <w:t>14</w:t>
            </w:r>
          </w:p>
        </w:tc>
        <w:tc>
          <w:tcPr>
            <w:tcW w:type="dxa" w:w="2438"/>
            <w:vAlign w:val="center"/>
            <w:shd w:fill="EDF2F7"/>
          </w:tcPr>
          <w:p>
            <w:pPr>
              <w:spacing w:after="40" w:line="276" w:lineRule="auto"/>
              <w:jc w:val="left"/>
            </w:pPr>
            <w:r>
              <w:rPr>
                <w:b w:val="0"/>
                <w:i w:val="0"/>
              </w:rPr>
              <w:t>Review and update strategies based on outcomes</w:t>
            </w:r>
          </w:p>
        </w:tc>
        <w:tc>
          <w:tcPr>
            <w:tcW w:type="dxa" w:w="1814"/>
            <w:vAlign w:val="center"/>
            <w:shd w:fill="EDF2F7"/>
          </w:tcPr>
          <w:p>
            <w:pPr>
              <w:spacing w:after="40" w:line="276" w:lineRule="auto"/>
              <w:jc w:val="left"/>
            </w:pPr>
            <w:r>
              <w:rPr>
                <w:b w:val="0"/>
                <w:i w:val="0"/>
              </w:rPr>
              <w:t>Governing Body + Steering Committee</w:t>
            </w:r>
          </w:p>
        </w:tc>
        <w:tc>
          <w:tcPr>
            <w:tcW w:type="dxa" w:w="2098"/>
            <w:vAlign w:val="center"/>
            <w:shd w:fill="EDF2F7"/>
          </w:tcPr>
          <w:p>
            <w:pPr>
              <w:spacing w:after="40" w:line="276" w:lineRule="auto"/>
              <w:jc w:val="left"/>
            </w:pPr>
            <w:r>
              <w:rPr>
                <w:b w:val="0"/>
                <w:i w:val="0"/>
              </w:rPr>
              <w:t>Strategic audit reports, external reviews</w:t>
            </w:r>
          </w:p>
        </w:tc>
        <w:tc>
          <w:tcPr>
            <w:tcW w:type="dxa" w:w="1757"/>
            <w:vAlign w:val="center"/>
            <w:shd w:fill="EDF2F7"/>
          </w:tcPr>
          <w:p>
            <w:pPr>
              <w:spacing w:after="40" w:line="276" w:lineRule="auto"/>
              <w:jc w:val="left"/>
            </w:pPr>
            <w:r>
              <w:rPr>
                <w:b w:val="0"/>
                <w:i w:val="0"/>
              </w:rPr>
              <w:t>Annual</w:t>
            </w:r>
          </w:p>
        </w:tc>
        <w:tc>
          <w:tcPr>
            <w:tcW w:type="dxa" w:w="680"/>
            <w:vAlign w:val="center"/>
            <w:shd w:fill="EDF2F7"/>
          </w:tcPr>
          <w:p>
            <w:pPr>
              <w:spacing w:after="40" w:line="276" w:lineRule="auto"/>
              <w:jc w:val="left"/>
            </w:pPr>
            <w:r>
              <w:rPr>
                <w:b w:val="0"/>
                <w:i w:val="0"/>
              </w:rPr>
              <w:t>□</w:t>
            </w:r>
          </w:p>
        </w:tc>
      </w:tr>
    </w:tbl>
    <w:p>
      <w:pPr>
        <w:spacing w:after="40"/>
      </w:pPr>
    </w:p>
    <w:p>
      <w:pPr>
        <w:pStyle w:val="Heading2"/>
      </w:pPr>
      <w:r>
        <w:t>Phase 4: Execution – RACI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757"/>
        <w:gridCol w:w="1928"/>
        <w:gridCol w:w="1928"/>
        <w:gridCol w:w="1871"/>
        <w:gridCol w:w="1928"/>
      </w:tblGrid>
      <w:tr>
        <w:trPr>
          <w:tblHeader/>
          <w:cantSplit/>
        </w:trPr>
        <w:tc>
          <w:tcPr>
            <w:tcW w:type="dxa" w:w="1757"/>
            <w:vAlign w:val="center"/>
            <w:shd w:fill="1F3A5F"/>
          </w:tcPr>
          <w:p>
            <w:pPr>
              <w:keepNext/>
              <w:spacing w:after="40" w:line="276" w:lineRule="auto"/>
              <w:jc w:val="left"/>
            </w:pPr>
            <w:r>
              <w:rPr>
                <w:b/>
                <w:i w:val="0"/>
                <w:color w:val="FFFFFF"/>
              </w:rPr>
              <w:t>Task / Activity</w:t>
            </w:r>
          </w:p>
        </w:tc>
        <w:tc>
          <w:tcPr>
            <w:tcW w:type="dxa" w:w="1928"/>
            <w:vAlign w:val="center"/>
            <w:shd w:fill="1F3A5F"/>
          </w:tcPr>
          <w:p>
            <w:pPr>
              <w:keepNext/>
              <w:spacing w:after="40" w:line="276" w:lineRule="auto"/>
              <w:jc w:val="left"/>
            </w:pPr>
            <w:r>
              <w:rPr>
                <w:b/>
                <w:i w:val="0"/>
                <w:color w:val="FFFFFF"/>
              </w:rPr>
              <w:t>Responsible (R)</w:t>
            </w:r>
          </w:p>
        </w:tc>
        <w:tc>
          <w:tcPr>
            <w:tcW w:type="dxa" w:w="1928"/>
            <w:vAlign w:val="center"/>
            <w:shd w:fill="1F3A5F"/>
          </w:tcPr>
          <w:p>
            <w:pPr>
              <w:keepNext/>
              <w:spacing w:after="40" w:line="276" w:lineRule="auto"/>
              <w:jc w:val="left"/>
            </w:pPr>
            <w:r>
              <w:rPr>
                <w:b/>
                <w:i w:val="0"/>
                <w:color w:val="FFFFFF"/>
              </w:rPr>
              <w:t>Accountable (A)</w:t>
            </w:r>
          </w:p>
        </w:tc>
        <w:tc>
          <w:tcPr>
            <w:tcW w:type="dxa" w:w="1871"/>
            <w:vAlign w:val="center"/>
            <w:shd w:fill="1F3A5F"/>
          </w:tcPr>
          <w:p>
            <w:pPr>
              <w:keepNext/>
              <w:spacing w:after="40" w:line="276" w:lineRule="auto"/>
              <w:jc w:val="left"/>
            </w:pPr>
            <w:r>
              <w:rPr>
                <w:b/>
                <w:i w:val="0"/>
                <w:color w:val="FFFFFF"/>
              </w:rPr>
              <w:t>Consulted (C)</w:t>
            </w:r>
          </w:p>
        </w:tc>
        <w:tc>
          <w:tcPr>
            <w:tcW w:type="dxa" w:w="1928"/>
            <w:vAlign w:val="center"/>
            <w:shd w:fill="1F3A5F"/>
          </w:tcPr>
          <w:p>
            <w:pPr>
              <w:keepNext/>
              <w:spacing w:after="40" w:line="276" w:lineRule="auto"/>
              <w:jc w:val="left"/>
            </w:pPr>
            <w:r>
              <w:rPr>
                <w:b/>
                <w:i w:val="0"/>
                <w:color w:val="FFFFFF"/>
              </w:rPr>
              <w:t>Informed (I)</w:t>
            </w:r>
          </w:p>
        </w:tc>
      </w:tr>
      <w:tr>
        <w:trPr>
          <w:cantSplit/>
        </w:trPr>
        <w:tc>
          <w:tcPr>
            <w:tcW w:type="dxa" w:w="1757"/>
            <w:vAlign w:val="center"/>
            <w:shd w:fill="FFFFFF"/>
          </w:tcPr>
          <w:p>
            <w:pPr>
              <w:spacing w:after="40" w:line="276" w:lineRule="auto"/>
              <w:jc w:val="left"/>
            </w:pPr>
            <w:r>
              <w:rPr>
                <w:b w:val="0"/>
                <w:i w:val="0"/>
              </w:rPr>
              <w:t>Launch strategic initiatives across pillars</w:t>
            </w:r>
          </w:p>
        </w:tc>
        <w:tc>
          <w:tcPr>
            <w:tcW w:type="dxa" w:w="1928"/>
            <w:vAlign w:val="center"/>
            <w:shd w:fill="FFFFFF"/>
          </w:tcPr>
          <w:p>
            <w:pPr>
              <w:spacing w:after="40" w:line="276" w:lineRule="auto"/>
              <w:jc w:val="left"/>
            </w:pPr>
            <w:r>
              <w:rPr>
                <w:b w:val="0"/>
                <w:i w:val="0"/>
              </w:rPr>
              <w:t>Deans, Department Heads, Project Leads</w:t>
            </w:r>
          </w:p>
        </w:tc>
        <w:tc>
          <w:tcPr>
            <w:tcW w:type="dxa" w:w="1928"/>
            <w:vAlign w:val="center"/>
            <w:shd w:fill="FFFFFF"/>
          </w:tcPr>
          <w:p>
            <w:pPr>
              <w:spacing w:after="40" w:line="276" w:lineRule="auto"/>
              <w:jc w:val="left"/>
            </w:pPr>
            <w:r>
              <w:rPr>
                <w:b w:val="0"/>
                <w:i w:val="0"/>
              </w:rPr>
              <w:t>Vice-Chancellor (VC)</w:t>
            </w:r>
          </w:p>
        </w:tc>
        <w:tc>
          <w:tcPr>
            <w:tcW w:type="dxa" w:w="1871"/>
            <w:vAlign w:val="center"/>
            <w:shd w:fill="FFFFFF"/>
          </w:tcPr>
          <w:p>
            <w:pPr>
              <w:spacing w:after="40" w:line="276" w:lineRule="auto"/>
              <w:jc w:val="left"/>
            </w:pPr>
            <w:r>
              <w:rPr>
                <w:b w:val="0"/>
                <w:i w:val="0"/>
              </w:rPr>
              <w:t>IQAC, Planning Cell</w:t>
            </w:r>
          </w:p>
        </w:tc>
        <w:tc>
          <w:tcPr>
            <w:tcW w:type="dxa" w:w="1928"/>
            <w:vAlign w:val="center"/>
            <w:shd w:fill="FFFFFF"/>
          </w:tcPr>
          <w:p>
            <w:pPr>
              <w:spacing w:after="40" w:line="276" w:lineRule="auto"/>
              <w:jc w:val="left"/>
            </w:pPr>
            <w:r>
              <w:rPr>
                <w:b w:val="0"/>
                <w:i w:val="0"/>
              </w:rPr>
              <w:t>Governing Body, Faculty, Students</w:t>
            </w:r>
          </w:p>
        </w:tc>
      </w:tr>
      <w:tr>
        <w:trPr>
          <w:cantSplit/>
        </w:trPr>
        <w:tc>
          <w:tcPr>
            <w:tcW w:type="dxa" w:w="1757"/>
            <w:vAlign w:val="center"/>
            <w:shd w:fill="EDF2F7"/>
          </w:tcPr>
          <w:p>
            <w:pPr>
              <w:spacing w:after="40" w:line="276" w:lineRule="auto"/>
              <w:jc w:val="left"/>
            </w:pPr>
            <w:r>
              <w:rPr>
                <w:b w:val="0"/>
                <w:i w:val="0"/>
              </w:rPr>
              <w:t>Deploy financial resources (budgets, R, PPP, alumni funds)</w:t>
            </w:r>
          </w:p>
        </w:tc>
        <w:tc>
          <w:tcPr>
            <w:tcW w:type="dxa" w:w="1928"/>
            <w:vAlign w:val="center"/>
            <w:shd w:fill="EDF2F7"/>
          </w:tcPr>
          <w:p>
            <w:pPr>
              <w:spacing w:after="40" w:line="276" w:lineRule="auto"/>
              <w:jc w:val="left"/>
            </w:pPr>
            <w:r>
              <w:rPr>
                <w:b w:val="0"/>
                <w:i w:val="0"/>
              </w:rPr>
              <w:t>Finance Office</w:t>
            </w:r>
          </w:p>
        </w:tc>
        <w:tc>
          <w:tcPr>
            <w:tcW w:type="dxa" w:w="1928"/>
            <w:vAlign w:val="center"/>
            <w:shd w:fill="EDF2F7"/>
          </w:tcPr>
          <w:p>
            <w:pPr>
              <w:spacing w:after="40" w:line="276" w:lineRule="auto"/>
              <w:jc w:val="left"/>
            </w:pPr>
            <w:r>
              <w:rPr>
                <w:b w:val="0"/>
                <w:i w:val="0"/>
              </w:rPr>
              <w:t>Registrar</w:t>
            </w:r>
          </w:p>
        </w:tc>
        <w:tc>
          <w:tcPr>
            <w:tcW w:type="dxa" w:w="1871"/>
            <w:vAlign w:val="center"/>
            <w:shd w:fill="EDF2F7"/>
          </w:tcPr>
          <w:p>
            <w:pPr>
              <w:spacing w:after="40" w:line="276" w:lineRule="auto"/>
              <w:jc w:val="left"/>
            </w:pPr>
            <w:r>
              <w:rPr>
                <w:b w:val="0"/>
                <w:i w:val="0"/>
              </w:rPr>
              <w:t>CSR partners, Alumni Office</w:t>
            </w:r>
          </w:p>
        </w:tc>
        <w:tc>
          <w:tcPr>
            <w:tcW w:type="dxa" w:w="1928"/>
            <w:vAlign w:val="center"/>
            <w:shd w:fill="EDF2F7"/>
          </w:tcPr>
          <w:p>
            <w:pPr>
              <w:spacing w:after="40" w:line="276" w:lineRule="auto"/>
              <w:jc w:val="left"/>
            </w:pPr>
            <w:r>
              <w:rPr>
                <w:b w:val="0"/>
                <w:i w:val="0"/>
              </w:rPr>
              <w:t>Governing Body, Departments</w:t>
            </w:r>
          </w:p>
        </w:tc>
      </w:tr>
      <w:tr>
        <w:trPr>
          <w:cantSplit/>
        </w:trPr>
        <w:tc>
          <w:tcPr>
            <w:tcW w:type="dxa" w:w="1757"/>
            <w:vAlign w:val="center"/>
            <w:shd w:fill="FFFFFF"/>
          </w:tcPr>
          <w:p>
            <w:pPr>
              <w:spacing w:after="40" w:line="276" w:lineRule="auto"/>
              <w:jc w:val="left"/>
            </w:pPr>
            <w:r>
              <w:rPr>
                <w:b w:val="0"/>
                <w:i w:val="0"/>
              </w:rPr>
              <w:t>Assign human resources &amp; workloads</w:t>
            </w:r>
          </w:p>
        </w:tc>
        <w:tc>
          <w:tcPr>
            <w:tcW w:type="dxa" w:w="1928"/>
            <w:vAlign w:val="center"/>
            <w:shd w:fill="FFFFFF"/>
          </w:tcPr>
          <w:p>
            <w:pPr>
              <w:spacing w:after="40" w:line="276" w:lineRule="auto"/>
              <w:jc w:val="left"/>
            </w:pPr>
            <w:r>
              <w:rPr>
                <w:b w:val="0"/>
                <w:i w:val="0"/>
              </w:rPr>
              <w:t>HR Office, Department Heads</w:t>
            </w:r>
          </w:p>
        </w:tc>
        <w:tc>
          <w:tcPr>
            <w:tcW w:type="dxa" w:w="1928"/>
            <w:vAlign w:val="center"/>
            <w:shd w:fill="FFFFFF"/>
          </w:tcPr>
          <w:p>
            <w:pPr>
              <w:spacing w:after="40" w:line="276" w:lineRule="auto"/>
              <w:jc w:val="left"/>
            </w:pPr>
            <w:r>
              <w:rPr>
                <w:b w:val="0"/>
                <w:i w:val="0"/>
              </w:rPr>
              <w:t>Registrar</w:t>
            </w:r>
          </w:p>
        </w:tc>
        <w:tc>
          <w:tcPr>
            <w:tcW w:type="dxa" w:w="1871"/>
            <w:vAlign w:val="center"/>
            <w:shd w:fill="FFFFFF"/>
          </w:tcPr>
          <w:p>
            <w:pPr>
              <w:spacing w:after="40" w:line="276" w:lineRule="auto"/>
              <w:jc w:val="left"/>
            </w:pPr>
            <w:r>
              <w:rPr>
                <w:b w:val="0"/>
                <w:i w:val="0"/>
              </w:rPr>
              <w:t>Deans, IQAC</w:t>
            </w:r>
          </w:p>
        </w:tc>
        <w:tc>
          <w:tcPr>
            <w:tcW w:type="dxa" w:w="1928"/>
            <w:vAlign w:val="center"/>
            <w:shd w:fill="FFFFFF"/>
          </w:tcPr>
          <w:p>
            <w:pPr>
              <w:spacing w:after="40" w:line="276" w:lineRule="auto"/>
              <w:jc w:val="left"/>
            </w:pPr>
            <w:r>
              <w:rPr>
                <w:b w:val="0"/>
                <w:i w:val="0"/>
              </w:rPr>
              <w:t>Faculty, Staff</w:t>
            </w:r>
          </w:p>
        </w:tc>
      </w:tr>
      <w:tr>
        <w:trPr>
          <w:cantSplit/>
        </w:trPr>
        <w:tc>
          <w:tcPr>
            <w:tcW w:type="dxa" w:w="1757"/>
            <w:vAlign w:val="center"/>
            <w:shd w:fill="EDF2F7"/>
          </w:tcPr>
          <w:p>
            <w:pPr>
              <w:spacing w:after="40" w:line="276" w:lineRule="auto"/>
              <w:jc w:val="left"/>
            </w:pPr>
            <w:r>
              <w:rPr>
                <w:b w:val="0"/>
                <w:i w:val="0"/>
              </w:rPr>
              <w:t>Implement technology systems (ERP, LMS, dashboards)</w:t>
            </w:r>
          </w:p>
        </w:tc>
        <w:tc>
          <w:tcPr>
            <w:tcW w:type="dxa" w:w="1928"/>
            <w:vAlign w:val="center"/>
            <w:shd w:fill="EDF2F7"/>
          </w:tcPr>
          <w:p>
            <w:pPr>
              <w:spacing w:after="40" w:line="276" w:lineRule="auto"/>
              <w:jc w:val="left"/>
            </w:pPr>
            <w:r>
              <w:rPr>
                <w:b w:val="0"/>
                <w:i w:val="0"/>
              </w:rPr>
              <w:t>IT Services, IQAC</w:t>
            </w:r>
          </w:p>
        </w:tc>
        <w:tc>
          <w:tcPr>
            <w:tcW w:type="dxa" w:w="1928"/>
            <w:vAlign w:val="center"/>
            <w:shd w:fill="EDF2F7"/>
          </w:tcPr>
          <w:p>
            <w:pPr>
              <w:spacing w:after="40" w:line="276" w:lineRule="auto"/>
              <w:jc w:val="left"/>
            </w:pPr>
            <w:r>
              <w:rPr>
                <w:b w:val="0"/>
                <w:i w:val="0"/>
              </w:rPr>
              <w:t>Registrar</w:t>
            </w:r>
          </w:p>
        </w:tc>
        <w:tc>
          <w:tcPr>
            <w:tcW w:type="dxa" w:w="1871"/>
            <w:vAlign w:val="center"/>
            <w:shd w:fill="EDF2F7"/>
          </w:tcPr>
          <w:p>
            <w:pPr>
              <w:spacing w:after="40" w:line="276" w:lineRule="auto"/>
              <w:jc w:val="left"/>
            </w:pPr>
            <w:r>
              <w:rPr>
                <w:b w:val="0"/>
                <w:i w:val="0"/>
              </w:rPr>
              <w:t>External Tech Vendors, Accreditation Cell</w:t>
            </w:r>
          </w:p>
        </w:tc>
        <w:tc>
          <w:tcPr>
            <w:tcW w:type="dxa" w:w="1928"/>
            <w:vAlign w:val="center"/>
            <w:shd w:fill="EDF2F7"/>
          </w:tcPr>
          <w:p>
            <w:pPr>
              <w:spacing w:after="40" w:line="276" w:lineRule="auto"/>
              <w:jc w:val="left"/>
            </w:pPr>
            <w:r>
              <w:rPr>
                <w:b w:val="0"/>
                <w:i w:val="0"/>
              </w:rPr>
              <w:t>All Departments</w:t>
            </w:r>
          </w:p>
        </w:tc>
      </w:tr>
      <w:tr>
        <w:trPr>
          <w:cantSplit/>
        </w:trPr>
        <w:tc>
          <w:tcPr>
            <w:tcW w:type="dxa" w:w="1757"/>
            <w:vAlign w:val="center"/>
            <w:shd w:fill="FFFFFF"/>
          </w:tcPr>
          <w:p>
            <w:pPr>
              <w:spacing w:after="40" w:line="276" w:lineRule="auto"/>
              <w:jc w:val="left"/>
            </w:pPr>
            <w:r>
              <w:rPr>
                <w:b w:val="0"/>
                <w:i w:val="0"/>
              </w:rPr>
              <w:t>Conduct faculty &amp; staff capacity-building workshops</w:t>
            </w:r>
          </w:p>
        </w:tc>
        <w:tc>
          <w:tcPr>
            <w:tcW w:type="dxa" w:w="1928"/>
            <w:vAlign w:val="center"/>
            <w:shd w:fill="FFFFFF"/>
          </w:tcPr>
          <w:p>
            <w:pPr>
              <w:spacing w:after="40" w:line="276" w:lineRule="auto"/>
              <w:jc w:val="left"/>
            </w:pPr>
            <w:r>
              <w:rPr>
                <w:b w:val="0"/>
                <w:i w:val="0"/>
              </w:rPr>
              <w:t>HR Office, IQAC</w:t>
            </w:r>
          </w:p>
        </w:tc>
        <w:tc>
          <w:tcPr>
            <w:tcW w:type="dxa" w:w="1928"/>
            <w:vAlign w:val="center"/>
            <w:shd w:fill="FFFFFF"/>
          </w:tcPr>
          <w:p>
            <w:pPr>
              <w:spacing w:after="40" w:line="276" w:lineRule="auto"/>
              <w:jc w:val="left"/>
            </w:pPr>
            <w:r>
              <w:rPr>
                <w:b w:val="0"/>
                <w:i w:val="0"/>
              </w:rPr>
              <w:t>Deans</w:t>
            </w:r>
          </w:p>
        </w:tc>
        <w:tc>
          <w:tcPr>
            <w:tcW w:type="dxa" w:w="1871"/>
            <w:vAlign w:val="center"/>
            <w:shd w:fill="FFFFFF"/>
          </w:tcPr>
          <w:p>
            <w:pPr>
              <w:spacing w:after="40" w:line="276" w:lineRule="auto"/>
              <w:jc w:val="left"/>
            </w:pPr>
            <w:r>
              <w:rPr>
                <w:b w:val="0"/>
                <w:i w:val="0"/>
              </w:rPr>
              <w:t>External Trainers, Industry Experts</w:t>
            </w:r>
          </w:p>
        </w:tc>
        <w:tc>
          <w:tcPr>
            <w:tcW w:type="dxa" w:w="1928"/>
            <w:vAlign w:val="center"/>
            <w:shd w:fill="FFFFFF"/>
          </w:tcPr>
          <w:p>
            <w:pPr>
              <w:spacing w:after="40" w:line="276" w:lineRule="auto"/>
              <w:jc w:val="left"/>
            </w:pPr>
            <w:r>
              <w:rPr>
                <w:b w:val="0"/>
                <w:i w:val="0"/>
              </w:rPr>
              <w:t>Faculty, Governing Body</w:t>
            </w:r>
          </w:p>
        </w:tc>
      </w:tr>
      <w:tr>
        <w:trPr>
          <w:cantSplit/>
        </w:trPr>
        <w:tc>
          <w:tcPr>
            <w:tcW w:type="dxa" w:w="1757"/>
            <w:vAlign w:val="center"/>
            <w:shd w:fill="EDF2F7"/>
          </w:tcPr>
          <w:p>
            <w:pPr>
              <w:spacing w:after="40" w:line="276" w:lineRule="auto"/>
              <w:jc w:val="left"/>
            </w:pPr>
            <w:r>
              <w:rPr>
                <w:b w:val="0"/>
                <w:i w:val="0"/>
              </w:rPr>
              <w:t>Execute academic reforms (curriculum rollout, blended learning)</w:t>
            </w:r>
          </w:p>
        </w:tc>
        <w:tc>
          <w:tcPr>
            <w:tcW w:type="dxa" w:w="1928"/>
            <w:vAlign w:val="center"/>
            <w:shd w:fill="EDF2F7"/>
          </w:tcPr>
          <w:p>
            <w:pPr>
              <w:spacing w:after="40" w:line="276" w:lineRule="auto"/>
              <w:jc w:val="left"/>
            </w:pPr>
            <w:r>
              <w:rPr>
                <w:b w:val="0"/>
                <w:i w:val="0"/>
              </w:rPr>
              <w:t>Curriculum Committee, Deans</w:t>
            </w:r>
          </w:p>
        </w:tc>
        <w:tc>
          <w:tcPr>
            <w:tcW w:type="dxa" w:w="1928"/>
            <w:vAlign w:val="center"/>
            <w:shd w:fill="EDF2F7"/>
          </w:tcPr>
          <w:p>
            <w:pPr>
              <w:spacing w:after="40" w:line="276" w:lineRule="auto"/>
              <w:jc w:val="left"/>
            </w:pPr>
            <w:r>
              <w:rPr>
                <w:b w:val="0"/>
                <w:i w:val="0"/>
              </w:rPr>
              <w:t>Academic Council</w:t>
            </w:r>
          </w:p>
        </w:tc>
        <w:tc>
          <w:tcPr>
            <w:tcW w:type="dxa" w:w="1871"/>
            <w:vAlign w:val="center"/>
            <w:shd w:fill="EDF2F7"/>
          </w:tcPr>
          <w:p>
            <w:pPr>
              <w:spacing w:after="40" w:line="276" w:lineRule="auto"/>
              <w:jc w:val="left"/>
            </w:pPr>
            <w:r>
              <w:rPr>
                <w:b w:val="0"/>
                <w:i w:val="0"/>
              </w:rPr>
              <w:t>Faculty, Industry Advisors</w:t>
            </w:r>
          </w:p>
        </w:tc>
        <w:tc>
          <w:tcPr>
            <w:tcW w:type="dxa" w:w="1928"/>
            <w:vAlign w:val="center"/>
            <w:shd w:fill="EDF2F7"/>
          </w:tcPr>
          <w:p>
            <w:pPr>
              <w:spacing w:after="40" w:line="276" w:lineRule="auto"/>
              <w:jc w:val="left"/>
            </w:pPr>
            <w:r>
              <w:rPr>
                <w:b w:val="0"/>
                <w:i w:val="0"/>
              </w:rPr>
              <w:t>Students, Governing Body</w:t>
            </w:r>
          </w:p>
        </w:tc>
      </w:tr>
      <w:tr>
        <w:trPr>
          <w:cantSplit/>
        </w:trPr>
        <w:tc>
          <w:tcPr>
            <w:tcW w:type="dxa" w:w="1757"/>
            <w:vAlign w:val="center"/>
            <w:shd w:fill="FFFFFF"/>
          </w:tcPr>
          <w:p>
            <w:pPr>
              <w:spacing w:after="40" w:line="276" w:lineRule="auto"/>
              <w:jc w:val="left"/>
            </w:pPr>
            <w:r>
              <w:rPr>
                <w:b w:val="0"/>
                <w:i w:val="0"/>
              </w:rPr>
              <w:t>Establish research clusters &amp; Centers of Excellence</w:t>
            </w:r>
          </w:p>
        </w:tc>
        <w:tc>
          <w:tcPr>
            <w:tcW w:type="dxa" w:w="1928"/>
            <w:vAlign w:val="center"/>
            <w:shd w:fill="FFFFFF"/>
          </w:tcPr>
          <w:p>
            <w:pPr>
              <w:spacing w:after="40" w:line="276" w:lineRule="auto"/>
              <w:jc w:val="left"/>
            </w:pPr>
            <w:r>
              <w:rPr>
                <w:b w:val="0"/>
                <w:i w:val="0"/>
              </w:rPr>
              <w:t>Research &amp; Innovation Cell</w:t>
            </w:r>
          </w:p>
        </w:tc>
        <w:tc>
          <w:tcPr>
            <w:tcW w:type="dxa" w:w="1928"/>
            <w:vAlign w:val="center"/>
            <w:shd w:fill="FFFFFF"/>
          </w:tcPr>
          <w:p>
            <w:pPr>
              <w:spacing w:after="40" w:line="276" w:lineRule="auto"/>
              <w:jc w:val="left"/>
            </w:pPr>
            <w:r>
              <w:rPr>
                <w:b w:val="0"/>
                <w:i w:val="0"/>
              </w:rPr>
              <w:t>Dean (R&amp;D)</w:t>
            </w:r>
          </w:p>
        </w:tc>
        <w:tc>
          <w:tcPr>
            <w:tcW w:type="dxa" w:w="1871"/>
            <w:vAlign w:val="center"/>
            <w:shd w:fill="FFFFFF"/>
          </w:tcPr>
          <w:p>
            <w:pPr>
              <w:spacing w:after="40" w:line="276" w:lineRule="auto"/>
              <w:jc w:val="left"/>
            </w:pPr>
            <w:r>
              <w:rPr>
                <w:b w:val="0"/>
                <w:i w:val="0"/>
              </w:rPr>
              <w:t>Industry Partners, Funding Agencies</w:t>
            </w:r>
          </w:p>
        </w:tc>
        <w:tc>
          <w:tcPr>
            <w:tcW w:type="dxa" w:w="1928"/>
            <w:vAlign w:val="center"/>
            <w:shd w:fill="FFFFFF"/>
          </w:tcPr>
          <w:p>
            <w:pPr>
              <w:spacing w:after="40" w:line="276" w:lineRule="auto"/>
              <w:jc w:val="left"/>
            </w:pPr>
            <w:r>
              <w:rPr>
                <w:b w:val="0"/>
                <w:i w:val="0"/>
              </w:rPr>
              <w:t>Governing Body, Students</w:t>
            </w:r>
          </w:p>
        </w:tc>
      </w:tr>
      <w:tr>
        <w:trPr>
          <w:cantSplit/>
        </w:trPr>
        <w:tc>
          <w:tcPr>
            <w:tcW w:type="dxa" w:w="1757"/>
            <w:vAlign w:val="center"/>
            <w:shd w:fill="EDF2F7"/>
          </w:tcPr>
          <w:p>
            <w:pPr>
              <w:spacing w:after="40" w:line="276" w:lineRule="auto"/>
              <w:jc w:val="left"/>
            </w:pPr>
            <w:r>
              <w:rPr>
                <w:b w:val="0"/>
                <w:i w:val="0"/>
              </w:rPr>
              <w:t>Expand ISR &amp; community engagement programs</w:t>
            </w:r>
          </w:p>
        </w:tc>
        <w:tc>
          <w:tcPr>
            <w:tcW w:type="dxa" w:w="1928"/>
            <w:vAlign w:val="center"/>
            <w:shd w:fill="EDF2F7"/>
          </w:tcPr>
          <w:p>
            <w:pPr>
              <w:spacing w:after="40" w:line="276" w:lineRule="auto"/>
              <w:jc w:val="left"/>
            </w:pPr>
            <w:r>
              <w:rPr>
                <w:b w:val="0"/>
                <w:i w:val="0"/>
              </w:rPr>
              <w:t>ISR Cell, Student Affairs Office</w:t>
            </w:r>
          </w:p>
        </w:tc>
        <w:tc>
          <w:tcPr>
            <w:tcW w:type="dxa" w:w="1928"/>
            <w:vAlign w:val="center"/>
            <w:shd w:fill="EDF2F7"/>
          </w:tcPr>
          <w:p>
            <w:pPr>
              <w:spacing w:after="40" w:line="276" w:lineRule="auto"/>
              <w:jc w:val="left"/>
            </w:pPr>
            <w:r>
              <w:rPr>
                <w:b w:val="0"/>
                <w:i w:val="0"/>
              </w:rPr>
              <w:t>Dean (Student Affairs)</w:t>
            </w:r>
          </w:p>
        </w:tc>
        <w:tc>
          <w:tcPr>
            <w:tcW w:type="dxa" w:w="1871"/>
            <w:vAlign w:val="center"/>
            <w:shd w:fill="EDF2F7"/>
          </w:tcPr>
          <w:p>
            <w:pPr>
              <w:spacing w:after="40" w:line="276" w:lineRule="auto"/>
              <w:jc w:val="left"/>
            </w:pPr>
            <w:r>
              <w:rPr>
                <w:b w:val="0"/>
                <w:i w:val="0"/>
              </w:rPr>
              <w:t>NGOs, Local Government Bodies</w:t>
            </w:r>
          </w:p>
        </w:tc>
        <w:tc>
          <w:tcPr>
            <w:tcW w:type="dxa" w:w="1928"/>
            <w:vAlign w:val="center"/>
            <w:shd w:fill="EDF2F7"/>
          </w:tcPr>
          <w:p>
            <w:pPr>
              <w:spacing w:after="40" w:line="276" w:lineRule="auto"/>
              <w:jc w:val="left"/>
            </w:pPr>
            <w:r>
              <w:rPr>
                <w:b w:val="0"/>
                <w:i w:val="0"/>
              </w:rPr>
              <w:t>Students, Community Stakeholders</w:t>
            </w:r>
          </w:p>
        </w:tc>
      </w:tr>
      <w:tr>
        <w:trPr>
          <w:cantSplit/>
        </w:trPr>
        <w:tc>
          <w:tcPr>
            <w:tcW w:type="dxa" w:w="1757"/>
            <w:vAlign w:val="center"/>
            <w:shd w:fill="FFFFFF"/>
          </w:tcPr>
          <w:p>
            <w:pPr>
              <w:spacing w:after="40" w:line="276" w:lineRule="auto"/>
              <w:jc w:val="left"/>
            </w:pPr>
            <w:r>
              <w:rPr>
                <w:b w:val="0"/>
                <w:i w:val="0"/>
              </w:rPr>
              <w:t>Monitor progress via KPI dashboards</w:t>
            </w:r>
          </w:p>
        </w:tc>
        <w:tc>
          <w:tcPr>
            <w:tcW w:type="dxa" w:w="1928"/>
            <w:vAlign w:val="center"/>
            <w:shd w:fill="FFFFFF"/>
          </w:tcPr>
          <w:p>
            <w:pPr>
              <w:spacing w:after="40" w:line="276" w:lineRule="auto"/>
              <w:jc w:val="left"/>
            </w:pPr>
            <w:r>
              <w:rPr>
                <w:b w:val="0"/>
                <w:i w:val="0"/>
              </w:rPr>
              <w:t>IQAC, Institutional Research Office</w:t>
            </w:r>
          </w:p>
        </w:tc>
        <w:tc>
          <w:tcPr>
            <w:tcW w:type="dxa" w:w="1928"/>
            <w:vAlign w:val="center"/>
            <w:shd w:fill="FFFFFF"/>
          </w:tcPr>
          <w:p>
            <w:pPr>
              <w:spacing w:after="40" w:line="276" w:lineRule="auto"/>
              <w:jc w:val="left"/>
            </w:pPr>
            <w:r>
              <w:rPr>
                <w:b w:val="0"/>
                <w:i w:val="0"/>
              </w:rPr>
              <w:t>vc</w:t>
            </w:r>
          </w:p>
        </w:tc>
        <w:tc>
          <w:tcPr>
            <w:tcW w:type="dxa" w:w="1871"/>
            <w:vAlign w:val="center"/>
            <w:shd w:fill="FFFFFF"/>
          </w:tcPr>
          <w:p>
            <w:pPr>
              <w:spacing w:after="40" w:line="276" w:lineRule="auto"/>
              <w:jc w:val="left"/>
            </w:pPr>
            <w:r>
              <w:rPr>
                <w:b w:val="0"/>
                <w:i w:val="0"/>
              </w:rPr>
              <w:t>Deans, Steering Committee</w:t>
            </w:r>
          </w:p>
        </w:tc>
        <w:tc>
          <w:tcPr>
            <w:tcW w:type="dxa" w:w="1928"/>
            <w:vAlign w:val="center"/>
            <w:shd w:fill="FFFFFF"/>
          </w:tcPr>
          <w:p>
            <w:pPr>
              <w:spacing w:after="40" w:line="276" w:lineRule="auto"/>
              <w:jc w:val="left"/>
            </w:pPr>
            <w:r>
              <w:rPr>
                <w:b w:val="0"/>
                <w:i w:val="0"/>
              </w:rPr>
              <w:t>Governing Body, Accreditation Agencies</w:t>
            </w:r>
          </w:p>
        </w:tc>
      </w:tr>
      <w:tr>
        <w:trPr>
          <w:cantSplit/>
        </w:trPr>
        <w:tc>
          <w:tcPr>
            <w:tcW w:type="dxa" w:w="1757"/>
            <w:vAlign w:val="center"/>
            <w:shd w:fill="EDF2F7"/>
          </w:tcPr>
          <w:p>
            <w:pPr>
              <w:spacing w:after="40" w:line="276" w:lineRule="auto"/>
              <w:jc w:val="left"/>
            </w:pPr>
            <w:r>
              <w:rPr>
                <w:b w:val="0"/>
                <w:i w:val="0"/>
              </w:rPr>
              <w:t>Collect stakeholder feedback (surveys, town halls)</w:t>
            </w:r>
          </w:p>
        </w:tc>
        <w:tc>
          <w:tcPr>
            <w:tcW w:type="dxa" w:w="1928"/>
            <w:vAlign w:val="center"/>
            <w:shd w:fill="EDF2F7"/>
          </w:tcPr>
          <w:p>
            <w:pPr>
              <w:spacing w:after="40" w:line="276" w:lineRule="auto"/>
              <w:jc w:val="left"/>
            </w:pPr>
            <w:r>
              <w:rPr>
                <w:b w:val="0"/>
                <w:i w:val="0"/>
              </w:rPr>
              <w:t>PR office, IQAC</w:t>
            </w:r>
          </w:p>
        </w:tc>
        <w:tc>
          <w:tcPr>
            <w:tcW w:type="dxa" w:w="1928"/>
            <w:vAlign w:val="center"/>
            <w:shd w:fill="EDF2F7"/>
          </w:tcPr>
          <w:p>
            <w:pPr>
              <w:spacing w:after="40" w:line="276" w:lineRule="auto"/>
              <w:jc w:val="left"/>
            </w:pPr>
            <w:r>
              <w:rPr>
                <w:b w:val="0"/>
                <w:i w:val="0"/>
              </w:rPr>
              <w:t>Registrar</w:t>
            </w:r>
          </w:p>
        </w:tc>
        <w:tc>
          <w:tcPr>
            <w:tcW w:type="dxa" w:w="1871"/>
            <w:vAlign w:val="center"/>
            <w:shd w:fill="EDF2F7"/>
          </w:tcPr>
          <w:p>
            <w:pPr>
              <w:spacing w:after="40" w:line="276" w:lineRule="auto"/>
              <w:jc w:val="left"/>
            </w:pPr>
            <w:r>
              <w:rPr>
                <w:b w:val="0"/>
                <w:i w:val="0"/>
              </w:rPr>
              <w:t>Student Council, Alumni Office</w:t>
            </w:r>
          </w:p>
        </w:tc>
        <w:tc>
          <w:tcPr>
            <w:tcW w:type="dxa" w:w="1928"/>
            <w:vAlign w:val="center"/>
            <w:shd w:fill="EDF2F7"/>
          </w:tcPr>
          <w:p>
            <w:pPr>
              <w:spacing w:after="40" w:line="276" w:lineRule="auto"/>
              <w:jc w:val="left"/>
            </w:pPr>
            <w:r>
              <w:rPr>
                <w:b w:val="0"/>
                <w:i w:val="0"/>
              </w:rPr>
              <w:t>Students, Faculty, Community</w:t>
            </w:r>
          </w:p>
        </w:tc>
      </w:tr>
      <w:tr>
        <w:trPr>
          <w:cantSplit/>
        </w:trPr>
        <w:tc>
          <w:tcPr>
            <w:tcW w:type="dxa" w:w="1757"/>
            <w:vAlign w:val="center"/>
            <w:shd w:fill="FFFFFF"/>
          </w:tcPr>
          <w:p>
            <w:pPr>
              <w:spacing w:after="40" w:line="276" w:lineRule="auto"/>
              <w:jc w:val="left"/>
            </w:pPr>
            <w:r>
              <w:rPr>
                <w:b w:val="0"/>
                <w:i w:val="0"/>
              </w:rPr>
              <w:t>Address risks &amp; bottlenecks</w:t>
            </w:r>
          </w:p>
        </w:tc>
        <w:tc>
          <w:tcPr>
            <w:tcW w:type="dxa" w:w="1928"/>
            <w:vAlign w:val="center"/>
            <w:shd w:fill="FFFFFF"/>
          </w:tcPr>
          <w:p>
            <w:pPr>
              <w:spacing w:after="40" w:line="276" w:lineRule="auto"/>
              <w:jc w:val="left"/>
            </w:pPr>
            <w:r>
              <w:rPr>
                <w:b w:val="0"/>
                <w:i w:val="0"/>
              </w:rPr>
              <w:t>Risk Management Committee</w:t>
            </w:r>
          </w:p>
        </w:tc>
        <w:tc>
          <w:tcPr>
            <w:tcW w:type="dxa" w:w="1928"/>
            <w:vAlign w:val="center"/>
            <w:shd w:fill="FFFFFF"/>
          </w:tcPr>
          <w:p>
            <w:pPr>
              <w:spacing w:after="40" w:line="276" w:lineRule="auto"/>
              <w:jc w:val="left"/>
            </w:pPr>
            <w:r>
              <w:rPr>
                <w:b w:val="0"/>
                <w:i w:val="0"/>
              </w:rPr>
              <w:t>vc</w:t>
            </w:r>
          </w:p>
        </w:tc>
        <w:tc>
          <w:tcPr>
            <w:tcW w:type="dxa" w:w="1871"/>
            <w:vAlign w:val="center"/>
            <w:shd w:fill="FFFFFF"/>
          </w:tcPr>
          <w:p>
            <w:pPr>
              <w:spacing w:after="40" w:line="276" w:lineRule="auto"/>
              <w:jc w:val="left"/>
            </w:pPr>
            <w:r>
              <w:rPr>
                <w:b w:val="0"/>
                <w:i w:val="0"/>
              </w:rPr>
              <w:t>Finance Office, Infra Committee, HR</w:t>
            </w:r>
          </w:p>
        </w:tc>
        <w:tc>
          <w:tcPr>
            <w:tcW w:type="dxa" w:w="1928"/>
            <w:vAlign w:val="center"/>
            <w:shd w:fill="FFFFFF"/>
          </w:tcPr>
          <w:p>
            <w:pPr>
              <w:spacing w:after="40" w:line="276" w:lineRule="auto"/>
              <w:jc w:val="left"/>
            </w:pPr>
            <w:r>
              <w:rPr>
                <w:b w:val="0"/>
                <w:i w:val="0"/>
              </w:rPr>
              <w:t>Governing Body</w:t>
            </w:r>
          </w:p>
        </w:tc>
      </w:tr>
      <w:tr>
        <w:trPr>
          <w:cantSplit/>
        </w:trPr>
        <w:tc>
          <w:tcPr>
            <w:tcW w:type="dxa" w:w="1757"/>
            <w:vAlign w:val="center"/>
            <w:shd w:fill="EDF2F7"/>
          </w:tcPr>
          <w:p>
            <w:pPr>
              <w:spacing w:after="40" w:line="276" w:lineRule="auto"/>
              <w:jc w:val="left"/>
            </w:pPr>
            <w:r>
              <w:rPr>
                <w:b w:val="0"/>
                <w:i w:val="0"/>
              </w:rPr>
              <w:t>Publish progress reports &amp; achievements</w:t>
            </w:r>
          </w:p>
        </w:tc>
        <w:tc>
          <w:tcPr>
            <w:tcW w:type="dxa" w:w="1928"/>
            <w:vAlign w:val="center"/>
            <w:shd w:fill="EDF2F7"/>
          </w:tcPr>
          <w:p>
            <w:pPr>
              <w:spacing w:after="40" w:line="276" w:lineRule="auto"/>
              <w:jc w:val="left"/>
            </w:pPr>
            <w:r>
              <w:rPr>
                <w:b w:val="0"/>
                <w:i w:val="0"/>
              </w:rPr>
              <w:t>PR office, IQAC</w:t>
            </w:r>
          </w:p>
        </w:tc>
        <w:tc>
          <w:tcPr>
            <w:tcW w:type="dxa" w:w="1928"/>
            <w:vAlign w:val="center"/>
            <w:shd w:fill="EDF2F7"/>
          </w:tcPr>
          <w:p>
            <w:pPr>
              <w:spacing w:after="40" w:line="276" w:lineRule="auto"/>
              <w:jc w:val="left"/>
            </w:pPr>
            <w:r>
              <w:rPr>
                <w:b w:val="0"/>
                <w:i w:val="0"/>
              </w:rPr>
              <w:t>Registrar</w:t>
            </w:r>
          </w:p>
        </w:tc>
        <w:tc>
          <w:tcPr>
            <w:tcW w:type="dxa" w:w="1871"/>
            <w:vAlign w:val="center"/>
            <w:shd w:fill="EDF2F7"/>
          </w:tcPr>
          <w:p>
            <w:pPr>
              <w:spacing w:after="40" w:line="276" w:lineRule="auto"/>
              <w:jc w:val="left"/>
            </w:pPr>
            <w:r>
              <w:rPr>
                <w:b w:val="0"/>
                <w:i w:val="0"/>
              </w:rPr>
              <w:t>Deans, Governing Body</w:t>
            </w:r>
          </w:p>
        </w:tc>
        <w:tc>
          <w:tcPr>
            <w:tcW w:type="dxa" w:w="1928"/>
            <w:vAlign w:val="center"/>
            <w:shd w:fill="EDF2F7"/>
          </w:tcPr>
          <w:p>
            <w:pPr>
              <w:spacing w:after="40" w:line="276" w:lineRule="auto"/>
              <w:jc w:val="left"/>
            </w:pPr>
            <w:r>
              <w:rPr>
                <w:b w:val="0"/>
                <w:i w:val="0"/>
              </w:rPr>
              <w:t>All Stakeholders</w:t>
            </w:r>
          </w:p>
        </w:tc>
      </w:tr>
      <w:tr>
        <w:trPr>
          <w:cantSplit/>
        </w:trPr>
        <w:tc>
          <w:tcPr>
            <w:tcW w:type="dxa" w:w="1757"/>
            <w:vAlign w:val="center"/>
            <w:shd w:fill="FFFFFF"/>
          </w:tcPr>
          <w:p>
            <w:pPr>
              <w:spacing w:after="40" w:line="276" w:lineRule="auto"/>
              <w:jc w:val="left"/>
            </w:pPr>
            <w:r>
              <w:rPr>
                <w:b w:val="0"/>
                <w:i w:val="0"/>
              </w:rPr>
              <w:t>Scale successful pilots institution-wide</w:t>
            </w:r>
          </w:p>
        </w:tc>
        <w:tc>
          <w:tcPr>
            <w:tcW w:type="dxa" w:w="1928"/>
            <w:vAlign w:val="center"/>
            <w:shd w:fill="FFFFFF"/>
          </w:tcPr>
          <w:p>
            <w:pPr>
              <w:spacing w:after="40" w:line="276" w:lineRule="auto"/>
              <w:jc w:val="left"/>
            </w:pPr>
            <w:r>
              <w:rPr>
                <w:b w:val="0"/>
                <w:i w:val="0"/>
              </w:rPr>
              <w:t>Deans, Project Leads</w:t>
            </w:r>
          </w:p>
        </w:tc>
        <w:tc>
          <w:tcPr>
            <w:tcW w:type="dxa" w:w="1928"/>
            <w:vAlign w:val="center"/>
            <w:shd w:fill="FFFFFF"/>
          </w:tcPr>
          <w:p>
            <w:pPr>
              <w:spacing w:after="40" w:line="276" w:lineRule="auto"/>
              <w:jc w:val="left"/>
            </w:pPr>
            <w:r>
              <w:rPr>
                <w:b w:val="0"/>
                <w:i w:val="0"/>
              </w:rPr>
              <w:t>vc + Governing Body</w:t>
            </w:r>
          </w:p>
        </w:tc>
        <w:tc>
          <w:tcPr>
            <w:tcW w:type="dxa" w:w="1871"/>
            <w:vAlign w:val="center"/>
            <w:shd w:fill="FFFFFF"/>
          </w:tcPr>
          <w:p>
            <w:pPr>
              <w:spacing w:after="40" w:line="276" w:lineRule="auto"/>
              <w:jc w:val="left"/>
            </w:pPr>
            <w:r>
              <w:rPr>
                <w:b w:val="0"/>
                <w:i w:val="0"/>
              </w:rPr>
              <w:t>IQAC, Institutional Research Office</w:t>
            </w:r>
          </w:p>
        </w:tc>
        <w:tc>
          <w:tcPr>
            <w:tcW w:type="dxa" w:w="1928"/>
            <w:vAlign w:val="center"/>
            <w:shd w:fill="FFFFFF"/>
          </w:tcPr>
          <w:p>
            <w:pPr>
              <w:spacing w:after="40" w:line="276" w:lineRule="auto"/>
              <w:jc w:val="left"/>
            </w:pPr>
            <w:r>
              <w:rPr>
                <w:b w:val="0"/>
                <w:i w:val="0"/>
              </w:rPr>
              <w:t>Faculty, Students</w:t>
            </w:r>
          </w:p>
        </w:tc>
      </w:tr>
      <w:tr>
        <w:trPr>
          <w:cantSplit/>
        </w:trPr>
        <w:tc>
          <w:tcPr>
            <w:tcW w:type="dxa" w:w="1757"/>
            <w:vAlign w:val="center"/>
            <w:shd w:fill="EDF2F7"/>
          </w:tcPr>
          <w:p>
            <w:pPr>
              <w:spacing w:after="40" w:line="276" w:lineRule="auto"/>
              <w:jc w:val="left"/>
            </w:pPr>
            <w:r>
              <w:rPr>
                <w:b w:val="0"/>
                <w:i w:val="0"/>
              </w:rPr>
              <w:t>Review &amp; update strategies annually</w:t>
            </w:r>
          </w:p>
        </w:tc>
        <w:tc>
          <w:tcPr>
            <w:tcW w:type="dxa" w:w="1928"/>
            <w:vAlign w:val="center"/>
            <w:shd w:fill="EDF2F7"/>
          </w:tcPr>
          <w:p>
            <w:pPr>
              <w:spacing w:after="40" w:line="276" w:lineRule="auto"/>
              <w:jc w:val="left"/>
            </w:pPr>
            <w:r>
              <w:rPr>
                <w:b w:val="0"/>
                <w:i w:val="0"/>
              </w:rPr>
              <w:t>Governing Body, IQAC</w:t>
            </w:r>
          </w:p>
        </w:tc>
        <w:tc>
          <w:tcPr>
            <w:tcW w:type="dxa" w:w="1928"/>
            <w:vAlign w:val="center"/>
            <w:shd w:fill="EDF2F7"/>
          </w:tcPr>
          <w:p>
            <w:pPr>
              <w:spacing w:after="40" w:line="276" w:lineRule="auto"/>
              <w:jc w:val="left"/>
            </w:pPr>
            <w:r>
              <w:rPr>
                <w:b w:val="0"/>
                <w:i w:val="0"/>
              </w:rPr>
              <w:t>vc</w:t>
            </w:r>
          </w:p>
        </w:tc>
        <w:tc>
          <w:tcPr>
            <w:tcW w:type="dxa" w:w="1871"/>
            <w:vAlign w:val="center"/>
            <w:shd w:fill="EDF2F7"/>
          </w:tcPr>
          <w:p>
            <w:pPr>
              <w:spacing w:after="40" w:line="276" w:lineRule="auto"/>
              <w:jc w:val="left"/>
            </w:pPr>
            <w:r>
              <w:rPr>
                <w:b w:val="0"/>
                <w:i w:val="0"/>
              </w:rPr>
              <w:t>External Auditors, Accreditation Agencies</w:t>
            </w:r>
          </w:p>
        </w:tc>
        <w:tc>
          <w:tcPr>
            <w:tcW w:type="dxa" w:w="1928"/>
            <w:vAlign w:val="center"/>
            <w:shd w:fill="EDF2F7"/>
          </w:tcPr>
          <w:p>
            <w:pPr>
              <w:spacing w:after="40" w:line="276" w:lineRule="auto"/>
              <w:jc w:val="left"/>
            </w:pPr>
            <w:r>
              <w:rPr>
                <w:b w:val="0"/>
                <w:i w:val="0"/>
              </w:rPr>
              <w:t>All Stakeholders</w:t>
            </w:r>
          </w:p>
        </w:tc>
      </w:tr>
    </w:tbl>
    <w:p>
      <w:pPr>
        <w:spacing w:after="40"/>
      </w:pPr>
    </w:p>
    <w:p>
      <w:pPr>
        <w:pStyle w:val="Heading2"/>
      </w:pPr>
      <w:r>
        <w:t>Phase 4: Balanced Scorecard (BSC)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757"/>
        <w:gridCol w:w="1928"/>
        <w:gridCol w:w="1928"/>
        <w:gridCol w:w="1871"/>
        <w:gridCol w:w="1928"/>
      </w:tblGrid>
      <w:tr>
        <w:trPr>
          <w:tblHeader/>
          <w:cantSplit/>
        </w:trPr>
        <w:tc>
          <w:tcPr>
            <w:tcW w:type="dxa" w:w="1757"/>
            <w:vAlign w:val="center"/>
            <w:shd w:fill="1F3A5F"/>
          </w:tcPr>
          <w:p>
            <w:pPr>
              <w:keepNext/>
              <w:spacing w:after="40" w:line="276" w:lineRule="auto"/>
              <w:jc w:val="left"/>
            </w:pPr>
            <w:r>
              <w:rPr>
                <w:b/>
                <w:i w:val="0"/>
                <w:color w:val="FFFFFF"/>
              </w:rPr>
              <w:t>Perspective</w:t>
            </w:r>
          </w:p>
        </w:tc>
        <w:tc>
          <w:tcPr>
            <w:tcW w:type="dxa" w:w="1928"/>
            <w:vAlign w:val="center"/>
            <w:shd w:fill="1F3A5F"/>
          </w:tcPr>
          <w:p>
            <w:pPr>
              <w:keepNext/>
              <w:spacing w:after="40" w:line="276" w:lineRule="auto"/>
              <w:jc w:val="left"/>
            </w:pPr>
            <w:r>
              <w:rPr>
                <w:b/>
                <w:i w:val="0"/>
                <w:color w:val="FFFFFF"/>
              </w:rPr>
              <w:t>Strategic Objective</w:t>
            </w:r>
          </w:p>
        </w:tc>
        <w:tc>
          <w:tcPr>
            <w:tcW w:type="dxa" w:w="1928"/>
            <w:vAlign w:val="center"/>
            <w:shd w:fill="1F3A5F"/>
          </w:tcPr>
          <w:p>
            <w:pPr>
              <w:keepNext/>
              <w:spacing w:after="40" w:line="276" w:lineRule="auto"/>
              <w:jc w:val="left"/>
            </w:pPr>
            <w:r>
              <w:rPr>
                <w:b/>
                <w:i w:val="0"/>
                <w:color w:val="FFFFFF"/>
              </w:rPr>
              <w:t>Key Actions (Execution)</w:t>
            </w:r>
          </w:p>
        </w:tc>
        <w:tc>
          <w:tcPr>
            <w:tcW w:type="dxa" w:w="1871"/>
            <w:vAlign w:val="center"/>
            <w:shd w:fill="1F3A5F"/>
          </w:tcPr>
          <w:p>
            <w:pPr>
              <w:keepNext/>
              <w:spacing w:after="40" w:line="276" w:lineRule="auto"/>
              <w:jc w:val="left"/>
            </w:pPr>
            <w:r>
              <w:rPr>
                <w:b/>
                <w:i w:val="0"/>
                <w:color w:val="FFFFFF"/>
              </w:rPr>
              <w:t>KPIs (Indicators)</w:t>
            </w:r>
          </w:p>
        </w:tc>
        <w:tc>
          <w:tcPr>
            <w:tcW w:type="dxa" w:w="1928"/>
            <w:vAlign w:val="center"/>
            <w:shd w:fill="1F3A5F"/>
          </w:tcPr>
          <w:p>
            <w:pPr>
              <w:keepNext/>
              <w:spacing w:after="40" w:line="276" w:lineRule="auto"/>
              <w:jc w:val="left"/>
            </w:pPr>
            <w:r>
              <w:rPr>
                <w:b/>
                <w:i w:val="0"/>
                <w:color w:val="FFFFFF"/>
              </w:rPr>
              <w:t>Target (Phase 4)</w:t>
            </w:r>
          </w:p>
        </w:tc>
      </w:tr>
      <w:tr>
        <w:trPr>
          <w:cantSplit/>
        </w:trPr>
        <w:tc>
          <w:tcPr>
            <w:tcW w:type="dxa" w:w="1757"/>
            <w:vAlign w:val="center"/>
            <w:shd w:fill="FFFFFF"/>
          </w:tcPr>
          <w:p>
            <w:pPr>
              <w:spacing w:after="40" w:line="276" w:lineRule="auto"/>
              <w:jc w:val="left"/>
            </w:pPr>
            <w:r>
              <w:rPr>
                <w:b w:val="0"/>
                <w:i w:val="0"/>
              </w:rPr>
              <w:t>Academic Excellence &amp; Learning</w:t>
            </w:r>
          </w:p>
        </w:tc>
        <w:tc>
          <w:tcPr>
            <w:tcW w:type="dxa" w:w="1928"/>
            <w:vAlign w:val="center"/>
            <w:shd w:fill="FFFFFF"/>
          </w:tcPr>
          <w:p>
            <w:pPr>
              <w:spacing w:after="40" w:line="276" w:lineRule="auto"/>
              <w:jc w:val="left"/>
            </w:pPr>
            <w:r>
              <w:rPr>
                <w:b w:val="0"/>
                <w:i w:val="0"/>
              </w:rPr>
              <w:t>Deliver NEP 2020 &amp; OBE-aligned teaching</w:t>
            </w:r>
          </w:p>
        </w:tc>
        <w:tc>
          <w:tcPr>
            <w:tcW w:type="dxa" w:w="1928"/>
            <w:vAlign w:val="center"/>
            <w:shd w:fill="FFFFFF"/>
          </w:tcPr>
          <w:p>
            <w:pPr>
              <w:spacing w:after="40" w:line="276" w:lineRule="auto"/>
              <w:ind w:left="125" w:hanging="125"/>
              <w:jc w:val="left"/>
            </w:pPr>
            <w:r>
              <w:t xml:space="preserve">• </w:t>
            </w:r>
            <w:r>
              <w:rPr>
                <w:b w:val="0"/>
                <w:i w:val="0"/>
              </w:rPr>
              <w:t>Rollout revised curricula.</w:t>
            </w:r>
          </w:p>
          <w:p>
            <w:pPr>
              <w:spacing w:after="40" w:line="276" w:lineRule="auto"/>
              <w:ind w:left="125" w:hanging="125"/>
              <w:jc w:val="left"/>
            </w:pPr>
            <w:r>
              <w:t xml:space="preserve">• </w:t>
            </w:r>
            <w:r>
              <w:rPr>
                <w:b w:val="0"/>
                <w:i w:val="0"/>
              </w:rPr>
              <w:t>Implement blended learning (LMS, MOOG).</w:t>
            </w:r>
          </w:p>
          <w:p>
            <w:pPr>
              <w:spacing w:after="40" w:line="276" w:lineRule="auto"/>
              <w:ind w:left="125" w:hanging="125"/>
              <w:jc w:val="left"/>
            </w:pPr>
            <w:r>
              <w:t xml:space="preserve">• </w:t>
            </w:r>
            <w:r>
              <w:rPr>
                <w:b w:val="0"/>
                <w:i w:val="0"/>
              </w:rPr>
              <w:t>Faculty development workshops.</w:t>
            </w:r>
          </w:p>
        </w:tc>
        <w:tc>
          <w:tcPr>
            <w:tcW w:type="dxa" w:w="1871"/>
            <w:vAlign w:val="center"/>
            <w:shd w:fill="FFFFFF"/>
          </w:tcPr>
          <w:p>
            <w:pPr>
              <w:spacing w:after="40" w:line="276" w:lineRule="auto"/>
              <w:ind w:left="125" w:hanging="125"/>
              <w:jc w:val="left"/>
            </w:pPr>
            <w:r>
              <w:t xml:space="preserve">• </w:t>
            </w:r>
            <w:r>
              <w:rPr>
                <w:b w:val="0"/>
                <w:i w:val="0"/>
              </w:rPr>
              <w:t>% programs revised.</w:t>
            </w:r>
          </w:p>
          <w:p>
            <w:pPr>
              <w:spacing w:after="40" w:line="276" w:lineRule="auto"/>
              <w:ind w:left="125" w:hanging="125"/>
              <w:jc w:val="left"/>
            </w:pPr>
            <w:r>
              <w:t xml:space="preserve">• </w:t>
            </w:r>
            <w:r>
              <w:rPr>
                <w:b w:val="0"/>
                <w:i w:val="0"/>
              </w:rPr>
              <w:t>Student satisfaction index.</w:t>
            </w:r>
          </w:p>
          <w:p>
            <w:pPr>
              <w:spacing w:after="40" w:line="276" w:lineRule="auto"/>
              <w:ind w:left="125" w:hanging="125"/>
              <w:jc w:val="left"/>
            </w:pPr>
            <w:r>
              <w:t xml:space="preserve">• </w:t>
            </w:r>
            <w:r>
              <w:rPr>
                <w:b w:val="0"/>
                <w:i w:val="0"/>
              </w:rPr>
              <w:t>Faculty trained in digital pedagogy.</w:t>
            </w:r>
          </w:p>
        </w:tc>
        <w:tc>
          <w:tcPr>
            <w:tcW w:type="dxa" w:w="1928"/>
            <w:vAlign w:val="center"/>
            <w:shd w:fill="FFFFFF"/>
          </w:tcPr>
          <w:p>
            <w:pPr>
              <w:spacing w:after="40" w:line="276" w:lineRule="auto"/>
              <w:ind w:left="125" w:hanging="125"/>
              <w:jc w:val="left"/>
            </w:pPr>
            <w:r>
              <w:t xml:space="preserve">• </w:t>
            </w:r>
            <w:r>
              <w:rPr>
                <w:b w:val="0"/>
                <w:i w:val="0"/>
              </w:rPr>
              <w:t>100% curricula NEP-aligned.</w:t>
            </w:r>
          </w:p>
          <w:p>
            <w:pPr>
              <w:spacing w:after="40" w:line="276" w:lineRule="auto"/>
              <w:ind w:left="125" w:hanging="125"/>
              <w:jc w:val="left"/>
            </w:pPr>
            <w:r>
              <w:t xml:space="preserve">• </w:t>
            </w:r>
            <w:r>
              <w:rPr>
                <w:b w:val="0"/>
                <w:i w:val="0"/>
              </w:rPr>
              <w:t>≥85% student satisfaction.</w:t>
            </w:r>
          </w:p>
          <w:p>
            <w:pPr>
              <w:spacing w:after="40" w:line="276" w:lineRule="auto"/>
              <w:ind w:left="125" w:hanging="125"/>
              <w:jc w:val="left"/>
            </w:pPr>
            <w:r>
              <w:t xml:space="preserve">• </w:t>
            </w:r>
            <w:r>
              <w:rPr>
                <w:b w:val="0"/>
                <w:i w:val="0"/>
              </w:rPr>
              <w:t>100% faculty trained.</w:t>
            </w:r>
          </w:p>
        </w:tc>
      </w:tr>
      <w:tr>
        <w:trPr>
          <w:cantSplit/>
        </w:trPr>
        <w:tc>
          <w:tcPr>
            <w:tcW w:type="dxa" w:w="1757"/>
            <w:vAlign w:val="center"/>
            <w:shd w:fill="EDF2F7"/>
          </w:tcPr>
          <w:p>
            <w:pPr>
              <w:spacing w:after="40" w:line="276" w:lineRule="auto"/>
              <w:jc w:val="left"/>
            </w:pPr>
            <w:r>
              <w:rPr>
                <w:b w:val="0"/>
                <w:i w:val="0"/>
              </w:rPr>
              <w:t>Research &amp; Innovation</w:t>
            </w:r>
          </w:p>
        </w:tc>
        <w:tc>
          <w:tcPr>
            <w:tcW w:type="dxa" w:w="1928"/>
            <w:vAlign w:val="center"/>
            <w:shd w:fill="EDF2F7"/>
          </w:tcPr>
          <w:p>
            <w:pPr>
              <w:spacing w:after="40" w:line="276" w:lineRule="auto"/>
              <w:jc w:val="left"/>
            </w:pPr>
            <w:r>
              <w:rPr>
                <w:b w:val="0"/>
                <w:i w:val="0"/>
              </w:rPr>
              <w:t>Strengthen research infrastructure &amp; output</w:t>
            </w:r>
          </w:p>
        </w:tc>
        <w:tc>
          <w:tcPr>
            <w:tcW w:type="dxa" w:w="1928"/>
            <w:vAlign w:val="center"/>
            <w:shd w:fill="EDF2F7"/>
          </w:tcPr>
          <w:p>
            <w:pPr>
              <w:spacing w:after="40" w:line="276" w:lineRule="auto"/>
              <w:ind w:left="125" w:hanging="125"/>
              <w:jc w:val="left"/>
            </w:pPr>
            <w:r>
              <w:t xml:space="preserve">• </w:t>
            </w:r>
            <w:r>
              <w:rPr>
                <w:b w:val="0"/>
                <w:i w:val="0"/>
              </w:rPr>
              <w:t>Establish Centers of Excellence.</w:t>
            </w:r>
          </w:p>
          <w:p>
            <w:pPr>
              <w:spacing w:after="40" w:line="276" w:lineRule="auto"/>
              <w:ind w:left="125" w:hanging="125"/>
              <w:jc w:val="left"/>
            </w:pPr>
            <w:r>
              <w:t xml:space="preserve">• </w:t>
            </w:r>
            <w:r>
              <w:rPr>
                <w:b w:val="0"/>
                <w:i w:val="0"/>
              </w:rPr>
              <w:t>Launch research clusters in AI, biotech, clean energy.</w:t>
            </w:r>
          </w:p>
          <w:p>
            <w:pPr>
              <w:spacing w:after="40" w:line="276" w:lineRule="auto"/>
              <w:ind w:left="125" w:hanging="125"/>
              <w:jc w:val="left"/>
            </w:pPr>
            <w:r>
              <w:t xml:space="preserve">• </w:t>
            </w:r>
            <w:r>
              <w:rPr>
                <w:b w:val="0"/>
                <w:i w:val="0"/>
              </w:rPr>
              <w:t>File patents, publish in high-impact journals.</w:t>
            </w:r>
          </w:p>
        </w:tc>
        <w:tc>
          <w:tcPr>
            <w:tcW w:type="dxa" w:w="1871"/>
            <w:vAlign w:val="center"/>
            <w:shd w:fill="EDF2F7"/>
          </w:tcPr>
          <w:p>
            <w:pPr>
              <w:spacing w:after="40" w:line="276" w:lineRule="auto"/>
              <w:ind w:left="125" w:hanging="125"/>
              <w:jc w:val="left"/>
            </w:pPr>
            <w:r>
              <w:t xml:space="preserve">• </w:t>
            </w:r>
            <w:r>
              <w:rPr>
                <w:b w:val="0"/>
                <w:i w:val="0"/>
              </w:rPr>
              <w:t>No. of research projects funded.</w:t>
            </w:r>
          </w:p>
          <w:p>
            <w:pPr>
              <w:spacing w:after="40" w:line="276" w:lineRule="auto"/>
              <w:ind w:left="125" w:hanging="125"/>
              <w:jc w:val="left"/>
            </w:pPr>
            <w:r>
              <w:t xml:space="preserve">• </w:t>
            </w:r>
            <w:r>
              <w:rPr>
                <w:b w:val="0"/>
                <w:i w:val="0"/>
              </w:rPr>
              <w:t>Patents filed per year.</w:t>
            </w:r>
          </w:p>
          <w:p>
            <w:pPr>
              <w:spacing w:after="40" w:line="276" w:lineRule="auto"/>
              <w:ind w:left="125" w:hanging="125"/>
              <w:jc w:val="left"/>
            </w:pPr>
            <w:r>
              <w:t xml:space="preserve">• </w:t>
            </w:r>
            <w:r>
              <w:rPr>
                <w:b w:val="0"/>
                <w:i w:val="0"/>
              </w:rPr>
              <w:t>Scopus/​SCl publications.</w:t>
            </w:r>
          </w:p>
        </w:tc>
        <w:tc>
          <w:tcPr>
            <w:tcW w:type="dxa" w:w="1928"/>
            <w:vAlign w:val="center"/>
            <w:shd w:fill="EDF2F7"/>
          </w:tcPr>
          <w:p>
            <w:pPr>
              <w:spacing w:after="40" w:line="276" w:lineRule="auto"/>
              <w:ind w:left="125" w:hanging="125"/>
              <w:jc w:val="left"/>
            </w:pPr>
            <w:r>
              <w:t xml:space="preserve">• </w:t>
            </w:r>
            <w:r>
              <w:rPr>
                <w:b w:val="0"/>
                <w:i w:val="0"/>
              </w:rPr>
              <w:t>≥5 Centers of Excellence.</w:t>
            </w:r>
          </w:p>
          <w:p>
            <w:pPr>
              <w:spacing w:after="40" w:line="276" w:lineRule="auto"/>
              <w:ind w:left="125" w:hanging="125"/>
              <w:jc w:val="left"/>
            </w:pPr>
            <w:r>
              <w:t xml:space="preserve">• </w:t>
            </w:r>
            <w:r>
              <w:rPr>
                <w:b w:val="0"/>
                <w:i w:val="0"/>
              </w:rPr>
              <w:t>≥15 patents/​year.</w:t>
            </w:r>
          </w:p>
          <w:p>
            <w:pPr>
              <w:spacing w:after="40" w:line="276" w:lineRule="auto"/>
              <w:ind w:left="125" w:hanging="125"/>
              <w:jc w:val="left"/>
            </w:pPr>
            <w:r>
              <w:t xml:space="preserve">• </w:t>
            </w:r>
            <w:r>
              <w:rPr>
                <w:b w:val="0"/>
                <w:i w:val="0"/>
              </w:rPr>
              <w:t>≥200 annual publications.</w:t>
            </w:r>
          </w:p>
        </w:tc>
      </w:tr>
      <w:tr>
        <w:trPr>
          <w:cantSplit/>
        </w:trPr>
        <w:tc>
          <w:tcPr>
            <w:tcW w:type="dxa" w:w="1757"/>
            <w:vAlign w:val="center"/>
            <w:shd w:fill="FFFFFF"/>
          </w:tcPr>
          <w:p>
            <w:pPr>
              <w:spacing w:after="40" w:line="276" w:lineRule="auto"/>
              <w:jc w:val="left"/>
            </w:pPr>
            <w:r>
              <w:rPr>
                <w:b w:val="0"/>
                <w:i w:val="0"/>
              </w:rPr>
              <w:t>Financial Sustainability</w:t>
            </w:r>
          </w:p>
        </w:tc>
        <w:tc>
          <w:tcPr>
            <w:tcW w:type="dxa" w:w="1928"/>
            <w:vAlign w:val="center"/>
            <w:shd w:fill="FFFFFF"/>
          </w:tcPr>
          <w:p>
            <w:pPr>
              <w:spacing w:after="40" w:line="276" w:lineRule="auto"/>
              <w:jc w:val="left"/>
            </w:pPr>
            <w:r>
              <w:rPr>
                <w:b w:val="0"/>
                <w:i w:val="0"/>
              </w:rPr>
              <w:t>Diversify funding sources</w:t>
            </w:r>
          </w:p>
        </w:tc>
        <w:tc>
          <w:tcPr>
            <w:tcW w:type="dxa" w:w="1928"/>
            <w:vAlign w:val="center"/>
            <w:shd w:fill="FFFFFF"/>
          </w:tcPr>
          <w:p>
            <w:pPr>
              <w:spacing w:after="40" w:line="276" w:lineRule="auto"/>
              <w:ind w:left="125" w:hanging="125"/>
              <w:jc w:val="left"/>
            </w:pPr>
            <w:r>
              <w:t xml:space="preserve">• </w:t>
            </w:r>
            <w:r>
              <w:rPr>
                <w:b w:val="0"/>
                <w:i w:val="0"/>
              </w:rPr>
              <w:t>Mobilize CSR &amp; alumni contributions.</w:t>
            </w:r>
          </w:p>
          <w:p>
            <w:pPr>
              <w:spacing w:after="40" w:line="276" w:lineRule="auto"/>
              <w:ind w:left="125" w:hanging="125"/>
              <w:jc w:val="left"/>
            </w:pPr>
            <w:r>
              <w:t xml:space="preserve">• </w:t>
            </w:r>
            <w:r>
              <w:rPr>
                <w:b w:val="0"/>
                <w:i w:val="0"/>
              </w:rPr>
              <w:t>Start consultancy &amp; executive programs.</w:t>
            </w:r>
          </w:p>
          <w:p>
            <w:pPr>
              <w:spacing w:after="40" w:line="276" w:lineRule="auto"/>
              <w:ind w:left="125" w:hanging="125"/>
              <w:jc w:val="left"/>
            </w:pPr>
            <w:r>
              <w:t xml:space="preserve">• </w:t>
            </w:r>
            <w:r>
              <w:rPr>
                <w:b w:val="0"/>
                <w:i w:val="0"/>
              </w:rPr>
              <w:t>Establish endowment fund.</w:t>
            </w:r>
          </w:p>
        </w:tc>
        <w:tc>
          <w:tcPr>
            <w:tcW w:type="dxa" w:w="1871"/>
            <w:vAlign w:val="center"/>
            <w:shd w:fill="FFFFFF"/>
          </w:tcPr>
          <w:p>
            <w:pPr>
              <w:spacing w:after="40" w:line="276" w:lineRule="auto"/>
              <w:ind w:left="125" w:hanging="125"/>
              <w:jc w:val="left"/>
            </w:pPr>
            <w:r>
              <w:t xml:space="preserve">• </w:t>
            </w:r>
            <w:r>
              <w:rPr>
                <w:b w:val="0"/>
                <w:i w:val="0"/>
              </w:rPr>
              <w:t>% of non-government revenue.</w:t>
            </w:r>
          </w:p>
          <w:p>
            <w:pPr>
              <w:spacing w:after="40" w:line="276" w:lineRule="auto"/>
              <w:ind w:left="125" w:hanging="125"/>
              <w:jc w:val="left"/>
            </w:pPr>
            <w:r>
              <w:t xml:space="preserve">• </w:t>
            </w:r>
            <w:r>
              <w:rPr>
                <w:b w:val="0"/>
                <w:i w:val="0"/>
              </w:rPr>
              <w:t>CSR/​Alumni funds raised.</w:t>
            </w:r>
          </w:p>
          <w:p>
            <w:pPr>
              <w:spacing w:after="40" w:line="276" w:lineRule="auto"/>
              <w:ind w:left="125" w:hanging="125"/>
              <w:jc w:val="left"/>
            </w:pPr>
            <w:r>
              <w:t xml:space="preserve">• </w:t>
            </w:r>
            <w:r>
              <w:rPr>
                <w:b w:val="0"/>
                <w:i w:val="0"/>
              </w:rPr>
              <w:t>No. of consultancy projects.</w:t>
            </w:r>
          </w:p>
        </w:tc>
        <w:tc>
          <w:tcPr>
            <w:tcW w:type="dxa" w:w="1928"/>
            <w:vAlign w:val="center"/>
            <w:shd w:fill="FFFFFF"/>
          </w:tcPr>
          <w:p>
            <w:pPr>
              <w:spacing w:after="40" w:line="276" w:lineRule="auto"/>
              <w:ind w:left="125" w:hanging="125"/>
              <w:jc w:val="left"/>
            </w:pPr>
            <w:r>
              <w:t xml:space="preserve">• </w:t>
            </w:r>
            <w:r>
              <w:rPr>
                <w:b w:val="0"/>
                <w:i w:val="0"/>
              </w:rPr>
              <w:t>≥30% non-government revenue.</w:t>
            </w:r>
          </w:p>
          <w:p>
            <w:pPr>
              <w:spacing w:after="40" w:line="276" w:lineRule="auto"/>
              <w:ind w:left="125" w:hanging="125"/>
              <w:jc w:val="left"/>
            </w:pPr>
            <w:r>
              <w:t xml:space="preserve">• </w:t>
            </w:r>
            <w:r>
              <w:rPr>
                <w:b w:val="0"/>
                <w:i w:val="0"/>
              </w:rPr>
              <w:t>₹10 crore/£1m funds in 5 years.</w:t>
            </w:r>
          </w:p>
          <w:p>
            <w:pPr>
              <w:spacing w:after="40" w:line="276" w:lineRule="auto"/>
              <w:ind w:left="125" w:hanging="125"/>
              <w:jc w:val="left"/>
            </w:pPr>
            <w:r>
              <w:t xml:space="preserve">• </w:t>
            </w:r>
            <w:r>
              <w:rPr>
                <w:b w:val="0"/>
                <w:i w:val="0"/>
              </w:rPr>
              <w:t>≥10 consultancy projects/​year.</w:t>
            </w:r>
          </w:p>
        </w:tc>
      </w:tr>
      <w:tr>
        <w:trPr>
          <w:cantSplit/>
        </w:trPr>
        <w:tc>
          <w:tcPr>
            <w:tcW w:type="dxa" w:w="1757"/>
            <w:vAlign w:val="center"/>
            <w:shd w:fill="EDF2F7"/>
          </w:tcPr>
          <w:p>
            <w:pPr>
              <w:spacing w:after="40" w:line="276" w:lineRule="auto"/>
              <w:jc w:val="left"/>
            </w:pPr>
            <w:r>
              <w:rPr>
                <w:b w:val="0"/>
                <w:i w:val="0"/>
              </w:rPr>
              <w:t>Internal Processes &amp; Governance</w:t>
            </w:r>
          </w:p>
        </w:tc>
        <w:tc>
          <w:tcPr>
            <w:tcW w:type="dxa" w:w="1928"/>
            <w:vAlign w:val="center"/>
            <w:shd w:fill="EDF2F7"/>
          </w:tcPr>
          <w:p>
            <w:pPr>
              <w:spacing w:after="40" w:line="276" w:lineRule="auto"/>
              <w:jc w:val="left"/>
            </w:pPr>
            <w:r>
              <w:rPr>
                <w:b w:val="0"/>
                <w:i w:val="0"/>
              </w:rPr>
              <w:t>Improve efficiency &amp; accountability</w:t>
            </w:r>
          </w:p>
        </w:tc>
        <w:tc>
          <w:tcPr>
            <w:tcW w:type="dxa" w:w="1928"/>
            <w:vAlign w:val="center"/>
            <w:shd w:fill="EDF2F7"/>
          </w:tcPr>
          <w:p>
            <w:pPr>
              <w:spacing w:after="40" w:line="276" w:lineRule="auto"/>
              <w:ind w:left="125" w:hanging="125"/>
              <w:jc w:val="left"/>
            </w:pPr>
            <w:r>
              <w:t xml:space="preserve">• </w:t>
            </w:r>
            <w:r>
              <w:rPr>
                <w:b w:val="0"/>
                <w:i w:val="0"/>
              </w:rPr>
              <w:t>Digitize approvals &amp; workflows.</w:t>
            </w:r>
          </w:p>
          <w:p>
            <w:pPr>
              <w:spacing w:after="40" w:line="276" w:lineRule="auto"/>
              <w:ind w:left="125" w:hanging="125"/>
              <w:jc w:val="left"/>
            </w:pPr>
            <w:r>
              <w:t xml:space="preserve">• </w:t>
            </w:r>
            <w:r>
              <w:rPr>
                <w:b w:val="0"/>
                <w:i w:val="0"/>
              </w:rPr>
              <w:t>Implement ERP &amp; KPI dashboards.</w:t>
            </w:r>
          </w:p>
          <w:p>
            <w:pPr>
              <w:spacing w:after="40" w:line="276" w:lineRule="auto"/>
              <w:ind w:left="125" w:hanging="125"/>
              <w:jc w:val="left"/>
            </w:pPr>
            <w:r>
              <w:t xml:space="preserve">• </w:t>
            </w:r>
            <w:r>
              <w:rPr>
                <w:b w:val="0"/>
                <w:i w:val="0"/>
              </w:rPr>
              <w:t>Conduct quarterly performance reviews.</w:t>
            </w:r>
          </w:p>
        </w:tc>
        <w:tc>
          <w:tcPr>
            <w:tcW w:type="dxa" w:w="1871"/>
            <w:vAlign w:val="center"/>
            <w:shd w:fill="EDF2F7"/>
          </w:tcPr>
          <w:p>
            <w:pPr>
              <w:spacing w:after="40" w:line="276" w:lineRule="auto"/>
              <w:ind w:left="125" w:hanging="125"/>
              <w:jc w:val="left"/>
            </w:pPr>
            <w:r>
              <w:t xml:space="preserve">• </w:t>
            </w:r>
            <w:r>
              <w:rPr>
                <w:b w:val="0"/>
                <w:i w:val="0"/>
              </w:rPr>
              <w:t>% processes digitized.</w:t>
            </w:r>
          </w:p>
          <w:p>
            <w:pPr>
              <w:spacing w:after="40" w:line="276" w:lineRule="auto"/>
              <w:ind w:left="125" w:hanging="125"/>
              <w:jc w:val="left"/>
            </w:pPr>
            <w:r>
              <w:t xml:space="preserve">• </w:t>
            </w:r>
            <w:r>
              <w:rPr>
                <w:b w:val="0"/>
                <w:i w:val="0"/>
              </w:rPr>
              <w:t>Decision-making turnaround time.</w:t>
            </w:r>
          </w:p>
          <w:p>
            <w:pPr>
              <w:spacing w:after="40" w:line="276" w:lineRule="auto"/>
              <w:ind w:left="125" w:hanging="125"/>
              <w:jc w:val="left"/>
            </w:pPr>
            <w:r>
              <w:t xml:space="preserve">• </w:t>
            </w:r>
            <w:r>
              <w:rPr>
                <w:b w:val="0"/>
                <w:i w:val="0"/>
              </w:rPr>
              <w:t>Compliance scores (NAAC/​NBA).</w:t>
            </w:r>
          </w:p>
        </w:tc>
        <w:tc>
          <w:tcPr>
            <w:tcW w:type="dxa" w:w="1928"/>
            <w:vAlign w:val="center"/>
            <w:shd w:fill="EDF2F7"/>
          </w:tcPr>
          <w:p>
            <w:pPr>
              <w:spacing w:after="40" w:line="276" w:lineRule="auto"/>
              <w:ind w:left="125" w:hanging="125"/>
              <w:jc w:val="left"/>
            </w:pPr>
            <w:r>
              <w:t xml:space="preserve">• </w:t>
            </w:r>
            <w:r>
              <w:rPr>
                <w:b w:val="0"/>
                <w:i w:val="0"/>
              </w:rPr>
              <w:t>≥80% processes digitized.</w:t>
            </w:r>
          </w:p>
          <w:p>
            <w:pPr>
              <w:spacing w:after="40" w:line="276" w:lineRule="auto"/>
              <w:ind w:left="125" w:hanging="125"/>
              <w:jc w:val="left"/>
            </w:pPr>
            <w:r>
              <w:t xml:space="preserve">• </w:t>
            </w:r>
            <w:r>
              <w:rPr>
                <w:b w:val="0"/>
                <w:i w:val="0"/>
              </w:rPr>
              <w:t>Approvals within 2 weeks.</w:t>
            </w:r>
          </w:p>
          <w:p>
            <w:pPr>
              <w:spacing w:after="40" w:line="276" w:lineRule="auto"/>
              <w:ind w:left="125" w:hanging="125"/>
              <w:jc w:val="left"/>
            </w:pPr>
            <w:r>
              <w:t xml:space="preserve">• </w:t>
            </w:r>
            <w:r>
              <w:rPr>
                <w:b w:val="0"/>
                <w:i w:val="0"/>
              </w:rPr>
              <w:t>NAAC A++ by Year 5.</w:t>
            </w:r>
          </w:p>
        </w:tc>
      </w:tr>
      <w:tr>
        <w:trPr>
          <w:cantSplit/>
        </w:trPr>
        <w:tc>
          <w:tcPr>
            <w:tcW w:type="dxa" w:w="1757"/>
            <w:vAlign w:val="center"/>
            <w:shd w:fill="FFFFFF"/>
          </w:tcPr>
          <w:p>
            <w:pPr>
              <w:spacing w:after="40" w:line="276" w:lineRule="auto"/>
              <w:jc w:val="left"/>
            </w:pPr>
            <w:r>
              <w:rPr>
                <w:b w:val="0"/>
                <w:i w:val="0"/>
              </w:rPr>
              <w:t>Community &amp; Social Impact</w:t>
            </w:r>
          </w:p>
        </w:tc>
        <w:tc>
          <w:tcPr>
            <w:tcW w:type="dxa" w:w="1928"/>
            <w:vAlign w:val="center"/>
            <w:shd w:fill="FFFFFF"/>
          </w:tcPr>
          <w:p>
            <w:pPr>
              <w:spacing w:after="40" w:line="276" w:lineRule="auto"/>
              <w:jc w:val="left"/>
            </w:pPr>
            <w:r>
              <w:rPr>
                <w:b w:val="0"/>
                <w:i w:val="0"/>
              </w:rPr>
              <w:t>Expand ISR&amp;SDG projects</w:t>
            </w:r>
          </w:p>
        </w:tc>
        <w:tc>
          <w:tcPr>
            <w:tcW w:type="dxa" w:w="1928"/>
            <w:vAlign w:val="center"/>
            <w:shd w:fill="FFFFFF"/>
          </w:tcPr>
          <w:p>
            <w:pPr>
              <w:spacing w:after="40" w:line="276" w:lineRule="auto"/>
              <w:ind w:left="125" w:hanging="125"/>
              <w:jc w:val="left"/>
            </w:pPr>
            <w:r>
              <w:t xml:space="preserve">• </w:t>
            </w:r>
            <w:r>
              <w:rPr>
                <w:b w:val="0"/>
                <w:i w:val="0"/>
              </w:rPr>
              <w:t>Launch ISR programs in literacy, health, sustainability.</w:t>
            </w:r>
          </w:p>
          <w:p>
            <w:pPr>
              <w:spacing w:after="40" w:line="276" w:lineRule="auto"/>
              <w:ind w:left="125" w:hanging="125"/>
              <w:jc w:val="left"/>
            </w:pPr>
            <w:r>
              <w:t xml:space="preserve">• </w:t>
            </w:r>
            <w:r>
              <w:rPr>
                <w:b w:val="0"/>
                <w:i w:val="0"/>
              </w:rPr>
              <w:t>Partner with NGOs &amp; local governments.</w:t>
            </w:r>
          </w:p>
          <w:p>
            <w:pPr>
              <w:spacing w:after="40" w:line="276" w:lineRule="auto"/>
              <w:ind w:left="125" w:hanging="125"/>
              <w:jc w:val="left"/>
            </w:pPr>
            <w:r>
              <w:t xml:space="preserve">• </w:t>
            </w:r>
            <w:r>
              <w:rPr>
                <w:b w:val="0"/>
                <w:i w:val="0"/>
              </w:rPr>
              <w:t>Embed service-learning in curriculum.</w:t>
            </w:r>
          </w:p>
        </w:tc>
        <w:tc>
          <w:tcPr>
            <w:tcW w:type="dxa" w:w="1871"/>
            <w:vAlign w:val="center"/>
            <w:shd w:fill="FFFFFF"/>
          </w:tcPr>
          <w:p>
            <w:pPr>
              <w:spacing w:after="40" w:line="276" w:lineRule="auto"/>
              <w:ind w:left="125" w:hanging="125"/>
              <w:jc w:val="left"/>
            </w:pPr>
            <w:r>
              <w:t xml:space="preserve">• </w:t>
            </w:r>
            <w:r>
              <w:rPr>
                <w:b w:val="0"/>
                <w:i w:val="0"/>
              </w:rPr>
              <w:t>% students in ISR projects.</w:t>
            </w:r>
          </w:p>
          <w:p>
            <w:pPr>
              <w:spacing w:after="40" w:line="276" w:lineRule="auto"/>
              <w:ind w:left="125" w:hanging="125"/>
              <w:jc w:val="left"/>
            </w:pPr>
            <w:r>
              <w:t xml:space="preserve">• </w:t>
            </w:r>
            <w:r>
              <w:rPr>
                <w:b w:val="0"/>
                <w:i w:val="0"/>
              </w:rPr>
              <w:t>Beneficiaries impacted annually.</w:t>
            </w:r>
          </w:p>
          <w:p>
            <w:pPr>
              <w:spacing w:after="40" w:line="276" w:lineRule="auto"/>
              <w:ind w:left="125" w:hanging="125"/>
              <w:jc w:val="left"/>
            </w:pPr>
            <w:r>
              <w:t xml:space="preserve">• </w:t>
            </w:r>
            <w:r>
              <w:rPr>
                <w:b w:val="0"/>
                <w:i w:val="0"/>
              </w:rPr>
              <w:t>No. of ISR/​SDG initiatives.</w:t>
            </w:r>
          </w:p>
        </w:tc>
        <w:tc>
          <w:tcPr>
            <w:tcW w:type="dxa" w:w="1928"/>
            <w:vAlign w:val="center"/>
            <w:shd w:fill="FFFFFF"/>
          </w:tcPr>
          <w:p>
            <w:pPr>
              <w:spacing w:after="40" w:line="276" w:lineRule="auto"/>
              <w:ind w:left="125" w:hanging="125"/>
              <w:jc w:val="left"/>
            </w:pPr>
            <w:r>
              <w:t xml:space="preserve">• </w:t>
            </w:r>
            <w:r>
              <w:rPr>
                <w:b w:val="0"/>
                <w:i w:val="0"/>
              </w:rPr>
              <w:t>≥80% student participation.</w:t>
            </w:r>
          </w:p>
          <w:p>
            <w:pPr>
              <w:spacing w:after="40" w:line="276" w:lineRule="auto"/>
              <w:ind w:left="125" w:hanging="125"/>
              <w:jc w:val="left"/>
            </w:pPr>
            <w:r>
              <w:t xml:space="preserve">• </w:t>
            </w:r>
            <w:r>
              <w:rPr>
                <w:b w:val="0"/>
                <w:i w:val="0"/>
              </w:rPr>
              <w:t>≥10,000 beneficiaries/​year.</w:t>
            </w:r>
          </w:p>
          <w:p>
            <w:pPr>
              <w:spacing w:after="40" w:line="276" w:lineRule="auto"/>
              <w:ind w:left="125" w:hanging="125"/>
              <w:jc w:val="left"/>
            </w:pPr>
            <w:r>
              <w:t xml:space="preserve">• </w:t>
            </w:r>
            <w:r>
              <w:rPr>
                <w:b w:val="0"/>
                <w:i w:val="0"/>
              </w:rPr>
              <w:t>≥20 ISR projects/​year.</w:t>
            </w:r>
          </w:p>
        </w:tc>
      </w:tr>
      <w:tr>
        <w:trPr>
          <w:cantSplit/>
        </w:trPr>
        <w:tc>
          <w:tcPr>
            <w:tcW w:type="dxa" w:w="1757"/>
            <w:vAlign w:val="center"/>
            <w:shd w:fill="EDF2F7"/>
          </w:tcPr>
          <w:p>
            <w:pPr>
              <w:spacing w:after="40" w:line="276" w:lineRule="auto"/>
              <w:jc w:val="left"/>
            </w:pPr>
            <w:r>
              <w:rPr>
                <w:b w:val="0"/>
                <w:i w:val="0"/>
              </w:rPr>
              <w:t>Global Engagement</w:t>
            </w:r>
          </w:p>
        </w:tc>
        <w:tc>
          <w:tcPr>
            <w:tcW w:type="dxa" w:w="1928"/>
            <w:vAlign w:val="center"/>
            <w:shd w:fill="EDF2F7"/>
          </w:tcPr>
          <w:p>
            <w:pPr>
              <w:spacing w:after="40" w:line="276" w:lineRule="auto"/>
              <w:jc w:val="left"/>
            </w:pPr>
            <w:r>
              <w:rPr>
                <w:b w:val="0"/>
                <w:i w:val="0"/>
              </w:rPr>
              <w:t>Enhance global visibility &amp; rankings</w:t>
            </w:r>
          </w:p>
        </w:tc>
        <w:tc>
          <w:tcPr>
            <w:tcW w:type="dxa" w:w="1928"/>
            <w:vAlign w:val="center"/>
            <w:shd w:fill="EDF2F7"/>
          </w:tcPr>
          <w:p>
            <w:pPr>
              <w:spacing w:after="40" w:line="276" w:lineRule="auto"/>
              <w:ind w:left="125" w:hanging="125"/>
              <w:jc w:val="left"/>
            </w:pPr>
            <w:r>
              <w:t xml:space="preserve">• </w:t>
            </w:r>
            <w:r>
              <w:rPr>
                <w:b w:val="0"/>
                <w:i w:val="0"/>
              </w:rPr>
              <w:t>Sign MoUs with global universities.</w:t>
            </w:r>
          </w:p>
          <w:p>
            <w:pPr>
              <w:spacing w:after="40" w:line="276" w:lineRule="auto"/>
              <w:ind w:left="125" w:hanging="125"/>
              <w:jc w:val="left"/>
            </w:pPr>
            <w:r>
              <w:t xml:space="preserve">• </w:t>
            </w:r>
            <w:r>
              <w:rPr>
                <w:b w:val="0"/>
                <w:i w:val="0"/>
              </w:rPr>
              <w:t>Launch dual-degree &amp; exchange programs.</w:t>
            </w:r>
          </w:p>
          <w:p>
            <w:pPr>
              <w:spacing w:after="40" w:line="276" w:lineRule="auto"/>
              <w:ind w:left="125" w:hanging="125"/>
              <w:jc w:val="left"/>
            </w:pPr>
            <w:r>
              <w:t xml:space="preserve">• </w:t>
            </w:r>
            <w:r>
              <w:rPr>
                <w:b w:val="0"/>
                <w:i w:val="0"/>
              </w:rPr>
              <w:t>Apply for QS/​THE rankings.</w:t>
            </w:r>
          </w:p>
        </w:tc>
        <w:tc>
          <w:tcPr>
            <w:tcW w:type="dxa" w:w="1871"/>
            <w:vAlign w:val="center"/>
            <w:shd w:fill="EDF2F7"/>
          </w:tcPr>
          <w:p>
            <w:pPr>
              <w:spacing w:after="40" w:line="276" w:lineRule="auto"/>
              <w:ind w:left="125" w:hanging="125"/>
              <w:jc w:val="left"/>
            </w:pPr>
            <w:r>
              <w:t xml:space="preserve">• </w:t>
            </w:r>
            <w:r>
              <w:rPr>
                <w:b w:val="0"/>
                <w:i w:val="0"/>
              </w:rPr>
              <w:t>No. of international MoUs.</w:t>
            </w:r>
          </w:p>
          <w:p>
            <w:pPr>
              <w:spacing w:after="40" w:line="276" w:lineRule="auto"/>
              <w:ind w:left="125" w:hanging="125"/>
              <w:jc w:val="left"/>
            </w:pPr>
            <w:r>
              <w:t xml:space="preserve">• </w:t>
            </w:r>
            <w:r>
              <w:rPr>
                <w:b w:val="0"/>
                <w:i w:val="0"/>
              </w:rPr>
              <w:t>Exchange participants.</w:t>
            </w:r>
          </w:p>
          <w:p>
            <w:pPr>
              <w:spacing w:after="40" w:line="276" w:lineRule="auto"/>
              <w:ind w:left="125" w:hanging="125"/>
              <w:jc w:val="left"/>
            </w:pPr>
            <w:r>
              <w:t xml:space="preserve">• </w:t>
            </w:r>
            <w:r>
              <w:rPr>
                <w:b w:val="0"/>
                <w:i w:val="0"/>
              </w:rPr>
              <w:t>QS/​THE ranking position.</w:t>
            </w:r>
          </w:p>
        </w:tc>
        <w:tc>
          <w:tcPr>
            <w:tcW w:type="dxa" w:w="1928"/>
            <w:vAlign w:val="center"/>
            <w:shd w:fill="EDF2F7"/>
          </w:tcPr>
          <w:p>
            <w:pPr>
              <w:spacing w:after="40" w:line="276" w:lineRule="auto"/>
              <w:ind w:left="125" w:hanging="125"/>
              <w:jc w:val="left"/>
            </w:pPr>
            <w:r>
              <w:t xml:space="preserve">• </w:t>
            </w:r>
            <w:r>
              <w:rPr>
                <w:b w:val="0"/>
                <w:i w:val="0"/>
              </w:rPr>
              <w:t>≥20 MoUs.</w:t>
            </w:r>
          </w:p>
          <w:p>
            <w:pPr>
              <w:spacing w:after="40" w:line="276" w:lineRule="auto"/>
              <w:ind w:left="125" w:hanging="125"/>
              <w:jc w:val="left"/>
            </w:pPr>
            <w:r>
              <w:t xml:space="preserve">• </w:t>
            </w:r>
            <w:r>
              <w:rPr>
                <w:b w:val="0"/>
                <w:i w:val="0"/>
              </w:rPr>
              <w:t>≥200 exchanges in 5 years.</w:t>
            </w:r>
          </w:p>
          <w:p>
            <w:pPr>
              <w:spacing w:after="40" w:line="276" w:lineRule="auto"/>
              <w:ind w:left="125" w:hanging="125"/>
              <w:jc w:val="left"/>
            </w:pPr>
            <w:r>
              <w:t xml:space="preserve">• </w:t>
            </w:r>
            <w:r>
              <w:rPr>
                <w:b w:val="0"/>
                <w:i w:val="0"/>
              </w:rPr>
              <w:t>QS/​THE Top 500 by Year 10.</w:t>
            </w:r>
          </w:p>
        </w:tc>
      </w:tr>
    </w:tbl>
    <w:p>
      <w:pPr>
        <w:spacing w:after="40"/>
      </w:pPr>
    </w:p>
    <w:p>
      <w:pPr>
        <w:pStyle w:val="Heading1"/>
      </w:pPr>
      <w:r>
        <w:t>20. Phase 5: Monitoring &amp; Control</w:t>
      </w:r>
    </w:p>
    <w:p>
      <w:pPr>
        <w:pStyle w:val="Heading2"/>
      </w:pPr>
      <w:r>
        <w:t>Purpose</w:t>
      </w:r>
    </w:p>
    <w:p>
      <w:pPr>
        <w:pStyle w:val="ListBullet"/>
        <w:numPr>
          <w:ilvl w:val="0"/>
          <w:numId w:val="90"/>
        </w:numPr>
        <w:ind w:left="340" w:hanging="142"/>
      </w:pPr>
      <w:r>
        <w:rPr>
          <w:b w:val="0"/>
          <w:i w:val="0"/>
        </w:rPr>
        <w:t>To ensure that execution aligns with strategic objectives.</w:t>
      </w:r>
    </w:p>
    <w:p>
      <w:pPr>
        <w:pStyle w:val="ListBullet"/>
        <w:numPr>
          <w:ilvl w:val="0"/>
          <w:numId w:val="90"/>
        </w:numPr>
        <w:ind w:left="340" w:hanging="142"/>
      </w:pPr>
      <w:r>
        <w:rPr>
          <w:b w:val="0"/>
          <w:i w:val="0"/>
        </w:rPr>
        <w:t>To track performance, identify deviations, and apply corrective actions.</w:t>
      </w:r>
    </w:p>
    <w:p>
      <w:pPr>
        <w:pStyle w:val="ListBullet"/>
        <w:numPr>
          <w:ilvl w:val="0"/>
          <w:numId w:val="90"/>
        </w:numPr>
        <w:ind w:left="340" w:hanging="142"/>
      </w:pPr>
      <w:r>
        <w:rPr>
          <w:b w:val="0"/>
          <w:i w:val="0"/>
        </w:rPr>
        <w:t>To maintain accountability through transparent and evidence-based reviews.</w:t>
      </w:r>
    </w:p>
    <w:p>
      <w:pPr>
        <w:pStyle w:val="Heading2"/>
      </w:pPr>
      <w:r>
        <w:t>Key Components</w:t>
      </w:r>
    </w:p>
    <w:p>
      <w:pPr>
        <w:pStyle w:val="Heading2"/>
      </w:pPr>
      <w:r>
        <w:t>1. Performance Tracking</w:t>
      </w:r>
    </w:p>
    <w:p>
      <w:pPr>
        <w:pStyle w:val="ListBullet2"/>
        <w:numPr>
          <w:ilvl w:val="1"/>
          <w:numId w:val="90"/>
        </w:numPr>
        <w:ind w:left="652" w:hanging="142"/>
      </w:pPr>
      <w:r>
        <w:rPr>
          <w:b w:val="0"/>
          <w:i w:val="0"/>
        </w:rPr>
        <w:t>Use KPI dashboards linked to Balanced Scorecard dimensions (Academic, Research, Finance, Governance, Community, Global).</w:t>
      </w:r>
    </w:p>
    <w:p>
      <w:pPr>
        <w:pStyle w:val="ListBullet2"/>
        <w:numPr>
          <w:ilvl w:val="1"/>
          <w:numId w:val="90"/>
        </w:numPr>
        <w:ind w:left="652" w:hanging="142"/>
      </w:pPr>
      <w:r>
        <w:rPr>
          <w:b w:val="0"/>
          <w:i w:val="0"/>
        </w:rPr>
        <w:t>Monitor milestones against short, medium, and long-term timelines.</w:t>
      </w:r>
    </w:p>
    <w:p>
      <w:pPr>
        <w:pStyle w:val="ListBullet2"/>
        <w:numPr>
          <w:ilvl w:val="1"/>
          <w:numId w:val="90"/>
        </w:numPr>
        <w:ind w:left="652" w:hanging="142"/>
      </w:pPr>
      <w:r>
        <w:rPr>
          <w:b w:val="0"/>
          <w:i w:val="0"/>
        </w:rPr>
        <w:t>Conduct periodic performance audits (monthly, quarterly, annually).</w:t>
      </w:r>
    </w:p>
    <w:p>
      <w:pPr>
        <w:pStyle w:val="Heading2"/>
      </w:pPr>
      <w:r>
        <w:t>2. Governance &amp; Oversight</w:t>
      </w:r>
    </w:p>
    <w:p>
      <w:pPr>
        <w:pStyle w:val="ListBullet2"/>
        <w:numPr>
          <w:ilvl w:val="1"/>
          <w:numId w:val="90"/>
        </w:numPr>
        <w:ind w:left="652" w:hanging="142"/>
      </w:pPr>
      <w:r>
        <w:rPr>
          <w:b w:val="0"/>
          <w:i w:val="0"/>
        </w:rPr>
        <w:t>IQAC leads continuous monitoring, supported by Deans and project leads.</w:t>
      </w:r>
    </w:p>
    <w:p>
      <w:pPr>
        <w:pStyle w:val="ListBullet2"/>
        <w:numPr>
          <w:ilvl w:val="1"/>
          <w:numId w:val="90"/>
        </w:numPr>
        <w:ind w:left="652" w:hanging="142"/>
      </w:pPr>
      <w:r>
        <w:rPr>
          <w:b w:val="0"/>
          <w:i w:val="0"/>
        </w:rPr>
        <w:t>Governing Body receives consolidated progress reports.</w:t>
      </w:r>
    </w:p>
    <w:p>
      <w:pPr>
        <w:pStyle w:val="ListBullet2"/>
        <w:numPr>
          <w:ilvl w:val="1"/>
          <w:numId w:val="90"/>
        </w:numPr>
        <w:ind w:left="652" w:hanging="142"/>
      </w:pPr>
      <w:r>
        <w:rPr>
          <w:b w:val="0"/>
          <w:i w:val="0"/>
        </w:rPr>
        <w:t>Accreditation readiness (NAAC, NBA, NIRF, QS) is ensured through compliance checks.</w:t>
      </w:r>
    </w:p>
    <w:p>
      <w:pPr>
        <w:pStyle w:val="Heading2"/>
      </w:pPr>
      <w:r>
        <w:t>3. Feedback Loops</w:t>
      </w:r>
    </w:p>
    <w:p>
      <w:pPr>
        <w:pStyle w:val="ListBullet2"/>
        <w:numPr>
          <w:ilvl w:val="1"/>
          <w:numId w:val="90"/>
        </w:numPr>
        <w:ind w:left="652" w:hanging="142"/>
      </w:pPr>
      <w:r>
        <w:rPr>
          <w:b w:val="0"/>
          <w:i w:val="0"/>
        </w:rPr>
        <w:t>Collect stakeholder feedback from students, faculty, industry, and community.</w:t>
      </w:r>
    </w:p>
    <w:p>
      <w:pPr>
        <w:pStyle w:val="ListBullet2"/>
        <w:numPr>
          <w:ilvl w:val="1"/>
          <w:numId w:val="90"/>
        </w:numPr>
        <w:ind w:left="652" w:hanging="142"/>
      </w:pPr>
      <w:r>
        <w:rPr>
          <w:b w:val="0"/>
          <w:i w:val="0"/>
        </w:rPr>
        <w:t>Use surveys, focus groups, and stakeholder meetings to refine strategies.</w:t>
      </w:r>
    </w:p>
    <w:p>
      <w:pPr>
        <w:pStyle w:val="ListBullet2"/>
        <w:numPr>
          <w:ilvl w:val="1"/>
          <w:numId w:val="90"/>
        </w:numPr>
        <w:ind w:left="652" w:hanging="142"/>
      </w:pPr>
      <w:r>
        <w:rPr>
          <w:b w:val="0"/>
          <w:i w:val="0"/>
        </w:rPr>
        <w:t>Establish a grievance redressal system to capture challenges in real time.</w:t>
      </w:r>
    </w:p>
    <w:p>
      <w:pPr>
        <w:pStyle w:val="Heading2"/>
      </w:pPr>
      <w:r>
        <w:t>4. Risk Monitoring</w:t>
      </w:r>
    </w:p>
    <w:p>
      <w:pPr>
        <w:pStyle w:val="ListBullet2"/>
        <w:numPr>
          <w:ilvl w:val="1"/>
          <w:numId w:val="90"/>
        </w:numPr>
        <w:ind w:left="652" w:hanging="142"/>
      </w:pPr>
      <w:r>
        <w:rPr>
          <w:b w:val="0"/>
          <w:i w:val="0"/>
        </w:rPr>
        <w:t>Continuously assess risks (financial, academic, technological, environmental, cybersecurity).</w:t>
      </w:r>
    </w:p>
    <w:p>
      <w:pPr>
        <w:pStyle w:val="ListBullet2"/>
        <w:numPr>
          <w:ilvl w:val="1"/>
          <w:numId w:val="90"/>
        </w:numPr>
        <w:ind w:left="652" w:hanging="142"/>
      </w:pPr>
      <w:r>
        <w:rPr>
          <w:b w:val="0"/>
          <w:i w:val="0"/>
        </w:rPr>
        <w:t>Update risk registers with mitigation actions.</w:t>
      </w:r>
    </w:p>
    <w:p>
      <w:pPr>
        <w:pStyle w:val="ListBullet2"/>
        <w:numPr>
          <w:ilvl w:val="1"/>
          <w:numId w:val="90"/>
        </w:numPr>
        <w:ind w:left="652" w:hanging="142"/>
      </w:pPr>
      <w:r>
        <w:rPr>
          <w:b w:val="0"/>
          <w:i w:val="0"/>
        </w:rPr>
        <w:t>Implement scenario-based forecasting for resilience.</w:t>
      </w:r>
    </w:p>
    <w:p>
      <w:pPr>
        <w:pStyle w:val="Heading2"/>
      </w:pPr>
      <w:r>
        <w:t>5. Corrective &amp; Preventive Actions</w:t>
      </w:r>
    </w:p>
    <w:p>
      <w:pPr>
        <w:pStyle w:val="ListBullet2"/>
        <w:numPr>
          <w:ilvl w:val="1"/>
          <w:numId w:val="90"/>
        </w:numPr>
        <w:ind w:left="652" w:hanging="142"/>
      </w:pPr>
      <w:r>
        <w:rPr>
          <w:b w:val="0"/>
          <w:i w:val="0"/>
        </w:rPr>
        <w:t>Apply interventions when KPIs are not met.</w:t>
      </w:r>
    </w:p>
    <w:p>
      <w:pPr>
        <w:pStyle w:val="ListBullet2"/>
        <w:numPr>
          <w:ilvl w:val="1"/>
          <w:numId w:val="90"/>
        </w:numPr>
        <w:ind w:left="652" w:hanging="142"/>
      </w:pPr>
      <w:r>
        <w:rPr>
          <w:b w:val="0"/>
          <w:i w:val="0"/>
        </w:rPr>
        <w:t>Reallocate resources where gaps exist.</w:t>
      </w:r>
    </w:p>
    <w:p>
      <w:pPr>
        <w:pStyle w:val="ListBullet2"/>
        <w:numPr>
          <w:ilvl w:val="1"/>
          <w:numId w:val="90"/>
        </w:numPr>
        <w:ind w:left="652" w:hanging="142"/>
      </w:pPr>
      <w:r>
        <w:rPr>
          <w:b w:val="0"/>
          <w:i w:val="0"/>
        </w:rPr>
        <w:t>Document best practices and failures for institutional learning.</w:t>
      </w:r>
    </w:p>
    <w:p>
      <w:pPr>
        <w:pStyle w:val="Heading2"/>
      </w:pPr>
      <w:r>
        <w:t>6. Transparency &amp; Reporting</w:t>
      </w:r>
    </w:p>
    <w:p>
      <w:pPr>
        <w:pStyle w:val="ListBullet2"/>
        <w:numPr>
          <w:ilvl w:val="1"/>
          <w:numId w:val="90"/>
        </w:numPr>
        <w:ind w:left="652" w:hanging="142"/>
      </w:pPr>
      <w:r>
        <w:rPr>
          <w:b w:val="0"/>
          <w:i w:val="0"/>
        </w:rPr>
        <w:t>Publish annual progress reports aligned with NEP 2020 reforms and SDGs.</w:t>
      </w:r>
    </w:p>
    <w:p>
      <w:pPr>
        <w:pStyle w:val="ListBullet2"/>
        <w:numPr>
          <w:ilvl w:val="1"/>
          <w:numId w:val="90"/>
        </w:numPr>
        <w:ind w:left="652" w:hanging="142"/>
      </w:pPr>
      <w:r>
        <w:rPr>
          <w:b w:val="0"/>
          <w:i w:val="0"/>
        </w:rPr>
        <w:t>Share updates with internal (faculty, students) and external stakeholders (government, industry, community).</w:t>
      </w:r>
    </w:p>
    <w:p>
      <w:pPr>
        <w:pStyle w:val="ListBullet2"/>
        <w:numPr>
          <w:ilvl w:val="1"/>
          <w:numId w:val="90"/>
        </w:numPr>
        <w:ind w:left="652" w:hanging="142"/>
      </w:pPr>
      <w:r>
        <w:rPr>
          <w:b w:val="0"/>
          <w:i w:val="0"/>
        </w:rPr>
        <w:t>Highlight success stories in NIRF, QS, NAAC/NBA documentation.</w:t>
      </w:r>
    </w:p>
    <w:p>
      <w:pPr>
        <w:pStyle w:val="Heading2"/>
      </w:pPr>
      <w:r>
        <w:t>Expected Outcomes</w:t>
      </w:r>
    </w:p>
    <w:p>
      <w:pPr>
        <w:pStyle w:val="ListBullet"/>
        <w:numPr>
          <w:ilvl w:val="0"/>
          <w:numId w:val="90"/>
        </w:numPr>
        <w:ind w:left="340" w:hanging="142"/>
      </w:pPr>
      <w:r>
        <w:rPr>
          <w:b w:val="0"/>
          <w:i w:val="0"/>
        </w:rPr>
        <w:t>Continuous alignment of actions with strategic objectives.</w:t>
      </w:r>
    </w:p>
    <w:p>
      <w:pPr>
        <w:pStyle w:val="ListBullet"/>
        <w:numPr>
          <w:ilvl w:val="0"/>
          <w:numId w:val="90"/>
        </w:numPr>
        <w:ind w:left="340" w:hanging="142"/>
      </w:pPr>
      <w:r>
        <w:rPr>
          <w:b w:val="0"/>
          <w:i w:val="0"/>
        </w:rPr>
        <w:t>Early detection of gaps and timely interventions.</w:t>
      </w:r>
    </w:p>
    <w:p>
      <w:pPr>
        <w:pStyle w:val="ListBullet"/>
        <w:numPr>
          <w:ilvl w:val="0"/>
          <w:numId w:val="90"/>
        </w:numPr>
        <w:ind w:left="340" w:hanging="142"/>
      </w:pPr>
      <w:r>
        <w:rPr>
          <w:b w:val="0"/>
          <w:i w:val="0"/>
        </w:rPr>
        <w:t>Evidence-based reporting for accreditation and global rankings.</w:t>
      </w:r>
    </w:p>
    <w:p>
      <w:pPr>
        <w:pStyle w:val="ListBullet"/>
        <w:numPr>
          <w:ilvl w:val="0"/>
          <w:numId w:val="90"/>
        </w:numPr>
        <w:ind w:left="340" w:hanging="142"/>
      </w:pPr>
      <w:r>
        <w:rPr>
          <w:b w:val="0"/>
          <w:i w:val="0"/>
        </w:rPr>
        <w:t>A culture of accountability, transparency, and continuous improvement.</w:t>
      </w:r>
    </w:p>
    <w:p>
      <w:pPr>
        <w:pStyle w:val="Heading2"/>
      </w:pPr>
      <w:r>
        <w:t>Phase S: Monitoring &amp; Control – Checklist Table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624"/>
        <w:gridCol w:w="2438"/>
        <w:gridCol w:w="1814"/>
        <w:gridCol w:w="2098"/>
        <w:gridCol w:w="1757"/>
        <w:gridCol w:w="680"/>
      </w:tblGrid>
      <w:tr>
        <w:trPr>
          <w:tblHeader/>
          <w:cantSplit/>
        </w:trPr>
        <w:tc>
          <w:tcPr>
            <w:tcW w:type="dxa" w:w="624"/>
            <w:vAlign w:val="center"/>
            <w:shd w:fill="1F3A5F"/>
          </w:tcPr>
          <w:p>
            <w:pPr>
              <w:keepNext/>
              <w:spacing w:after="40" w:line="276" w:lineRule="auto"/>
              <w:jc w:val="left"/>
            </w:pPr>
            <w:r>
              <w:rPr>
                <w:b/>
                <w:i w:val="0"/>
                <w:color w:val="FFFFFF"/>
              </w:rPr>
              <w:t>Step</w:t>
            </w:r>
          </w:p>
        </w:tc>
        <w:tc>
          <w:tcPr>
            <w:tcW w:type="dxa" w:w="2438"/>
            <w:vAlign w:val="center"/>
            <w:shd w:fill="1F3A5F"/>
          </w:tcPr>
          <w:p>
            <w:pPr>
              <w:keepNext/>
              <w:spacing w:after="40" w:line="276" w:lineRule="auto"/>
              <w:jc w:val="left"/>
            </w:pPr>
            <w:r>
              <w:rPr>
                <w:b/>
                <w:i w:val="0"/>
                <w:color w:val="FFFFFF"/>
              </w:rPr>
              <w:t>Task</w:t>
            </w:r>
          </w:p>
        </w:tc>
        <w:tc>
          <w:tcPr>
            <w:tcW w:type="dxa" w:w="1814"/>
            <w:vAlign w:val="center"/>
            <w:shd w:fill="1F3A5F"/>
          </w:tcPr>
          <w:p>
            <w:pPr>
              <w:keepNext/>
              <w:spacing w:after="40" w:line="276" w:lineRule="auto"/>
              <w:jc w:val="left"/>
            </w:pPr>
            <w:r>
              <w:rPr>
                <w:b/>
                <w:i w:val="0"/>
                <w:color w:val="FFFFFF"/>
              </w:rPr>
              <w:t>Responsible Unit</w:t>
            </w:r>
          </w:p>
        </w:tc>
        <w:tc>
          <w:tcPr>
            <w:tcW w:type="dxa" w:w="2098"/>
            <w:vAlign w:val="center"/>
            <w:shd w:fill="1F3A5F"/>
          </w:tcPr>
          <w:p>
            <w:pPr>
              <w:keepNext/>
              <w:spacing w:after="40" w:line="276" w:lineRule="auto"/>
              <w:jc w:val="left"/>
            </w:pPr>
            <w:r>
              <w:rPr>
                <w:b/>
                <w:i w:val="0"/>
                <w:color w:val="FFFFFF"/>
              </w:rPr>
              <w:t>Tools/​Resources Needed</w:t>
            </w:r>
          </w:p>
        </w:tc>
        <w:tc>
          <w:tcPr>
            <w:tcW w:type="dxa" w:w="1757"/>
            <w:vAlign w:val="center"/>
            <w:shd w:fill="1F3A5F"/>
          </w:tcPr>
          <w:p>
            <w:pPr>
              <w:keepNext/>
              <w:spacing w:after="40" w:line="276" w:lineRule="auto"/>
              <w:jc w:val="left"/>
            </w:pPr>
            <w:r>
              <w:rPr>
                <w:b/>
                <w:i w:val="0"/>
                <w:color w:val="FFFFFF"/>
              </w:rPr>
              <w:t>Timeline</w:t>
            </w:r>
          </w:p>
        </w:tc>
        <w:tc>
          <w:tcPr>
            <w:tcW w:type="dxa" w:w="680"/>
            <w:vAlign w:val="center"/>
            <w:shd w:fill="1F3A5F"/>
          </w:tcPr>
          <w:p>
            <w:pPr>
              <w:keepNext/>
              <w:spacing w:after="40" w:line="276" w:lineRule="auto"/>
              <w:jc w:val="left"/>
            </w:pPr>
            <w:r>
              <w:rPr>
                <w:b/>
                <w:i w:val="0"/>
                <w:color w:val="FFFFFF"/>
              </w:rPr>
              <w:t>Status</w:t>
            </w:r>
          </w:p>
        </w:tc>
      </w:tr>
      <w:tr>
        <w:trPr>
          <w:cantSplit/>
        </w:trPr>
        <w:tc>
          <w:tcPr>
            <w:tcW w:type="dxa" w:w="624"/>
            <w:vAlign w:val="center"/>
            <w:shd w:fill="FFFFFF"/>
          </w:tcPr>
          <w:p>
            <w:pPr>
              <w:spacing w:after="40" w:line="276" w:lineRule="auto"/>
              <w:jc w:val="left"/>
            </w:pPr>
            <w:r>
              <w:rPr>
                <w:b w:val="0"/>
                <w:i w:val="0"/>
              </w:rPr>
              <w:t>1</w:t>
            </w:r>
          </w:p>
        </w:tc>
        <w:tc>
          <w:tcPr>
            <w:tcW w:type="dxa" w:w="2438"/>
            <w:vAlign w:val="center"/>
            <w:shd w:fill="FFFFFF"/>
          </w:tcPr>
          <w:p>
            <w:pPr>
              <w:spacing w:after="40" w:line="276" w:lineRule="auto"/>
              <w:jc w:val="left"/>
            </w:pPr>
            <w:r>
              <w:rPr>
                <w:b w:val="0"/>
                <w:i w:val="0"/>
              </w:rPr>
              <w:t>Track performance against KPIs (Academic, Research, Finance, Governance, Community, Global)</w:t>
            </w:r>
          </w:p>
        </w:tc>
        <w:tc>
          <w:tcPr>
            <w:tcW w:type="dxa" w:w="1814"/>
            <w:vAlign w:val="center"/>
            <w:shd w:fill="FFFFFF"/>
          </w:tcPr>
          <w:p>
            <w:pPr>
              <w:spacing w:after="40" w:line="276" w:lineRule="auto"/>
              <w:jc w:val="left"/>
            </w:pPr>
            <w:r>
              <w:rPr>
                <w:b w:val="0"/>
                <w:i w:val="0"/>
              </w:rPr>
              <w:t>IQAC + Institutional Research Office</w:t>
            </w:r>
          </w:p>
        </w:tc>
        <w:tc>
          <w:tcPr>
            <w:tcW w:type="dxa" w:w="2098"/>
            <w:vAlign w:val="center"/>
            <w:shd w:fill="FFFFFF"/>
          </w:tcPr>
          <w:p>
            <w:pPr>
              <w:spacing w:after="40" w:line="276" w:lineRule="auto"/>
              <w:jc w:val="left"/>
            </w:pPr>
            <w:r>
              <w:rPr>
                <w:b w:val="0"/>
                <w:i w:val="0"/>
              </w:rPr>
              <w:t>Balanced Scorecard, KPI dashboards</w:t>
            </w:r>
          </w:p>
        </w:tc>
        <w:tc>
          <w:tcPr>
            <w:tcW w:type="dxa" w:w="1757"/>
            <w:vAlign w:val="center"/>
            <w:shd w:fill="FFFFFF"/>
          </w:tcPr>
          <w:p>
            <w:pPr>
              <w:spacing w:after="40" w:line="276" w:lineRule="auto"/>
              <w:jc w:val="left"/>
            </w:pPr>
            <w:r>
              <w:rPr>
                <w:b w:val="0"/>
                <w:i w:val="0"/>
              </w:rPr>
              <w:t>Monthly/​Quarterly</w:t>
            </w:r>
          </w:p>
        </w:tc>
        <w:tc>
          <w:tcPr>
            <w:tcW w:type="dxa" w:w="680"/>
            <w:vAlign w:val="center"/>
            <w:shd w:fill="FFFFFF"/>
          </w:tcPr>
          <w:p>
            <w:pPr>
              <w:spacing w:after="40" w:line="276" w:lineRule="auto"/>
              <w:jc w:val="left"/>
            </w:pPr>
            <w:r>
              <w:rPr>
                <w:b w:val="0"/>
                <w:i w:val="0"/>
              </w:rPr>
              <w:t>□</w:t>
            </w:r>
          </w:p>
        </w:tc>
      </w:tr>
      <w:tr>
        <w:trPr>
          <w:cantSplit/>
        </w:trPr>
        <w:tc>
          <w:tcPr>
            <w:tcW w:type="dxa" w:w="624"/>
            <w:vAlign w:val="center"/>
            <w:shd w:fill="EDF2F7"/>
          </w:tcPr>
          <w:p>
            <w:pPr>
              <w:spacing w:after="40" w:line="276" w:lineRule="auto"/>
              <w:jc w:val="left"/>
            </w:pPr>
            <w:r>
              <w:rPr>
                <w:b w:val="0"/>
                <w:i w:val="0"/>
              </w:rPr>
              <w:t>2</w:t>
            </w:r>
          </w:p>
        </w:tc>
        <w:tc>
          <w:tcPr>
            <w:tcW w:type="dxa" w:w="2438"/>
            <w:vAlign w:val="center"/>
            <w:shd w:fill="EDF2F7"/>
          </w:tcPr>
          <w:p>
            <w:pPr>
              <w:spacing w:after="40" w:line="276" w:lineRule="auto"/>
              <w:jc w:val="left"/>
            </w:pPr>
            <w:r>
              <w:rPr>
                <w:b w:val="0"/>
                <w:i w:val="0"/>
              </w:rPr>
              <w:t>Conduct periodic progress reviews (short, medium, long-term milestones)</w:t>
            </w:r>
          </w:p>
        </w:tc>
        <w:tc>
          <w:tcPr>
            <w:tcW w:type="dxa" w:w="1814"/>
            <w:vAlign w:val="center"/>
            <w:shd w:fill="EDF2F7"/>
          </w:tcPr>
          <w:p>
            <w:pPr>
              <w:spacing w:after="40" w:line="276" w:lineRule="auto"/>
              <w:jc w:val="left"/>
            </w:pPr>
            <w:r>
              <w:rPr>
                <w:b w:val="0"/>
                <w:i w:val="0"/>
              </w:rPr>
              <w:t>Deans + Project Leads</w:t>
            </w:r>
          </w:p>
        </w:tc>
        <w:tc>
          <w:tcPr>
            <w:tcW w:type="dxa" w:w="2098"/>
            <w:vAlign w:val="center"/>
            <w:shd w:fill="EDF2F7"/>
          </w:tcPr>
          <w:p>
            <w:pPr>
              <w:spacing w:after="40" w:line="276" w:lineRule="auto"/>
              <w:jc w:val="left"/>
            </w:pPr>
            <w:r>
              <w:rPr>
                <w:b w:val="0"/>
                <w:i w:val="0"/>
              </w:rPr>
              <w:t>Gantt charts, milestone trackers</w:t>
            </w:r>
          </w:p>
        </w:tc>
        <w:tc>
          <w:tcPr>
            <w:tcW w:type="dxa" w:w="1757"/>
            <w:vAlign w:val="center"/>
            <w:shd w:fill="EDF2F7"/>
          </w:tcPr>
          <w:p>
            <w:pPr>
              <w:spacing w:after="40" w:line="276" w:lineRule="auto"/>
              <w:jc w:val="left"/>
            </w:pPr>
            <w:r>
              <w:rPr>
                <w:b w:val="0"/>
                <w:i w:val="0"/>
              </w:rPr>
              <w:t>Quarterly/​Annually</w:t>
            </w:r>
          </w:p>
        </w:tc>
        <w:tc>
          <w:tcPr>
            <w:tcW w:type="dxa" w:w="680"/>
            <w:vAlign w:val="center"/>
            <w:shd w:fill="EDF2F7"/>
          </w:tcPr>
          <w:p>
            <w:pPr>
              <w:spacing w:after="40" w:line="276" w:lineRule="auto"/>
              <w:jc w:val="left"/>
            </w:pPr>
            <w:r>
              <w:rPr>
                <w:b w:val="0"/>
                <w:i w:val="0"/>
              </w:rPr>
              <w:t>□</w:t>
            </w:r>
          </w:p>
        </w:tc>
      </w:tr>
      <w:tr>
        <w:trPr>
          <w:cantSplit/>
        </w:trPr>
        <w:tc>
          <w:tcPr>
            <w:tcW w:type="dxa" w:w="624"/>
            <w:vAlign w:val="center"/>
            <w:shd w:fill="FFFFFF"/>
          </w:tcPr>
          <w:p>
            <w:pPr>
              <w:spacing w:after="40" w:line="276" w:lineRule="auto"/>
              <w:jc w:val="left"/>
            </w:pPr>
            <w:r>
              <w:rPr>
                <w:b w:val="0"/>
                <w:i w:val="0"/>
              </w:rPr>
              <w:t>3</w:t>
            </w:r>
          </w:p>
        </w:tc>
        <w:tc>
          <w:tcPr>
            <w:tcW w:type="dxa" w:w="2438"/>
            <w:vAlign w:val="center"/>
            <w:shd w:fill="FFFFFF"/>
          </w:tcPr>
          <w:p>
            <w:pPr>
              <w:spacing w:after="40" w:line="276" w:lineRule="auto"/>
              <w:jc w:val="left"/>
            </w:pPr>
            <w:r>
              <w:rPr>
                <w:b w:val="0"/>
                <w:i w:val="0"/>
              </w:rPr>
              <w:t>Submit consolidated progress reports to Governing Body</w:t>
            </w:r>
          </w:p>
        </w:tc>
        <w:tc>
          <w:tcPr>
            <w:tcW w:type="dxa" w:w="1814"/>
            <w:vAlign w:val="center"/>
            <w:shd w:fill="FFFFFF"/>
          </w:tcPr>
          <w:p>
            <w:pPr>
              <w:spacing w:after="40" w:line="276" w:lineRule="auto"/>
              <w:jc w:val="left"/>
            </w:pPr>
            <w:r>
              <w:rPr>
                <w:b w:val="0"/>
                <w:i w:val="0"/>
              </w:rPr>
              <w:t>IQAC + Registrar</w:t>
            </w:r>
          </w:p>
        </w:tc>
        <w:tc>
          <w:tcPr>
            <w:tcW w:type="dxa" w:w="2098"/>
            <w:vAlign w:val="center"/>
            <w:shd w:fill="FFFFFF"/>
          </w:tcPr>
          <w:p>
            <w:pPr>
              <w:spacing w:after="40" w:line="276" w:lineRule="auto"/>
              <w:jc w:val="left"/>
            </w:pPr>
            <w:r>
              <w:rPr>
                <w:b w:val="0"/>
                <w:i w:val="0"/>
              </w:rPr>
              <w:t>Annual report templates, audit summaries</w:t>
            </w:r>
          </w:p>
        </w:tc>
        <w:tc>
          <w:tcPr>
            <w:tcW w:type="dxa" w:w="1757"/>
            <w:vAlign w:val="center"/>
            <w:shd w:fill="FFFFFF"/>
          </w:tcPr>
          <w:p>
            <w:pPr>
              <w:spacing w:after="40" w:line="276" w:lineRule="auto"/>
              <w:jc w:val="left"/>
            </w:pPr>
            <w:r>
              <w:rPr>
                <w:b w:val="0"/>
                <w:i w:val="0"/>
              </w:rPr>
              <w:t>Annually</w:t>
            </w:r>
          </w:p>
        </w:tc>
        <w:tc>
          <w:tcPr>
            <w:tcW w:type="dxa" w:w="680"/>
            <w:vAlign w:val="center"/>
            <w:shd w:fill="FFFFFF"/>
          </w:tcPr>
          <w:p>
            <w:pPr>
              <w:spacing w:after="40" w:line="276" w:lineRule="auto"/>
              <w:jc w:val="left"/>
            </w:pPr>
            <w:r>
              <w:rPr>
                <w:b w:val="0"/>
                <w:i w:val="0"/>
              </w:rPr>
              <w:t>□</w:t>
            </w:r>
          </w:p>
        </w:tc>
      </w:tr>
      <w:tr>
        <w:trPr>
          <w:cantSplit/>
        </w:trPr>
        <w:tc>
          <w:tcPr>
            <w:tcW w:type="dxa" w:w="624"/>
            <w:vAlign w:val="center"/>
            <w:shd w:fill="EDF2F7"/>
          </w:tcPr>
          <w:p>
            <w:pPr>
              <w:spacing w:after="40" w:line="276" w:lineRule="auto"/>
              <w:jc w:val="left"/>
            </w:pPr>
            <w:r>
              <w:rPr>
                <w:b w:val="0"/>
                <w:i w:val="0"/>
              </w:rPr>
              <w:t>4</w:t>
            </w:r>
          </w:p>
        </w:tc>
        <w:tc>
          <w:tcPr>
            <w:tcW w:type="dxa" w:w="2438"/>
            <w:vAlign w:val="center"/>
            <w:shd w:fill="EDF2F7"/>
          </w:tcPr>
          <w:p>
            <w:pPr>
              <w:spacing w:after="40" w:line="276" w:lineRule="auto"/>
              <w:jc w:val="left"/>
            </w:pPr>
            <w:r>
              <w:rPr>
                <w:b w:val="0"/>
                <w:i w:val="0"/>
              </w:rPr>
              <w:t>Ensure compliance with accreditation frameworks (NAAC, NBA, NIRF, QS)</w:t>
            </w:r>
          </w:p>
        </w:tc>
        <w:tc>
          <w:tcPr>
            <w:tcW w:type="dxa" w:w="1814"/>
            <w:vAlign w:val="center"/>
            <w:shd w:fill="EDF2F7"/>
          </w:tcPr>
          <w:p>
            <w:pPr>
              <w:spacing w:after="40" w:line="276" w:lineRule="auto"/>
              <w:jc w:val="left"/>
            </w:pPr>
            <w:r>
              <w:rPr>
                <w:b w:val="0"/>
                <w:i w:val="0"/>
              </w:rPr>
              <w:t>Accreditation Cell + IQAC</w:t>
            </w:r>
          </w:p>
        </w:tc>
        <w:tc>
          <w:tcPr>
            <w:tcW w:type="dxa" w:w="2098"/>
            <w:vAlign w:val="center"/>
            <w:shd w:fill="EDF2F7"/>
          </w:tcPr>
          <w:p>
            <w:pPr>
              <w:spacing w:after="40" w:line="276" w:lineRule="auto"/>
              <w:jc w:val="left"/>
            </w:pPr>
            <w:r>
              <w:rPr>
                <w:b w:val="0"/>
                <w:i w:val="0"/>
              </w:rPr>
              <w:t>Compliance checklists, audit records</w:t>
            </w:r>
          </w:p>
        </w:tc>
        <w:tc>
          <w:tcPr>
            <w:tcW w:type="dxa" w:w="1757"/>
            <w:vAlign w:val="center"/>
            <w:shd w:fill="EDF2F7"/>
          </w:tcPr>
          <w:p>
            <w:pPr>
              <w:spacing w:after="40" w:line="276" w:lineRule="auto"/>
              <w:jc w:val="left"/>
            </w:pPr>
            <w:r>
              <w:rPr>
                <w:b w:val="0"/>
                <w:i w:val="0"/>
              </w:rPr>
              <w:t>Ongoing</w:t>
            </w:r>
          </w:p>
        </w:tc>
        <w:tc>
          <w:tcPr>
            <w:tcW w:type="dxa" w:w="680"/>
            <w:vAlign w:val="center"/>
            <w:shd w:fill="EDF2F7"/>
          </w:tcPr>
          <w:p>
            <w:pPr>
              <w:spacing w:after="40" w:line="276" w:lineRule="auto"/>
              <w:jc w:val="left"/>
            </w:pPr>
            <w:r>
              <w:rPr>
                <w:b w:val="0"/>
                <w:i w:val="0"/>
              </w:rPr>
              <w:t>□</w:t>
            </w:r>
          </w:p>
        </w:tc>
      </w:tr>
      <w:tr>
        <w:trPr>
          <w:cantSplit/>
        </w:trPr>
        <w:tc>
          <w:tcPr>
            <w:tcW w:type="dxa" w:w="624"/>
            <w:vAlign w:val="center"/>
            <w:shd w:fill="FFFFFF"/>
          </w:tcPr>
          <w:p>
            <w:pPr>
              <w:spacing w:after="40" w:line="276" w:lineRule="auto"/>
              <w:jc w:val="left"/>
            </w:pPr>
            <w:r>
              <w:rPr>
                <w:b w:val="0"/>
                <w:i w:val="0"/>
              </w:rPr>
              <w:t>5</w:t>
            </w:r>
          </w:p>
        </w:tc>
        <w:tc>
          <w:tcPr>
            <w:tcW w:type="dxa" w:w="2438"/>
            <w:vAlign w:val="center"/>
            <w:shd w:fill="FFFFFF"/>
          </w:tcPr>
          <w:p>
            <w:pPr>
              <w:spacing w:after="40" w:line="276" w:lineRule="auto"/>
              <w:jc w:val="left"/>
            </w:pPr>
            <w:r>
              <w:rPr>
                <w:b w:val="0"/>
                <w:i w:val="0"/>
              </w:rPr>
              <w:t>Gather stakeholder feedback (faculty, students, industry, community)</w:t>
            </w:r>
          </w:p>
        </w:tc>
        <w:tc>
          <w:tcPr>
            <w:tcW w:type="dxa" w:w="1814"/>
            <w:vAlign w:val="center"/>
            <w:shd w:fill="FFFFFF"/>
          </w:tcPr>
          <w:p>
            <w:pPr>
              <w:spacing w:after="40" w:line="276" w:lineRule="auto"/>
              <w:jc w:val="left"/>
            </w:pPr>
            <w:r>
              <w:rPr>
                <w:b w:val="0"/>
                <w:i w:val="0"/>
              </w:rPr>
              <w:t>PR Office + Student Affairs</w:t>
            </w:r>
          </w:p>
        </w:tc>
        <w:tc>
          <w:tcPr>
            <w:tcW w:type="dxa" w:w="2098"/>
            <w:vAlign w:val="center"/>
            <w:shd w:fill="FFFFFF"/>
          </w:tcPr>
          <w:p>
            <w:pPr>
              <w:spacing w:after="40" w:line="276" w:lineRule="auto"/>
              <w:jc w:val="left"/>
            </w:pPr>
            <w:r>
              <w:rPr>
                <w:b w:val="0"/>
                <w:i w:val="0"/>
              </w:rPr>
              <w:t>Surveys, town halls, focus groups</w:t>
            </w:r>
          </w:p>
        </w:tc>
        <w:tc>
          <w:tcPr>
            <w:tcW w:type="dxa" w:w="1757"/>
            <w:vAlign w:val="center"/>
            <w:shd w:fill="FFFFFF"/>
          </w:tcPr>
          <w:p>
            <w:pPr>
              <w:spacing w:after="40" w:line="276" w:lineRule="auto"/>
              <w:jc w:val="left"/>
            </w:pPr>
            <w:r>
              <w:rPr>
                <w:b w:val="0"/>
                <w:i w:val="0"/>
              </w:rPr>
              <w:t>Bi-annual</w:t>
            </w:r>
          </w:p>
        </w:tc>
        <w:tc>
          <w:tcPr>
            <w:tcW w:type="dxa" w:w="680"/>
            <w:vAlign w:val="center"/>
            <w:shd w:fill="FFFFFF"/>
          </w:tcPr>
          <w:p>
            <w:pPr>
              <w:spacing w:after="40" w:line="276" w:lineRule="auto"/>
              <w:jc w:val="left"/>
            </w:pPr>
            <w:r>
              <w:rPr>
                <w:b w:val="0"/>
                <w:i w:val="0"/>
              </w:rPr>
              <w:t>□</w:t>
            </w:r>
          </w:p>
        </w:tc>
      </w:tr>
      <w:tr>
        <w:trPr>
          <w:cantSplit/>
        </w:trPr>
        <w:tc>
          <w:tcPr>
            <w:tcW w:type="dxa" w:w="624"/>
            <w:vAlign w:val="center"/>
            <w:shd w:fill="EDF2F7"/>
          </w:tcPr>
          <w:p>
            <w:pPr>
              <w:spacing w:after="40" w:line="276" w:lineRule="auto"/>
              <w:jc w:val="left"/>
            </w:pPr>
            <w:r>
              <w:rPr>
                <w:b w:val="0"/>
                <w:i w:val="0"/>
              </w:rPr>
              <w:t>6</w:t>
            </w:r>
          </w:p>
        </w:tc>
        <w:tc>
          <w:tcPr>
            <w:tcW w:type="dxa" w:w="2438"/>
            <w:vAlign w:val="center"/>
            <w:shd w:fill="EDF2F7"/>
          </w:tcPr>
          <w:p>
            <w:pPr>
              <w:spacing w:after="40" w:line="276" w:lineRule="auto"/>
              <w:jc w:val="left"/>
            </w:pPr>
            <w:r>
              <w:rPr>
                <w:b w:val="0"/>
                <w:i w:val="0"/>
              </w:rPr>
              <w:t>Update risk registers &amp; monitor risk mitigation actions</w:t>
            </w:r>
          </w:p>
        </w:tc>
        <w:tc>
          <w:tcPr>
            <w:tcW w:type="dxa" w:w="1814"/>
            <w:vAlign w:val="center"/>
            <w:shd w:fill="EDF2F7"/>
          </w:tcPr>
          <w:p>
            <w:pPr>
              <w:spacing w:after="40" w:line="276" w:lineRule="auto"/>
              <w:jc w:val="left"/>
            </w:pPr>
            <w:r>
              <w:rPr>
                <w:b w:val="0"/>
                <w:i w:val="0"/>
              </w:rPr>
              <w:t>Risk Management Committee</w:t>
            </w:r>
          </w:p>
        </w:tc>
        <w:tc>
          <w:tcPr>
            <w:tcW w:type="dxa" w:w="2098"/>
            <w:vAlign w:val="center"/>
            <w:shd w:fill="EDF2F7"/>
          </w:tcPr>
          <w:p>
            <w:pPr>
              <w:spacing w:after="40" w:line="276" w:lineRule="auto"/>
              <w:jc w:val="left"/>
            </w:pPr>
            <w:r>
              <w:rPr>
                <w:b w:val="0"/>
                <w:i w:val="0"/>
              </w:rPr>
              <w:t>Risk register, forecasting tools</w:t>
            </w:r>
          </w:p>
        </w:tc>
        <w:tc>
          <w:tcPr>
            <w:tcW w:type="dxa" w:w="1757"/>
            <w:vAlign w:val="center"/>
            <w:shd w:fill="EDF2F7"/>
          </w:tcPr>
          <w:p>
            <w:pPr>
              <w:spacing w:after="40" w:line="276" w:lineRule="auto"/>
              <w:jc w:val="left"/>
            </w:pPr>
            <w:r>
              <w:rPr>
                <w:b w:val="0"/>
                <w:i w:val="0"/>
              </w:rPr>
              <w:t>Quarterly</w:t>
            </w:r>
          </w:p>
        </w:tc>
        <w:tc>
          <w:tcPr>
            <w:tcW w:type="dxa" w:w="680"/>
            <w:vAlign w:val="center"/>
            <w:shd w:fill="EDF2F7"/>
          </w:tcPr>
          <w:p>
            <w:pPr>
              <w:spacing w:after="40" w:line="276" w:lineRule="auto"/>
              <w:jc w:val="left"/>
            </w:pPr>
            <w:r>
              <w:rPr>
                <w:b w:val="0"/>
                <w:i w:val="0"/>
              </w:rPr>
              <w:t>□</w:t>
            </w:r>
          </w:p>
        </w:tc>
      </w:tr>
      <w:tr>
        <w:trPr>
          <w:cantSplit/>
        </w:trPr>
        <w:tc>
          <w:tcPr>
            <w:tcW w:type="dxa" w:w="624"/>
            <w:vAlign w:val="center"/>
            <w:shd w:fill="FFFFFF"/>
          </w:tcPr>
          <w:p>
            <w:pPr>
              <w:spacing w:after="40" w:line="276" w:lineRule="auto"/>
              <w:jc w:val="left"/>
            </w:pPr>
            <w:r>
              <w:rPr>
                <w:b w:val="0"/>
                <w:i w:val="0"/>
              </w:rPr>
              <w:t>7</w:t>
            </w:r>
          </w:p>
        </w:tc>
        <w:tc>
          <w:tcPr>
            <w:tcW w:type="dxa" w:w="2438"/>
            <w:vAlign w:val="center"/>
            <w:shd w:fill="FFFFFF"/>
          </w:tcPr>
          <w:p>
            <w:pPr>
              <w:spacing w:after="40" w:line="276" w:lineRule="auto"/>
              <w:jc w:val="left"/>
            </w:pPr>
            <w:r>
              <w:rPr>
                <w:b w:val="0"/>
                <w:i w:val="0"/>
              </w:rPr>
              <w:t>Apply corrective actions for underperforming KPIs</w:t>
            </w:r>
          </w:p>
        </w:tc>
        <w:tc>
          <w:tcPr>
            <w:tcW w:type="dxa" w:w="1814"/>
            <w:vAlign w:val="center"/>
            <w:shd w:fill="FFFFFF"/>
          </w:tcPr>
          <w:p>
            <w:pPr>
              <w:spacing w:after="40" w:line="276" w:lineRule="auto"/>
              <w:jc w:val="left"/>
            </w:pPr>
            <w:r>
              <w:rPr>
                <w:b w:val="0"/>
                <w:i w:val="0"/>
              </w:rPr>
              <w:t>IQAC + Steering Committee</w:t>
            </w:r>
          </w:p>
        </w:tc>
        <w:tc>
          <w:tcPr>
            <w:tcW w:type="dxa" w:w="2098"/>
            <w:vAlign w:val="center"/>
            <w:shd w:fill="FFFFFF"/>
          </w:tcPr>
          <w:p>
            <w:pPr>
              <w:spacing w:after="40" w:line="276" w:lineRule="auto"/>
              <w:jc w:val="left"/>
            </w:pPr>
            <w:r>
              <w:rPr>
                <w:b w:val="0"/>
                <w:i w:val="0"/>
              </w:rPr>
              <w:t>Performance variance reports, resource reallocation plans</w:t>
            </w:r>
          </w:p>
        </w:tc>
        <w:tc>
          <w:tcPr>
            <w:tcW w:type="dxa" w:w="1757"/>
            <w:vAlign w:val="center"/>
            <w:shd w:fill="FFFFFF"/>
          </w:tcPr>
          <w:p>
            <w:pPr>
              <w:spacing w:after="40" w:line="276" w:lineRule="auto"/>
              <w:jc w:val="left"/>
            </w:pPr>
            <w:r>
              <w:rPr>
                <w:b w:val="0"/>
                <w:i w:val="0"/>
              </w:rPr>
              <w:t>As needed</w:t>
            </w:r>
          </w:p>
        </w:tc>
        <w:tc>
          <w:tcPr>
            <w:tcW w:type="dxa" w:w="680"/>
            <w:vAlign w:val="center"/>
            <w:shd w:fill="FFFFFF"/>
          </w:tcPr>
          <w:p>
            <w:pPr>
              <w:spacing w:after="40" w:line="276" w:lineRule="auto"/>
              <w:jc w:val="left"/>
            </w:pPr>
            <w:r>
              <w:rPr>
                <w:b w:val="0"/>
                <w:i w:val="0"/>
              </w:rPr>
              <w:t>□</w:t>
            </w:r>
          </w:p>
        </w:tc>
      </w:tr>
      <w:tr>
        <w:trPr>
          <w:cantSplit/>
        </w:trPr>
        <w:tc>
          <w:tcPr>
            <w:tcW w:type="dxa" w:w="624"/>
            <w:vAlign w:val="center"/>
            <w:shd w:fill="EDF2F7"/>
          </w:tcPr>
          <w:p>
            <w:pPr>
              <w:spacing w:after="40" w:line="276" w:lineRule="auto"/>
              <w:jc w:val="left"/>
            </w:pPr>
            <w:r>
              <w:rPr>
                <w:b w:val="0"/>
                <w:i w:val="0"/>
              </w:rPr>
              <w:t>8</w:t>
            </w:r>
          </w:p>
        </w:tc>
        <w:tc>
          <w:tcPr>
            <w:tcW w:type="dxa" w:w="2438"/>
            <w:vAlign w:val="center"/>
            <w:shd w:fill="EDF2F7"/>
          </w:tcPr>
          <w:p>
            <w:pPr>
              <w:spacing w:after="40" w:line="276" w:lineRule="auto"/>
              <w:jc w:val="left"/>
            </w:pPr>
            <w:r>
              <w:rPr>
                <w:b w:val="0"/>
                <w:i w:val="0"/>
              </w:rPr>
              <w:t>Document best practices &amp; lessons learned</w:t>
            </w:r>
          </w:p>
        </w:tc>
        <w:tc>
          <w:tcPr>
            <w:tcW w:type="dxa" w:w="1814"/>
            <w:vAlign w:val="center"/>
            <w:shd w:fill="EDF2F7"/>
          </w:tcPr>
          <w:p>
            <w:pPr>
              <w:spacing w:after="40" w:line="276" w:lineRule="auto"/>
              <w:jc w:val="left"/>
            </w:pPr>
            <w:r>
              <w:rPr>
                <w:b w:val="0"/>
                <w:i w:val="0"/>
              </w:rPr>
              <w:t>IQAC + Department Heads</w:t>
            </w:r>
          </w:p>
        </w:tc>
        <w:tc>
          <w:tcPr>
            <w:tcW w:type="dxa" w:w="2098"/>
            <w:vAlign w:val="center"/>
            <w:shd w:fill="EDF2F7"/>
          </w:tcPr>
          <w:p>
            <w:pPr>
              <w:spacing w:after="40" w:line="276" w:lineRule="auto"/>
              <w:jc w:val="left"/>
            </w:pPr>
            <w:r>
              <w:rPr>
                <w:b w:val="0"/>
                <w:i w:val="0"/>
              </w:rPr>
              <w:t>Case studies, institutional repository</w:t>
            </w:r>
          </w:p>
        </w:tc>
        <w:tc>
          <w:tcPr>
            <w:tcW w:type="dxa" w:w="1757"/>
            <w:vAlign w:val="center"/>
            <w:shd w:fill="EDF2F7"/>
          </w:tcPr>
          <w:p>
            <w:pPr>
              <w:spacing w:after="40" w:line="276" w:lineRule="auto"/>
              <w:jc w:val="left"/>
            </w:pPr>
            <w:r>
              <w:rPr>
                <w:b w:val="0"/>
                <w:i w:val="0"/>
              </w:rPr>
              <w:t>Annually</w:t>
            </w:r>
          </w:p>
        </w:tc>
        <w:tc>
          <w:tcPr>
            <w:tcW w:type="dxa" w:w="680"/>
            <w:vAlign w:val="center"/>
            <w:shd w:fill="EDF2F7"/>
          </w:tcPr>
          <w:p>
            <w:pPr>
              <w:spacing w:after="40" w:line="276" w:lineRule="auto"/>
              <w:jc w:val="left"/>
            </w:pPr>
            <w:r>
              <w:rPr>
                <w:b w:val="0"/>
                <w:i w:val="0"/>
              </w:rPr>
              <w:t>□</w:t>
            </w:r>
          </w:p>
        </w:tc>
      </w:tr>
      <w:tr>
        <w:trPr>
          <w:cantSplit/>
        </w:trPr>
        <w:tc>
          <w:tcPr>
            <w:tcW w:type="dxa" w:w="624"/>
            <w:vAlign w:val="center"/>
            <w:shd w:fill="FFFFFF"/>
          </w:tcPr>
          <w:p>
            <w:pPr>
              <w:spacing w:after="40" w:line="276" w:lineRule="auto"/>
              <w:jc w:val="left"/>
            </w:pPr>
            <w:r>
              <w:rPr>
                <w:b w:val="0"/>
                <w:i w:val="0"/>
              </w:rPr>
              <w:t>9</w:t>
            </w:r>
          </w:p>
        </w:tc>
        <w:tc>
          <w:tcPr>
            <w:tcW w:type="dxa" w:w="2438"/>
            <w:vAlign w:val="center"/>
            <w:shd w:fill="FFFFFF"/>
          </w:tcPr>
          <w:p>
            <w:pPr>
              <w:spacing w:after="40" w:line="276" w:lineRule="auto"/>
              <w:jc w:val="left"/>
            </w:pPr>
            <w:r>
              <w:rPr>
                <w:b w:val="0"/>
                <w:i w:val="0"/>
              </w:rPr>
              <w:t>Publish annual progress and sustainability reports</w:t>
            </w:r>
          </w:p>
        </w:tc>
        <w:tc>
          <w:tcPr>
            <w:tcW w:type="dxa" w:w="1814"/>
            <w:vAlign w:val="center"/>
            <w:shd w:fill="FFFFFF"/>
          </w:tcPr>
          <w:p>
            <w:pPr>
              <w:spacing w:after="40" w:line="276" w:lineRule="auto"/>
              <w:jc w:val="left"/>
            </w:pPr>
            <w:r>
              <w:rPr>
                <w:b w:val="0"/>
                <w:i w:val="0"/>
              </w:rPr>
              <w:t>PR Office + Governing Body</w:t>
            </w:r>
          </w:p>
        </w:tc>
        <w:tc>
          <w:tcPr>
            <w:tcW w:type="dxa" w:w="2098"/>
            <w:vAlign w:val="center"/>
            <w:shd w:fill="FFFFFF"/>
          </w:tcPr>
          <w:p>
            <w:pPr>
              <w:spacing w:after="40" w:line="276" w:lineRule="auto"/>
              <w:jc w:val="left"/>
            </w:pPr>
            <w:r>
              <w:rPr>
                <w:b w:val="0"/>
                <w:i w:val="0"/>
              </w:rPr>
              <w:t>Digital/​print reports, SDG alignment tracker</w:t>
            </w:r>
          </w:p>
        </w:tc>
        <w:tc>
          <w:tcPr>
            <w:tcW w:type="dxa" w:w="1757"/>
            <w:vAlign w:val="center"/>
            <w:shd w:fill="FFFFFF"/>
          </w:tcPr>
          <w:p>
            <w:pPr>
              <w:spacing w:after="40" w:line="276" w:lineRule="auto"/>
              <w:jc w:val="left"/>
            </w:pPr>
            <w:r>
              <w:rPr>
                <w:b w:val="0"/>
                <w:i w:val="0"/>
              </w:rPr>
              <w:t>Annually</w:t>
            </w:r>
          </w:p>
        </w:tc>
        <w:tc>
          <w:tcPr>
            <w:tcW w:type="dxa" w:w="680"/>
            <w:vAlign w:val="center"/>
            <w:shd w:fill="FFFFFF"/>
          </w:tcPr>
          <w:p>
            <w:pPr>
              <w:spacing w:after="40" w:line="276" w:lineRule="auto"/>
              <w:jc w:val="left"/>
            </w:pPr>
            <w:r>
              <w:rPr>
                <w:b w:val="0"/>
                <w:i w:val="0"/>
              </w:rPr>
              <w:t>□</w:t>
            </w:r>
          </w:p>
        </w:tc>
      </w:tr>
      <w:tr>
        <w:trPr>
          <w:cantSplit/>
        </w:trPr>
        <w:tc>
          <w:tcPr>
            <w:tcW w:type="dxa" w:w="624"/>
            <w:vAlign w:val="center"/>
            <w:shd w:fill="EDF2F7"/>
          </w:tcPr>
          <w:p>
            <w:pPr>
              <w:spacing w:after="40" w:line="276" w:lineRule="auto"/>
              <w:jc w:val="left"/>
            </w:pPr>
            <w:r>
              <w:rPr>
                <w:b w:val="0"/>
                <w:i w:val="0"/>
              </w:rPr>
              <w:t>10</w:t>
            </w:r>
          </w:p>
        </w:tc>
        <w:tc>
          <w:tcPr>
            <w:tcW w:type="dxa" w:w="2438"/>
            <w:vAlign w:val="center"/>
            <w:shd w:fill="EDF2F7"/>
          </w:tcPr>
          <w:p>
            <w:pPr>
              <w:spacing w:after="40" w:line="276" w:lineRule="auto"/>
              <w:jc w:val="left"/>
            </w:pPr>
            <w:r>
              <w:rPr>
                <w:b w:val="0"/>
                <w:i w:val="0"/>
              </w:rPr>
              <w:t>Communicate outcomes to external stakeholders (govt., industry, community)</w:t>
            </w:r>
          </w:p>
        </w:tc>
        <w:tc>
          <w:tcPr>
            <w:tcW w:type="dxa" w:w="1814"/>
            <w:vAlign w:val="center"/>
            <w:shd w:fill="EDF2F7"/>
          </w:tcPr>
          <w:p>
            <w:pPr>
              <w:spacing w:after="40" w:line="276" w:lineRule="auto"/>
              <w:jc w:val="left"/>
            </w:pPr>
            <w:r>
              <w:rPr>
                <w:b w:val="0"/>
                <w:i w:val="0"/>
              </w:rPr>
              <w:t>Leadership + PR Office</w:t>
            </w:r>
          </w:p>
        </w:tc>
        <w:tc>
          <w:tcPr>
            <w:tcW w:type="dxa" w:w="2098"/>
            <w:vAlign w:val="center"/>
            <w:shd w:fill="EDF2F7"/>
          </w:tcPr>
          <w:p>
            <w:pPr>
              <w:spacing w:after="40" w:line="276" w:lineRule="auto"/>
              <w:jc w:val="left"/>
            </w:pPr>
            <w:r>
              <w:rPr>
                <w:b w:val="0"/>
                <w:i w:val="0"/>
              </w:rPr>
              <w:t>Websites, newsletters, media briefs</w:t>
            </w:r>
          </w:p>
        </w:tc>
        <w:tc>
          <w:tcPr>
            <w:tcW w:type="dxa" w:w="1757"/>
            <w:vAlign w:val="center"/>
            <w:shd w:fill="EDF2F7"/>
          </w:tcPr>
          <w:p>
            <w:pPr>
              <w:spacing w:after="40" w:line="276" w:lineRule="auto"/>
              <w:jc w:val="left"/>
            </w:pPr>
            <w:r>
              <w:rPr>
                <w:b w:val="0"/>
                <w:i w:val="0"/>
              </w:rPr>
              <w:t>Annually/​Ongoing</w:t>
            </w:r>
          </w:p>
        </w:tc>
        <w:tc>
          <w:tcPr>
            <w:tcW w:type="dxa" w:w="680"/>
            <w:vAlign w:val="center"/>
            <w:shd w:fill="EDF2F7"/>
          </w:tcPr>
          <w:p>
            <w:pPr>
              <w:spacing w:after="40" w:line="276" w:lineRule="auto"/>
              <w:jc w:val="left"/>
            </w:pPr>
            <w:r>
              <w:rPr>
                <w:b w:val="0"/>
                <w:i w:val="0"/>
              </w:rPr>
              <w:t>□</w:t>
            </w:r>
          </w:p>
        </w:tc>
      </w:tr>
    </w:tbl>
    <w:p>
      <w:pPr>
        <w:spacing w:after="40"/>
      </w:pPr>
    </w:p>
    <w:p>
      <w:pPr>
        <w:pStyle w:val="Heading2"/>
      </w:pPr>
      <w:r>
        <w:t>Phase 5: Monitoring &amp; Control – RACI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757"/>
        <w:gridCol w:w="1928"/>
        <w:gridCol w:w="1928"/>
        <w:gridCol w:w="1871"/>
        <w:gridCol w:w="1928"/>
      </w:tblGrid>
      <w:tr>
        <w:trPr>
          <w:tblHeader/>
          <w:cantSplit/>
        </w:trPr>
        <w:tc>
          <w:tcPr>
            <w:tcW w:type="dxa" w:w="1757"/>
            <w:vAlign w:val="center"/>
            <w:shd w:fill="1F3A5F"/>
          </w:tcPr>
          <w:p>
            <w:pPr>
              <w:keepNext/>
              <w:spacing w:after="40" w:line="276" w:lineRule="auto"/>
              <w:jc w:val="left"/>
            </w:pPr>
            <w:r>
              <w:rPr>
                <w:b/>
                <w:i w:val="0"/>
                <w:color w:val="FFFFFF"/>
              </w:rPr>
              <w:t>Task / Activity</w:t>
            </w:r>
          </w:p>
        </w:tc>
        <w:tc>
          <w:tcPr>
            <w:tcW w:type="dxa" w:w="1928"/>
            <w:vAlign w:val="center"/>
            <w:shd w:fill="1F3A5F"/>
          </w:tcPr>
          <w:p>
            <w:pPr>
              <w:keepNext/>
              <w:spacing w:after="40" w:line="276" w:lineRule="auto"/>
              <w:jc w:val="left"/>
            </w:pPr>
            <w:r>
              <w:rPr>
                <w:b/>
                <w:i w:val="0"/>
                <w:color w:val="FFFFFF"/>
              </w:rPr>
              <w:t>Responsible (R)</w:t>
            </w:r>
          </w:p>
        </w:tc>
        <w:tc>
          <w:tcPr>
            <w:tcW w:type="dxa" w:w="1928"/>
            <w:vAlign w:val="center"/>
            <w:shd w:fill="1F3A5F"/>
          </w:tcPr>
          <w:p>
            <w:pPr>
              <w:keepNext/>
              <w:spacing w:after="40" w:line="276" w:lineRule="auto"/>
              <w:jc w:val="left"/>
            </w:pPr>
            <w:r>
              <w:rPr>
                <w:b/>
                <w:i w:val="0"/>
                <w:color w:val="FFFFFF"/>
              </w:rPr>
              <w:t>Accountable (A)</w:t>
            </w:r>
          </w:p>
        </w:tc>
        <w:tc>
          <w:tcPr>
            <w:tcW w:type="dxa" w:w="1871"/>
            <w:vAlign w:val="center"/>
            <w:shd w:fill="1F3A5F"/>
          </w:tcPr>
          <w:p>
            <w:pPr>
              <w:keepNext/>
              <w:spacing w:after="40" w:line="276" w:lineRule="auto"/>
              <w:jc w:val="left"/>
            </w:pPr>
            <w:r>
              <w:rPr>
                <w:b/>
                <w:i w:val="0"/>
                <w:color w:val="FFFFFF"/>
              </w:rPr>
              <w:t>Consulted (C)</w:t>
            </w:r>
          </w:p>
        </w:tc>
        <w:tc>
          <w:tcPr>
            <w:tcW w:type="dxa" w:w="1928"/>
            <w:vAlign w:val="center"/>
            <w:shd w:fill="1F3A5F"/>
          </w:tcPr>
          <w:p>
            <w:pPr>
              <w:keepNext/>
              <w:spacing w:after="40" w:line="276" w:lineRule="auto"/>
              <w:jc w:val="left"/>
            </w:pPr>
            <w:r>
              <w:rPr>
                <w:b/>
                <w:i w:val="0"/>
                <w:color w:val="FFFFFF"/>
              </w:rPr>
              <w:t>Informed (I)</w:t>
            </w:r>
          </w:p>
        </w:tc>
      </w:tr>
      <w:tr>
        <w:trPr>
          <w:cantSplit/>
        </w:trPr>
        <w:tc>
          <w:tcPr>
            <w:tcW w:type="dxa" w:w="1757"/>
            <w:vAlign w:val="center"/>
            <w:shd w:fill="FFFFFF"/>
          </w:tcPr>
          <w:p>
            <w:pPr>
              <w:spacing w:after="40" w:line="276" w:lineRule="auto"/>
              <w:jc w:val="left"/>
            </w:pPr>
            <w:r>
              <w:rPr>
                <w:b w:val="0"/>
                <w:i w:val="0"/>
              </w:rPr>
              <w:t>Track performance against KPIs</w:t>
            </w:r>
          </w:p>
        </w:tc>
        <w:tc>
          <w:tcPr>
            <w:tcW w:type="dxa" w:w="1928"/>
            <w:vAlign w:val="center"/>
            <w:shd w:fill="FFFFFF"/>
          </w:tcPr>
          <w:p>
            <w:pPr>
              <w:spacing w:after="40" w:line="276" w:lineRule="auto"/>
              <w:jc w:val="left"/>
            </w:pPr>
            <w:r>
              <w:rPr>
                <w:b w:val="0"/>
                <w:i w:val="0"/>
              </w:rPr>
              <w:t>IQAC, Institutional Research Office</w:t>
            </w:r>
          </w:p>
        </w:tc>
        <w:tc>
          <w:tcPr>
            <w:tcW w:type="dxa" w:w="1928"/>
            <w:vAlign w:val="center"/>
            <w:shd w:fill="FFFFFF"/>
          </w:tcPr>
          <w:p>
            <w:pPr>
              <w:spacing w:after="40" w:line="276" w:lineRule="auto"/>
              <w:jc w:val="left"/>
            </w:pPr>
            <w:r>
              <w:rPr>
                <w:b w:val="0"/>
                <w:i w:val="0"/>
              </w:rPr>
              <w:t>Vice-Chancellor (vc)</w:t>
            </w:r>
          </w:p>
        </w:tc>
        <w:tc>
          <w:tcPr>
            <w:tcW w:type="dxa" w:w="1871"/>
            <w:vAlign w:val="center"/>
            <w:shd w:fill="FFFFFF"/>
          </w:tcPr>
          <w:p>
            <w:pPr>
              <w:spacing w:after="40" w:line="276" w:lineRule="auto"/>
              <w:jc w:val="left"/>
            </w:pPr>
            <w:r>
              <w:rPr>
                <w:b w:val="0"/>
                <w:i w:val="0"/>
              </w:rPr>
              <w:t>Deans, Department Heads</w:t>
            </w:r>
          </w:p>
        </w:tc>
        <w:tc>
          <w:tcPr>
            <w:tcW w:type="dxa" w:w="1928"/>
            <w:vAlign w:val="center"/>
            <w:shd w:fill="FFFFFF"/>
          </w:tcPr>
          <w:p>
            <w:pPr>
              <w:spacing w:after="40" w:line="276" w:lineRule="auto"/>
              <w:jc w:val="left"/>
            </w:pPr>
            <w:r>
              <w:rPr>
                <w:b w:val="0"/>
                <w:i w:val="0"/>
              </w:rPr>
              <w:t>Governing Body, Faculty</w:t>
            </w:r>
          </w:p>
        </w:tc>
      </w:tr>
      <w:tr>
        <w:trPr>
          <w:cantSplit/>
        </w:trPr>
        <w:tc>
          <w:tcPr>
            <w:tcW w:type="dxa" w:w="1757"/>
            <w:vAlign w:val="center"/>
            <w:shd w:fill="EDF2F7"/>
          </w:tcPr>
          <w:p>
            <w:pPr>
              <w:spacing w:after="40" w:line="276" w:lineRule="auto"/>
              <w:jc w:val="left"/>
            </w:pPr>
            <w:r>
              <w:rPr>
                <w:b w:val="0"/>
                <w:i w:val="0"/>
              </w:rPr>
              <w:t>Conduct periodic progress reviews</w:t>
            </w:r>
          </w:p>
        </w:tc>
        <w:tc>
          <w:tcPr>
            <w:tcW w:type="dxa" w:w="1928"/>
            <w:vAlign w:val="center"/>
            <w:shd w:fill="EDF2F7"/>
          </w:tcPr>
          <w:p>
            <w:pPr>
              <w:spacing w:after="40" w:line="276" w:lineRule="auto"/>
              <w:jc w:val="left"/>
            </w:pPr>
            <w:r>
              <w:rPr>
                <w:b w:val="0"/>
                <w:i w:val="0"/>
              </w:rPr>
              <w:t>Deans, Project Leads</w:t>
            </w:r>
          </w:p>
        </w:tc>
        <w:tc>
          <w:tcPr>
            <w:tcW w:type="dxa" w:w="1928"/>
            <w:vAlign w:val="center"/>
            <w:shd w:fill="EDF2F7"/>
          </w:tcPr>
          <w:p>
            <w:pPr>
              <w:spacing w:after="40" w:line="276" w:lineRule="auto"/>
              <w:jc w:val="left"/>
            </w:pPr>
            <w:r>
              <w:rPr>
                <w:b w:val="0"/>
                <w:i w:val="0"/>
              </w:rPr>
              <w:t>Registrar</w:t>
            </w:r>
          </w:p>
        </w:tc>
        <w:tc>
          <w:tcPr>
            <w:tcW w:type="dxa" w:w="1871"/>
            <w:vAlign w:val="center"/>
            <w:shd w:fill="EDF2F7"/>
          </w:tcPr>
          <w:p>
            <w:pPr>
              <w:spacing w:after="40" w:line="276" w:lineRule="auto"/>
              <w:jc w:val="left"/>
            </w:pPr>
            <w:r>
              <w:rPr>
                <w:b w:val="0"/>
                <w:i w:val="0"/>
              </w:rPr>
              <w:t>IQAC, Steering Committee</w:t>
            </w:r>
          </w:p>
        </w:tc>
        <w:tc>
          <w:tcPr>
            <w:tcW w:type="dxa" w:w="1928"/>
            <w:vAlign w:val="center"/>
            <w:shd w:fill="EDF2F7"/>
          </w:tcPr>
          <w:p>
            <w:pPr>
              <w:spacing w:after="40" w:line="276" w:lineRule="auto"/>
              <w:jc w:val="left"/>
            </w:pPr>
            <w:r>
              <w:rPr>
                <w:b w:val="0"/>
                <w:i w:val="0"/>
              </w:rPr>
              <w:t>Governing Body, Students</w:t>
            </w:r>
          </w:p>
        </w:tc>
      </w:tr>
      <w:tr>
        <w:trPr>
          <w:cantSplit/>
        </w:trPr>
        <w:tc>
          <w:tcPr>
            <w:tcW w:type="dxa" w:w="1757"/>
            <w:vAlign w:val="center"/>
            <w:shd w:fill="FFFFFF"/>
          </w:tcPr>
          <w:p>
            <w:pPr>
              <w:spacing w:after="40" w:line="276" w:lineRule="auto"/>
              <w:jc w:val="left"/>
            </w:pPr>
            <w:r>
              <w:rPr>
                <w:b w:val="0"/>
                <w:i w:val="0"/>
              </w:rPr>
              <w:t>Submit consolidated progress reports</w:t>
            </w:r>
          </w:p>
        </w:tc>
        <w:tc>
          <w:tcPr>
            <w:tcW w:type="dxa" w:w="1928"/>
            <w:vAlign w:val="center"/>
            <w:shd w:fill="FFFFFF"/>
          </w:tcPr>
          <w:p>
            <w:pPr>
              <w:spacing w:after="40" w:line="276" w:lineRule="auto"/>
              <w:jc w:val="left"/>
            </w:pPr>
            <w:r>
              <w:rPr>
                <w:b w:val="0"/>
                <w:i w:val="0"/>
              </w:rPr>
              <w:t>IQAC, Registrar</w:t>
            </w:r>
          </w:p>
        </w:tc>
        <w:tc>
          <w:tcPr>
            <w:tcW w:type="dxa" w:w="1928"/>
            <w:vAlign w:val="center"/>
            <w:shd w:fill="FFFFFF"/>
          </w:tcPr>
          <w:p>
            <w:pPr>
              <w:spacing w:after="40" w:line="276" w:lineRule="auto"/>
              <w:jc w:val="left"/>
            </w:pPr>
            <w:r>
              <w:rPr>
                <w:b w:val="0"/>
                <w:i w:val="0"/>
              </w:rPr>
              <w:t>vc</w:t>
            </w:r>
          </w:p>
        </w:tc>
        <w:tc>
          <w:tcPr>
            <w:tcW w:type="dxa" w:w="1871"/>
            <w:vAlign w:val="center"/>
            <w:shd w:fill="FFFFFF"/>
          </w:tcPr>
          <w:p>
            <w:pPr>
              <w:spacing w:after="40" w:line="276" w:lineRule="auto"/>
              <w:jc w:val="left"/>
            </w:pPr>
            <w:r>
              <w:rPr>
                <w:b w:val="0"/>
                <w:i w:val="0"/>
              </w:rPr>
              <w:t>Deans, Accreditation Cell</w:t>
            </w:r>
          </w:p>
        </w:tc>
        <w:tc>
          <w:tcPr>
            <w:tcW w:type="dxa" w:w="1928"/>
            <w:vAlign w:val="center"/>
            <w:shd w:fill="FFFFFF"/>
          </w:tcPr>
          <w:p>
            <w:pPr>
              <w:spacing w:after="40" w:line="276" w:lineRule="auto"/>
              <w:jc w:val="left"/>
            </w:pPr>
            <w:r>
              <w:rPr>
                <w:b w:val="0"/>
                <w:i w:val="0"/>
              </w:rPr>
              <w:t>Governing Body, External Stakeholders</w:t>
            </w:r>
          </w:p>
        </w:tc>
      </w:tr>
      <w:tr>
        <w:trPr>
          <w:cantSplit/>
        </w:trPr>
        <w:tc>
          <w:tcPr>
            <w:tcW w:type="dxa" w:w="1757"/>
            <w:vAlign w:val="center"/>
            <w:shd w:fill="EDF2F7"/>
          </w:tcPr>
          <w:p>
            <w:pPr>
              <w:spacing w:after="40" w:line="276" w:lineRule="auto"/>
              <w:jc w:val="left"/>
            </w:pPr>
            <w:r>
              <w:rPr>
                <w:b w:val="0"/>
                <w:i w:val="0"/>
              </w:rPr>
              <w:t>Ensure accreditation compliance (NAAC, NBA, NIRF, QS)</w:t>
            </w:r>
          </w:p>
        </w:tc>
        <w:tc>
          <w:tcPr>
            <w:tcW w:type="dxa" w:w="1928"/>
            <w:vAlign w:val="center"/>
            <w:shd w:fill="EDF2F7"/>
          </w:tcPr>
          <w:p>
            <w:pPr>
              <w:spacing w:after="40" w:line="276" w:lineRule="auto"/>
              <w:jc w:val="left"/>
            </w:pPr>
            <w:r>
              <w:rPr>
                <w:b w:val="0"/>
                <w:i w:val="0"/>
              </w:rPr>
              <w:t>Accreditation cell, IQAC</w:t>
            </w:r>
          </w:p>
        </w:tc>
        <w:tc>
          <w:tcPr>
            <w:tcW w:type="dxa" w:w="1928"/>
            <w:vAlign w:val="center"/>
            <w:shd w:fill="EDF2F7"/>
          </w:tcPr>
          <w:p>
            <w:pPr>
              <w:spacing w:after="40" w:line="276" w:lineRule="auto"/>
              <w:jc w:val="left"/>
            </w:pPr>
            <w:r>
              <w:rPr>
                <w:b w:val="0"/>
                <w:i w:val="0"/>
              </w:rPr>
              <w:t>vc + Governing Body</w:t>
            </w:r>
          </w:p>
        </w:tc>
        <w:tc>
          <w:tcPr>
            <w:tcW w:type="dxa" w:w="1871"/>
            <w:vAlign w:val="center"/>
            <w:shd w:fill="EDF2F7"/>
          </w:tcPr>
          <w:p>
            <w:pPr>
              <w:spacing w:after="40" w:line="276" w:lineRule="auto"/>
              <w:jc w:val="left"/>
            </w:pPr>
            <w:r>
              <w:rPr>
                <w:b w:val="0"/>
                <w:i w:val="0"/>
              </w:rPr>
              <w:t>External Auditors, Deans</w:t>
            </w:r>
          </w:p>
        </w:tc>
        <w:tc>
          <w:tcPr>
            <w:tcW w:type="dxa" w:w="1928"/>
            <w:vAlign w:val="center"/>
            <w:shd w:fill="EDF2F7"/>
          </w:tcPr>
          <w:p>
            <w:pPr>
              <w:spacing w:after="40" w:line="276" w:lineRule="auto"/>
              <w:jc w:val="left"/>
            </w:pPr>
            <w:r>
              <w:rPr>
                <w:b w:val="0"/>
                <w:i w:val="0"/>
              </w:rPr>
              <w:t>Faculty, Students</w:t>
            </w:r>
          </w:p>
        </w:tc>
      </w:tr>
      <w:tr>
        <w:trPr>
          <w:cantSplit/>
        </w:trPr>
        <w:tc>
          <w:tcPr>
            <w:tcW w:type="dxa" w:w="1757"/>
            <w:vAlign w:val="center"/>
            <w:shd w:fill="FFFFFF"/>
          </w:tcPr>
          <w:p>
            <w:pPr>
              <w:spacing w:after="40" w:line="276" w:lineRule="auto"/>
              <w:jc w:val="left"/>
            </w:pPr>
            <w:r>
              <w:rPr>
                <w:b w:val="0"/>
                <w:i w:val="0"/>
              </w:rPr>
              <w:t>Gather stakeholder feedback</w:t>
            </w:r>
          </w:p>
        </w:tc>
        <w:tc>
          <w:tcPr>
            <w:tcW w:type="dxa" w:w="1928"/>
            <w:vAlign w:val="center"/>
            <w:shd w:fill="FFFFFF"/>
          </w:tcPr>
          <w:p>
            <w:pPr>
              <w:spacing w:after="40" w:line="276" w:lineRule="auto"/>
              <w:jc w:val="left"/>
            </w:pPr>
            <w:r>
              <w:rPr>
                <w:b w:val="0"/>
                <w:i w:val="0"/>
              </w:rPr>
              <w:t>PR Office, Student Affairs Office</w:t>
            </w:r>
          </w:p>
        </w:tc>
        <w:tc>
          <w:tcPr>
            <w:tcW w:type="dxa" w:w="1928"/>
            <w:vAlign w:val="center"/>
            <w:shd w:fill="FFFFFF"/>
          </w:tcPr>
          <w:p>
            <w:pPr>
              <w:spacing w:after="40" w:line="276" w:lineRule="auto"/>
              <w:jc w:val="left"/>
            </w:pPr>
            <w:r>
              <w:rPr>
                <w:b w:val="0"/>
                <w:i w:val="0"/>
              </w:rPr>
              <w:t>Registrar</w:t>
            </w:r>
          </w:p>
        </w:tc>
        <w:tc>
          <w:tcPr>
            <w:tcW w:type="dxa" w:w="1871"/>
            <w:vAlign w:val="center"/>
            <w:shd w:fill="FFFFFF"/>
          </w:tcPr>
          <w:p>
            <w:pPr>
              <w:spacing w:after="40" w:line="276" w:lineRule="auto"/>
              <w:jc w:val="left"/>
            </w:pPr>
            <w:r>
              <w:rPr>
                <w:b w:val="0"/>
                <w:i w:val="0"/>
              </w:rPr>
              <w:t>Student Council, Alumni Office, Industry Partners</w:t>
            </w:r>
          </w:p>
        </w:tc>
        <w:tc>
          <w:tcPr>
            <w:tcW w:type="dxa" w:w="1928"/>
            <w:vAlign w:val="center"/>
            <w:shd w:fill="FFFFFF"/>
          </w:tcPr>
          <w:p>
            <w:pPr>
              <w:spacing w:after="40" w:line="276" w:lineRule="auto"/>
              <w:jc w:val="left"/>
            </w:pPr>
            <w:r>
              <w:rPr>
                <w:b w:val="0"/>
                <w:i w:val="0"/>
              </w:rPr>
              <w:t>Students, Community</w:t>
            </w:r>
          </w:p>
        </w:tc>
      </w:tr>
      <w:tr>
        <w:trPr>
          <w:cantSplit/>
        </w:trPr>
        <w:tc>
          <w:tcPr>
            <w:tcW w:type="dxa" w:w="1757"/>
            <w:vAlign w:val="center"/>
            <w:shd w:fill="EDF2F7"/>
          </w:tcPr>
          <w:p>
            <w:pPr>
              <w:spacing w:after="40" w:line="276" w:lineRule="auto"/>
              <w:jc w:val="left"/>
            </w:pPr>
            <w:r>
              <w:rPr>
                <w:b w:val="0"/>
                <w:i w:val="0"/>
              </w:rPr>
              <w:t>Update risk registers &amp; mitigation actions</w:t>
            </w:r>
          </w:p>
        </w:tc>
        <w:tc>
          <w:tcPr>
            <w:tcW w:type="dxa" w:w="1928"/>
            <w:vAlign w:val="center"/>
            <w:shd w:fill="EDF2F7"/>
          </w:tcPr>
          <w:p>
            <w:pPr>
              <w:spacing w:after="40" w:line="276" w:lineRule="auto"/>
              <w:jc w:val="left"/>
            </w:pPr>
            <w:r>
              <w:rPr>
                <w:b w:val="0"/>
                <w:i w:val="0"/>
              </w:rPr>
              <w:t>Risk Management Committee</w:t>
            </w:r>
          </w:p>
        </w:tc>
        <w:tc>
          <w:tcPr>
            <w:tcW w:type="dxa" w:w="1928"/>
            <w:vAlign w:val="center"/>
            <w:shd w:fill="EDF2F7"/>
          </w:tcPr>
          <w:p>
            <w:pPr>
              <w:spacing w:after="40" w:line="276" w:lineRule="auto"/>
              <w:jc w:val="left"/>
            </w:pPr>
            <w:r>
              <w:rPr>
                <w:b w:val="0"/>
                <w:i w:val="0"/>
              </w:rPr>
              <w:t>vc</w:t>
            </w:r>
          </w:p>
        </w:tc>
        <w:tc>
          <w:tcPr>
            <w:tcW w:type="dxa" w:w="1871"/>
            <w:vAlign w:val="center"/>
            <w:shd w:fill="EDF2F7"/>
          </w:tcPr>
          <w:p>
            <w:pPr>
              <w:spacing w:after="40" w:line="276" w:lineRule="auto"/>
              <w:jc w:val="left"/>
            </w:pPr>
            <w:r>
              <w:rPr>
                <w:b w:val="0"/>
                <w:i w:val="0"/>
              </w:rPr>
              <w:t>Finance Office, HR, Infra Committee</w:t>
            </w:r>
          </w:p>
        </w:tc>
        <w:tc>
          <w:tcPr>
            <w:tcW w:type="dxa" w:w="1928"/>
            <w:vAlign w:val="center"/>
            <w:shd w:fill="EDF2F7"/>
          </w:tcPr>
          <w:p>
            <w:pPr>
              <w:spacing w:after="40" w:line="276" w:lineRule="auto"/>
              <w:jc w:val="left"/>
            </w:pPr>
            <w:r>
              <w:rPr>
                <w:b w:val="0"/>
                <w:i w:val="0"/>
              </w:rPr>
              <w:t>Governing Body</w:t>
            </w:r>
          </w:p>
        </w:tc>
      </w:tr>
      <w:tr>
        <w:trPr>
          <w:cantSplit/>
        </w:trPr>
        <w:tc>
          <w:tcPr>
            <w:tcW w:type="dxa" w:w="1757"/>
            <w:vAlign w:val="center"/>
            <w:shd w:fill="FFFFFF"/>
          </w:tcPr>
          <w:p>
            <w:pPr>
              <w:spacing w:after="40" w:line="276" w:lineRule="auto"/>
              <w:jc w:val="left"/>
            </w:pPr>
            <w:r>
              <w:rPr>
                <w:b w:val="0"/>
                <w:i w:val="0"/>
              </w:rPr>
              <w:t>Apply corrective actions for underperforming KPIs</w:t>
            </w:r>
          </w:p>
        </w:tc>
        <w:tc>
          <w:tcPr>
            <w:tcW w:type="dxa" w:w="1928"/>
            <w:vAlign w:val="center"/>
            <w:shd w:fill="FFFFFF"/>
          </w:tcPr>
          <w:p>
            <w:pPr>
              <w:spacing w:after="40" w:line="276" w:lineRule="auto"/>
              <w:jc w:val="left"/>
            </w:pPr>
            <w:r>
              <w:rPr>
                <w:b w:val="0"/>
                <w:i w:val="0"/>
              </w:rPr>
              <w:t>IQAC, Steering Committee</w:t>
            </w:r>
          </w:p>
        </w:tc>
        <w:tc>
          <w:tcPr>
            <w:tcW w:type="dxa" w:w="1928"/>
            <w:vAlign w:val="center"/>
            <w:shd w:fill="FFFFFF"/>
          </w:tcPr>
          <w:p>
            <w:pPr>
              <w:spacing w:after="40" w:line="276" w:lineRule="auto"/>
              <w:jc w:val="left"/>
            </w:pPr>
            <w:r>
              <w:rPr>
                <w:b w:val="0"/>
                <w:i w:val="0"/>
              </w:rPr>
              <w:t>vc + Governing Body</w:t>
            </w:r>
          </w:p>
        </w:tc>
        <w:tc>
          <w:tcPr>
            <w:tcW w:type="dxa" w:w="1871"/>
            <w:vAlign w:val="center"/>
            <w:shd w:fill="FFFFFF"/>
          </w:tcPr>
          <w:p>
            <w:pPr>
              <w:spacing w:after="40" w:line="276" w:lineRule="auto"/>
              <w:jc w:val="left"/>
            </w:pPr>
            <w:r>
              <w:rPr>
                <w:b w:val="0"/>
                <w:i w:val="0"/>
              </w:rPr>
              <w:t>Deans, Project Leads</w:t>
            </w:r>
          </w:p>
        </w:tc>
        <w:tc>
          <w:tcPr>
            <w:tcW w:type="dxa" w:w="1928"/>
            <w:vAlign w:val="center"/>
            <w:shd w:fill="FFFFFF"/>
          </w:tcPr>
          <w:p>
            <w:pPr>
              <w:spacing w:after="40" w:line="276" w:lineRule="auto"/>
              <w:jc w:val="left"/>
            </w:pPr>
            <w:r>
              <w:rPr>
                <w:b w:val="0"/>
                <w:i w:val="0"/>
              </w:rPr>
              <w:t>Faculty, Staff</w:t>
            </w:r>
          </w:p>
        </w:tc>
      </w:tr>
      <w:tr>
        <w:trPr>
          <w:cantSplit/>
        </w:trPr>
        <w:tc>
          <w:tcPr>
            <w:tcW w:type="dxa" w:w="1757"/>
            <w:vAlign w:val="center"/>
            <w:shd w:fill="EDF2F7"/>
          </w:tcPr>
          <w:p>
            <w:pPr>
              <w:spacing w:after="40" w:line="276" w:lineRule="auto"/>
              <w:jc w:val="left"/>
            </w:pPr>
            <w:r>
              <w:rPr>
                <w:b w:val="0"/>
                <w:i w:val="0"/>
              </w:rPr>
              <w:t>Document best practices &amp; lessons learned</w:t>
            </w:r>
          </w:p>
        </w:tc>
        <w:tc>
          <w:tcPr>
            <w:tcW w:type="dxa" w:w="1928"/>
            <w:vAlign w:val="center"/>
            <w:shd w:fill="EDF2F7"/>
          </w:tcPr>
          <w:p>
            <w:pPr>
              <w:spacing w:after="40" w:line="276" w:lineRule="auto"/>
              <w:jc w:val="left"/>
            </w:pPr>
            <w:r>
              <w:rPr>
                <w:b w:val="0"/>
                <w:i w:val="0"/>
              </w:rPr>
              <w:t>IQAC, Department Heads</w:t>
            </w:r>
          </w:p>
        </w:tc>
        <w:tc>
          <w:tcPr>
            <w:tcW w:type="dxa" w:w="1928"/>
            <w:vAlign w:val="center"/>
            <w:shd w:fill="EDF2F7"/>
          </w:tcPr>
          <w:p>
            <w:pPr>
              <w:spacing w:after="40" w:line="276" w:lineRule="auto"/>
              <w:jc w:val="left"/>
            </w:pPr>
            <w:r>
              <w:rPr>
                <w:b w:val="0"/>
                <w:i w:val="0"/>
              </w:rPr>
              <w:t>Registrar</w:t>
            </w:r>
          </w:p>
        </w:tc>
        <w:tc>
          <w:tcPr>
            <w:tcW w:type="dxa" w:w="1871"/>
            <w:vAlign w:val="center"/>
            <w:shd w:fill="EDF2F7"/>
          </w:tcPr>
          <w:p>
            <w:pPr>
              <w:spacing w:after="40" w:line="276" w:lineRule="auto"/>
              <w:jc w:val="left"/>
            </w:pPr>
            <w:r>
              <w:rPr>
                <w:b w:val="0"/>
                <w:i w:val="0"/>
              </w:rPr>
              <w:t>External Advisors, Accreditation Experts</w:t>
            </w:r>
          </w:p>
        </w:tc>
        <w:tc>
          <w:tcPr>
            <w:tcW w:type="dxa" w:w="1928"/>
            <w:vAlign w:val="center"/>
            <w:shd w:fill="EDF2F7"/>
          </w:tcPr>
          <w:p>
            <w:pPr>
              <w:spacing w:after="40" w:line="276" w:lineRule="auto"/>
              <w:jc w:val="left"/>
            </w:pPr>
            <w:r>
              <w:rPr>
                <w:b w:val="0"/>
                <w:i w:val="0"/>
              </w:rPr>
              <w:t>Governing Body, Faculty</w:t>
            </w:r>
          </w:p>
        </w:tc>
      </w:tr>
      <w:tr>
        <w:trPr>
          <w:cantSplit/>
        </w:trPr>
        <w:tc>
          <w:tcPr>
            <w:tcW w:type="dxa" w:w="1757"/>
            <w:vAlign w:val="center"/>
            <w:shd w:fill="FFFFFF"/>
          </w:tcPr>
          <w:p>
            <w:pPr>
              <w:spacing w:after="40" w:line="276" w:lineRule="auto"/>
              <w:jc w:val="left"/>
            </w:pPr>
            <w:r>
              <w:rPr>
                <w:b w:val="0"/>
                <w:i w:val="0"/>
              </w:rPr>
              <w:t>Publish annual progress and sustainability reports</w:t>
            </w:r>
          </w:p>
        </w:tc>
        <w:tc>
          <w:tcPr>
            <w:tcW w:type="dxa" w:w="1928"/>
            <w:vAlign w:val="center"/>
            <w:shd w:fill="FFFFFF"/>
          </w:tcPr>
          <w:p>
            <w:pPr>
              <w:spacing w:after="40" w:line="276" w:lineRule="auto"/>
              <w:jc w:val="left"/>
            </w:pPr>
            <w:r>
              <w:rPr>
                <w:b w:val="0"/>
                <w:i w:val="0"/>
              </w:rPr>
              <w:t>PR office, IQAC</w:t>
            </w:r>
          </w:p>
        </w:tc>
        <w:tc>
          <w:tcPr>
            <w:tcW w:type="dxa" w:w="1928"/>
            <w:vAlign w:val="center"/>
            <w:shd w:fill="FFFFFF"/>
          </w:tcPr>
          <w:p>
            <w:pPr>
              <w:spacing w:after="40" w:line="276" w:lineRule="auto"/>
              <w:jc w:val="left"/>
            </w:pPr>
            <w:r>
              <w:rPr>
                <w:b w:val="0"/>
                <w:i w:val="0"/>
              </w:rPr>
              <w:t>vc</w:t>
            </w:r>
          </w:p>
        </w:tc>
        <w:tc>
          <w:tcPr>
            <w:tcW w:type="dxa" w:w="1871"/>
            <w:vAlign w:val="center"/>
            <w:shd w:fill="FFFFFF"/>
          </w:tcPr>
          <w:p>
            <w:pPr>
              <w:spacing w:after="40" w:line="276" w:lineRule="auto"/>
              <w:jc w:val="left"/>
            </w:pPr>
            <w:r>
              <w:rPr>
                <w:b w:val="0"/>
                <w:i w:val="0"/>
              </w:rPr>
              <w:t>Deans, Accreditation Cell</w:t>
            </w:r>
          </w:p>
        </w:tc>
        <w:tc>
          <w:tcPr>
            <w:tcW w:type="dxa" w:w="1928"/>
            <w:vAlign w:val="center"/>
            <w:shd w:fill="FFFFFF"/>
          </w:tcPr>
          <w:p>
            <w:pPr>
              <w:spacing w:after="40" w:line="276" w:lineRule="auto"/>
              <w:jc w:val="left"/>
            </w:pPr>
            <w:r>
              <w:rPr>
                <w:b w:val="0"/>
                <w:i w:val="0"/>
              </w:rPr>
              <w:t>Government Agencies, Alumni, Community</w:t>
            </w:r>
          </w:p>
        </w:tc>
      </w:tr>
      <w:tr>
        <w:trPr>
          <w:cantSplit/>
        </w:trPr>
        <w:tc>
          <w:tcPr>
            <w:tcW w:type="dxa" w:w="1757"/>
            <w:vAlign w:val="center"/>
            <w:shd w:fill="EDF2F7"/>
          </w:tcPr>
          <w:p>
            <w:pPr>
              <w:spacing w:after="40" w:line="276" w:lineRule="auto"/>
              <w:jc w:val="left"/>
            </w:pPr>
            <w:r>
              <w:rPr>
                <w:b w:val="0"/>
                <w:i w:val="0"/>
              </w:rPr>
              <w:t>Communicate outcomes to external stakeholders</w:t>
            </w:r>
          </w:p>
        </w:tc>
        <w:tc>
          <w:tcPr>
            <w:tcW w:type="dxa" w:w="1928"/>
            <w:vAlign w:val="center"/>
            <w:shd w:fill="EDF2F7"/>
          </w:tcPr>
          <w:p>
            <w:pPr>
              <w:spacing w:after="40" w:line="276" w:lineRule="auto"/>
              <w:jc w:val="left"/>
            </w:pPr>
            <w:r>
              <w:rPr>
                <w:b w:val="0"/>
                <w:i w:val="0"/>
              </w:rPr>
              <w:t>Leadership, PR Office</w:t>
            </w:r>
          </w:p>
        </w:tc>
        <w:tc>
          <w:tcPr>
            <w:tcW w:type="dxa" w:w="1928"/>
            <w:vAlign w:val="center"/>
            <w:shd w:fill="EDF2F7"/>
          </w:tcPr>
          <w:p>
            <w:pPr>
              <w:spacing w:after="40" w:line="276" w:lineRule="auto"/>
              <w:jc w:val="left"/>
            </w:pPr>
            <w:r>
              <w:rPr>
                <w:b w:val="0"/>
                <w:i w:val="0"/>
              </w:rPr>
              <w:t>vc</w:t>
            </w:r>
          </w:p>
        </w:tc>
        <w:tc>
          <w:tcPr>
            <w:tcW w:type="dxa" w:w="1871"/>
            <w:vAlign w:val="center"/>
            <w:shd w:fill="EDF2F7"/>
          </w:tcPr>
          <w:p>
            <w:pPr>
              <w:spacing w:after="40" w:line="276" w:lineRule="auto"/>
              <w:jc w:val="left"/>
            </w:pPr>
            <w:r>
              <w:rPr>
                <w:b w:val="0"/>
                <w:i w:val="0"/>
              </w:rPr>
              <w:t>Industry Partners, NGOs</w:t>
            </w:r>
          </w:p>
        </w:tc>
        <w:tc>
          <w:tcPr>
            <w:tcW w:type="dxa" w:w="1928"/>
            <w:vAlign w:val="center"/>
            <w:shd w:fill="EDF2F7"/>
          </w:tcPr>
          <w:p>
            <w:pPr>
              <w:spacing w:after="40" w:line="276" w:lineRule="auto"/>
              <w:jc w:val="left"/>
            </w:pPr>
            <w:r>
              <w:rPr>
                <w:b w:val="0"/>
                <w:i w:val="0"/>
              </w:rPr>
              <w:t>All Stakeholders</w:t>
            </w:r>
          </w:p>
        </w:tc>
      </w:tr>
    </w:tbl>
    <w:p>
      <w:pPr>
        <w:spacing w:after="40"/>
      </w:pPr>
    </w:p>
    <w:p>
      <w:pPr>
        <w:pStyle w:val="Heading2"/>
      </w:pPr>
      <w:r>
        <w:t>Phase S: Balanced Scorecard – Monitoring &amp; Control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757"/>
        <w:gridCol w:w="1928"/>
        <w:gridCol w:w="1928"/>
        <w:gridCol w:w="1871"/>
        <w:gridCol w:w="1928"/>
      </w:tblGrid>
      <w:tr>
        <w:trPr>
          <w:tblHeader/>
          <w:cantSplit/>
        </w:trPr>
        <w:tc>
          <w:tcPr>
            <w:tcW w:type="dxa" w:w="1757"/>
            <w:vAlign w:val="center"/>
            <w:shd w:fill="1F3A5F"/>
          </w:tcPr>
          <w:p>
            <w:pPr>
              <w:keepNext/>
              <w:spacing w:after="40" w:line="276" w:lineRule="auto"/>
              <w:jc w:val="left"/>
            </w:pPr>
            <w:r>
              <w:rPr>
                <w:b/>
                <w:i w:val="0"/>
                <w:color w:val="FFFFFF"/>
              </w:rPr>
              <w:t>Perspective</w:t>
            </w:r>
          </w:p>
        </w:tc>
        <w:tc>
          <w:tcPr>
            <w:tcW w:type="dxa" w:w="1928"/>
            <w:vAlign w:val="center"/>
            <w:shd w:fill="1F3A5F"/>
          </w:tcPr>
          <w:p>
            <w:pPr>
              <w:keepNext/>
              <w:spacing w:after="40" w:line="276" w:lineRule="auto"/>
              <w:jc w:val="left"/>
            </w:pPr>
            <w:r>
              <w:rPr>
                <w:b/>
                <w:i w:val="0"/>
                <w:color w:val="FFFFFF"/>
              </w:rPr>
              <w:t>Strategic Objective</w:t>
            </w:r>
          </w:p>
        </w:tc>
        <w:tc>
          <w:tcPr>
            <w:tcW w:type="dxa" w:w="1928"/>
            <w:vAlign w:val="center"/>
            <w:shd w:fill="1F3A5F"/>
          </w:tcPr>
          <w:p>
            <w:pPr>
              <w:keepNext/>
              <w:spacing w:after="40" w:line="276" w:lineRule="auto"/>
              <w:jc w:val="left"/>
            </w:pPr>
            <w:r>
              <w:rPr>
                <w:b/>
                <w:i w:val="0"/>
                <w:color w:val="FFFFFF"/>
              </w:rPr>
              <w:t>Monitoring Actions</w:t>
            </w:r>
          </w:p>
        </w:tc>
        <w:tc>
          <w:tcPr>
            <w:tcW w:type="dxa" w:w="1871"/>
            <w:vAlign w:val="center"/>
            <w:shd w:fill="1F3A5F"/>
          </w:tcPr>
          <w:p>
            <w:pPr>
              <w:keepNext/>
              <w:spacing w:after="40" w:line="276" w:lineRule="auto"/>
              <w:jc w:val="left"/>
            </w:pPr>
            <w:r>
              <w:rPr>
                <w:b/>
                <w:i w:val="0"/>
                <w:color w:val="FFFFFF"/>
              </w:rPr>
              <w:t>KPIs (Indicators)</w:t>
            </w:r>
          </w:p>
        </w:tc>
        <w:tc>
          <w:tcPr>
            <w:tcW w:type="dxa" w:w="1928"/>
            <w:vAlign w:val="center"/>
            <w:shd w:fill="1F3A5F"/>
          </w:tcPr>
          <w:p>
            <w:pPr>
              <w:keepNext/>
              <w:spacing w:after="40" w:line="276" w:lineRule="auto"/>
              <w:jc w:val="left"/>
            </w:pPr>
            <w:r>
              <w:rPr>
                <w:b/>
                <w:i w:val="0"/>
                <w:color w:val="FFFFFF"/>
              </w:rPr>
              <w:t>Target (Phase 5)</w:t>
            </w:r>
          </w:p>
        </w:tc>
      </w:tr>
      <w:tr>
        <w:trPr>
          <w:cantSplit/>
        </w:trPr>
        <w:tc>
          <w:tcPr>
            <w:tcW w:type="dxa" w:w="1757"/>
            <w:vAlign w:val="center"/>
            <w:shd w:fill="FFFFFF"/>
          </w:tcPr>
          <w:p>
            <w:pPr>
              <w:spacing w:after="40" w:line="276" w:lineRule="auto"/>
              <w:jc w:val="left"/>
            </w:pPr>
            <w:r>
              <w:rPr>
                <w:b w:val="0"/>
                <w:i w:val="0"/>
              </w:rPr>
              <w:t>Academic Excellence &amp; Learning</w:t>
            </w:r>
          </w:p>
        </w:tc>
        <w:tc>
          <w:tcPr>
            <w:tcW w:type="dxa" w:w="1928"/>
            <w:vAlign w:val="center"/>
            <w:shd w:fill="FFFFFF"/>
          </w:tcPr>
          <w:p>
            <w:pPr>
              <w:spacing w:after="40" w:line="276" w:lineRule="auto"/>
              <w:jc w:val="left"/>
            </w:pPr>
            <w:r>
              <w:rPr>
                <w:b w:val="0"/>
                <w:i w:val="0"/>
              </w:rPr>
              <w:t>Ensure academic quality and NEP 2020 compliance</w:t>
            </w:r>
          </w:p>
        </w:tc>
        <w:tc>
          <w:tcPr>
            <w:tcW w:type="dxa" w:w="1928"/>
            <w:vAlign w:val="center"/>
            <w:shd w:fill="FFFFFF"/>
          </w:tcPr>
          <w:p>
            <w:pPr>
              <w:spacing w:after="40" w:line="276" w:lineRule="auto"/>
              <w:ind w:left="125" w:hanging="125"/>
              <w:jc w:val="left"/>
            </w:pPr>
            <w:r>
              <w:t xml:space="preserve">• </w:t>
            </w:r>
            <w:r>
              <w:rPr>
                <w:b w:val="0"/>
                <w:i w:val="0"/>
              </w:rPr>
              <w:t>Review OBE-aligned curricula delivery.</w:t>
            </w:r>
          </w:p>
          <w:p>
            <w:pPr>
              <w:spacing w:after="40" w:line="276" w:lineRule="auto"/>
              <w:ind w:left="125" w:hanging="125"/>
              <w:jc w:val="left"/>
            </w:pPr>
            <w:r>
              <w:t xml:space="preserve">• </w:t>
            </w:r>
            <w:r>
              <w:rPr>
                <w:b w:val="0"/>
                <w:i w:val="0"/>
              </w:rPr>
              <w:t>Track faculty training &amp; student outcomes.</w:t>
            </w:r>
          </w:p>
          <w:p>
            <w:pPr>
              <w:spacing w:after="40" w:line="276" w:lineRule="auto"/>
              <w:ind w:left="125" w:hanging="125"/>
              <w:jc w:val="left"/>
            </w:pPr>
            <w:r>
              <w:t xml:space="preserve">• </w:t>
            </w:r>
            <w:r>
              <w:rPr>
                <w:b w:val="0"/>
                <w:i w:val="0"/>
              </w:rPr>
              <w:t>Audit blended learning adoption.</w:t>
            </w:r>
          </w:p>
        </w:tc>
        <w:tc>
          <w:tcPr>
            <w:tcW w:type="dxa" w:w="1871"/>
            <w:vAlign w:val="center"/>
            <w:shd w:fill="FFFFFF"/>
          </w:tcPr>
          <w:p>
            <w:pPr>
              <w:spacing w:after="40" w:line="276" w:lineRule="auto"/>
              <w:ind w:left="125" w:hanging="125"/>
              <w:jc w:val="left"/>
            </w:pPr>
            <w:r>
              <w:t xml:space="preserve">• </w:t>
            </w:r>
            <w:r>
              <w:rPr>
                <w:b w:val="0"/>
                <w:i w:val="0"/>
              </w:rPr>
              <w:t>% of courses OBE/​NEP aligned.</w:t>
            </w:r>
          </w:p>
          <w:p>
            <w:pPr>
              <w:spacing w:after="40" w:line="276" w:lineRule="auto"/>
              <w:ind w:left="125" w:hanging="125"/>
              <w:jc w:val="left"/>
            </w:pPr>
            <w:r>
              <w:t xml:space="preserve">• </w:t>
            </w:r>
            <w:r>
              <w:rPr>
                <w:b w:val="0"/>
                <w:i w:val="0"/>
              </w:rPr>
              <w:t>Student satisfaction index.</w:t>
            </w:r>
          </w:p>
          <w:p>
            <w:pPr>
              <w:spacing w:after="40" w:line="276" w:lineRule="auto"/>
              <w:ind w:left="125" w:hanging="125"/>
              <w:jc w:val="left"/>
            </w:pPr>
            <w:r>
              <w:t xml:space="preserve">• </w:t>
            </w:r>
            <w:r>
              <w:rPr>
                <w:b w:val="0"/>
                <w:i w:val="0"/>
              </w:rPr>
              <w:t>Faculty trained in pedagogy.</w:t>
            </w:r>
          </w:p>
        </w:tc>
        <w:tc>
          <w:tcPr>
            <w:tcW w:type="dxa" w:w="1928"/>
            <w:vAlign w:val="center"/>
            <w:shd w:fill="FFFFFF"/>
          </w:tcPr>
          <w:p>
            <w:pPr>
              <w:spacing w:after="40" w:line="276" w:lineRule="auto"/>
              <w:ind w:left="125" w:hanging="125"/>
              <w:jc w:val="left"/>
            </w:pPr>
            <w:r>
              <w:t xml:space="preserve">• </w:t>
            </w:r>
            <w:r>
              <w:rPr>
                <w:b w:val="0"/>
                <w:i w:val="0"/>
              </w:rPr>
              <w:t>100% compliance.</w:t>
            </w:r>
          </w:p>
          <w:p>
            <w:pPr>
              <w:spacing w:after="40" w:line="276" w:lineRule="auto"/>
              <w:ind w:left="125" w:hanging="125"/>
              <w:jc w:val="left"/>
            </w:pPr>
            <w:r>
              <w:t xml:space="preserve">• </w:t>
            </w:r>
            <w:r>
              <w:rPr>
                <w:b w:val="0"/>
                <w:i w:val="0"/>
              </w:rPr>
              <w:t>≥85% satisfaction.</w:t>
            </w:r>
          </w:p>
          <w:p>
            <w:pPr>
              <w:spacing w:after="40" w:line="276" w:lineRule="auto"/>
              <w:ind w:left="125" w:hanging="125"/>
              <w:jc w:val="left"/>
            </w:pPr>
            <w:r>
              <w:t xml:space="preserve">• </w:t>
            </w:r>
            <w:r>
              <w:rPr>
                <w:b w:val="0"/>
                <w:i w:val="0"/>
              </w:rPr>
              <w:t>100% trained faculty.</w:t>
            </w:r>
          </w:p>
        </w:tc>
      </w:tr>
      <w:tr>
        <w:trPr>
          <w:cantSplit/>
        </w:trPr>
        <w:tc>
          <w:tcPr>
            <w:tcW w:type="dxa" w:w="1757"/>
            <w:vAlign w:val="center"/>
            <w:shd w:fill="EDF2F7"/>
          </w:tcPr>
          <w:p>
            <w:pPr>
              <w:spacing w:after="40" w:line="276" w:lineRule="auto"/>
              <w:jc w:val="left"/>
            </w:pPr>
            <w:r>
              <w:rPr>
                <w:b w:val="0"/>
                <w:i w:val="0"/>
              </w:rPr>
              <w:t>Research &amp; Innovation</w:t>
            </w:r>
          </w:p>
        </w:tc>
        <w:tc>
          <w:tcPr>
            <w:tcW w:type="dxa" w:w="1928"/>
            <w:vAlign w:val="center"/>
            <w:shd w:fill="EDF2F7"/>
          </w:tcPr>
          <w:p>
            <w:pPr>
              <w:spacing w:after="40" w:line="276" w:lineRule="auto"/>
              <w:jc w:val="left"/>
            </w:pPr>
            <w:r>
              <w:rPr>
                <w:b w:val="0"/>
                <w:i w:val="0"/>
              </w:rPr>
              <w:t>Monitor research productivity and impact</w:t>
            </w:r>
          </w:p>
        </w:tc>
        <w:tc>
          <w:tcPr>
            <w:tcW w:type="dxa" w:w="1928"/>
            <w:vAlign w:val="center"/>
            <w:shd w:fill="EDF2F7"/>
          </w:tcPr>
          <w:p>
            <w:pPr>
              <w:spacing w:after="40" w:line="276" w:lineRule="auto"/>
              <w:ind w:left="125" w:hanging="125"/>
              <w:jc w:val="left"/>
            </w:pPr>
            <w:r>
              <w:t xml:space="preserve">• </w:t>
            </w:r>
            <w:r>
              <w:rPr>
                <w:b w:val="0"/>
                <w:i w:val="0"/>
              </w:rPr>
              <w:t>Track funded projects, patents, publications.</w:t>
            </w:r>
          </w:p>
          <w:p>
            <w:pPr>
              <w:spacing w:after="40" w:line="276" w:lineRule="auto"/>
              <w:ind w:left="125" w:hanging="125"/>
              <w:jc w:val="left"/>
            </w:pPr>
            <w:r>
              <w:t xml:space="preserve">• </w:t>
            </w:r>
            <w:r>
              <w:rPr>
                <w:b w:val="0"/>
                <w:i w:val="0"/>
              </w:rPr>
              <w:t>Evaluate performance of Centers of Excellence.</w:t>
            </w:r>
          </w:p>
          <w:p>
            <w:pPr>
              <w:spacing w:after="40" w:line="276" w:lineRule="auto"/>
              <w:ind w:left="125" w:hanging="125"/>
              <w:jc w:val="left"/>
            </w:pPr>
            <w:r>
              <w:t xml:space="preserve">• </w:t>
            </w:r>
            <w:r>
              <w:rPr>
                <w:b w:val="0"/>
                <w:i w:val="0"/>
              </w:rPr>
              <w:t>Benchmark with peer institutions.</w:t>
            </w:r>
          </w:p>
        </w:tc>
        <w:tc>
          <w:tcPr>
            <w:tcW w:type="dxa" w:w="1871"/>
            <w:vAlign w:val="center"/>
            <w:shd w:fill="EDF2F7"/>
          </w:tcPr>
          <w:p>
            <w:pPr>
              <w:spacing w:after="40" w:line="276" w:lineRule="auto"/>
              <w:ind w:left="125" w:hanging="125"/>
              <w:jc w:val="left"/>
            </w:pPr>
            <w:r>
              <w:t xml:space="preserve">• </w:t>
            </w:r>
            <w:r>
              <w:rPr>
                <w:b w:val="0"/>
                <w:i w:val="0"/>
              </w:rPr>
              <w:t>No. of research projects funded.</w:t>
            </w:r>
          </w:p>
          <w:p>
            <w:pPr>
              <w:spacing w:after="40" w:line="276" w:lineRule="auto"/>
              <w:ind w:left="125" w:hanging="125"/>
              <w:jc w:val="left"/>
            </w:pPr>
            <w:r>
              <w:t xml:space="preserve">• </w:t>
            </w:r>
            <w:r>
              <w:rPr>
                <w:b w:val="0"/>
                <w:i w:val="0"/>
              </w:rPr>
              <w:t>Patents filed annually.</w:t>
            </w:r>
          </w:p>
          <w:p>
            <w:pPr>
              <w:spacing w:after="40" w:line="276" w:lineRule="auto"/>
              <w:ind w:left="125" w:hanging="125"/>
              <w:jc w:val="left"/>
            </w:pPr>
            <w:r>
              <w:t xml:space="preserve">• </w:t>
            </w:r>
            <w:r>
              <w:rPr>
                <w:b w:val="0"/>
                <w:i w:val="0"/>
              </w:rPr>
              <w:t>Publications in Scopus/​SCl.</w:t>
            </w:r>
          </w:p>
        </w:tc>
        <w:tc>
          <w:tcPr>
            <w:tcW w:type="dxa" w:w="1928"/>
            <w:vAlign w:val="center"/>
            <w:shd w:fill="EDF2F7"/>
          </w:tcPr>
          <w:p>
            <w:pPr>
              <w:spacing w:after="40" w:line="276" w:lineRule="auto"/>
              <w:ind w:left="125" w:hanging="125"/>
              <w:jc w:val="left"/>
            </w:pPr>
            <w:r>
              <w:t xml:space="preserve">• </w:t>
            </w:r>
            <w:r>
              <w:rPr>
                <w:b w:val="0"/>
                <w:i w:val="0"/>
              </w:rPr>
              <w:t>≥15 funded projects/​year.</w:t>
            </w:r>
          </w:p>
          <w:p>
            <w:pPr>
              <w:spacing w:after="40" w:line="276" w:lineRule="auto"/>
              <w:ind w:left="125" w:hanging="125"/>
              <w:jc w:val="left"/>
            </w:pPr>
            <w:r>
              <w:t xml:space="preserve">• </w:t>
            </w:r>
            <w:r>
              <w:rPr>
                <w:b w:val="0"/>
                <w:i w:val="0"/>
              </w:rPr>
              <w:t>≥10 patents/​year.</w:t>
            </w:r>
          </w:p>
          <w:p>
            <w:pPr>
              <w:spacing w:after="40" w:line="276" w:lineRule="auto"/>
              <w:ind w:left="125" w:hanging="125"/>
              <w:jc w:val="left"/>
            </w:pPr>
            <w:r>
              <w:t xml:space="preserve">• </w:t>
            </w:r>
            <w:r>
              <w:rPr>
                <w:b w:val="0"/>
                <w:i w:val="0"/>
              </w:rPr>
              <w:t>≥200 publications/​year.</w:t>
            </w:r>
          </w:p>
        </w:tc>
      </w:tr>
      <w:tr>
        <w:trPr>
          <w:cantSplit/>
        </w:trPr>
        <w:tc>
          <w:tcPr>
            <w:tcW w:type="dxa" w:w="1757"/>
            <w:vAlign w:val="center"/>
            <w:shd w:fill="FFFFFF"/>
          </w:tcPr>
          <w:p>
            <w:pPr>
              <w:spacing w:after="40" w:line="276" w:lineRule="auto"/>
              <w:jc w:val="left"/>
            </w:pPr>
            <w:r>
              <w:rPr>
                <w:b w:val="0"/>
                <w:i w:val="0"/>
              </w:rPr>
              <w:t>Financial Sustainability</w:t>
            </w:r>
          </w:p>
        </w:tc>
        <w:tc>
          <w:tcPr>
            <w:tcW w:type="dxa" w:w="1928"/>
            <w:vAlign w:val="center"/>
            <w:shd w:fill="FFFFFF"/>
          </w:tcPr>
          <w:p>
            <w:pPr>
              <w:spacing w:after="40" w:line="276" w:lineRule="auto"/>
              <w:jc w:val="left"/>
            </w:pPr>
            <w:r>
              <w:rPr>
                <w:b w:val="0"/>
                <w:i w:val="0"/>
              </w:rPr>
              <w:t>Ensure stable, diversified funding</w:t>
            </w:r>
          </w:p>
        </w:tc>
        <w:tc>
          <w:tcPr>
            <w:tcW w:type="dxa" w:w="1928"/>
            <w:vAlign w:val="center"/>
            <w:shd w:fill="FFFFFF"/>
          </w:tcPr>
          <w:p>
            <w:pPr>
              <w:spacing w:after="40" w:line="276" w:lineRule="auto"/>
              <w:ind w:left="125" w:hanging="125"/>
              <w:jc w:val="left"/>
            </w:pPr>
            <w:r>
              <w:t xml:space="preserve">• </w:t>
            </w:r>
            <w:r>
              <w:rPr>
                <w:b w:val="0"/>
                <w:i w:val="0"/>
              </w:rPr>
              <w:t>Review CSR, alumni, and PPP contributions.</w:t>
            </w:r>
          </w:p>
          <w:p>
            <w:pPr>
              <w:spacing w:after="40" w:line="276" w:lineRule="auto"/>
              <w:ind w:left="125" w:hanging="125"/>
              <w:jc w:val="left"/>
            </w:pPr>
            <w:r>
              <w:t xml:space="preserve">• </w:t>
            </w:r>
            <w:r>
              <w:rPr>
                <w:b w:val="0"/>
                <w:i w:val="0"/>
              </w:rPr>
              <w:t>Monitor consultancy revenue.</w:t>
            </w:r>
          </w:p>
          <w:p>
            <w:pPr>
              <w:spacing w:after="40" w:line="276" w:lineRule="auto"/>
              <w:ind w:left="125" w:hanging="125"/>
              <w:jc w:val="left"/>
            </w:pPr>
            <w:r>
              <w:t xml:space="preserve">• </w:t>
            </w:r>
            <w:r>
              <w:rPr>
                <w:b w:val="0"/>
                <w:i w:val="0"/>
              </w:rPr>
              <w:t>Audit budget utilization.</w:t>
            </w:r>
          </w:p>
        </w:tc>
        <w:tc>
          <w:tcPr>
            <w:tcW w:type="dxa" w:w="1871"/>
            <w:vAlign w:val="center"/>
            <w:shd w:fill="FFFFFF"/>
          </w:tcPr>
          <w:p>
            <w:pPr>
              <w:spacing w:after="40" w:line="276" w:lineRule="auto"/>
              <w:ind w:left="125" w:hanging="125"/>
              <w:jc w:val="left"/>
            </w:pPr>
            <w:r>
              <w:t xml:space="preserve">• </w:t>
            </w:r>
            <w:r>
              <w:rPr>
                <w:b w:val="0"/>
                <w:i w:val="0"/>
              </w:rPr>
              <w:t>% of non-government revenue.</w:t>
            </w:r>
          </w:p>
          <w:p>
            <w:pPr>
              <w:spacing w:after="40" w:line="276" w:lineRule="auto"/>
              <w:ind w:left="125" w:hanging="125"/>
              <w:jc w:val="left"/>
            </w:pPr>
            <w:r>
              <w:t xml:space="preserve">• </w:t>
            </w:r>
            <w:r>
              <w:rPr>
                <w:b w:val="0"/>
                <w:i w:val="0"/>
              </w:rPr>
              <w:t>Alumni/​CSR funds raised.</w:t>
            </w:r>
          </w:p>
          <w:p>
            <w:pPr>
              <w:spacing w:after="40" w:line="276" w:lineRule="auto"/>
              <w:ind w:left="125" w:hanging="125"/>
              <w:jc w:val="left"/>
            </w:pPr>
            <w:r>
              <w:t xml:space="preserve">• </w:t>
            </w:r>
            <w:r>
              <w:rPr>
                <w:b w:val="0"/>
                <w:i w:val="0"/>
              </w:rPr>
              <w:t>No. of consultancy projects.</w:t>
            </w:r>
          </w:p>
        </w:tc>
        <w:tc>
          <w:tcPr>
            <w:tcW w:type="dxa" w:w="1928"/>
            <w:vAlign w:val="center"/>
            <w:shd w:fill="FFFFFF"/>
          </w:tcPr>
          <w:p>
            <w:pPr>
              <w:spacing w:after="40" w:line="276" w:lineRule="auto"/>
              <w:ind w:left="125" w:hanging="125"/>
              <w:jc w:val="left"/>
            </w:pPr>
            <w:r>
              <w:t xml:space="preserve">• </w:t>
            </w:r>
            <w:r>
              <w:rPr>
                <w:b w:val="0"/>
                <w:i w:val="0"/>
              </w:rPr>
              <w:t>≥30% non-govt. revenue.</w:t>
            </w:r>
          </w:p>
          <w:p>
            <w:pPr>
              <w:spacing w:after="40" w:line="276" w:lineRule="auto"/>
              <w:ind w:left="125" w:hanging="125"/>
              <w:jc w:val="left"/>
            </w:pPr>
            <w:r>
              <w:t xml:space="preserve">• </w:t>
            </w:r>
            <w:r>
              <w:rPr>
                <w:b w:val="0"/>
                <w:i w:val="0"/>
              </w:rPr>
              <w:t>₹10 Cr/£1m raised.</w:t>
            </w:r>
          </w:p>
          <w:p>
            <w:pPr>
              <w:spacing w:after="40" w:line="276" w:lineRule="auto"/>
              <w:ind w:left="125" w:hanging="125"/>
              <w:jc w:val="left"/>
            </w:pPr>
            <w:r>
              <w:t xml:space="preserve">• </w:t>
            </w:r>
            <w:r>
              <w:rPr>
                <w:b w:val="0"/>
                <w:i w:val="0"/>
              </w:rPr>
              <w:t>≥10 consultancy projects/​year.</w:t>
            </w:r>
          </w:p>
        </w:tc>
      </w:tr>
      <w:tr>
        <w:trPr>
          <w:cantSplit/>
        </w:trPr>
        <w:tc>
          <w:tcPr>
            <w:tcW w:type="dxa" w:w="1757"/>
            <w:vAlign w:val="center"/>
            <w:shd w:fill="EDF2F7"/>
          </w:tcPr>
          <w:p>
            <w:pPr>
              <w:spacing w:after="40" w:line="276" w:lineRule="auto"/>
              <w:jc w:val="left"/>
            </w:pPr>
            <w:r>
              <w:rPr>
                <w:b w:val="0"/>
                <w:i w:val="0"/>
              </w:rPr>
              <w:t>Internal Processes &amp; Governance</w:t>
            </w:r>
          </w:p>
        </w:tc>
        <w:tc>
          <w:tcPr>
            <w:tcW w:type="dxa" w:w="1928"/>
            <w:vAlign w:val="center"/>
            <w:shd w:fill="EDF2F7"/>
          </w:tcPr>
          <w:p>
            <w:pPr>
              <w:spacing w:after="40" w:line="276" w:lineRule="auto"/>
              <w:jc w:val="left"/>
            </w:pPr>
            <w:r>
              <w:rPr>
                <w:b w:val="0"/>
                <w:i w:val="0"/>
              </w:rPr>
              <w:t>Strengthen accountability and efficiency</w:t>
            </w:r>
          </w:p>
        </w:tc>
        <w:tc>
          <w:tcPr>
            <w:tcW w:type="dxa" w:w="1928"/>
            <w:vAlign w:val="center"/>
            <w:shd w:fill="EDF2F7"/>
          </w:tcPr>
          <w:p>
            <w:pPr>
              <w:spacing w:after="40" w:line="276" w:lineRule="auto"/>
              <w:ind w:left="125" w:hanging="125"/>
              <w:jc w:val="left"/>
            </w:pPr>
            <w:r>
              <w:t xml:space="preserve">• </w:t>
            </w:r>
            <w:r>
              <w:rPr>
                <w:b w:val="0"/>
                <w:i w:val="0"/>
              </w:rPr>
              <w:t>Track policy approval timelines.</w:t>
            </w:r>
          </w:p>
          <w:p>
            <w:pPr>
              <w:spacing w:after="40" w:line="276" w:lineRule="auto"/>
              <w:ind w:left="125" w:hanging="125"/>
              <w:jc w:val="left"/>
            </w:pPr>
            <w:r>
              <w:t xml:space="preserve">• </w:t>
            </w:r>
            <w:r>
              <w:rPr>
                <w:b w:val="0"/>
                <w:i w:val="0"/>
              </w:rPr>
              <w:t>Review ERP dashboard usage.</w:t>
            </w:r>
          </w:p>
          <w:p>
            <w:pPr>
              <w:spacing w:after="40" w:line="276" w:lineRule="auto"/>
              <w:ind w:left="125" w:hanging="125"/>
              <w:jc w:val="left"/>
            </w:pPr>
            <w:r>
              <w:t xml:space="preserve">• </w:t>
            </w:r>
            <w:r>
              <w:rPr>
                <w:b w:val="0"/>
                <w:i w:val="0"/>
              </w:rPr>
              <w:t>Audit accreditation readiness.</w:t>
            </w:r>
          </w:p>
        </w:tc>
        <w:tc>
          <w:tcPr>
            <w:tcW w:type="dxa" w:w="1871"/>
            <w:vAlign w:val="center"/>
            <w:shd w:fill="EDF2F7"/>
          </w:tcPr>
          <w:p>
            <w:pPr>
              <w:spacing w:after="40" w:line="276" w:lineRule="auto"/>
              <w:ind w:left="125" w:hanging="125"/>
              <w:jc w:val="left"/>
            </w:pPr>
            <w:r>
              <w:t xml:space="preserve">• </w:t>
            </w:r>
            <w:r>
              <w:rPr>
                <w:b w:val="0"/>
                <w:i w:val="0"/>
              </w:rPr>
              <w:t>% of digitized processes.</w:t>
            </w:r>
          </w:p>
          <w:p>
            <w:pPr>
              <w:spacing w:after="40" w:line="276" w:lineRule="auto"/>
              <w:ind w:left="125" w:hanging="125"/>
              <w:jc w:val="left"/>
            </w:pPr>
            <w:r>
              <w:t xml:space="preserve">• </w:t>
            </w:r>
            <w:r>
              <w:rPr>
                <w:b w:val="0"/>
                <w:i w:val="0"/>
              </w:rPr>
              <w:t>Avg. turnaround time.</w:t>
            </w:r>
          </w:p>
          <w:p>
            <w:pPr>
              <w:spacing w:after="40" w:line="276" w:lineRule="auto"/>
              <w:ind w:left="125" w:hanging="125"/>
              <w:jc w:val="left"/>
            </w:pPr>
            <w:r>
              <w:t xml:space="preserve">• </w:t>
            </w:r>
            <w:r>
              <w:rPr>
                <w:b w:val="0"/>
                <w:i w:val="0"/>
              </w:rPr>
              <w:t>Accreditation compliance score.</w:t>
            </w:r>
          </w:p>
        </w:tc>
        <w:tc>
          <w:tcPr>
            <w:tcW w:type="dxa" w:w="1928"/>
            <w:vAlign w:val="center"/>
            <w:shd w:fill="EDF2F7"/>
          </w:tcPr>
          <w:p>
            <w:pPr>
              <w:spacing w:after="40" w:line="276" w:lineRule="auto"/>
              <w:ind w:left="125" w:hanging="125"/>
              <w:jc w:val="left"/>
            </w:pPr>
            <w:r>
              <w:t xml:space="preserve">• </w:t>
            </w:r>
            <w:r>
              <w:rPr>
                <w:b w:val="0"/>
                <w:i w:val="0"/>
              </w:rPr>
              <w:t>≥80% digitization.</w:t>
            </w:r>
          </w:p>
          <w:p>
            <w:pPr>
              <w:spacing w:after="40" w:line="276" w:lineRule="auto"/>
              <w:ind w:left="125" w:hanging="125"/>
              <w:jc w:val="left"/>
            </w:pPr>
            <w:r>
              <w:t xml:space="preserve">• </w:t>
            </w:r>
            <w:r>
              <w:rPr>
                <w:b w:val="0"/>
                <w:i w:val="0"/>
              </w:rPr>
              <w:t>≤2 weeks approval time.</w:t>
            </w:r>
          </w:p>
          <w:p>
            <w:pPr>
              <w:spacing w:after="40" w:line="276" w:lineRule="auto"/>
              <w:ind w:left="125" w:hanging="125"/>
              <w:jc w:val="left"/>
            </w:pPr>
            <w:r>
              <w:t xml:space="preserve">• </w:t>
            </w:r>
            <w:r>
              <w:rPr>
                <w:b w:val="0"/>
                <w:i w:val="0"/>
              </w:rPr>
              <w:t>NAAC A + + readiness.</w:t>
            </w:r>
          </w:p>
        </w:tc>
      </w:tr>
      <w:tr>
        <w:trPr>
          <w:cantSplit/>
        </w:trPr>
        <w:tc>
          <w:tcPr>
            <w:tcW w:type="dxa" w:w="1757"/>
            <w:vAlign w:val="center"/>
            <w:shd w:fill="FFFFFF"/>
          </w:tcPr>
          <w:p>
            <w:pPr>
              <w:spacing w:after="40" w:line="276" w:lineRule="auto"/>
              <w:jc w:val="left"/>
            </w:pPr>
            <w:r>
              <w:rPr>
                <w:b w:val="0"/>
                <w:i w:val="0"/>
              </w:rPr>
              <w:t>Community &amp; Social Impact</w:t>
            </w:r>
          </w:p>
        </w:tc>
        <w:tc>
          <w:tcPr>
            <w:tcW w:type="dxa" w:w="1928"/>
            <w:vAlign w:val="center"/>
            <w:shd w:fill="FFFFFF"/>
          </w:tcPr>
          <w:p>
            <w:pPr>
              <w:spacing w:after="40" w:line="276" w:lineRule="auto"/>
              <w:jc w:val="left"/>
            </w:pPr>
            <w:r>
              <w:rPr>
                <w:b w:val="0"/>
                <w:i w:val="0"/>
              </w:rPr>
              <w:t>Assess ISR and SDG contributions</w:t>
            </w:r>
          </w:p>
        </w:tc>
        <w:tc>
          <w:tcPr>
            <w:tcW w:type="dxa" w:w="1928"/>
            <w:vAlign w:val="center"/>
            <w:shd w:fill="FFFFFF"/>
          </w:tcPr>
          <w:p>
            <w:pPr>
              <w:spacing w:after="40" w:line="276" w:lineRule="auto"/>
              <w:ind w:left="125" w:hanging="125"/>
              <w:jc w:val="left"/>
            </w:pPr>
            <w:r>
              <w:t xml:space="preserve">• </w:t>
            </w:r>
            <w:r>
              <w:rPr>
                <w:b w:val="0"/>
                <w:i w:val="0"/>
              </w:rPr>
              <w:t>Track ISR project outcomes.</w:t>
            </w:r>
          </w:p>
          <w:p>
            <w:pPr>
              <w:spacing w:after="40" w:line="276" w:lineRule="auto"/>
              <w:ind w:left="125" w:hanging="125"/>
              <w:jc w:val="left"/>
            </w:pPr>
            <w:r>
              <w:t xml:space="preserve">• </w:t>
            </w:r>
            <w:r>
              <w:rPr>
                <w:b w:val="0"/>
                <w:i w:val="0"/>
              </w:rPr>
              <w:t>Collect beneficiary feedback.</w:t>
            </w:r>
          </w:p>
          <w:p>
            <w:pPr>
              <w:spacing w:after="40" w:line="276" w:lineRule="auto"/>
              <w:ind w:left="125" w:hanging="125"/>
              <w:jc w:val="left"/>
            </w:pPr>
            <w:r>
              <w:t xml:space="preserve">• </w:t>
            </w:r>
            <w:r>
              <w:rPr>
                <w:b w:val="0"/>
                <w:i w:val="0"/>
              </w:rPr>
              <w:t>Publish community impact reports.</w:t>
            </w:r>
          </w:p>
        </w:tc>
        <w:tc>
          <w:tcPr>
            <w:tcW w:type="dxa" w:w="1871"/>
            <w:vAlign w:val="center"/>
            <w:shd w:fill="FFFFFF"/>
          </w:tcPr>
          <w:p>
            <w:pPr>
              <w:spacing w:after="40" w:line="276" w:lineRule="auto"/>
              <w:ind w:left="125" w:hanging="125"/>
              <w:jc w:val="left"/>
            </w:pPr>
            <w:r>
              <w:t xml:space="preserve">• </w:t>
            </w:r>
            <w:r>
              <w:rPr>
                <w:b w:val="0"/>
                <w:i w:val="0"/>
              </w:rPr>
              <w:t>% students in ISR.</w:t>
            </w:r>
          </w:p>
          <w:p>
            <w:pPr>
              <w:spacing w:after="40" w:line="276" w:lineRule="auto"/>
              <w:ind w:left="125" w:hanging="125"/>
              <w:jc w:val="left"/>
            </w:pPr>
            <w:r>
              <w:t xml:space="preserve">• </w:t>
            </w:r>
            <w:r>
              <w:rPr>
                <w:b w:val="0"/>
                <w:i w:val="0"/>
              </w:rPr>
              <w:t>Beneficiaries impacted annually.</w:t>
            </w:r>
          </w:p>
          <w:p>
            <w:pPr>
              <w:spacing w:after="40" w:line="276" w:lineRule="auto"/>
              <w:ind w:left="125" w:hanging="125"/>
              <w:jc w:val="left"/>
            </w:pPr>
            <w:r>
              <w:t xml:space="preserve">• </w:t>
            </w:r>
            <w:r>
              <w:rPr>
                <w:b w:val="0"/>
                <w:i w:val="0"/>
              </w:rPr>
              <w:t>No. of ISR/​SDG projects.</w:t>
            </w:r>
          </w:p>
        </w:tc>
        <w:tc>
          <w:tcPr>
            <w:tcW w:type="dxa" w:w="1928"/>
            <w:vAlign w:val="center"/>
            <w:shd w:fill="FFFFFF"/>
          </w:tcPr>
          <w:p>
            <w:pPr>
              <w:spacing w:after="40" w:line="276" w:lineRule="auto"/>
              <w:ind w:left="125" w:hanging="125"/>
              <w:jc w:val="left"/>
            </w:pPr>
            <w:r>
              <w:t xml:space="preserve">• </w:t>
            </w:r>
            <w:r>
              <w:rPr>
                <w:b w:val="0"/>
                <w:i w:val="0"/>
              </w:rPr>
              <w:t>≥80% participation.</w:t>
            </w:r>
          </w:p>
          <w:p>
            <w:pPr>
              <w:spacing w:after="40" w:line="276" w:lineRule="auto"/>
              <w:ind w:left="125" w:hanging="125"/>
              <w:jc w:val="left"/>
            </w:pPr>
            <w:r>
              <w:t xml:space="preserve">• </w:t>
            </w:r>
            <w:r>
              <w:rPr>
                <w:b w:val="0"/>
                <w:i w:val="0"/>
              </w:rPr>
              <w:t>≥10,000 beneficiaries/​year.</w:t>
            </w:r>
          </w:p>
          <w:p>
            <w:pPr>
              <w:spacing w:after="40" w:line="276" w:lineRule="auto"/>
              <w:ind w:left="125" w:hanging="125"/>
              <w:jc w:val="left"/>
            </w:pPr>
            <w:r>
              <w:t xml:space="preserve">• </w:t>
            </w:r>
            <w:r>
              <w:rPr>
                <w:b w:val="0"/>
                <w:i w:val="0"/>
              </w:rPr>
              <w:t>≥20 ISR projects/​year.</w:t>
            </w:r>
          </w:p>
        </w:tc>
      </w:tr>
      <w:tr>
        <w:trPr>
          <w:cantSplit/>
        </w:trPr>
        <w:tc>
          <w:tcPr>
            <w:tcW w:type="dxa" w:w="1757"/>
            <w:vAlign w:val="center"/>
            <w:shd w:fill="EDF2F7"/>
          </w:tcPr>
          <w:p>
            <w:pPr>
              <w:spacing w:after="40" w:line="276" w:lineRule="auto"/>
              <w:jc w:val="left"/>
            </w:pPr>
            <w:r>
              <w:rPr>
                <w:b w:val="0"/>
                <w:i w:val="0"/>
              </w:rPr>
              <w:t>Global Engagement</w:t>
            </w:r>
          </w:p>
        </w:tc>
        <w:tc>
          <w:tcPr>
            <w:tcW w:type="dxa" w:w="1928"/>
            <w:vAlign w:val="center"/>
            <w:shd w:fill="EDF2F7"/>
          </w:tcPr>
          <w:p>
            <w:pPr>
              <w:spacing w:after="40" w:line="276" w:lineRule="auto"/>
              <w:jc w:val="left"/>
            </w:pPr>
            <w:r>
              <w:rPr>
                <w:b w:val="0"/>
                <w:i w:val="0"/>
              </w:rPr>
              <w:t>Monitor international partnerships and mobility</w:t>
            </w:r>
          </w:p>
        </w:tc>
        <w:tc>
          <w:tcPr>
            <w:tcW w:type="dxa" w:w="1928"/>
            <w:vAlign w:val="center"/>
            <w:shd w:fill="EDF2F7"/>
          </w:tcPr>
          <w:p>
            <w:pPr>
              <w:spacing w:after="40" w:line="276" w:lineRule="auto"/>
              <w:ind w:left="125" w:hanging="125"/>
              <w:jc w:val="left"/>
            </w:pPr>
            <w:r>
              <w:t xml:space="preserve">• </w:t>
            </w:r>
            <w:r>
              <w:rPr>
                <w:b w:val="0"/>
                <w:i w:val="0"/>
              </w:rPr>
              <w:t>Track MoUs, exchanges, dual-degree programs.</w:t>
            </w:r>
          </w:p>
          <w:p>
            <w:pPr>
              <w:spacing w:after="40" w:line="276" w:lineRule="auto"/>
              <w:ind w:left="125" w:hanging="125"/>
              <w:jc w:val="left"/>
            </w:pPr>
            <w:r>
              <w:t xml:space="preserve">• </w:t>
            </w:r>
            <w:r>
              <w:rPr>
                <w:b w:val="0"/>
                <w:i w:val="0"/>
              </w:rPr>
              <w:t>Monitor QS/​THE ranking performance.</w:t>
            </w:r>
          </w:p>
          <w:p>
            <w:pPr>
              <w:spacing w:after="40" w:line="276" w:lineRule="auto"/>
              <w:ind w:left="125" w:hanging="125"/>
              <w:jc w:val="left"/>
            </w:pPr>
            <w:r>
              <w:t xml:space="preserve">• </w:t>
            </w:r>
            <w:r>
              <w:rPr>
                <w:b w:val="0"/>
                <w:i w:val="0"/>
              </w:rPr>
              <w:t>Audit global visibility initiatives.</w:t>
            </w:r>
          </w:p>
        </w:tc>
        <w:tc>
          <w:tcPr>
            <w:tcW w:type="dxa" w:w="1871"/>
            <w:vAlign w:val="center"/>
            <w:shd w:fill="EDF2F7"/>
          </w:tcPr>
          <w:p>
            <w:pPr>
              <w:spacing w:after="40" w:line="276" w:lineRule="auto"/>
              <w:ind w:left="125" w:hanging="125"/>
              <w:jc w:val="left"/>
            </w:pPr>
            <w:r>
              <w:t xml:space="preserve">• </w:t>
            </w:r>
            <w:r>
              <w:rPr>
                <w:b w:val="0"/>
                <w:i w:val="0"/>
              </w:rPr>
              <w:t>No. of active MoUs.</w:t>
            </w:r>
          </w:p>
          <w:p>
            <w:pPr>
              <w:spacing w:after="40" w:line="276" w:lineRule="auto"/>
              <w:ind w:left="125" w:hanging="125"/>
              <w:jc w:val="left"/>
            </w:pPr>
            <w:r>
              <w:t xml:space="preserve">• </w:t>
            </w:r>
            <w:r>
              <w:rPr>
                <w:b w:val="0"/>
                <w:i w:val="0"/>
              </w:rPr>
              <w:t>Exchange participants/​year.</w:t>
            </w:r>
          </w:p>
          <w:p>
            <w:pPr>
              <w:spacing w:after="40" w:line="276" w:lineRule="auto"/>
              <w:ind w:left="125" w:hanging="125"/>
              <w:jc w:val="left"/>
            </w:pPr>
            <w:r>
              <w:t xml:space="preserve">• </w:t>
            </w:r>
            <w:r>
              <w:rPr>
                <w:b w:val="0"/>
                <w:i w:val="0"/>
              </w:rPr>
              <w:t>QS/​THE ranking position.</w:t>
            </w:r>
          </w:p>
        </w:tc>
        <w:tc>
          <w:tcPr>
            <w:tcW w:type="dxa" w:w="1928"/>
            <w:vAlign w:val="center"/>
            <w:shd w:fill="EDF2F7"/>
          </w:tcPr>
          <w:p>
            <w:pPr>
              <w:spacing w:after="40" w:line="276" w:lineRule="auto"/>
              <w:ind w:left="125" w:hanging="125"/>
              <w:jc w:val="left"/>
            </w:pPr>
            <w:r>
              <w:t xml:space="preserve">• </w:t>
            </w:r>
            <w:r>
              <w:rPr>
                <w:b w:val="0"/>
                <w:i w:val="0"/>
              </w:rPr>
              <w:t>≥20 MoUs.</w:t>
            </w:r>
          </w:p>
          <w:p>
            <w:pPr>
              <w:spacing w:after="40" w:line="276" w:lineRule="auto"/>
              <w:ind w:left="125" w:hanging="125"/>
              <w:jc w:val="left"/>
            </w:pPr>
            <w:r>
              <w:t xml:space="preserve">• </w:t>
            </w:r>
            <w:r>
              <w:rPr>
                <w:b w:val="0"/>
                <w:i w:val="0"/>
              </w:rPr>
              <w:t>≥200 exchanges in 5 years.</w:t>
            </w:r>
          </w:p>
          <w:p>
            <w:pPr>
              <w:spacing w:after="40" w:line="276" w:lineRule="auto"/>
              <w:ind w:left="125" w:hanging="125"/>
              <w:jc w:val="left"/>
            </w:pPr>
            <w:r>
              <w:t xml:space="preserve">• </w:t>
            </w:r>
            <w:r>
              <w:rPr>
                <w:b w:val="0"/>
                <w:i w:val="0"/>
              </w:rPr>
              <w:t>QS/​THE Top 500 by 2035.</w:t>
            </w:r>
          </w:p>
        </w:tc>
      </w:tr>
    </w:tbl>
    <w:p>
      <w:pPr>
        <w:spacing w:after="40"/>
      </w:pPr>
    </w:p>
    <w:p>
      <w:pPr>
        <w:pStyle w:val="Heading1"/>
      </w:pPr>
      <w:r>
        <w:t>21. Phase 6: Feedback &amp; Continuous Improvement</w:t>
      </w:r>
    </w:p>
    <w:p>
      <w:pPr>
        <w:pStyle w:val="Heading2"/>
      </w:pPr>
      <w:r>
        <w:t>Purpose</w:t>
      </w:r>
    </w:p>
    <w:p>
      <w:pPr>
        <w:pStyle w:val="ListBullet"/>
        <w:numPr>
          <w:ilvl w:val="0"/>
          <w:numId w:val="90"/>
        </w:numPr>
        <w:ind w:left="340" w:hanging="142"/>
      </w:pPr>
      <w:r>
        <w:rPr>
          <w:b w:val="0"/>
          <w:i w:val="0"/>
        </w:rPr>
        <w:t>To ensure the institution learns from its own performance.</w:t>
      </w:r>
    </w:p>
    <w:p>
      <w:pPr>
        <w:pStyle w:val="ListBullet"/>
        <w:numPr>
          <w:ilvl w:val="0"/>
          <w:numId w:val="90"/>
        </w:numPr>
        <w:ind w:left="340" w:hanging="142"/>
      </w:pPr>
      <w:r>
        <w:rPr>
          <w:b w:val="0"/>
          <w:i w:val="0"/>
        </w:rPr>
        <w:t>To capture stakeholder insights, identify gaps, and apply corrective and preventive actions.</w:t>
      </w:r>
    </w:p>
    <w:p>
      <w:pPr>
        <w:pStyle w:val="ListBullet"/>
        <w:numPr>
          <w:ilvl w:val="0"/>
          <w:numId w:val="90"/>
        </w:numPr>
        <w:ind w:left="340" w:hanging="142"/>
      </w:pPr>
      <w:r>
        <w:rPr>
          <w:b w:val="0"/>
          <w:i w:val="0"/>
        </w:rPr>
        <w:t>To embed a culture of ongoing innovation, quality enhancement, and resilience.</w:t>
      </w:r>
    </w:p>
    <w:p>
      <w:pPr>
        <w:pStyle w:val="Heading2"/>
      </w:pPr>
      <w:r>
        <w:t>Key Components</w:t>
      </w:r>
    </w:p>
    <w:p>
      <w:pPr>
        <w:pStyle w:val="Heading2"/>
      </w:pPr>
      <w:r>
        <w:t>1. Stakeholder Feedback Systems</w:t>
      </w:r>
    </w:p>
    <w:p>
      <w:pPr>
        <w:pStyle w:val="ListBullet2"/>
        <w:numPr>
          <w:ilvl w:val="1"/>
          <w:numId w:val="90"/>
        </w:numPr>
        <w:ind w:left="652" w:hanging="142"/>
      </w:pPr>
      <w:r>
        <w:rPr>
          <w:b w:val="0"/>
          <w:i w:val="0"/>
        </w:rPr>
        <w:t>Conduct structured surveys, focus groups, and town halls with students, faculty, alumni, employers, and community partners.</w:t>
      </w:r>
    </w:p>
    <w:p>
      <w:pPr>
        <w:pStyle w:val="ListBullet2"/>
        <w:numPr>
          <w:ilvl w:val="1"/>
          <w:numId w:val="90"/>
        </w:numPr>
        <w:ind w:left="652" w:hanging="142"/>
      </w:pPr>
      <w:r>
        <w:rPr>
          <w:b w:val="0"/>
          <w:i w:val="0"/>
        </w:rPr>
        <w:t>Collect feedback after each major initiative, accreditation cycle, and academic year.</w:t>
      </w:r>
    </w:p>
    <w:p>
      <w:pPr>
        <w:pStyle w:val="ListBullet2"/>
        <w:numPr>
          <w:ilvl w:val="1"/>
          <w:numId w:val="90"/>
        </w:numPr>
        <w:ind w:left="652" w:hanging="142"/>
      </w:pPr>
      <w:r>
        <w:rPr>
          <w:b w:val="0"/>
          <w:i w:val="0"/>
        </w:rPr>
        <w:t>Maintain anonymous feedback channels to encourage openness.</w:t>
      </w:r>
    </w:p>
    <w:p>
      <w:pPr>
        <w:pStyle w:val="Heading2"/>
      </w:pPr>
      <w:r>
        <w:t>2. Performance Analysis</w:t>
      </w:r>
    </w:p>
    <w:p>
      <w:pPr>
        <w:pStyle w:val="ListBullet2"/>
        <w:numPr>
          <w:ilvl w:val="1"/>
          <w:numId w:val="90"/>
        </w:numPr>
        <w:ind w:left="652" w:hanging="142"/>
      </w:pPr>
      <w:r>
        <w:rPr>
          <w:b w:val="0"/>
          <w:i w:val="0"/>
        </w:rPr>
        <w:t>Compare achieved KPIs with planned targets.</w:t>
      </w:r>
    </w:p>
    <w:p>
      <w:pPr>
        <w:pStyle w:val="ListBullet2"/>
        <w:numPr>
          <w:ilvl w:val="1"/>
          <w:numId w:val="90"/>
        </w:numPr>
        <w:ind w:left="652" w:hanging="142"/>
      </w:pPr>
      <w:r>
        <w:rPr>
          <w:b w:val="0"/>
          <w:i w:val="0"/>
        </w:rPr>
        <w:t>Benchmark performance against national (NIRF, NAAC, NBA) and global (QS, THE) standards.</w:t>
      </w:r>
    </w:p>
    <w:p>
      <w:pPr>
        <w:pStyle w:val="ListBullet2"/>
        <w:numPr>
          <w:ilvl w:val="1"/>
          <w:numId w:val="90"/>
        </w:numPr>
        <w:ind w:left="652" w:hanging="142"/>
      </w:pPr>
      <w:r>
        <w:rPr>
          <w:b w:val="0"/>
          <w:i w:val="0"/>
        </w:rPr>
        <w:t>Document gaps and areas of excellence.</w:t>
      </w:r>
    </w:p>
    <w:p>
      <w:pPr>
        <w:pStyle w:val="Heading2"/>
      </w:pPr>
      <w:r>
        <w:t>3. Quality Audits &amp; Reviews</w:t>
      </w:r>
    </w:p>
    <w:p>
      <w:pPr>
        <w:pStyle w:val="ListBullet2"/>
        <w:numPr>
          <w:ilvl w:val="1"/>
          <w:numId w:val="90"/>
        </w:numPr>
        <w:ind w:left="652" w:hanging="142"/>
      </w:pPr>
      <w:r>
        <w:rPr>
          <w:b w:val="0"/>
          <w:i w:val="0"/>
        </w:rPr>
        <w:t>Internal Quality Assurance Cell (IQAC) conducts semester and annual reviews.</w:t>
      </w:r>
    </w:p>
    <w:p>
      <w:pPr>
        <w:pStyle w:val="ListBullet2"/>
        <w:numPr>
          <w:ilvl w:val="1"/>
          <w:numId w:val="90"/>
        </w:numPr>
        <w:ind w:left="652" w:hanging="142"/>
      </w:pPr>
      <w:r>
        <w:rPr>
          <w:b w:val="0"/>
          <w:i w:val="0"/>
        </w:rPr>
        <w:t>Use external auditors and peer reviewers for independent validation.</w:t>
      </w:r>
    </w:p>
    <w:p>
      <w:pPr>
        <w:pStyle w:val="ListBullet2"/>
        <w:numPr>
          <w:ilvl w:val="1"/>
          <w:numId w:val="90"/>
        </w:numPr>
        <w:ind w:left="652" w:hanging="142"/>
      </w:pPr>
      <w:r>
        <w:rPr>
          <w:b w:val="0"/>
          <w:i w:val="0"/>
        </w:rPr>
        <w:t>Maintain compliance with NEP 2020 and SDG commitments.</w:t>
      </w:r>
    </w:p>
    <w:p>
      <w:pPr>
        <w:pStyle w:val="Heading2"/>
      </w:pPr>
      <w:r>
        <w:t>4. Corrective &amp; Preventive Actions (CAPA)</w:t>
      </w:r>
    </w:p>
    <w:p>
      <w:pPr>
        <w:pStyle w:val="ListBullet2"/>
        <w:numPr>
          <w:ilvl w:val="1"/>
          <w:numId w:val="90"/>
        </w:numPr>
        <w:ind w:left="652" w:hanging="142"/>
      </w:pPr>
      <w:r>
        <w:rPr>
          <w:b w:val="0"/>
          <w:i w:val="0"/>
        </w:rPr>
        <w:t>Apply corrective actions for underperformance (e.g., faculty training, resource reallocation).</w:t>
      </w:r>
    </w:p>
    <w:p>
      <w:pPr>
        <w:pStyle w:val="ListBullet2"/>
        <w:numPr>
          <w:ilvl w:val="1"/>
          <w:numId w:val="90"/>
        </w:numPr>
        <w:ind w:left="652" w:hanging="142"/>
      </w:pPr>
      <w:r>
        <w:rPr>
          <w:b w:val="0"/>
          <w:i w:val="0"/>
        </w:rPr>
        <w:t>Introduce preventive measures (e.g., early-warning dashboards for student performance, funding risks).</w:t>
      </w:r>
    </w:p>
    <w:p>
      <w:pPr>
        <w:pStyle w:val="ListBullet2"/>
        <w:numPr>
          <w:ilvl w:val="1"/>
          <w:numId w:val="90"/>
        </w:numPr>
        <w:ind w:left="652" w:hanging="142"/>
      </w:pPr>
      <w:r>
        <w:rPr>
          <w:b w:val="0"/>
          <w:i w:val="0"/>
        </w:rPr>
        <w:t>Document lessons learned for future planning cycles.</w:t>
      </w:r>
    </w:p>
    <w:p>
      <w:pPr>
        <w:pStyle w:val="Heading2"/>
      </w:pPr>
      <w:r>
        <w:t>5. Innovation &amp; Best Practices Repository</w:t>
      </w:r>
    </w:p>
    <w:p>
      <w:pPr>
        <w:pStyle w:val="ListBullet2"/>
        <w:numPr>
          <w:ilvl w:val="1"/>
          <w:numId w:val="90"/>
        </w:numPr>
        <w:ind w:left="652" w:hanging="142"/>
      </w:pPr>
      <w:r>
        <w:rPr>
          <w:b w:val="0"/>
          <w:i w:val="0"/>
        </w:rPr>
        <w:t>Capture successful practices (academic reforms, research projects, ISR models).</w:t>
      </w:r>
    </w:p>
    <w:p>
      <w:pPr>
        <w:pStyle w:val="ListBullet2"/>
        <w:numPr>
          <w:ilvl w:val="1"/>
          <w:numId w:val="90"/>
        </w:numPr>
        <w:ind w:left="652" w:hanging="142"/>
      </w:pPr>
      <w:r>
        <w:rPr>
          <w:b w:val="0"/>
          <w:i w:val="0"/>
        </w:rPr>
        <w:t>Share case studies within and outside the institution.</w:t>
      </w:r>
    </w:p>
    <w:p>
      <w:pPr>
        <w:pStyle w:val="ListBullet2"/>
        <w:numPr>
          <w:ilvl w:val="1"/>
          <w:numId w:val="90"/>
        </w:numPr>
        <w:ind w:left="652" w:hanging="142"/>
      </w:pPr>
      <w:r>
        <w:rPr>
          <w:b w:val="0"/>
          <w:i w:val="0"/>
        </w:rPr>
        <w:t>Nominate best practices for national and global recognition.</w:t>
      </w:r>
    </w:p>
    <w:p>
      <w:pPr>
        <w:pStyle w:val="Heading2"/>
      </w:pPr>
      <w:r>
        <w:t>6. Continuous Capacity Building</w:t>
      </w:r>
    </w:p>
    <w:p>
      <w:pPr>
        <w:pStyle w:val="ListBullet2"/>
        <w:numPr>
          <w:ilvl w:val="1"/>
          <w:numId w:val="90"/>
        </w:numPr>
        <w:ind w:left="652" w:hanging="142"/>
      </w:pPr>
      <w:r>
        <w:rPr>
          <w:b w:val="0"/>
          <w:i w:val="0"/>
        </w:rPr>
        <w:t>Train faculty and staff in new technologies, pedagogy, and leadership.</w:t>
      </w:r>
    </w:p>
    <w:p>
      <w:pPr>
        <w:pStyle w:val="ListBullet2"/>
        <w:numPr>
          <w:ilvl w:val="1"/>
          <w:numId w:val="90"/>
        </w:numPr>
        <w:ind w:left="652" w:hanging="142"/>
      </w:pPr>
      <w:r>
        <w:rPr>
          <w:b w:val="0"/>
          <w:i w:val="0"/>
        </w:rPr>
        <w:t>Introduce dynamic curriculum revisions every 3–5 years.</w:t>
      </w:r>
    </w:p>
    <w:p>
      <w:pPr>
        <w:pStyle w:val="ListBullet2"/>
        <w:numPr>
          <w:ilvl w:val="1"/>
          <w:numId w:val="90"/>
        </w:numPr>
        <w:ind w:left="652" w:hanging="142"/>
      </w:pPr>
      <w:r>
        <w:rPr>
          <w:b w:val="0"/>
          <w:i w:val="0"/>
        </w:rPr>
        <w:t>Foster an environment of lifelong learning for all stakeholders.</w:t>
      </w:r>
    </w:p>
    <w:p>
      <w:pPr>
        <w:pStyle w:val="Heading2"/>
      </w:pPr>
      <w:r>
        <w:t>7. Strategic Renewal</w:t>
      </w:r>
    </w:p>
    <w:p>
      <w:pPr>
        <w:pStyle w:val="ListBullet2"/>
        <w:numPr>
          <w:ilvl w:val="1"/>
          <w:numId w:val="90"/>
        </w:numPr>
        <w:ind w:left="652" w:hanging="142"/>
      </w:pPr>
      <w:r>
        <w:rPr>
          <w:b w:val="0"/>
          <w:i w:val="0"/>
        </w:rPr>
        <w:t>Feed insights into the next Strategic Development Plan cycle.</w:t>
      </w:r>
    </w:p>
    <w:p>
      <w:pPr>
        <w:pStyle w:val="ListBullet2"/>
        <w:numPr>
          <w:ilvl w:val="1"/>
          <w:numId w:val="90"/>
        </w:numPr>
        <w:ind w:left="652" w:hanging="142"/>
      </w:pPr>
      <w:r>
        <w:rPr>
          <w:b w:val="0"/>
          <w:i w:val="0"/>
        </w:rPr>
        <w:t>Adjust goals and KPIs based on changing policy, industry, and societal demands.</w:t>
      </w:r>
    </w:p>
    <w:p>
      <w:pPr>
        <w:pStyle w:val="ListBullet2"/>
        <w:numPr>
          <w:ilvl w:val="1"/>
          <w:numId w:val="90"/>
        </w:numPr>
        <w:ind w:left="652" w:hanging="142"/>
      </w:pPr>
      <w:r>
        <w:rPr>
          <w:b w:val="0"/>
          <w:i w:val="0"/>
        </w:rPr>
        <w:t>Ensure resilience in the face of technological, environmental, or economic shifts.</w:t>
      </w:r>
    </w:p>
    <w:p>
      <w:pPr>
        <w:pStyle w:val="Heading2"/>
      </w:pPr>
      <w:r>
        <w:t>Expected Outcomes</w:t>
      </w:r>
    </w:p>
    <w:p>
      <w:pPr>
        <w:pStyle w:val="ListBullet"/>
        <w:numPr>
          <w:ilvl w:val="0"/>
          <w:numId w:val="90"/>
        </w:numPr>
        <w:ind w:left="340" w:hanging="142"/>
      </w:pPr>
      <w:r>
        <w:rPr>
          <w:b w:val="0"/>
          <w:i w:val="0"/>
        </w:rPr>
        <w:t>Institutionalization of a continuous improvement culture.</w:t>
      </w:r>
    </w:p>
    <w:p>
      <w:pPr>
        <w:pStyle w:val="ListBullet"/>
        <w:numPr>
          <w:ilvl w:val="0"/>
          <w:numId w:val="90"/>
        </w:numPr>
        <w:ind w:left="340" w:hanging="142"/>
      </w:pPr>
      <w:r>
        <w:rPr>
          <w:b w:val="0"/>
          <w:i w:val="0"/>
        </w:rPr>
        <w:t>Stakeholder-driven enhancements in quality and relevance.</w:t>
      </w:r>
    </w:p>
    <w:p>
      <w:pPr>
        <w:pStyle w:val="ListBullet"/>
        <w:numPr>
          <w:ilvl w:val="0"/>
          <w:numId w:val="90"/>
        </w:numPr>
        <w:ind w:left="340" w:hanging="142"/>
      </w:pPr>
      <w:r>
        <w:rPr>
          <w:b w:val="0"/>
          <w:i w:val="0"/>
        </w:rPr>
        <w:t>Better readiness for accreditation and global benchmarking.</w:t>
      </w:r>
    </w:p>
    <w:p>
      <w:pPr>
        <w:pStyle w:val="ListBullet"/>
        <w:numPr>
          <w:ilvl w:val="0"/>
          <w:numId w:val="90"/>
        </w:numPr>
        <w:ind w:left="340" w:hanging="142"/>
      </w:pPr>
      <w:r>
        <w:rPr>
          <w:b w:val="0"/>
          <w:i w:val="0"/>
        </w:rPr>
        <w:t>Strong alignment with NEP 2020 reforms and UN SDGs over the long term.</w:t>
      </w:r>
    </w:p>
    <w:p>
      <w:pPr>
        <w:pStyle w:val="Heading2"/>
      </w:pPr>
      <w:r>
        <w:t>Phase 6: Feedback &amp; Continuous Improvement – Checklist Table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624"/>
        <w:gridCol w:w="2438"/>
        <w:gridCol w:w="1814"/>
        <w:gridCol w:w="2098"/>
        <w:gridCol w:w="1757"/>
        <w:gridCol w:w="680"/>
      </w:tblGrid>
      <w:tr>
        <w:trPr>
          <w:tblHeader/>
          <w:cantSplit/>
        </w:trPr>
        <w:tc>
          <w:tcPr>
            <w:tcW w:type="dxa" w:w="624"/>
            <w:vAlign w:val="center"/>
            <w:shd w:fill="1F3A5F"/>
          </w:tcPr>
          <w:p>
            <w:pPr>
              <w:keepNext/>
              <w:spacing w:after="40" w:line="276" w:lineRule="auto"/>
              <w:jc w:val="left"/>
            </w:pPr>
            <w:r>
              <w:rPr>
                <w:b/>
                <w:i w:val="0"/>
                <w:color w:val="FFFFFF"/>
              </w:rPr>
              <w:t>Step</w:t>
            </w:r>
          </w:p>
        </w:tc>
        <w:tc>
          <w:tcPr>
            <w:tcW w:type="dxa" w:w="2438"/>
            <w:vAlign w:val="center"/>
            <w:shd w:fill="1F3A5F"/>
          </w:tcPr>
          <w:p>
            <w:pPr>
              <w:keepNext/>
              <w:spacing w:after="40" w:line="276" w:lineRule="auto"/>
              <w:jc w:val="left"/>
            </w:pPr>
            <w:r>
              <w:rPr>
                <w:b/>
                <w:i w:val="0"/>
                <w:color w:val="FFFFFF"/>
              </w:rPr>
              <w:t>Task</w:t>
            </w:r>
          </w:p>
        </w:tc>
        <w:tc>
          <w:tcPr>
            <w:tcW w:type="dxa" w:w="1814"/>
            <w:vAlign w:val="center"/>
            <w:shd w:fill="1F3A5F"/>
          </w:tcPr>
          <w:p>
            <w:pPr>
              <w:keepNext/>
              <w:spacing w:after="40" w:line="276" w:lineRule="auto"/>
              <w:jc w:val="left"/>
            </w:pPr>
            <w:r>
              <w:rPr>
                <w:b/>
                <w:i w:val="0"/>
                <w:color w:val="FFFFFF"/>
              </w:rPr>
              <w:t>Responsible Unit</w:t>
            </w:r>
          </w:p>
        </w:tc>
        <w:tc>
          <w:tcPr>
            <w:tcW w:type="dxa" w:w="2098"/>
            <w:vAlign w:val="center"/>
            <w:shd w:fill="1F3A5F"/>
          </w:tcPr>
          <w:p>
            <w:pPr>
              <w:keepNext/>
              <w:spacing w:after="40" w:line="276" w:lineRule="auto"/>
              <w:jc w:val="left"/>
            </w:pPr>
            <w:r>
              <w:rPr>
                <w:b/>
                <w:i w:val="0"/>
                <w:color w:val="FFFFFF"/>
              </w:rPr>
              <w:t>Tools/​Resources Needed</w:t>
            </w:r>
          </w:p>
        </w:tc>
        <w:tc>
          <w:tcPr>
            <w:tcW w:type="dxa" w:w="1757"/>
            <w:vAlign w:val="center"/>
            <w:shd w:fill="1F3A5F"/>
          </w:tcPr>
          <w:p>
            <w:pPr>
              <w:keepNext/>
              <w:spacing w:after="40" w:line="276" w:lineRule="auto"/>
              <w:jc w:val="left"/>
            </w:pPr>
            <w:r>
              <w:rPr>
                <w:b/>
                <w:i w:val="0"/>
                <w:color w:val="FFFFFF"/>
              </w:rPr>
              <w:t>Timeline</w:t>
            </w:r>
          </w:p>
        </w:tc>
        <w:tc>
          <w:tcPr>
            <w:tcW w:type="dxa" w:w="680"/>
            <w:vAlign w:val="center"/>
            <w:shd w:fill="1F3A5F"/>
          </w:tcPr>
          <w:p>
            <w:pPr>
              <w:keepNext/>
              <w:spacing w:after="40" w:line="276" w:lineRule="auto"/>
              <w:jc w:val="left"/>
            </w:pPr>
            <w:r>
              <w:rPr>
                <w:b/>
                <w:i w:val="0"/>
                <w:color w:val="FFFFFF"/>
              </w:rPr>
              <w:t>Status</w:t>
            </w:r>
          </w:p>
        </w:tc>
      </w:tr>
      <w:tr>
        <w:trPr>
          <w:cantSplit/>
        </w:trPr>
        <w:tc>
          <w:tcPr>
            <w:tcW w:type="dxa" w:w="624"/>
            <w:vAlign w:val="center"/>
            <w:shd w:fill="FFFFFF"/>
          </w:tcPr>
          <w:p>
            <w:pPr>
              <w:spacing w:after="40" w:line="276" w:lineRule="auto"/>
              <w:jc w:val="left"/>
            </w:pPr>
            <w:r>
              <w:rPr>
                <w:b w:val="0"/>
                <w:i w:val="0"/>
              </w:rPr>
              <w:t>1</w:t>
            </w:r>
          </w:p>
        </w:tc>
        <w:tc>
          <w:tcPr>
            <w:tcW w:type="dxa" w:w="2438"/>
            <w:vAlign w:val="center"/>
            <w:shd w:fill="FFFFFF"/>
          </w:tcPr>
          <w:p>
            <w:pPr>
              <w:spacing w:after="40" w:line="276" w:lineRule="auto"/>
              <w:jc w:val="left"/>
            </w:pPr>
            <w:r>
              <w:rPr>
                <w:b w:val="0"/>
                <w:i w:val="0"/>
              </w:rPr>
              <w:t>Collect stakeholder feedback (students, faculty, alumni, employers, community)</w:t>
            </w:r>
          </w:p>
        </w:tc>
        <w:tc>
          <w:tcPr>
            <w:tcW w:type="dxa" w:w="1814"/>
            <w:vAlign w:val="center"/>
            <w:shd w:fill="FFFFFF"/>
          </w:tcPr>
          <w:p>
            <w:pPr>
              <w:spacing w:after="40" w:line="276" w:lineRule="auto"/>
              <w:jc w:val="left"/>
            </w:pPr>
            <w:r>
              <w:rPr>
                <w:b w:val="0"/>
                <w:i w:val="0"/>
              </w:rPr>
              <w:t>IQAC + PR Office + Student Affairs</w:t>
            </w:r>
          </w:p>
        </w:tc>
        <w:tc>
          <w:tcPr>
            <w:tcW w:type="dxa" w:w="2098"/>
            <w:vAlign w:val="center"/>
            <w:shd w:fill="FFFFFF"/>
          </w:tcPr>
          <w:p>
            <w:pPr>
              <w:spacing w:after="40" w:line="276" w:lineRule="auto"/>
              <w:jc w:val="left"/>
            </w:pPr>
            <w:r>
              <w:rPr>
                <w:b w:val="0"/>
                <w:i w:val="0"/>
              </w:rPr>
              <w:t>Surveys, focus groups, town halls, online feedback portals</w:t>
            </w:r>
          </w:p>
        </w:tc>
        <w:tc>
          <w:tcPr>
            <w:tcW w:type="dxa" w:w="1757"/>
            <w:vAlign w:val="center"/>
            <w:shd w:fill="FFFFFF"/>
          </w:tcPr>
          <w:p>
            <w:pPr>
              <w:spacing w:after="40" w:line="276" w:lineRule="auto"/>
              <w:jc w:val="left"/>
            </w:pPr>
            <w:r>
              <w:rPr>
                <w:b w:val="0"/>
                <w:i w:val="0"/>
              </w:rPr>
              <w:t>Semester/​Annual</w:t>
            </w:r>
          </w:p>
        </w:tc>
        <w:tc>
          <w:tcPr>
            <w:tcW w:type="dxa" w:w="680"/>
            <w:vAlign w:val="center"/>
            <w:shd w:fill="FFFFFF"/>
          </w:tcPr>
          <w:p>
            <w:pPr>
              <w:spacing w:after="40" w:line="276" w:lineRule="auto"/>
              <w:jc w:val="left"/>
            </w:pPr>
            <w:r>
              <w:rPr>
                <w:b w:val="0"/>
                <w:i w:val="0"/>
              </w:rPr>
              <w:t>□</w:t>
            </w:r>
          </w:p>
        </w:tc>
      </w:tr>
      <w:tr>
        <w:trPr>
          <w:cantSplit/>
        </w:trPr>
        <w:tc>
          <w:tcPr>
            <w:tcW w:type="dxa" w:w="624"/>
            <w:vAlign w:val="center"/>
            <w:shd w:fill="EDF2F7"/>
          </w:tcPr>
          <w:p>
            <w:pPr>
              <w:spacing w:after="40" w:line="276" w:lineRule="auto"/>
              <w:jc w:val="left"/>
            </w:pPr>
            <w:r>
              <w:rPr>
                <w:b w:val="0"/>
                <w:i w:val="0"/>
              </w:rPr>
              <w:t>2</w:t>
            </w:r>
          </w:p>
        </w:tc>
        <w:tc>
          <w:tcPr>
            <w:tcW w:type="dxa" w:w="2438"/>
            <w:vAlign w:val="center"/>
            <w:shd w:fill="EDF2F7"/>
          </w:tcPr>
          <w:p>
            <w:pPr>
              <w:spacing w:after="40" w:line="276" w:lineRule="auto"/>
              <w:jc w:val="left"/>
            </w:pPr>
            <w:r>
              <w:rPr>
                <w:b w:val="0"/>
                <w:i w:val="0"/>
              </w:rPr>
              <w:t>Benchmark institutional performance against KPIs</w:t>
            </w:r>
          </w:p>
        </w:tc>
        <w:tc>
          <w:tcPr>
            <w:tcW w:type="dxa" w:w="1814"/>
            <w:vAlign w:val="center"/>
            <w:shd w:fill="EDF2F7"/>
          </w:tcPr>
          <w:p>
            <w:pPr>
              <w:spacing w:after="40" w:line="276" w:lineRule="auto"/>
              <w:jc w:val="left"/>
            </w:pPr>
            <w:r>
              <w:rPr>
                <w:b w:val="0"/>
                <w:i w:val="0"/>
              </w:rPr>
              <w:t>Institutional Research Office + Deans</w:t>
            </w:r>
          </w:p>
        </w:tc>
        <w:tc>
          <w:tcPr>
            <w:tcW w:type="dxa" w:w="2098"/>
            <w:vAlign w:val="center"/>
            <w:shd w:fill="EDF2F7"/>
          </w:tcPr>
          <w:p>
            <w:pPr>
              <w:spacing w:after="40" w:line="276" w:lineRule="auto"/>
              <w:jc w:val="left"/>
            </w:pPr>
            <w:r>
              <w:rPr>
                <w:b w:val="0"/>
                <w:i w:val="0"/>
              </w:rPr>
              <w:t>KPI dashboards, Balanced Scorecard, NIRF/​QS/​THE reports</w:t>
            </w:r>
          </w:p>
        </w:tc>
        <w:tc>
          <w:tcPr>
            <w:tcW w:type="dxa" w:w="1757"/>
            <w:vAlign w:val="center"/>
            <w:shd w:fill="EDF2F7"/>
          </w:tcPr>
          <w:p>
            <w:pPr>
              <w:spacing w:after="40" w:line="276" w:lineRule="auto"/>
              <w:jc w:val="left"/>
            </w:pPr>
            <w:r>
              <w:rPr>
                <w:b w:val="0"/>
                <w:i w:val="0"/>
              </w:rPr>
              <w:t>Quarterly/​Annual</w:t>
            </w:r>
          </w:p>
        </w:tc>
        <w:tc>
          <w:tcPr>
            <w:tcW w:type="dxa" w:w="680"/>
            <w:vAlign w:val="center"/>
            <w:shd w:fill="EDF2F7"/>
          </w:tcPr>
          <w:p>
            <w:pPr>
              <w:spacing w:after="40" w:line="276" w:lineRule="auto"/>
              <w:jc w:val="left"/>
            </w:pPr>
            <w:r>
              <w:rPr>
                <w:b w:val="0"/>
                <w:i w:val="0"/>
              </w:rPr>
              <w:t>□</w:t>
            </w:r>
          </w:p>
        </w:tc>
      </w:tr>
      <w:tr>
        <w:trPr>
          <w:cantSplit/>
        </w:trPr>
        <w:tc>
          <w:tcPr>
            <w:tcW w:type="dxa" w:w="624"/>
            <w:vAlign w:val="center"/>
            <w:shd w:fill="FFFFFF"/>
          </w:tcPr>
          <w:p>
            <w:pPr>
              <w:spacing w:after="40" w:line="276" w:lineRule="auto"/>
              <w:jc w:val="left"/>
            </w:pPr>
            <w:r>
              <w:rPr>
                <w:b w:val="0"/>
                <w:i w:val="0"/>
              </w:rPr>
              <w:t>3</w:t>
            </w:r>
          </w:p>
        </w:tc>
        <w:tc>
          <w:tcPr>
            <w:tcW w:type="dxa" w:w="2438"/>
            <w:vAlign w:val="center"/>
            <w:shd w:fill="FFFFFF"/>
          </w:tcPr>
          <w:p>
            <w:pPr>
              <w:spacing w:after="40" w:line="276" w:lineRule="auto"/>
              <w:jc w:val="left"/>
            </w:pPr>
            <w:r>
              <w:rPr>
                <w:b w:val="0"/>
                <w:i w:val="0"/>
              </w:rPr>
              <w:t>Conduct internal quality audits</w:t>
            </w:r>
          </w:p>
        </w:tc>
        <w:tc>
          <w:tcPr>
            <w:tcW w:type="dxa" w:w="1814"/>
            <w:vAlign w:val="center"/>
            <w:shd w:fill="FFFFFF"/>
          </w:tcPr>
          <w:p>
            <w:pPr>
              <w:spacing w:after="40" w:line="276" w:lineRule="auto"/>
              <w:jc w:val="left"/>
            </w:pPr>
            <w:r>
              <w:rPr>
                <w:b w:val="0"/>
                <w:i w:val="0"/>
              </w:rPr>
              <w:t>IQAC</w:t>
            </w:r>
          </w:p>
        </w:tc>
        <w:tc>
          <w:tcPr>
            <w:tcW w:type="dxa" w:w="2098"/>
            <w:vAlign w:val="center"/>
            <w:shd w:fill="FFFFFF"/>
          </w:tcPr>
          <w:p>
            <w:pPr>
              <w:spacing w:after="40" w:line="276" w:lineRule="auto"/>
              <w:jc w:val="left"/>
            </w:pPr>
            <w:r>
              <w:rPr>
                <w:b w:val="0"/>
                <w:i w:val="0"/>
              </w:rPr>
              <w:t>Audit templates, compliance checklists</w:t>
            </w:r>
          </w:p>
        </w:tc>
        <w:tc>
          <w:tcPr>
            <w:tcW w:type="dxa" w:w="1757"/>
            <w:vAlign w:val="center"/>
            <w:shd w:fill="FFFFFF"/>
          </w:tcPr>
          <w:p>
            <w:pPr>
              <w:spacing w:after="40" w:line="276" w:lineRule="auto"/>
              <w:jc w:val="left"/>
            </w:pPr>
            <w:r>
              <w:rPr>
                <w:b w:val="0"/>
                <w:i w:val="0"/>
              </w:rPr>
              <w:t>Bi-annual</w:t>
            </w:r>
          </w:p>
        </w:tc>
        <w:tc>
          <w:tcPr>
            <w:tcW w:type="dxa" w:w="680"/>
            <w:vAlign w:val="center"/>
            <w:shd w:fill="FFFFFF"/>
          </w:tcPr>
          <w:p>
            <w:pPr>
              <w:spacing w:after="40" w:line="276" w:lineRule="auto"/>
              <w:jc w:val="left"/>
            </w:pPr>
            <w:r>
              <w:rPr>
                <w:b w:val="0"/>
                <w:i w:val="0"/>
              </w:rPr>
              <w:t>□</w:t>
            </w:r>
          </w:p>
        </w:tc>
      </w:tr>
      <w:tr>
        <w:trPr>
          <w:cantSplit/>
        </w:trPr>
        <w:tc>
          <w:tcPr>
            <w:tcW w:type="dxa" w:w="624"/>
            <w:vAlign w:val="center"/>
            <w:shd w:fill="EDF2F7"/>
          </w:tcPr>
          <w:p>
            <w:pPr>
              <w:spacing w:after="40" w:line="276" w:lineRule="auto"/>
              <w:jc w:val="left"/>
            </w:pPr>
            <w:r>
              <w:rPr>
                <w:b w:val="0"/>
                <w:i w:val="0"/>
              </w:rPr>
              <w:t>4</w:t>
            </w:r>
          </w:p>
        </w:tc>
        <w:tc>
          <w:tcPr>
            <w:tcW w:type="dxa" w:w="2438"/>
            <w:vAlign w:val="center"/>
            <w:shd w:fill="EDF2F7"/>
          </w:tcPr>
          <w:p>
            <w:pPr>
              <w:spacing w:after="40" w:line="276" w:lineRule="auto"/>
              <w:jc w:val="left"/>
            </w:pPr>
            <w:r>
              <w:rPr>
                <w:b w:val="0"/>
                <w:i w:val="0"/>
              </w:rPr>
              <w:t>Invite external reviewers for validation</w:t>
            </w:r>
          </w:p>
        </w:tc>
        <w:tc>
          <w:tcPr>
            <w:tcW w:type="dxa" w:w="1814"/>
            <w:vAlign w:val="center"/>
            <w:shd w:fill="EDF2F7"/>
          </w:tcPr>
          <w:p>
            <w:pPr>
              <w:spacing w:after="40" w:line="276" w:lineRule="auto"/>
              <w:jc w:val="left"/>
            </w:pPr>
            <w:r>
              <w:rPr>
                <w:b w:val="0"/>
                <w:i w:val="0"/>
              </w:rPr>
              <w:t>Governing Body + Accreditation Cell</w:t>
            </w:r>
          </w:p>
        </w:tc>
        <w:tc>
          <w:tcPr>
            <w:tcW w:type="dxa" w:w="2098"/>
            <w:vAlign w:val="center"/>
            <w:shd w:fill="EDF2F7"/>
          </w:tcPr>
          <w:p>
            <w:pPr>
              <w:spacing w:after="40" w:line="276" w:lineRule="auto"/>
              <w:jc w:val="left"/>
            </w:pPr>
            <w:r>
              <w:rPr>
                <w:b w:val="0"/>
                <w:i w:val="0"/>
              </w:rPr>
              <w:t>peer review panels, external auditors</w:t>
            </w:r>
          </w:p>
        </w:tc>
        <w:tc>
          <w:tcPr>
            <w:tcW w:type="dxa" w:w="1757"/>
            <w:vAlign w:val="center"/>
            <w:shd w:fill="EDF2F7"/>
          </w:tcPr>
          <w:p>
            <w:pPr>
              <w:spacing w:after="40" w:line="276" w:lineRule="auto"/>
              <w:jc w:val="left"/>
            </w:pPr>
            <w:r>
              <w:rPr>
                <w:b w:val="0"/>
                <w:i w:val="0"/>
              </w:rPr>
              <w:t>Annual/​Accreditation cycles</w:t>
            </w:r>
          </w:p>
        </w:tc>
        <w:tc>
          <w:tcPr>
            <w:tcW w:type="dxa" w:w="680"/>
            <w:vAlign w:val="center"/>
            <w:shd w:fill="EDF2F7"/>
          </w:tcPr>
          <w:p>
            <w:pPr>
              <w:spacing w:after="40" w:line="276" w:lineRule="auto"/>
              <w:jc w:val="left"/>
            </w:pPr>
            <w:r>
              <w:rPr>
                <w:b w:val="0"/>
                <w:i w:val="0"/>
              </w:rPr>
              <w:t>□</w:t>
            </w:r>
          </w:p>
        </w:tc>
      </w:tr>
      <w:tr>
        <w:trPr>
          <w:cantSplit/>
        </w:trPr>
        <w:tc>
          <w:tcPr>
            <w:tcW w:type="dxa" w:w="624"/>
            <w:vAlign w:val="center"/>
            <w:shd w:fill="FFFFFF"/>
          </w:tcPr>
          <w:p>
            <w:pPr>
              <w:spacing w:after="40" w:line="276" w:lineRule="auto"/>
              <w:jc w:val="left"/>
            </w:pPr>
            <w:r>
              <w:rPr>
                <w:b w:val="0"/>
                <w:i w:val="0"/>
              </w:rPr>
              <w:t>5</w:t>
            </w:r>
          </w:p>
        </w:tc>
        <w:tc>
          <w:tcPr>
            <w:tcW w:type="dxa" w:w="2438"/>
            <w:vAlign w:val="center"/>
            <w:shd w:fill="FFFFFF"/>
          </w:tcPr>
          <w:p>
            <w:pPr>
              <w:spacing w:after="40" w:line="276" w:lineRule="auto"/>
              <w:jc w:val="left"/>
            </w:pPr>
            <w:r>
              <w:rPr>
                <w:b w:val="0"/>
                <w:i w:val="0"/>
              </w:rPr>
              <w:t>Identify performance gaps and strengths</w:t>
            </w:r>
          </w:p>
        </w:tc>
        <w:tc>
          <w:tcPr>
            <w:tcW w:type="dxa" w:w="1814"/>
            <w:vAlign w:val="center"/>
            <w:shd w:fill="FFFFFF"/>
          </w:tcPr>
          <w:p>
            <w:pPr>
              <w:spacing w:after="40" w:line="276" w:lineRule="auto"/>
              <w:jc w:val="left"/>
            </w:pPr>
            <w:r>
              <w:rPr>
                <w:b w:val="0"/>
                <w:i w:val="0"/>
              </w:rPr>
              <w:t>IQAC + Steering Committee</w:t>
            </w:r>
          </w:p>
        </w:tc>
        <w:tc>
          <w:tcPr>
            <w:tcW w:type="dxa" w:w="2098"/>
            <w:vAlign w:val="center"/>
            <w:shd w:fill="FFFFFF"/>
          </w:tcPr>
          <w:p>
            <w:pPr>
              <w:spacing w:after="40" w:line="276" w:lineRule="auto"/>
              <w:jc w:val="left"/>
            </w:pPr>
            <w:r>
              <w:rPr>
                <w:b w:val="0"/>
                <w:i w:val="0"/>
              </w:rPr>
              <w:t>Variance analysis reports, accreditation self-studies</w:t>
            </w:r>
          </w:p>
        </w:tc>
        <w:tc>
          <w:tcPr>
            <w:tcW w:type="dxa" w:w="1757"/>
            <w:vAlign w:val="center"/>
            <w:shd w:fill="FFFFFF"/>
          </w:tcPr>
          <w:p>
            <w:pPr>
              <w:spacing w:after="40" w:line="276" w:lineRule="auto"/>
              <w:jc w:val="left"/>
            </w:pPr>
            <w:r>
              <w:rPr>
                <w:b w:val="0"/>
                <w:i w:val="0"/>
              </w:rPr>
              <w:t>Annual</w:t>
            </w:r>
          </w:p>
        </w:tc>
        <w:tc>
          <w:tcPr>
            <w:tcW w:type="dxa" w:w="680"/>
            <w:vAlign w:val="center"/>
            <w:shd w:fill="FFFFFF"/>
          </w:tcPr>
          <w:p>
            <w:pPr>
              <w:spacing w:after="40" w:line="276" w:lineRule="auto"/>
              <w:jc w:val="left"/>
            </w:pPr>
            <w:r>
              <w:rPr>
                <w:b w:val="0"/>
                <w:i w:val="0"/>
              </w:rPr>
              <w:t>□</w:t>
            </w:r>
          </w:p>
        </w:tc>
      </w:tr>
      <w:tr>
        <w:trPr>
          <w:cantSplit/>
        </w:trPr>
        <w:tc>
          <w:tcPr>
            <w:tcW w:type="dxa" w:w="624"/>
            <w:vAlign w:val="center"/>
            <w:shd w:fill="EDF2F7"/>
          </w:tcPr>
          <w:p>
            <w:pPr>
              <w:spacing w:after="40" w:line="276" w:lineRule="auto"/>
              <w:jc w:val="left"/>
            </w:pPr>
            <w:r>
              <w:rPr>
                <w:b w:val="0"/>
                <w:i w:val="0"/>
              </w:rPr>
              <w:t>6</w:t>
            </w:r>
          </w:p>
        </w:tc>
        <w:tc>
          <w:tcPr>
            <w:tcW w:type="dxa" w:w="2438"/>
            <w:vAlign w:val="center"/>
            <w:shd w:fill="EDF2F7"/>
          </w:tcPr>
          <w:p>
            <w:pPr>
              <w:spacing w:after="40" w:line="276" w:lineRule="auto"/>
              <w:jc w:val="left"/>
            </w:pPr>
            <w:r>
              <w:rPr>
                <w:b w:val="0"/>
                <w:i w:val="0"/>
              </w:rPr>
              <w:t>Implement corrective actions for underperformance</w:t>
            </w:r>
          </w:p>
        </w:tc>
        <w:tc>
          <w:tcPr>
            <w:tcW w:type="dxa" w:w="1814"/>
            <w:vAlign w:val="center"/>
            <w:shd w:fill="EDF2F7"/>
          </w:tcPr>
          <w:p>
            <w:pPr>
              <w:spacing w:after="40" w:line="276" w:lineRule="auto"/>
              <w:jc w:val="left"/>
            </w:pPr>
            <w:r>
              <w:rPr>
                <w:b w:val="0"/>
                <w:i w:val="0"/>
              </w:rPr>
              <w:t>Department Heads + Project Leads</w:t>
            </w:r>
          </w:p>
        </w:tc>
        <w:tc>
          <w:tcPr>
            <w:tcW w:type="dxa" w:w="2098"/>
            <w:vAlign w:val="center"/>
            <w:shd w:fill="EDF2F7"/>
          </w:tcPr>
          <w:p>
            <w:pPr>
              <w:spacing w:after="40" w:line="276" w:lineRule="auto"/>
              <w:jc w:val="left"/>
            </w:pPr>
            <w:r>
              <w:rPr>
                <w:b w:val="0"/>
                <w:i w:val="0"/>
              </w:rPr>
              <w:t>Training modules, resource reallocation plans</w:t>
            </w:r>
          </w:p>
        </w:tc>
        <w:tc>
          <w:tcPr>
            <w:tcW w:type="dxa" w:w="1757"/>
            <w:vAlign w:val="center"/>
            <w:shd w:fill="EDF2F7"/>
          </w:tcPr>
          <w:p>
            <w:pPr>
              <w:spacing w:after="40" w:line="276" w:lineRule="auto"/>
              <w:jc w:val="left"/>
            </w:pPr>
            <w:r>
              <w:rPr>
                <w:b w:val="0"/>
                <w:i w:val="0"/>
              </w:rPr>
              <w:t>As needed</w:t>
            </w:r>
          </w:p>
        </w:tc>
        <w:tc>
          <w:tcPr>
            <w:tcW w:type="dxa" w:w="680"/>
            <w:vAlign w:val="center"/>
            <w:shd w:fill="EDF2F7"/>
          </w:tcPr>
          <w:p>
            <w:pPr>
              <w:spacing w:after="40" w:line="276" w:lineRule="auto"/>
              <w:jc w:val="left"/>
            </w:pPr>
            <w:r>
              <w:rPr>
                <w:b w:val="0"/>
                <w:i w:val="0"/>
              </w:rPr>
              <w:t>□</w:t>
            </w:r>
          </w:p>
        </w:tc>
      </w:tr>
      <w:tr>
        <w:trPr>
          <w:cantSplit/>
        </w:trPr>
        <w:tc>
          <w:tcPr>
            <w:tcW w:type="dxa" w:w="624"/>
            <w:vAlign w:val="center"/>
            <w:shd w:fill="FFFFFF"/>
          </w:tcPr>
          <w:p>
            <w:pPr>
              <w:spacing w:after="40" w:line="276" w:lineRule="auto"/>
              <w:jc w:val="left"/>
            </w:pPr>
            <w:r>
              <w:rPr>
                <w:b w:val="0"/>
                <w:i w:val="0"/>
              </w:rPr>
              <w:t>7</w:t>
            </w:r>
          </w:p>
        </w:tc>
        <w:tc>
          <w:tcPr>
            <w:tcW w:type="dxa" w:w="2438"/>
            <w:vAlign w:val="center"/>
            <w:shd w:fill="FFFFFF"/>
          </w:tcPr>
          <w:p>
            <w:pPr>
              <w:spacing w:after="40" w:line="276" w:lineRule="auto"/>
              <w:jc w:val="left"/>
            </w:pPr>
            <w:r>
              <w:rPr>
                <w:b w:val="0"/>
                <w:i w:val="0"/>
              </w:rPr>
              <w:t>Apply preventive measures to avoid future risks</w:t>
            </w:r>
          </w:p>
        </w:tc>
        <w:tc>
          <w:tcPr>
            <w:tcW w:type="dxa" w:w="1814"/>
            <w:vAlign w:val="center"/>
            <w:shd w:fill="FFFFFF"/>
          </w:tcPr>
          <w:p>
            <w:pPr>
              <w:spacing w:after="40" w:line="276" w:lineRule="auto"/>
              <w:jc w:val="left"/>
            </w:pPr>
            <w:r>
              <w:rPr>
                <w:b w:val="0"/>
                <w:i w:val="0"/>
              </w:rPr>
              <w:t>Risk Management Committee</w:t>
            </w:r>
          </w:p>
        </w:tc>
        <w:tc>
          <w:tcPr>
            <w:tcW w:type="dxa" w:w="2098"/>
            <w:vAlign w:val="center"/>
            <w:shd w:fill="FFFFFF"/>
          </w:tcPr>
          <w:p>
            <w:pPr>
              <w:spacing w:after="40" w:line="276" w:lineRule="auto"/>
              <w:jc w:val="left"/>
            </w:pPr>
            <w:r>
              <w:rPr>
                <w:b w:val="0"/>
                <w:i w:val="0"/>
              </w:rPr>
              <w:t>Risk registers, forecasting tools</w:t>
            </w:r>
          </w:p>
        </w:tc>
        <w:tc>
          <w:tcPr>
            <w:tcW w:type="dxa" w:w="1757"/>
            <w:vAlign w:val="center"/>
            <w:shd w:fill="FFFFFF"/>
          </w:tcPr>
          <w:p>
            <w:pPr>
              <w:spacing w:after="40" w:line="276" w:lineRule="auto"/>
              <w:jc w:val="left"/>
            </w:pPr>
            <w:r>
              <w:rPr>
                <w:b w:val="0"/>
                <w:i w:val="0"/>
              </w:rPr>
              <w:t>Ongoing</w:t>
            </w:r>
          </w:p>
        </w:tc>
        <w:tc>
          <w:tcPr>
            <w:tcW w:type="dxa" w:w="680"/>
            <w:vAlign w:val="center"/>
            <w:shd w:fill="FFFFFF"/>
          </w:tcPr>
          <w:p>
            <w:pPr>
              <w:spacing w:after="40" w:line="276" w:lineRule="auto"/>
              <w:jc w:val="left"/>
            </w:pPr>
            <w:r>
              <w:rPr>
                <w:b w:val="0"/>
                <w:i w:val="0"/>
              </w:rPr>
              <w:t>□</w:t>
            </w:r>
          </w:p>
        </w:tc>
      </w:tr>
      <w:tr>
        <w:trPr>
          <w:cantSplit/>
        </w:trPr>
        <w:tc>
          <w:tcPr>
            <w:tcW w:type="dxa" w:w="624"/>
            <w:vAlign w:val="center"/>
            <w:shd w:fill="EDF2F7"/>
          </w:tcPr>
          <w:p>
            <w:pPr>
              <w:spacing w:after="40" w:line="276" w:lineRule="auto"/>
              <w:jc w:val="left"/>
            </w:pPr>
            <w:r>
              <w:rPr>
                <w:b w:val="0"/>
                <w:i w:val="0"/>
              </w:rPr>
              <w:t>8</w:t>
            </w:r>
          </w:p>
        </w:tc>
        <w:tc>
          <w:tcPr>
            <w:tcW w:type="dxa" w:w="2438"/>
            <w:vAlign w:val="center"/>
            <w:shd w:fill="EDF2F7"/>
          </w:tcPr>
          <w:p>
            <w:pPr>
              <w:spacing w:after="40" w:line="276" w:lineRule="auto"/>
              <w:jc w:val="left"/>
            </w:pPr>
            <w:r>
              <w:rPr>
                <w:b w:val="0"/>
                <w:i w:val="0"/>
              </w:rPr>
              <w:t>Document best practices and lessons learned</w:t>
            </w:r>
          </w:p>
        </w:tc>
        <w:tc>
          <w:tcPr>
            <w:tcW w:type="dxa" w:w="1814"/>
            <w:vAlign w:val="center"/>
            <w:shd w:fill="EDF2F7"/>
          </w:tcPr>
          <w:p>
            <w:pPr>
              <w:spacing w:after="40" w:line="276" w:lineRule="auto"/>
              <w:jc w:val="left"/>
            </w:pPr>
            <w:r>
              <w:rPr>
                <w:b w:val="0"/>
                <w:i w:val="0"/>
              </w:rPr>
              <w:t>IQAC + Deans + Research Office</w:t>
            </w:r>
          </w:p>
        </w:tc>
        <w:tc>
          <w:tcPr>
            <w:tcW w:type="dxa" w:w="2098"/>
            <w:vAlign w:val="center"/>
            <w:shd w:fill="EDF2F7"/>
          </w:tcPr>
          <w:p>
            <w:pPr>
              <w:spacing w:after="40" w:line="276" w:lineRule="auto"/>
              <w:jc w:val="left"/>
            </w:pPr>
            <w:r>
              <w:rPr>
                <w:b w:val="0"/>
                <w:i w:val="0"/>
              </w:rPr>
              <w:t>Institutional repository, case studies</w:t>
            </w:r>
          </w:p>
        </w:tc>
        <w:tc>
          <w:tcPr>
            <w:tcW w:type="dxa" w:w="1757"/>
            <w:vAlign w:val="center"/>
            <w:shd w:fill="EDF2F7"/>
          </w:tcPr>
          <w:p>
            <w:pPr>
              <w:spacing w:after="40" w:line="276" w:lineRule="auto"/>
              <w:jc w:val="left"/>
            </w:pPr>
            <w:r>
              <w:rPr>
                <w:b w:val="0"/>
                <w:i w:val="0"/>
              </w:rPr>
              <w:t>Annual</w:t>
            </w:r>
          </w:p>
        </w:tc>
        <w:tc>
          <w:tcPr>
            <w:tcW w:type="dxa" w:w="680"/>
            <w:vAlign w:val="center"/>
            <w:shd w:fill="EDF2F7"/>
          </w:tcPr>
          <w:p>
            <w:pPr>
              <w:spacing w:after="40" w:line="276" w:lineRule="auto"/>
              <w:jc w:val="left"/>
            </w:pPr>
            <w:r>
              <w:rPr>
                <w:b w:val="0"/>
                <w:i w:val="0"/>
              </w:rPr>
              <w:t>□</w:t>
            </w:r>
          </w:p>
        </w:tc>
      </w:tr>
      <w:tr>
        <w:trPr>
          <w:cantSplit/>
        </w:trPr>
        <w:tc>
          <w:tcPr>
            <w:tcW w:type="dxa" w:w="624"/>
            <w:vAlign w:val="center"/>
            <w:shd w:fill="FFFFFF"/>
          </w:tcPr>
          <w:p>
            <w:pPr>
              <w:spacing w:after="40" w:line="276" w:lineRule="auto"/>
              <w:jc w:val="left"/>
            </w:pPr>
            <w:r>
              <w:rPr>
                <w:b w:val="0"/>
                <w:i w:val="0"/>
              </w:rPr>
              <w:t>9</w:t>
            </w:r>
          </w:p>
        </w:tc>
        <w:tc>
          <w:tcPr>
            <w:tcW w:type="dxa" w:w="2438"/>
            <w:vAlign w:val="center"/>
            <w:shd w:fill="FFFFFF"/>
          </w:tcPr>
          <w:p>
            <w:pPr>
              <w:spacing w:after="40" w:line="276" w:lineRule="auto"/>
              <w:jc w:val="left"/>
            </w:pPr>
            <w:r>
              <w:rPr>
                <w:b w:val="0"/>
                <w:i w:val="0"/>
              </w:rPr>
              <w:t>Share best practices internally &amp; externally</w:t>
            </w:r>
          </w:p>
        </w:tc>
        <w:tc>
          <w:tcPr>
            <w:tcW w:type="dxa" w:w="1814"/>
            <w:vAlign w:val="center"/>
            <w:shd w:fill="FFFFFF"/>
          </w:tcPr>
          <w:p>
            <w:pPr>
              <w:spacing w:after="40" w:line="276" w:lineRule="auto"/>
              <w:jc w:val="left"/>
            </w:pPr>
            <w:r>
              <w:rPr>
                <w:b w:val="0"/>
                <w:i w:val="0"/>
              </w:rPr>
              <w:t>PR Office + Leadership</w:t>
            </w:r>
          </w:p>
        </w:tc>
        <w:tc>
          <w:tcPr>
            <w:tcW w:type="dxa" w:w="2098"/>
            <w:vAlign w:val="center"/>
            <w:shd w:fill="FFFFFF"/>
          </w:tcPr>
          <w:p>
            <w:pPr>
              <w:spacing w:after="40" w:line="276" w:lineRule="auto"/>
              <w:jc w:val="left"/>
            </w:pPr>
            <w:r>
              <w:rPr>
                <w:b w:val="0"/>
                <w:i w:val="0"/>
              </w:rPr>
              <w:t>Reports, conferences, publications</w:t>
            </w:r>
          </w:p>
        </w:tc>
        <w:tc>
          <w:tcPr>
            <w:tcW w:type="dxa" w:w="1757"/>
            <w:vAlign w:val="center"/>
            <w:shd w:fill="FFFFFF"/>
          </w:tcPr>
          <w:p>
            <w:pPr>
              <w:spacing w:after="40" w:line="276" w:lineRule="auto"/>
              <w:jc w:val="left"/>
            </w:pPr>
            <w:r>
              <w:rPr>
                <w:b w:val="0"/>
                <w:i w:val="0"/>
              </w:rPr>
              <w:t>Annual</w:t>
            </w:r>
          </w:p>
        </w:tc>
        <w:tc>
          <w:tcPr>
            <w:tcW w:type="dxa" w:w="680"/>
            <w:vAlign w:val="center"/>
            <w:shd w:fill="FFFFFF"/>
          </w:tcPr>
          <w:p>
            <w:pPr>
              <w:spacing w:after="40" w:line="276" w:lineRule="auto"/>
              <w:jc w:val="left"/>
            </w:pPr>
            <w:r>
              <w:rPr>
                <w:b w:val="0"/>
                <w:i w:val="0"/>
              </w:rPr>
              <w:t>□</w:t>
            </w:r>
          </w:p>
        </w:tc>
      </w:tr>
      <w:tr>
        <w:trPr>
          <w:cantSplit/>
        </w:trPr>
        <w:tc>
          <w:tcPr>
            <w:tcW w:type="dxa" w:w="624"/>
            <w:vAlign w:val="center"/>
            <w:shd w:fill="EDF2F7"/>
          </w:tcPr>
          <w:p>
            <w:pPr>
              <w:spacing w:after="40" w:line="276" w:lineRule="auto"/>
              <w:jc w:val="left"/>
            </w:pPr>
            <w:r>
              <w:rPr>
                <w:b w:val="0"/>
                <w:i w:val="0"/>
              </w:rPr>
              <w:t>10</w:t>
            </w:r>
          </w:p>
        </w:tc>
        <w:tc>
          <w:tcPr>
            <w:tcW w:type="dxa" w:w="2438"/>
            <w:vAlign w:val="center"/>
            <w:shd w:fill="EDF2F7"/>
          </w:tcPr>
          <w:p>
            <w:pPr>
              <w:spacing w:after="40" w:line="276" w:lineRule="auto"/>
              <w:jc w:val="left"/>
            </w:pPr>
            <w:r>
              <w:rPr>
                <w:b w:val="0"/>
                <w:i w:val="0"/>
              </w:rPr>
              <w:t>Conduct faculty &amp; staff capacity-building programs</w:t>
            </w:r>
          </w:p>
        </w:tc>
        <w:tc>
          <w:tcPr>
            <w:tcW w:type="dxa" w:w="1814"/>
            <w:vAlign w:val="center"/>
            <w:shd w:fill="EDF2F7"/>
          </w:tcPr>
          <w:p>
            <w:pPr>
              <w:spacing w:after="40" w:line="276" w:lineRule="auto"/>
              <w:jc w:val="left"/>
            </w:pPr>
            <w:r>
              <w:rPr>
                <w:b w:val="0"/>
                <w:i w:val="0"/>
              </w:rPr>
              <w:t>HR Office + IQAC</w:t>
            </w:r>
          </w:p>
        </w:tc>
        <w:tc>
          <w:tcPr>
            <w:tcW w:type="dxa" w:w="2098"/>
            <w:vAlign w:val="center"/>
            <w:shd w:fill="EDF2F7"/>
          </w:tcPr>
          <w:p>
            <w:pPr>
              <w:spacing w:after="40" w:line="276" w:lineRule="auto"/>
              <w:jc w:val="left"/>
            </w:pPr>
            <w:r>
              <w:rPr>
                <w:b w:val="0"/>
                <w:i w:val="0"/>
              </w:rPr>
              <w:t>FDPs, workshops, leadership training</w:t>
            </w:r>
          </w:p>
        </w:tc>
        <w:tc>
          <w:tcPr>
            <w:tcW w:type="dxa" w:w="1757"/>
            <w:vAlign w:val="center"/>
            <w:shd w:fill="EDF2F7"/>
          </w:tcPr>
          <w:p>
            <w:pPr>
              <w:spacing w:after="40" w:line="276" w:lineRule="auto"/>
              <w:jc w:val="left"/>
            </w:pPr>
            <w:r>
              <w:rPr>
                <w:b w:val="0"/>
                <w:i w:val="0"/>
              </w:rPr>
              <w:t>Ongoing</w:t>
            </w:r>
          </w:p>
        </w:tc>
        <w:tc>
          <w:tcPr>
            <w:tcW w:type="dxa" w:w="680"/>
            <w:vAlign w:val="center"/>
            <w:shd w:fill="EDF2F7"/>
          </w:tcPr>
          <w:p>
            <w:pPr>
              <w:spacing w:after="40" w:line="276" w:lineRule="auto"/>
              <w:jc w:val="left"/>
            </w:pPr>
            <w:r>
              <w:rPr>
                <w:b w:val="0"/>
                <w:i w:val="0"/>
              </w:rPr>
              <w:t>□</w:t>
            </w:r>
          </w:p>
        </w:tc>
      </w:tr>
      <w:tr>
        <w:trPr>
          <w:cantSplit/>
        </w:trPr>
        <w:tc>
          <w:tcPr>
            <w:tcW w:type="dxa" w:w="624"/>
            <w:vAlign w:val="center"/>
            <w:shd w:fill="FFFFFF"/>
          </w:tcPr>
          <w:p>
            <w:pPr>
              <w:spacing w:after="40" w:line="276" w:lineRule="auto"/>
              <w:jc w:val="left"/>
            </w:pPr>
            <w:r>
              <w:rPr>
                <w:b w:val="0"/>
                <w:i w:val="0"/>
              </w:rPr>
              <w:t>11</w:t>
            </w:r>
          </w:p>
        </w:tc>
        <w:tc>
          <w:tcPr>
            <w:tcW w:type="dxa" w:w="2438"/>
            <w:vAlign w:val="center"/>
            <w:shd w:fill="FFFFFF"/>
          </w:tcPr>
          <w:p>
            <w:pPr>
              <w:spacing w:after="40" w:line="276" w:lineRule="auto"/>
              <w:jc w:val="left"/>
            </w:pPr>
            <w:r>
              <w:rPr>
                <w:b w:val="0"/>
                <w:i w:val="0"/>
              </w:rPr>
              <w:t>Update curriculum and processes based on insights</w:t>
            </w:r>
          </w:p>
        </w:tc>
        <w:tc>
          <w:tcPr>
            <w:tcW w:type="dxa" w:w="1814"/>
            <w:vAlign w:val="center"/>
            <w:shd w:fill="FFFFFF"/>
          </w:tcPr>
          <w:p>
            <w:pPr>
              <w:spacing w:after="40" w:line="276" w:lineRule="auto"/>
              <w:jc w:val="left"/>
            </w:pPr>
            <w:r>
              <w:rPr>
                <w:b w:val="0"/>
                <w:i w:val="0"/>
              </w:rPr>
              <w:t>Academic Council + Curriculum Committee</w:t>
            </w:r>
          </w:p>
        </w:tc>
        <w:tc>
          <w:tcPr>
            <w:tcW w:type="dxa" w:w="2098"/>
            <w:vAlign w:val="center"/>
            <w:shd w:fill="FFFFFF"/>
          </w:tcPr>
          <w:p>
            <w:pPr>
              <w:spacing w:after="40" w:line="276" w:lineRule="auto"/>
              <w:jc w:val="left"/>
            </w:pPr>
            <w:r>
              <w:rPr>
                <w:b w:val="0"/>
                <w:i w:val="0"/>
              </w:rPr>
              <w:t>NEP 2020 guidelines, industry advisory input</w:t>
            </w:r>
          </w:p>
        </w:tc>
        <w:tc>
          <w:tcPr>
            <w:tcW w:type="dxa" w:w="1757"/>
            <w:vAlign w:val="center"/>
            <w:shd w:fill="FFFFFF"/>
          </w:tcPr>
          <w:p>
            <w:pPr>
              <w:spacing w:after="40" w:line="276" w:lineRule="auto"/>
              <w:jc w:val="left"/>
            </w:pPr>
            <w:r>
              <w:rPr>
                <w:b w:val="0"/>
                <w:i w:val="0"/>
              </w:rPr>
              <w:t>Every 3–5 years</w:t>
            </w:r>
          </w:p>
        </w:tc>
        <w:tc>
          <w:tcPr>
            <w:tcW w:type="dxa" w:w="680"/>
            <w:vAlign w:val="center"/>
            <w:shd w:fill="FFFFFF"/>
          </w:tcPr>
          <w:p>
            <w:pPr>
              <w:spacing w:after="40" w:line="276" w:lineRule="auto"/>
              <w:jc w:val="left"/>
            </w:pPr>
            <w:r>
              <w:rPr>
                <w:b w:val="0"/>
                <w:i w:val="0"/>
              </w:rPr>
              <w:t>□</w:t>
            </w:r>
          </w:p>
        </w:tc>
      </w:tr>
      <w:tr>
        <w:trPr>
          <w:cantSplit/>
        </w:trPr>
        <w:tc>
          <w:tcPr>
            <w:tcW w:type="dxa" w:w="624"/>
            <w:vAlign w:val="center"/>
            <w:shd w:fill="EDF2F7"/>
          </w:tcPr>
          <w:p>
            <w:pPr>
              <w:spacing w:after="40" w:line="276" w:lineRule="auto"/>
              <w:jc w:val="left"/>
            </w:pPr>
            <w:r>
              <w:rPr>
                <w:b w:val="0"/>
                <w:i w:val="0"/>
              </w:rPr>
              <w:t>12</w:t>
            </w:r>
          </w:p>
        </w:tc>
        <w:tc>
          <w:tcPr>
            <w:tcW w:type="dxa" w:w="2438"/>
            <w:vAlign w:val="center"/>
            <w:shd w:fill="EDF2F7"/>
          </w:tcPr>
          <w:p>
            <w:pPr>
              <w:spacing w:after="40" w:line="276" w:lineRule="auto"/>
              <w:jc w:val="left"/>
            </w:pPr>
            <w:r>
              <w:rPr>
                <w:b w:val="0"/>
                <w:i w:val="0"/>
              </w:rPr>
              <w:t>Feed insights into next strategic cycle</w:t>
            </w:r>
          </w:p>
        </w:tc>
        <w:tc>
          <w:tcPr>
            <w:tcW w:type="dxa" w:w="1814"/>
            <w:vAlign w:val="center"/>
            <w:shd w:fill="EDF2F7"/>
          </w:tcPr>
          <w:p>
            <w:pPr>
              <w:spacing w:after="40" w:line="276" w:lineRule="auto"/>
              <w:jc w:val="left"/>
            </w:pPr>
            <w:r>
              <w:rPr>
                <w:b w:val="0"/>
                <w:i w:val="0"/>
              </w:rPr>
              <w:t>Governing Body + IQAC</w:t>
            </w:r>
          </w:p>
        </w:tc>
        <w:tc>
          <w:tcPr>
            <w:tcW w:type="dxa" w:w="2098"/>
            <w:vAlign w:val="center"/>
            <w:shd w:fill="EDF2F7"/>
          </w:tcPr>
          <w:p>
            <w:pPr>
              <w:spacing w:after="40" w:line="276" w:lineRule="auto"/>
              <w:jc w:val="left"/>
            </w:pPr>
            <w:r>
              <w:rPr>
                <w:b w:val="0"/>
                <w:i w:val="0"/>
              </w:rPr>
              <w:t>Strategic renewal reports, new SDP drafts</w:t>
            </w:r>
          </w:p>
        </w:tc>
        <w:tc>
          <w:tcPr>
            <w:tcW w:type="dxa" w:w="1757"/>
            <w:vAlign w:val="center"/>
            <w:shd w:fill="EDF2F7"/>
          </w:tcPr>
          <w:p>
            <w:pPr>
              <w:spacing w:after="40" w:line="276" w:lineRule="auto"/>
              <w:jc w:val="left"/>
            </w:pPr>
            <w:r>
              <w:rPr>
                <w:b w:val="0"/>
                <w:i w:val="0"/>
              </w:rPr>
              <w:t>End of SDP cycle (every 5 years)</w:t>
            </w:r>
          </w:p>
        </w:tc>
        <w:tc>
          <w:tcPr>
            <w:tcW w:type="dxa" w:w="680"/>
            <w:vAlign w:val="center"/>
            <w:shd w:fill="EDF2F7"/>
          </w:tcPr>
          <w:p>
            <w:pPr>
              <w:spacing w:after="40" w:line="276" w:lineRule="auto"/>
              <w:jc w:val="left"/>
            </w:pPr>
            <w:r>
              <w:rPr>
                <w:b w:val="0"/>
                <w:i w:val="0"/>
              </w:rPr>
              <w:t>□</w:t>
            </w:r>
          </w:p>
        </w:tc>
      </w:tr>
    </w:tbl>
    <w:p>
      <w:pPr>
        <w:spacing w:after="40"/>
      </w:pPr>
    </w:p>
    <w:p>
      <w:pPr>
        <w:pStyle w:val="Heading2"/>
      </w:pPr>
      <w:r>
        <w:t>Phase 6: Feedback &amp; Continuous Improvement – RACI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757"/>
        <w:gridCol w:w="1928"/>
        <w:gridCol w:w="1928"/>
        <w:gridCol w:w="1871"/>
        <w:gridCol w:w="1928"/>
      </w:tblGrid>
      <w:tr>
        <w:trPr>
          <w:tblHeader/>
          <w:cantSplit/>
        </w:trPr>
        <w:tc>
          <w:tcPr>
            <w:tcW w:type="dxa" w:w="1757"/>
            <w:vAlign w:val="center"/>
            <w:shd w:fill="1F3A5F"/>
          </w:tcPr>
          <w:p>
            <w:pPr>
              <w:keepNext/>
              <w:spacing w:after="40" w:line="276" w:lineRule="auto"/>
              <w:jc w:val="left"/>
            </w:pPr>
            <w:r>
              <w:rPr>
                <w:b/>
                <w:i w:val="0"/>
                <w:color w:val="FFFFFF"/>
              </w:rPr>
              <w:t>Task / Activity</w:t>
            </w:r>
          </w:p>
        </w:tc>
        <w:tc>
          <w:tcPr>
            <w:tcW w:type="dxa" w:w="1928"/>
            <w:vAlign w:val="center"/>
            <w:shd w:fill="1F3A5F"/>
          </w:tcPr>
          <w:p>
            <w:pPr>
              <w:keepNext/>
              <w:spacing w:after="40" w:line="276" w:lineRule="auto"/>
              <w:jc w:val="left"/>
            </w:pPr>
            <w:r>
              <w:rPr>
                <w:b/>
                <w:i w:val="0"/>
                <w:color w:val="FFFFFF"/>
              </w:rPr>
              <w:t>Responsible (R)</w:t>
            </w:r>
          </w:p>
        </w:tc>
        <w:tc>
          <w:tcPr>
            <w:tcW w:type="dxa" w:w="1928"/>
            <w:vAlign w:val="center"/>
            <w:shd w:fill="1F3A5F"/>
          </w:tcPr>
          <w:p>
            <w:pPr>
              <w:keepNext/>
              <w:spacing w:after="40" w:line="276" w:lineRule="auto"/>
              <w:jc w:val="left"/>
            </w:pPr>
            <w:r>
              <w:rPr>
                <w:b/>
                <w:i w:val="0"/>
                <w:color w:val="FFFFFF"/>
              </w:rPr>
              <w:t>Accountable (A)</w:t>
            </w:r>
          </w:p>
        </w:tc>
        <w:tc>
          <w:tcPr>
            <w:tcW w:type="dxa" w:w="1871"/>
            <w:vAlign w:val="center"/>
            <w:shd w:fill="1F3A5F"/>
          </w:tcPr>
          <w:p>
            <w:pPr>
              <w:keepNext/>
              <w:spacing w:after="40" w:line="276" w:lineRule="auto"/>
              <w:jc w:val="left"/>
            </w:pPr>
            <w:r>
              <w:rPr>
                <w:b/>
                <w:i w:val="0"/>
                <w:color w:val="FFFFFF"/>
              </w:rPr>
              <w:t>Consulted (C)</w:t>
            </w:r>
          </w:p>
        </w:tc>
        <w:tc>
          <w:tcPr>
            <w:tcW w:type="dxa" w:w="1928"/>
            <w:vAlign w:val="center"/>
            <w:shd w:fill="1F3A5F"/>
          </w:tcPr>
          <w:p>
            <w:pPr>
              <w:keepNext/>
              <w:spacing w:after="40" w:line="276" w:lineRule="auto"/>
              <w:jc w:val="left"/>
            </w:pPr>
            <w:r>
              <w:rPr>
                <w:b/>
                <w:i w:val="0"/>
                <w:color w:val="FFFFFF"/>
              </w:rPr>
              <w:t>Informed (I)</w:t>
            </w:r>
          </w:p>
        </w:tc>
      </w:tr>
      <w:tr>
        <w:trPr>
          <w:cantSplit/>
        </w:trPr>
        <w:tc>
          <w:tcPr>
            <w:tcW w:type="dxa" w:w="1757"/>
            <w:vAlign w:val="center"/>
            <w:shd w:fill="FFFFFF"/>
          </w:tcPr>
          <w:p>
            <w:pPr>
              <w:spacing w:after="40" w:line="276" w:lineRule="auto"/>
              <w:jc w:val="left"/>
            </w:pPr>
            <w:r>
              <w:rPr>
                <w:b w:val="0"/>
                <w:i w:val="0"/>
              </w:rPr>
              <w:t>Collect stakeholder feedback (students, faculty, alumni, employers, community)</w:t>
            </w:r>
          </w:p>
        </w:tc>
        <w:tc>
          <w:tcPr>
            <w:tcW w:type="dxa" w:w="1928"/>
            <w:vAlign w:val="center"/>
            <w:shd w:fill="FFFFFF"/>
          </w:tcPr>
          <w:p>
            <w:pPr>
              <w:spacing w:after="40" w:line="276" w:lineRule="auto"/>
              <w:jc w:val="left"/>
            </w:pPr>
            <w:r>
              <w:rPr>
                <w:b w:val="0"/>
                <w:i w:val="0"/>
              </w:rPr>
              <w:t>IQAC, PR office, Student Affairs</w:t>
            </w:r>
          </w:p>
        </w:tc>
        <w:tc>
          <w:tcPr>
            <w:tcW w:type="dxa" w:w="1928"/>
            <w:vAlign w:val="center"/>
            <w:shd w:fill="FFFFFF"/>
          </w:tcPr>
          <w:p>
            <w:pPr>
              <w:spacing w:after="40" w:line="276" w:lineRule="auto"/>
              <w:jc w:val="left"/>
            </w:pPr>
            <w:r>
              <w:rPr>
                <w:b w:val="0"/>
                <w:i w:val="0"/>
              </w:rPr>
              <w:t>Registrar</w:t>
            </w:r>
          </w:p>
        </w:tc>
        <w:tc>
          <w:tcPr>
            <w:tcW w:type="dxa" w:w="1871"/>
            <w:vAlign w:val="center"/>
            <w:shd w:fill="FFFFFF"/>
          </w:tcPr>
          <w:p>
            <w:pPr>
              <w:spacing w:after="40" w:line="276" w:lineRule="auto"/>
              <w:jc w:val="left"/>
            </w:pPr>
            <w:r>
              <w:rPr>
                <w:b w:val="0"/>
                <w:i w:val="0"/>
              </w:rPr>
              <w:t>Student Council, Alumni Office, Industry Partners</w:t>
            </w:r>
          </w:p>
        </w:tc>
        <w:tc>
          <w:tcPr>
            <w:tcW w:type="dxa" w:w="1928"/>
            <w:vAlign w:val="center"/>
            <w:shd w:fill="FFFFFF"/>
          </w:tcPr>
          <w:p>
            <w:pPr>
              <w:spacing w:after="40" w:line="276" w:lineRule="auto"/>
              <w:jc w:val="left"/>
            </w:pPr>
            <w:r>
              <w:rPr>
                <w:b w:val="0"/>
                <w:i w:val="0"/>
              </w:rPr>
              <w:t>Governing Body, Faculty, Students</w:t>
            </w:r>
          </w:p>
        </w:tc>
      </w:tr>
      <w:tr>
        <w:trPr>
          <w:cantSplit/>
        </w:trPr>
        <w:tc>
          <w:tcPr>
            <w:tcW w:type="dxa" w:w="1757"/>
            <w:vAlign w:val="center"/>
            <w:shd w:fill="EDF2F7"/>
          </w:tcPr>
          <w:p>
            <w:pPr>
              <w:spacing w:after="40" w:line="276" w:lineRule="auto"/>
              <w:jc w:val="left"/>
            </w:pPr>
            <w:r>
              <w:rPr>
                <w:b w:val="0"/>
                <w:i w:val="0"/>
              </w:rPr>
              <w:t>Benchmark institutional performance against KPIs</w:t>
            </w:r>
          </w:p>
        </w:tc>
        <w:tc>
          <w:tcPr>
            <w:tcW w:type="dxa" w:w="1928"/>
            <w:vAlign w:val="center"/>
            <w:shd w:fill="EDF2F7"/>
          </w:tcPr>
          <w:p>
            <w:pPr>
              <w:spacing w:after="40" w:line="276" w:lineRule="auto"/>
              <w:jc w:val="left"/>
            </w:pPr>
            <w:r>
              <w:rPr>
                <w:b w:val="0"/>
                <w:i w:val="0"/>
              </w:rPr>
              <w:t>Institutional Research Office</w:t>
            </w:r>
          </w:p>
        </w:tc>
        <w:tc>
          <w:tcPr>
            <w:tcW w:type="dxa" w:w="1928"/>
            <w:vAlign w:val="center"/>
            <w:shd w:fill="EDF2F7"/>
          </w:tcPr>
          <w:p>
            <w:pPr>
              <w:spacing w:after="40" w:line="276" w:lineRule="auto"/>
              <w:jc w:val="left"/>
            </w:pPr>
            <w:r>
              <w:rPr>
                <w:b w:val="0"/>
                <w:i w:val="0"/>
              </w:rPr>
              <w:t>Vice-Chancellor (vc)</w:t>
            </w:r>
          </w:p>
        </w:tc>
        <w:tc>
          <w:tcPr>
            <w:tcW w:type="dxa" w:w="1871"/>
            <w:vAlign w:val="center"/>
            <w:shd w:fill="EDF2F7"/>
          </w:tcPr>
          <w:p>
            <w:pPr>
              <w:spacing w:after="40" w:line="276" w:lineRule="auto"/>
              <w:jc w:val="left"/>
            </w:pPr>
            <w:r>
              <w:rPr>
                <w:b w:val="0"/>
                <w:i w:val="0"/>
              </w:rPr>
              <w:t>Deans, Accreditation Cell</w:t>
            </w:r>
          </w:p>
        </w:tc>
        <w:tc>
          <w:tcPr>
            <w:tcW w:type="dxa" w:w="1928"/>
            <w:vAlign w:val="center"/>
            <w:shd w:fill="EDF2F7"/>
          </w:tcPr>
          <w:p>
            <w:pPr>
              <w:spacing w:after="40" w:line="276" w:lineRule="auto"/>
              <w:jc w:val="left"/>
            </w:pPr>
            <w:r>
              <w:rPr>
                <w:b w:val="0"/>
                <w:i w:val="0"/>
              </w:rPr>
              <w:t>Governing Body</w:t>
            </w:r>
          </w:p>
        </w:tc>
      </w:tr>
      <w:tr>
        <w:trPr>
          <w:cantSplit/>
        </w:trPr>
        <w:tc>
          <w:tcPr>
            <w:tcW w:type="dxa" w:w="1757"/>
            <w:vAlign w:val="center"/>
            <w:shd w:fill="FFFFFF"/>
          </w:tcPr>
          <w:p>
            <w:pPr>
              <w:spacing w:after="40" w:line="276" w:lineRule="auto"/>
              <w:jc w:val="left"/>
            </w:pPr>
            <w:r>
              <w:rPr>
                <w:b w:val="0"/>
                <w:i w:val="0"/>
              </w:rPr>
              <w:t>Conduct internal quality audits</w:t>
            </w:r>
          </w:p>
        </w:tc>
        <w:tc>
          <w:tcPr>
            <w:tcW w:type="dxa" w:w="1928"/>
            <w:vAlign w:val="center"/>
            <w:shd w:fill="FFFFFF"/>
          </w:tcPr>
          <w:p>
            <w:pPr>
              <w:spacing w:after="40" w:line="276" w:lineRule="auto"/>
              <w:jc w:val="left"/>
            </w:pPr>
            <w:r>
              <w:rPr>
                <w:b w:val="0"/>
                <w:i w:val="0"/>
              </w:rPr>
              <w:t>IQAC</w:t>
            </w:r>
          </w:p>
        </w:tc>
        <w:tc>
          <w:tcPr>
            <w:tcW w:type="dxa" w:w="1928"/>
            <w:vAlign w:val="center"/>
            <w:shd w:fill="FFFFFF"/>
          </w:tcPr>
          <w:p>
            <w:pPr>
              <w:spacing w:after="40" w:line="276" w:lineRule="auto"/>
              <w:jc w:val="left"/>
            </w:pPr>
            <w:r>
              <w:rPr>
                <w:b w:val="0"/>
                <w:i w:val="0"/>
              </w:rPr>
              <w:t>vc + Governing Body</w:t>
            </w:r>
          </w:p>
        </w:tc>
        <w:tc>
          <w:tcPr>
            <w:tcW w:type="dxa" w:w="1871"/>
            <w:vAlign w:val="center"/>
            <w:shd w:fill="FFFFFF"/>
          </w:tcPr>
          <w:p>
            <w:pPr>
              <w:spacing w:after="40" w:line="276" w:lineRule="auto"/>
              <w:jc w:val="left"/>
            </w:pPr>
            <w:r>
              <w:rPr>
                <w:b w:val="0"/>
                <w:i w:val="0"/>
              </w:rPr>
              <w:t>Department Heads, Audit Committee</w:t>
            </w:r>
          </w:p>
        </w:tc>
        <w:tc>
          <w:tcPr>
            <w:tcW w:type="dxa" w:w="1928"/>
            <w:vAlign w:val="center"/>
            <w:shd w:fill="FFFFFF"/>
          </w:tcPr>
          <w:p>
            <w:pPr>
              <w:spacing w:after="40" w:line="276" w:lineRule="auto"/>
              <w:jc w:val="left"/>
            </w:pPr>
            <w:r>
              <w:rPr>
                <w:b w:val="0"/>
                <w:i w:val="0"/>
              </w:rPr>
              <w:t>Faculty, Staff</w:t>
            </w:r>
          </w:p>
        </w:tc>
      </w:tr>
      <w:tr>
        <w:trPr>
          <w:cantSplit/>
        </w:trPr>
        <w:tc>
          <w:tcPr>
            <w:tcW w:type="dxa" w:w="1757"/>
            <w:vAlign w:val="center"/>
            <w:shd w:fill="EDF2F7"/>
          </w:tcPr>
          <w:p>
            <w:pPr>
              <w:spacing w:after="40" w:line="276" w:lineRule="auto"/>
              <w:jc w:val="left"/>
            </w:pPr>
            <w:r>
              <w:rPr>
                <w:b w:val="0"/>
                <w:i w:val="0"/>
              </w:rPr>
              <w:t>Invite external reviewers for validation</w:t>
            </w:r>
          </w:p>
        </w:tc>
        <w:tc>
          <w:tcPr>
            <w:tcW w:type="dxa" w:w="1928"/>
            <w:vAlign w:val="center"/>
            <w:shd w:fill="EDF2F7"/>
          </w:tcPr>
          <w:p>
            <w:pPr>
              <w:spacing w:after="40" w:line="276" w:lineRule="auto"/>
              <w:jc w:val="left"/>
            </w:pPr>
            <w:r>
              <w:rPr>
                <w:b w:val="0"/>
                <w:i w:val="0"/>
              </w:rPr>
              <w:t>Accreditation Cell, Governing Body</w:t>
            </w:r>
          </w:p>
        </w:tc>
        <w:tc>
          <w:tcPr>
            <w:tcW w:type="dxa" w:w="1928"/>
            <w:vAlign w:val="center"/>
            <w:shd w:fill="EDF2F7"/>
          </w:tcPr>
          <w:p>
            <w:pPr>
              <w:spacing w:after="40" w:line="276" w:lineRule="auto"/>
              <w:jc w:val="left"/>
            </w:pPr>
            <w:r>
              <w:rPr>
                <w:b w:val="0"/>
                <w:i w:val="0"/>
              </w:rPr>
              <w:t>vc</w:t>
            </w:r>
          </w:p>
        </w:tc>
        <w:tc>
          <w:tcPr>
            <w:tcW w:type="dxa" w:w="1871"/>
            <w:vAlign w:val="center"/>
            <w:shd w:fill="EDF2F7"/>
          </w:tcPr>
          <w:p>
            <w:pPr>
              <w:spacing w:after="40" w:line="276" w:lineRule="auto"/>
              <w:jc w:val="left"/>
            </w:pPr>
            <w:r>
              <w:rPr>
                <w:b w:val="0"/>
                <w:i w:val="0"/>
              </w:rPr>
              <w:t>External Auditors, Peer Reviewers</w:t>
            </w:r>
          </w:p>
        </w:tc>
        <w:tc>
          <w:tcPr>
            <w:tcW w:type="dxa" w:w="1928"/>
            <w:vAlign w:val="center"/>
            <w:shd w:fill="EDF2F7"/>
          </w:tcPr>
          <w:p>
            <w:pPr>
              <w:spacing w:after="40" w:line="276" w:lineRule="auto"/>
              <w:jc w:val="left"/>
            </w:pPr>
            <w:r>
              <w:rPr>
                <w:b w:val="0"/>
                <w:i w:val="0"/>
              </w:rPr>
              <w:t>Governing Body, Students</w:t>
            </w:r>
          </w:p>
        </w:tc>
      </w:tr>
      <w:tr>
        <w:trPr>
          <w:cantSplit/>
        </w:trPr>
        <w:tc>
          <w:tcPr>
            <w:tcW w:type="dxa" w:w="1757"/>
            <w:vAlign w:val="center"/>
            <w:shd w:fill="FFFFFF"/>
          </w:tcPr>
          <w:p>
            <w:pPr>
              <w:spacing w:after="40" w:line="276" w:lineRule="auto"/>
              <w:jc w:val="left"/>
            </w:pPr>
            <w:r>
              <w:rPr>
                <w:b w:val="0"/>
                <w:i w:val="0"/>
              </w:rPr>
              <w:t>Identify performance gaps and strengths</w:t>
            </w:r>
          </w:p>
        </w:tc>
        <w:tc>
          <w:tcPr>
            <w:tcW w:type="dxa" w:w="1928"/>
            <w:vAlign w:val="center"/>
            <w:shd w:fill="FFFFFF"/>
          </w:tcPr>
          <w:p>
            <w:pPr>
              <w:spacing w:after="40" w:line="276" w:lineRule="auto"/>
              <w:jc w:val="left"/>
            </w:pPr>
            <w:r>
              <w:rPr>
                <w:b w:val="0"/>
                <w:i w:val="0"/>
              </w:rPr>
              <w:t>IQAC, Steering Committee</w:t>
            </w:r>
          </w:p>
        </w:tc>
        <w:tc>
          <w:tcPr>
            <w:tcW w:type="dxa" w:w="1928"/>
            <w:vAlign w:val="center"/>
            <w:shd w:fill="FFFFFF"/>
          </w:tcPr>
          <w:p>
            <w:pPr>
              <w:spacing w:after="40" w:line="276" w:lineRule="auto"/>
              <w:jc w:val="left"/>
            </w:pPr>
            <w:r>
              <w:rPr>
                <w:b w:val="0"/>
                <w:i w:val="0"/>
              </w:rPr>
              <w:t>vc</w:t>
            </w:r>
          </w:p>
        </w:tc>
        <w:tc>
          <w:tcPr>
            <w:tcW w:type="dxa" w:w="1871"/>
            <w:vAlign w:val="center"/>
            <w:shd w:fill="FFFFFF"/>
          </w:tcPr>
          <w:p>
            <w:pPr>
              <w:spacing w:after="40" w:line="276" w:lineRule="auto"/>
              <w:jc w:val="left"/>
            </w:pPr>
            <w:r>
              <w:rPr>
                <w:b w:val="0"/>
                <w:i w:val="0"/>
              </w:rPr>
              <w:t>Deans, Department Heads</w:t>
            </w:r>
          </w:p>
        </w:tc>
        <w:tc>
          <w:tcPr>
            <w:tcW w:type="dxa" w:w="1928"/>
            <w:vAlign w:val="center"/>
            <w:shd w:fill="FFFFFF"/>
          </w:tcPr>
          <w:p>
            <w:pPr>
              <w:spacing w:after="40" w:line="276" w:lineRule="auto"/>
              <w:jc w:val="left"/>
            </w:pPr>
            <w:r>
              <w:rPr>
                <w:b w:val="0"/>
                <w:i w:val="0"/>
              </w:rPr>
              <w:t>Governing Body</w:t>
            </w:r>
          </w:p>
        </w:tc>
      </w:tr>
      <w:tr>
        <w:trPr>
          <w:cantSplit/>
        </w:trPr>
        <w:tc>
          <w:tcPr>
            <w:tcW w:type="dxa" w:w="1757"/>
            <w:vAlign w:val="center"/>
            <w:shd w:fill="EDF2F7"/>
          </w:tcPr>
          <w:p>
            <w:pPr>
              <w:spacing w:after="40" w:line="276" w:lineRule="auto"/>
              <w:jc w:val="left"/>
            </w:pPr>
            <w:r>
              <w:rPr>
                <w:b w:val="0"/>
                <w:i w:val="0"/>
              </w:rPr>
              <w:t>Implement corrective actions</w:t>
            </w:r>
          </w:p>
        </w:tc>
        <w:tc>
          <w:tcPr>
            <w:tcW w:type="dxa" w:w="1928"/>
            <w:vAlign w:val="center"/>
            <w:shd w:fill="EDF2F7"/>
          </w:tcPr>
          <w:p>
            <w:pPr>
              <w:spacing w:after="40" w:line="276" w:lineRule="auto"/>
              <w:jc w:val="left"/>
            </w:pPr>
            <w:r>
              <w:rPr>
                <w:b w:val="0"/>
                <w:i w:val="0"/>
              </w:rPr>
              <w:t>Department Heads, Project Leads</w:t>
            </w:r>
          </w:p>
        </w:tc>
        <w:tc>
          <w:tcPr>
            <w:tcW w:type="dxa" w:w="1928"/>
            <w:vAlign w:val="center"/>
            <w:shd w:fill="EDF2F7"/>
          </w:tcPr>
          <w:p>
            <w:pPr>
              <w:spacing w:after="40" w:line="276" w:lineRule="auto"/>
              <w:jc w:val="left"/>
            </w:pPr>
            <w:r>
              <w:rPr>
                <w:b w:val="0"/>
                <w:i w:val="0"/>
              </w:rPr>
              <w:t>Registrar</w:t>
            </w:r>
          </w:p>
        </w:tc>
        <w:tc>
          <w:tcPr>
            <w:tcW w:type="dxa" w:w="1871"/>
            <w:vAlign w:val="center"/>
            <w:shd w:fill="EDF2F7"/>
          </w:tcPr>
          <w:p>
            <w:pPr>
              <w:spacing w:after="40" w:line="276" w:lineRule="auto"/>
              <w:jc w:val="left"/>
            </w:pPr>
            <w:r>
              <w:rPr>
                <w:b w:val="0"/>
                <w:i w:val="0"/>
              </w:rPr>
              <w:t>IQAC, HR office</w:t>
            </w:r>
          </w:p>
        </w:tc>
        <w:tc>
          <w:tcPr>
            <w:tcW w:type="dxa" w:w="1928"/>
            <w:vAlign w:val="center"/>
            <w:shd w:fill="EDF2F7"/>
          </w:tcPr>
          <w:p>
            <w:pPr>
              <w:spacing w:after="40" w:line="276" w:lineRule="auto"/>
              <w:jc w:val="left"/>
            </w:pPr>
            <w:r>
              <w:rPr>
                <w:b w:val="0"/>
                <w:i w:val="0"/>
              </w:rPr>
              <w:t>Faculty, Students</w:t>
            </w:r>
          </w:p>
        </w:tc>
      </w:tr>
      <w:tr>
        <w:trPr>
          <w:cantSplit/>
        </w:trPr>
        <w:tc>
          <w:tcPr>
            <w:tcW w:type="dxa" w:w="1757"/>
            <w:vAlign w:val="center"/>
            <w:shd w:fill="FFFFFF"/>
          </w:tcPr>
          <w:p>
            <w:pPr>
              <w:spacing w:after="40" w:line="276" w:lineRule="auto"/>
              <w:jc w:val="left"/>
            </w:pPr>
            <w:r>
              <w:rPr>
                <w:b w:val="0"/>
                <w:i w:val="0"/>
              </w:rPr>
              <w:t>Apply preventive measures for risk management</w:t>
            </w:r>
          </w:p>
        </w:tc>
        <w:tc>
          <w:tcPr>
            <w:tcW w:type="dxa" w:w="1928"/>
            <w:vAlign w:val="center"/>
            <w:shd w:fill="FFFFFF"/>
          </w:tcPr>
          <w:p>
            <w:pPr>
              <w:spacing w:after="40" w:line="276" w:lineRule="auto"/>
              <w:jc w:val="left"/>
            </w:pPr>
            <w:r>
              <w:rPr>
                <w:b w:val="0"/>
                <w:i w:val="0"/>
              </w:rPr>
              <w:t>Risk Management Committee</w:t>
            </w:r>
          </w:p>
        </w:tc>
        <w:tc>
          <w:tcPr>
            <w:tcW w:type="dxa" w:w="1928"/>
            <w:vAlign w:val="center"/>
            <w:shd w:fill="FFFFFF"/>
          </w:tcPr>
          <w:p>
            <w:pPr>
              <w:spacing w:after="40" w:line="276" w:lineRule="auto"/>
              <w:jc w:val="left"/>
            </w:pPr>
            <w:r>
              <w:rPr>
                <w:b w:val="0"/>
                <w:i w:val="0"/>
              </w:rPr>
              <w:t>vc</w:t>
            </w:r>
          </w:p>
        </w:tc>
        <w:tc>
          <w:tcPr>
            <w:tcW w:type="dxa" w:w="1871"/>
            <w:vAlign w:val="center"/>
            <w:shd w:fill="FFFFFF"/>
          </w:tcPr>
          <w:p>
            <w:pPr>
              <w:spacing w:after="40" w:line="276" w:lineRule="auto"/>
              <w:jc w:val="left"/>
            </w:pPr>
            <w:r>
              <w:rPr>
                <w:b w:val="0"/>
                <w:i w:val="0"/>
              </w:rPr>
              <w:t>Finance Office, Infra Committee</w:t>
            </w:r>
          </w:p>
        </w:tc>
        <w:tc>
          <w:tcPr>
            <w:tcW w:type="dxa" w:w="1928"/>
            <w:vAlign w:val="center"/>
            <w:shd w:fill="FFFFFF"/>
          </w:tcPr>
          <w:p>
            <w:pPr>
              <w:spacing w:after="40" w:line="276" w:lineRule="auto"/>
              <w:jc w:val="left"/>
            </w:pPr>
            <w:r>
              <w:rPr>
                <w:b w:val="0"/>
                <w:i w:val="0"/>
              </w:rPr>
              <w:t>Governing Body</w:t>
            </w:r>
          </w:p>
        </w:tc>
      </w:tr>
      <w:tr>
        <w:trPr>
          <w:cantSplit/>
        </w:trPr>
        <w:tc>
          <w:tcPr>
            <w:tcW w:type="dxa" w:w="1757"/>
            <w:vAlign w:val="center"/>
            <w:shd w:fill="EDF2F7"/>
          </w:tcPr>
          <w:p>
            <w:pPr>
              <w:spacing w:after="40" w:line="276" w:lineRule="auto"/>
              <w:jc w:val="left"/>
            </w:pPr>
            <w:r>
              <w:rPr>
                <w:b w:val="0"/>
                <w:i w:val="0"/>
              </w:rPr>
              <w:t>Document best practices &amp; lessons learned</w:t>
            </w:r>
          </w:p>
        </w:tc>
        <w:tc>
          <w:tcPr>
            <w:tcW w:type="dxa" w:w="1928"/>
            <w:vAlign w:val="center"/>
            <w:shd w:fill="EDF2F7"/>
          </w:tcPr>
          <w:p>
            <w:pPr>
              <w:spacing w:after="40" w:line="276" w:lineRule="auto"/>
              <w:jc w:val="left"/>
            </w:pPr>
            <w:r>
              <w:rPr>
                <w:b w:val="0"/>
                <w:i w:val="0"/>
              </w:rPr>
              <w:t>IQAC, Research Office</w:t>
            </w:r>
          </w:p>
        </w:tc>
        <w:tc>
          <w:tcPr>
            <w:tcW w:type="dxa" w:w="1928"/>
            <w:vAlign w:val="center"/>
            <w:shd w:fill="EDF2F7"/>
          </w:tcPr>
          <w:p>
            <w:pPr>
              <w:spacing w:after="40" w:line="276" w:lineRule="auto"/>
              <w:jc w:val="left"/>
            </w:pPr>
            <w:r>
              <w:rPr>
                <w:b w:val="0"/>
                <w:i w:val="0"/>
              </w:rPr>
              <w:t>Registrar</w:t>
            </w:r>
          </w:p>
        </w:tc>
        <w:tc>
          <w:tcPr>
            <w:tcW w:type="dxa" w:w="1871"/>
            <w:vAlign w:val="center"/>
            <w:shd w:fill="EDF2F7"/>
          </w:tcPr>
          <w:p>
            <w:pPr>
              <w:spacing w:after="40" w:line="276" w:lineRule="auto"/>
              <w:jc w:val="left"/>
            </w:pPr>
            <w:r>
              <w:rPr>
                <w:b w:val="0"/>
                <w:i w:val="0"/>
              </w:rPr>
              <w:t>Deans, Department Heads</w:t>
            </w:r>
          </w:p>
        </w:tc>
        <w:tc>
          <w:tcPr>
            <w:tcW w:type="dxa" w:w="1928"/>
            <w:vAlign w:val="center"/>
            <w:shd w:fill="EDF2F7"/>
          </w:tcPr>
          <w:p>
            <w:pPr>
              <w:spacing w:after="40" w:line="276" w:lineRule="auto"/>
              <w:jc w:val="left"/>
            </w:pPr>
            <w:r>
              <w:rPr>
                <w:b w:val="0"/>
                <w:i w:val="0"/>
              </w:rPr>
              <w:t>Faculty, Staff</w:t>
            </w:r>
          </w:p>
        </w:tc>
      </w:tr>
      <w:tr>
        <w:trPr>
          <w:cantSplit/>
        </w:trPr>
        <w:tc>
          <w:tcPr>
            <w:tcW w:type="dxa" w:w="1757"/>
            <w:vAlign w:val="center"/>
            <w:shd w:fill="FFFFFF"/>
          </w:tcPr>
          <w:p>
            <w:pPr>
              <w:spacing w:after="40" w:line="276" w:lineRule="auto"/>
              <w:jc w:val="left"/>
            </w:pPr>
            <w:r>
              <w:rPr>
                <w:b w:val="0"/>
                <w:i w:val="0"/>
              </w:rPr>
              <w:t>Share best practices internally &amp; externally</w:t>
            </w:r>
          </w:p>
        </w:tc>
        <w:tc>
          <w:tcPr>
            <w:tcW w:type="dxa" w:w="1928"/>
            <w:vAlign w:val="center"/>
            <w:shd w:fill="FFFFFF"/>
          </w:tcPr>
          <w:p>
            <w:pPr>
              <w:spacing w:after="40" w:line="276" w:lineRule="auto"/>
              <w:jc w:val="left"/>
            </w:pPr>
            <w:r>
              <w:rPr>
                <w:b w:val="0"/>
                <w:i w:val="0"/>
              </w:rPr>
              <w:t>PR Office, Leadership</w:t>
            </w:r>
          </w:p>
        </w:tc>
        <w:tc>
          <w:tcPr>
            <w:tcW w:type="dxa" w:w="1928"/>
            <w:vAlign w:val="center"/>
            <w:shd w:fill="FFFFFF"/>
          </w:tcPr>
          <w:p>
            <w:pPr>
              <w:spacing w:after="40" w:line="276" w:lineRule="auto"/>
              <w:jc w:val="left"/>
            </w:pPr>
            <w:r>
              <w:rPr>
                <w:b w:val="0"/>
                <w:i w:val="0"/>
              </w:rPr>
              <w:t>vc</w:t>
            </w:r>
          </w:p>
        </w:tc>
        <w:tc>
          <w:tcPr>
            <w:tcW w:type="dxa" w:w="1871"/>
            <w:vAlign w:val="center"/>
            <w:shd w:fill="FFFFFF"/>
          </w:tcPr>
          <w:p>
            <w:pPr>
              <w:spacing w:after="40" w:line="276" w:lineRule="auto"/>
              <w:jc w:val="left"/>
            </w:pPr>
            <w:r>
              <w:rPr>
                <w:b w:val="0"/>
                <w:i w:val="0"/>
              </w:rPr>
              <w:t>Alumni Relations, Industry Partners</w:t>
            </w:r>
          </w:p>
        </w:tc>
        <w:tc>
          <w:tcPr>
            <w:tcW w:type="dxa" w:w="1928"/>
            <w:vAlign w:val="center"/>
            <w:shd w:fill="FFFFFF"/>
          </w:tcPr>
          <w:p>
            <w:pPr>
              <w:spacing w:after="40" w:line="276" w:lineRule="auto"/>
              <w:jc w:val="left"/>
            </w:pPr>
            <w:r>
              <w:rPr>
                <w:b w:val="0"/>
                <w:i w:val="0"/>
              </w:rPr>
              <w:t>Community, Accreditation Agencies</w:t>
            </w:r>
          </w:p>
        </w:tc>
      </w:tr>
      <w:tr>
        <w:trPr>
          <w:cantSplit/>
        </w:trPr>
        <w:tc>
          <w:tcPr>
            <w:tcW w:type="dxa" w:w="1757"/>
            <w:vAlign w:val="center"/>
            <w:shd w:fill="EDF2F7"/>
          </w:tcPr>
          <w:p>
            <w:pPr>
              <w:spacing w:after="40" w:line="276" w:lineRule="auto"/>
              <w:jc w:val="left"/>
            </w:pPr>
            <w:r>
              <w:rPr>
                <w:b w:val="0"/>
                <w:i w:val="0"/>
              </w:rPr>
              <w:t>Conduct capacity-building programs (faculty/​staff)</w:t>
            </w:r>
          </w:p>
        </w:tc>
        <w:tc>
          <w:tcPr>
            <w:tcW w:type="dxa" w:w="1928"/>
            <w:vAlign w:val="center"/>
            <w:shd w:fill="EDF2F7"/>
          </w:tcPr>
          <w:p>
            <w:pPr>
              <w:spacing w:after="40" w:line="276" w:lineRule="auto"/>
              <w:jc w:val="left"/>
            </w:pPr>
            <w:r>
              <w:rPr>
                <w:b w:val="0"/>
                <w:i w:val="0"/>
              </w:rPr>
              <w:t>HR office, IQAC</w:t>
            </w:r>
          </w:p>
        </w:tc>
        <w:tc>
          <w:tcPr>
            <w:tcW w:type="dxa" w:w="1928"/>
            <w:vAlign w:val="center"/>
            <w:shd w:fill="EDF2F7"/>
          </w:tcPr>
          <w:p>
            <w:pPr>
              <w:spacing w:after="40" w:line="276" w:lineRule="auto"/>
              <w:jc w:val="left"/>
            </w:pPr>
            <w:r>
              <w:rPr>
                <w:b w:val="0"/>
                <w:i w:val="0"/>
              </w:rPr>
              <w:t>Registrar</w:t>
            </w:r>
          </w:p>
        </w:tc>
        <w:tc>
          <w:tcPr>
            <w:tcW w:type="dxa" w:w="1871"/>
            <w:vAlign w:val="center"/>
            <w:shd w:fill="EDF2F7"/>
          </w:tcPr>
          <w:p>
            <w:pPr>
              <w:spacing w:after="40" w:line="276" w:lineRule="auto"/>
              <w:jc w:val="left"/>
            </w:pPr>
            <w:r>
              <w:rPr>
                <w:b w:val="0"/>
                <w:i w:val="0"/>
              </w:rPr>
              <w:t>Deans, External Trainers</w:t>
            </w:r>
          </w:p>
        </w:tc>
        <w:tc>
          <w:tcPr>
            <w:tcW w:type="dxa" w:w="1928"/>
            <w:vAlign w:val="center"/>
            <w:shd w:fill="EDF2F7"/>
          </w:tcPr>
          <w:p>
            <w:pPr>
              <w:spacing w:after="40" w:line="276" w:lineRule="auto"/>
              <w:jc w:val="left"/>
            </w:pPr>
            <w:r>
              <w:rPr>
                <w:b w:val="0"/>
                <w:i w:val="0"/>
              </w:rPr>
              <w:t>Faculty, Staff</w:t>
            </w:r>
          </w:p>
        </w:tc>
      </w:tr>
      <w:tr>
        <w:trPr>
          <w:cantSplit/>
        </w:trPr>
        <w:tc>
          <w:tcPr>
            <w:tcW w:type="dxa" w:w="1757"/>
            <w:vAlign w:val="center"/>
            <w:shd w:fill="FFFFFF"/>
          </w:tcPr>
          <w:p>
            <w:pPr>
              <w:spacing w:after="40" w:line="276" w:lineRule="auto"/>
              <w:jc w:val="left"/>
            </w:pPr>
            <w:r>
              <w:rPr>
                <w:b w:val="0"/>
                <w:i w:val="0"/>
              </w:rPr>
              <w:t>Update curriculum &amp; processes</w:t>
            </w:r>
          </w:p>
        </w:tc>
        <w:tc>
          <w:tcPr>
            <w:tcW w:type="dxa" w:w="1928"/>
            <w:vAlign w:val="center"/>
            <w:shd w:fill="FFFFFF"/>
          </w:tcPr>
          <w:p>
            <w:pPr>
              <w:spacing w:after="40" w:line="276" w:lineRule="auto"/>
              <w:jc w:val="left"/>
            </w:pPr>
            <w:r>
              <w:rPr>
                <w:b w:val="0"/>
                <w:i w:val="0"/>
              </w:rPr>
              <w:t>Curriculum Committee, Academic Council</w:t>
            </w:r>
          </w:p>
        </w:tc>
        <w:tc>
          <w:tcPr>
            <w:tcW w:type="dxa" w:w="1928"/>
            <w:vAlign w:val="center"/>
            <w:shd w:fill="FFFFFF"/>
          </w:tcPr>
          <w:p>
            <w:pPr>
              <w:spacing w:after="40" w:line="276" w:lineRule="auto"/>
              <w:jc w:val="left"/>
            </w:pPr>
            <w:r>
              <w:rPr>
                <w:b w:val="0"/>
                <w:i w:val="0"/>
              </w:rPr>
              <w:t>vc + Governing Body</w:t>
            </w:r>
          </w:p>
        </w:tc>
        <w:tc>
          <w:tcPr>
            <w:tcW w:type="dxa" w:w="1871"/>
            <w:vAlign w:val="center"/>
            <w:shd w:fill="FFFFFF"/>
          </w:tcPr>
          <w:p>
            <w:pPr>
              <w:spacing w:after="40" w:line="276" w:lineRule="auto"/>
              <w:jc w:val="left"/>
            </w:pPr>
            <w:r>
              <w:rPr>
                <w:b w:val="0"/>
                <w:i w:val="0"/>
              </w:rPr>
              <w:t>Industry Advisory Board, Faculty Experts</w:t>
            </w:r>
          </w:p>
        </w:tc>
        <w:tc>
          <w:tcPr>
            <w:tcW w:type="dxa" w:w="1928"/>
            <w:vAlign w:val="center"/>
            <w:shd w:fill="FFFFFF"/>
          </w:tcPr>
          <w:p>
            <w:pPr>
              <w:spacing w:after="40" w:line="276" w:lineRule="auto"/>
              <w:jc w:val="left"/>
            </w:pPr>
            <w:r>
              <w:rPr>
                <w:b w:val="0"/>
                <w:i w:val="0"/>
              </w:rPr>
              <w:t>Students, Accreditation Bodies</w:t>
            </w:r>
          </w:p>
        </w:tc>
      </w:tr>
      <w:tr>
        <w:trPr>
          <w:cantSplit/>
        </w:trPr>
        <w:tc>
          <w:tcPr>
            <w:tcW w:type="dxa" w:w="1757"/>
            <w:vAlign w:val="center"/>
            <w:shd w:fill="EDF2F7"/>
          </w:tcPr>
          <w:p>
            <w:pPr>
              <w:spacing w:after="40" w:line="276" w:lineRule="auto"/>
              <w:jc w:val="left"/>
            </w:pPr>
            <w:r>
              <w:rPr>
                <w:b w:val="0"/>
                <w:i w:val="0"/>
              </w:rPr>
              <w:t>Feed insights into next strategic cycle</w:t>
            </w:r>
          </w:p>
        </w:tc>
        <w:tc>
          <w:tcPr>
            <w:tcW w:type="dxa" w:w="1928"/>
            <w:vAlign w:val="center"/>
            <w:shd w:fill="EDF2F7"/>
          </w:tcPr>
          <w:p>
            <w:pPr>
              <w:spacing w:after="40" w:line="276" w:lineRule="auto"/>
              <w:jc w:val="left"/>
            </w:pPr>
            <w:r>
              <w:rPr>
                <w:b w:val="0"/>
                <w:i w:val="0"/>
              </w:rPr>
              <w:t>IQAC, Governing Body</w:t>
            </w:r>
          </w:p>
        </w:tc>
        <w:tc>
          <w:tcPr>
            <w:tcW w:type="dxa" w:w="1928"/>
            <w:vAlign w:val="center"/>
            <w:shd w:fill="EDF2F7"/>
          </w:tcPr>
          <w:p>
            <w:pPr>
              <w:spacing w:after="40" w:line="276" w:lineRule="auto"/>
              <w:jc w:val="left"/>
            </w:pPr>
            <w:r>
              <w:rPr>
                <w:b w:val="0"/>
                <w:i w:val="0"/>
              </w:rPr>
              <w:t>vc</w:t>
            </w:r>
          </w:p>
        </w:tc>
        <w:tc>
          <w:tcPr>
            <w:tcW w:type="dxa" w:w="1871"/>
            <w:vAlign w:val="center"/>
            <w:shd w:fill="EDF2F7"/>
          </w:tcPr>
          <w:p>
            <w:pPr>
              <w:spacing w:after="40" w:line="276" w:lineRule="auto"/>
              <w:jc w:val="left"/>
            </w:pPr>
            <w:r>
              <w:rPr>
                <w:b w:val="0"/>
                <w:i w:val="0"/>
              </w:rPr>
              <w:t>Deans, External Advisors</w:t>
            </w:r>
          </w:p>
        </w:tc>
        <w:tc>
          <w:tcPr>
            <w:tcW w:type="dxa" w:w="1928"/>
            <w:vAlign w:val="center"/>
            <w:shd w:fill="EDF2F7"/>
          </w:tcPr>
          <w:p>
            <w:pPr>
              <w:spacing w:after="40" w:line="276" w:lineRule="auto"/>
              <w:jc w:val="left"/>
            </w:pPr>
            <w:r>
              <w:rPr>
                <w:b w:val="0"/>
                <w:i w:val="0"/>
              </w:rPr>
              <w:t>All Stakeholders</w:t>
            </w:r>
          </w:p>
        </w:tc>
      </w:tr>
    </w:tbl>
    <w:p>
      <w:pPr>
        <w:spacing w:after="40"/>
      </w:pPr>
    </w:p>
    <w:p>
      <w:pPr>
        <w:pStyle w:val="Heading2"/>
      </w:pPr>
      <w:r>
        <w:t>Phase 6: Balanced Scorecard – Feedback &amp; Continuous Improvement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757"/>
        <w:gridCol w:w="1928"/>
        <w:gridCol w:w="1928"/>
        <w:gridCol w:w="1871"/>
        <w:gridCol w:w="1928"/>
      </w:tblGrid>
      <w:tr>
        <w:trPr>
          <w:tblHeader/>
          <w:cantSplit/>
        </w:trPr>
        <w:tc>
          <w:tcPr>
            <w:tcW w:type="dxa" w:w="1757"/>
            <w:vAlign w:val="center"/>
            <w:shd w:fill="1F3A5F"/>
          </w:tcPr>
          <w:p>
            <w:pPr>
              <w:keepNext/>
              <w:spacing w:after="40" w:line="276" w:lineRule="auto"/>
              <w:jc w:val="left"/>
            </w:pPr>
            <w:r>
              <w:rPr>
                <w:b/>
                <w:i w:val="0"/>
                <w:color w:val="FFFFFF"/>
              </w:rPr>
              <w:t>Perspective</w:t>
            </w:r>
          </w:p>
        </w:tc>
        <w:tc>
          <w:tcPr>
            <w:tcW w:type="dxa" w:w="1928"/>
            <w:vAlign w:val="center"/>
            <w:shd w:fill="1F3A5F"/>
          </w:tcPr>
          <w:p>
            <w:pPr>
              <w:keepNext/>
              <w:spacing w:after="40" w:line="276" w:lineRule="auto"/>
              <w:jc w:val="left"/>
            </w:pPr>
            <w:r>
              <w:rPr>
                <w:b/>
                <w:i w:val="0"/>
                <w:color w:val="FFFFFF"/>
              </w:rPr>
              <w:t>Strategic Objective</w:t>
            </w:r>
          </w:p>
        </w:tc>
        <w:tc>
          <w:tcPr>
            <w:tcW w:type="dxa" w:w="1928"/>
            <w:vAlign w:val="center"/>
            <w:shd w:fill="1F3A5F"/>
          </w:tcPr>
          <w:p>
            <w:pPr>
              <w:keepNext/>
              <w:spacing w:after="40" w:line="276" w:lineRule="auto"/>
              <w:jc w:val="left"/>
            </w:pPr>
            <w:r>
              <w:rPr>
                <w:b/>
                <w:i w:val="0"/>
                <w:color w:val="FFFFFF"/>
              </w:rPr>
              <w:t>Monitoring &amp; Feedback Actions</w:t>
            </w:r>
          </w:p>
        </w:tc>
        <w:tc>
          <w:tcPr>
            <w:tcW w:type="dxa" w:w="1871"/>
            <w:vAlign w:val="center"/>
            <w:shd w:fill="1F3A5F"/>
          </w:tcPr>
          <w:p>
            <w:pPr>
              <w:keepNext/>
              <w:spacing w:after="40" w:line="276" w:lineRule="auto"/>
              <w:jc w:val="left"/>
            </w:pPr>
            <w:r>
              <w:rPr>
                <w:b/>
                <w:i w:val="0"/>
                <w:color w:val="FFFFFF"/>
              </w:rPr>
              <w:t>KPIs (Indicators)</w:t>
            </w:r>
          </w:p>
        </w:tc>
        <w:tc>
          <w:tcPr>
            <w:tcW w:type="dxa" w:w="1928"/>
            <w:vAlign w:val="center"/>
            <w:shd w:fill="1F3A5F"/>
          </w:tcPr>
          <w:p>
            <w:pPr>
              <w:keepNext/>
              <w:spacing w:after="40" w:line="276" w:lineRule="auto"/>
              <w:jc w:val="left"/>
            </w:pPr>
            <w:r>
              <w:rPr>
                <w:b/>
                <w:i w:val="0"/>
                <w:color w:val="FFFFFF"/>
              </w:rPr>
              <w:t>Target (Phase 6)</w:t>
            </w:r>
          </w:p>
        </w:tc>
      </w:tr>
      <w:tr>
        <w:trPr>
          <w:cantSplit/>
        </w:trPr>
        <w:tc>
          <w:tcPr>
            <w:tcW w:type="dxa" w:w="1757"/>
            <w:vAlign w:val="center"/>
            <w:shd w:fill="FFFFFF"/>
          </w:tcPr>
          <w:p>
            <w:pPr>
              <w:spacing w:after="40" w:line="276" w:lineRule="auto"/>
              <w:jc w:val="left"/>
            </w:pPr>
            <w:r>
              <w:rPr>
                <w:b w:val="0"/>
                <w:i w:val="0"/>
              </w:rPr>
              <w:t>Academic Excellence &amp; Learning</w:t>
            </w:r>
          </w:p>
        </w:tc>
        <w:tc>
          <w:tcPr>
            <w:tcW w:type="dxa" w:w="1928"/>
            <w:vAlign w:val="center"/>
            <w:shd w:fill="FFFFFF"/>
          </w:tcPr>
          <w:p>
            <w:pPr>
              <w:spacing w:after="40" w:line="276" w:lineRule="auto"/>
              <w:jc w:val="left"/>
            </w:pPr>
            <w:r>
              <w:rPr>
                <w:b w:val="0"/>
                <w:i w:val="0"/>
              </w:rPr>
              <w:t>Enhance teaching quality through feedback-driven reforms</w:t>
            </w:r>
          </w:p>
        </w:tc>
        <w:tc>
          <w:tcPr>
            <w:tcW w:type="dxa" w:w="1928"/>
            <w:vAlign w:val="center"/>
            <w:shd w:fill="FFFFFF"/>
          </w:tcPr>
          <w:p>
            <w:pPr>
              <w:spacing w:after="40" w:line="276" w:lineRule="auto"/>
              <w:ind w:left="125" w:hanging="125"/>
              <w:jc w:val="left"/>
            </w:pPr>
            <w:r>
              <w:t xml:space="preserve">• </w:t>
            </w:r>
            <w:r>
              <w:rPr>
                <w:b w:val="0"/>
                <w:i w:val="0"/>
              </w:rPr>
              <w:t>Collect student/​faculty feedback on courses.</w:t>
            </w:r>
          </w:p>
          <w:p>
            <w:pPr>
              <w:spacing w:after="40" w:line="276" w:lineRule="auto"/>
              <w:ind w:left="125" w:hanging="125"/>
              <w:jc w:val="left"/>
            </w:pPr>
            <w:r>
              <w:t xml:space="preserve">• </w:t>
            </w:r>
            <w:r>
              <w:rPr>
                <w:b w:val="0"/>
                <w:i w:val="0"/>
              </w:rPr>
              <w:t>Audit blended learning outcomes.</w:t>
            </w:r>
          </w:p>
          <w:p>
            <w:pPr>
              <w:spacing w:after="40" w:line="276" w:lineRule="auto"/>
              <w:ind w:left="125" w:hanging="125"/>
              <w:jc w:val="left"/>
            </w:pPr>
            <w:r>
              <w:t xml:space="preserve">• </w:t>
            </w:r>
            <w:r>
              <w:rPr>
                <w:b w:val="0"/>
                <w:i w:val="0"/>
              </w:rPr>
              <w:t>Revise curricula based on insights.</w:t>
            </w:r>
          </w:p>
        </w:tc>
        <w:tc>
          <w:tcPr>
            <w:tcW w:type="dxa" w:w="1871"/>
            <w:vAlign w:val="center"/>
            <w:shd w:fill="FFFFFF"/>
          </w:tcPr>
          <w:p>
            <w:pPr>
              <w:spacing w:after="40" w:line="276" w:lineRule="auto"/>
              <w:ind w:left="125" w:hanging="125"/>
              <w:jc w:val="left"/>
            </w:pPr>
            <w:r>
              <w:t xml:space="preserve">• </w:t>
            </w:r>
            <w:r>
              <w:rPr>
                <w:b w:val="0"/>
                <w:i w:val="0"/>
              </w:rPr>
              <w:t>% courses reviewed annually.</w:t>
            </w:r>
          </w:p>
          <w:p>
            <w:pPr>
              <w:spacing w:after="40" w:line="276" w:lineRule="auto"/>
              <w:ind w:left="125" w:hanging="125"/>
              <w:jc w:val="left"/>
            </w:pPr>
            <w:r>
              <w:t xml:space="preserve">• </w:t>
            </w:r>
            <w:r>
              <w:rPr>
                <w:b w:val="0"/>
                <w:i w:val="0"/>
              </w:rPr>
              <w:t>Student learning outcome achievement.</w:t>
            </w:r>
          </w:p>
          <w:p>
            <w:pPr>
              <w:spacing w:after="40" w:line="276" w:lineRule="auto"/>
              <w:ind w:left="125" w:hanging="125"/>
              <w:jc w:val="left"/>
            </w:pPr>
            <w:r>
              <w:t xml:space="preserve">• </w:t>
            </w:r>
            <w:r>
              <w:rPr>
                <w:b w:val="0"/>
                <w:i w:val="0"/>
              </w:rPr>
              <w:t>Faculty training participation.</w:t>
            </w:r>
          </w:p>
        </w:tc>
        <w:tc>
          <w:tcPr>
            <w:tcW w:type="dxa" w:w="1928"/>
            <w:vAlign w:val="center"/>
            <w:shd w:fill="FFFFFF"/>
          </w:tcPr>
          <w:p>
            <w:pPr>
              <w:spacing w:after="40" w:line="276" w:lineRule="auto"/>
              <w:ind w:left="125" w:hanging="125"/>
              <w:jc w:val="left"/>
            </w:pPr>
            <w:r>
              <w:t xml:space="preserve">• </w:t>
            </w:r>
            <w:r>
              <w:rPr>
                <w:b w:val="0"/>
                <w:i w:val="0"/>
              </w:rPr>
              <w:t>100% course reviews yearly.</w:t>
            </w:r>
          </w:p>
          <w:p>
            <w:pPr>
              <w:spacing w:after="40" w:line="276" w:lineRule="auto"/>
              <w:ind w:left="125" w:hanging="125"/>
              <w:jc w:val="left"/>
            </w:pPr>
            <w:r>
              <w:t xml:space="preserve">• </w:t>
            </w:r>
            <w:r>
              <w:rPr>
                <w:b w:val="0"/>
                <w:i w:val="0"/>
              </w:rPr>
              <w:t>≥90% learning outcomes achieved.</w:t>
            </w:r>
          </w:p>
          <w:p>
            <w:pPr>
              <w:spacing w:after="40" w:line="276" w:lineRule="auto"/>
              <w:ind w:left="125" w:hanging="125"/>
              <w:jc w:val="left"/>
            </w:pPr>
            <w:r>
              <w:t xml:space="preserve">• </w:t>
            </w:r>
            <w:r>
              <w:rPr>
                <w:b w:val="0"/>
                <w:i w:val="0"/>
              </w:rPr>
              <w:t>100% faculty engaged in FDPs.</w:t>
            </w:r>
          </w:p>
        </w:tc>
      </w:tr>
      <w:tr>
        <w:trPr>
          <w:cantSplit/>
        </w:trPr>
        <w:tc>
          <w:tcPr>
            <w:tcW w:type="dxa" w:w="1757"/>
            <w:vAlign w:val="center"/>
            <w:shd w:fill="EDF2F7"/>
          </w:tcPr>
          <w:p>
            <w:pPr>
              <w:spacing w:after="40" w:line="276" w:lineRule="auto"/>
              <w:jc w:val="left"/>
            </w:pPr>
            <w:r>
              <w:rPr>
                <w:b w:val="0"/>
                <w:i w:val="0"/>
              </w:rPr>
              <w:t>Research &amp; Innovation</w:t>
            </w:r>
          </w:p>
        </w:tc>
        <w:tc>
          <w:tcPr>
            <w:tcW w:type="dxa" w:w="1928"/>
            <w:vAlign w:val="center"/>
            <w:shd w:fill="EDF2F7"/>
          </w:tcPr>
          <w:p>
            <w:pPr>
              <w:spacing w:after="40" w:line="276" w:lineRule="auto"/>
              <w:jc w:val="left"/>
            </w:pPr>
            <w:r>
              <w:rPr>
                <w:b w:val="0"/>
                <w:i w:val="0"/>
              </w:rPr>
              <w:t>Improve research quality &amp; global visibility</w:t>
            </w:r>
          </w:p>
        </w:tc>
        <w:tc>
          <w:tcPr>
            <w:tcW w:type="dxa" w:w="1928"/>
            <w:vAlign w:val="center"/>
            <w:shd w:fill="EDF2F7"/>
          </w:tcPr>
          <w:p>
            <w:pPr>
              <w:spacing w:after="40" w:line="276" w:lineRule="auto"/>
              <w:ind w:left="125" w:hanging="125"/>
              <w:jc w:val="left"/>
            </w:pPr>
            <w:r>
              <w:t xml:space="preserve">• </w:t>
            </w:r>
            <w:r>
              <w:rPr>
                <w:b w:val="0"/>
                <w:i w:val="0"/>
              </w:rPr>
              <w:t>Track citations &amp; research impact metrics.</w:t>
            </w:r>
          </w:p>
          <w:p>
            <w:pPr>
              <w:spacing w:after="40" w:line="276" w:lineRule="auto"/>
              <w:ind w:left="125" w:hanging="125"/>
              <w:jc w:val="left"/>
            </w:pPr>
            <w:r>
              <w:t xml:space="preserve">• </w:t>
            </w:r>
            <w:r>
              <w:rPr>
                <w:b w:val="0"/>
                <w:i w:val="0"/>
              </w:rPr>
              <w:t>Collect feedback from funding bodies.</w:t>
            </w:r>
          </w:p>
          <w:p>
            <w:pPr>
              <w:spacing w:after="40" w:line="276" w:lineRule="auto"/>
              <w:ind w:left="125" w:hanging="125"/>
              <w:jc w:val="left"/>
            </w:pPr>
            <w:r>
              <w:t xml:space="preserve">• </w:t>
            </w:r>
            <w:r>
              <w:rPr>
                <w:b w:val="0"/>
                <w:i w:val="0"/>
              </w:rPr>
              <w:t>Benchmark with QS/​THE indicators.</w:t>
            </w:r>
          </w:p>
        </w:tc>
        <w:tc>
          <w:tcPr>
            <w:tcW w:type="dxa" w:w="1871"/>
            <w:vAlign w:val="center"/>
            <w:shd w:fill="EDF2F7"/>
          </w:tcPr>
          <w:p>
            <w:pPr>
              <w:spacing w:after="40" w:line="276" w:lineRule="auto"/>
              <w:ind w:left="125" w:hanging="125"/>
              <w:jc w:val="left"/>
            </w:pPr>
            <w:r>
              <w:t xml:space="preserve">• </w:t>
            </w:r>
            <w:r>
              <w:rPr>
                <w:b w:val="0"/>
                <w:i w:val="0"/>
              </w:rPr>
              <w:t>Citation index (Scopus/​SCl).</w:t>
            </w:r>
          </w:p>
          <w:p>
            <w:pPr>
              <w:spacing w:after="40" w:line="276" w:lineRule="auto"/>
              <w:ind w:left="125" w:hanging="125"/>
              <w:jc w:val="left"/>
            </w:pPr>
            <w:r>
              <w:t xml:space="preserve">• </w:t>
            </w:r>
            <w:r>
              <w:rPr>
                <w:b w:val="0"/>
                <w:i w:val="0"/>
              </w:rPr>
              <w:t>% externally funded projects.</w:t>
            </w:r>
          </w:p>
          <w:p>
            <w:pPr>
              <w:spacing w:after="40" w:line="276" w:lineRule="auto"/>
              <w:ind w:left="125" w:hanging="125"/>
              <w:jc w:val="left"/>
            </w:pPr>
            <w:r>
              <w:t xml:space="preserve">• </w:t>
            </w:r>
            <w:r>
              <w:rPr>
                <w:b w:val="0"/>
                <w:i w:val="0"/>
              </w:rPr>
              <w:t>Global research collaborations.</w:t>
            </w:r>
          </w:p>
        </w:tc>
        <w:tc>
          <w:tcPr>
            <w:tcW w:type="dxa" w:w="1928"/>
            <w:vAlign w:val="center"/>
            <w:shd w:fill="EDF2F7"/>
          </w:tcPr>
          <w:p>
            <w:pPr>
              <w:spacing w:after="40" w:line="276" w:lineRule="auto"/>
              <w:ind w:left="125" w:hanging="125"/>
              <w:jc w:val="left"/>
            </w:pPr>
            <w:r>
              <w:t xml:space="preserve">• </w:t>
            </w:r>
            <w:r>
              <w:rPr>
                <w:b w:val="0"/>
                <w:i w:val="0"/>
              </w:rPr>
              <w:t>≥20% annual growth in citations.</w:t>
            </w:r>
          </w:p>
          <w:p>
            <w:pPr>
              <w:spacing w:after="40" w:line="276" w:lineRule="auto"/>
              <w:ind w:left="125" w:hanging="125"/>
              <w:jc w:val="left"/>
            </w:pPr>
            <w:r>
              <w:t xml:space="preserve">• </w:t>
            </w:r>
            <w:r>
              <w:rPr>
                <w:b w:val="0"/>
                <w:i w:val="0"/>
              </w:rPr>
              <w:t>≥50% projects externally funded.</w:t>
            </w:r>
          </w:p>
          <w:p>
            <w:pPr>
              <w:spacing w:after="40" w:line="276" w:lineRule="auto"/>
              <w:ind w:left="125" w:hanging="125"/>
              <w:jc w:val="left"/>
            </w:pPr>
            <w:r>
              <w:t xml:space="preserve">• </w:t>
            </w:r>
            <w:r>
              <w:rPr>
                <w:b w:val="0"/>
                <w:i w:val="0"/>
              </w:rPr>
              <w:t>≥10 global collaborations.</w:t>
            </w:r>
          </w:p>
        </w:tc>
      </w:tr>
      <w:tr>
        <w:trPr>
          <w:cantSplit/>
        </w:trPr>
        <w:tc>
          <w:tcPr>
            <w:tcW w:type="dxa" w:w="1757"/>
            <w:vAlign w:val="center"/>
            <w:shd w:fill="FFFFFF"/>
          </w:tcPr>
          <w:p>
            <w:pPr>
              <w:spacing w:after="40" w:line="276" w:lineRule="auto"/>
              <w:jc w:val="left"/>
            </w:pPr>
            <w:r>
              <w:rPr>
                <w:b w:val="0"/>
                <w:i w:val="0"/>
              </w:rPr>
              <w:t>Financial Sustainability</w:t>
            </w:r>
          </w:p>
        </w:tc>
        <w:tc>
          <w:tcPr>
            <w:tcW w:type="dxa" w:w="1928"/>
            <w:vAlign w:val="center"/>
            <w:shd w:fill="FFFFFF"/>
          </w:tcPr>
          <w:p>
            <w:pPr>
              <w:spacing w:after="40" w:line="276" w:lineRule="auto"/>
              <w:jc w:val="left"/>
            </w:pPr>
            <w:r>
              <w:rPr>
                <w:b w:val="0"/>
                <w:i w:val="0"/>
              </w:rPr>
              <w:t>Ensure adaptive, resilient funding models</w:t>
            </w:r>
          </w:p>
        </w:tc>
        <w:tc>
          <w:tcPr>
            <w:tcW w:type="dxa" w:w="1928"/>
            <w:vAlign w:val="center"/>
            <w:shd w:fill="FFFFFF"/>
          </w:tcPr>
          <w:p>
            <w:pPr>
              <w:spacing w:after="40" w:line="276" w:lineRule="auto"/>
              <w:ind w:left="125" w:hanging="125"/>
              <w:jc w:val="left"/>
            </w:pPr>
            <w:r>
              <w:t xml:space="preserve">• </w:t>
            </w:r>
            <w:r>
              <w:rPr>
                <w:b w:val="0"/>
                <w:i w:val="0"/>
              </w:rPr>
              <w:t>Monitor CSR/​alumni funding feedback.</w:t>
            </w:r>
          </w:p>
          <w:p>
            <w:pPr>
              <w:spacing w:after="40" w:line="276" w:lineRule="auto"/>
              <w:ind w:left="125" w:hanging="125"/>
              <w:jc w:val="left"/>
            </w:pPr>
            <w:r>
              <w:t xml:space="preserve">• </w:t>
            </w:r>
            <w:r>
              <w:rPr>
                <w:b w:val="0"/>
                <w:i w:val="0"/>
              </w:rPr>
              <w:t>Audit consultancy &amp; PPP revenues.</w:t>
            </w:r>
          </w:p>
          <w:p>
            <w:pPr>
              <w:spacing w:after="40" w:line="276" w:lineRule="auto"/>
              <w:ind w:left="125" w:hanging="125"/>
              <w:jc w:val="left"/>
            </w:pPr>
            <w:r>
              <w:t xml:space="preserve">• </w:t>
            </w:r>
            <w:r>
              <w:rPr>
                <w:b w:val="0"/>
                <w:i w:val="0"/>
              </w:rPr>
              <w:t>Adjust fundraising strategies.</w:t>
            </w:r>
          </w:p>
        </w:tc>
        <w:tc>
          <w:tcPr>
            <w:tcW w:type="dxa" w:w="1871"/>
            <w:vAlign w:val="center"/>
            <w:shd w:fill="FFFFFF"/>
          </w:tcPr>
          <w:p>
            <w:pPr>
              <w:spacing w:after="40" w:line="276" w:lineRule="auto"/>
              <w:ind w:left="125" w:hanging="125"/>
              <w:jc w:val="left"/>
            </w:pPr>
            <w:r>
              <w:t xml:space="preserve">• </w:t>
            </w:r>
            <w:r>
              <w:rPr>
                <w:b w:val="0"/>
                <w:i w:val="0"/>
              </w:rPr>
              <w:t>Non-government revenue %.</w:t>
            </w:r>
          </w:p>
          <w:p>
            <w:pPr>
              <w:spacing w:after="40" w:line="276" w:lineRule="auto"/>
              <w:ind w:left="125" w:hanging="125"/>
              <w:jc w:val="left"/>
            </w:pPr>
            <w:r>
              <w:t xml:space="preserve">• </w:t>
            </w:r>
            <w:r>
              <w:rPr>
                <w:b w:val="0"/>
                <w:i w:val="0"/>
              </w:rPr>
              <w:t>CSR/​alumni contributions.</w:t>
            </w:r>
          </w:p>
          <w:p>
            <w:pPr>
              <w:spacing w:after="40" w:line="276" w:lineRule="auto"/>
              <w:ind w:left="125" w:hanging="125"/>
              <w:jc w:val="left"/>
            </w:pPr>
            <w:r>
              <w:t xml:space="preserve">• </w:t>
            </w:r>
            <w:r>
              <w:rPr>
                <w:b w:val="0"/>
                <w:i w:val="0"/>
              </w:rPr>
              <w:t>Endowment growth rate.</w:t>
            </w:r>
          </w:p>
        </w:tc>
        <w:tc>
          <w:tcPr>
            <w:tcW w:type="dxa" w:w="1928"/>
            <w:vAlign w:val="center"/>
            <w:shd w:fill="FFFFFF"/>
          </w:tcPr>
          <w:p>
            <w:pPr>
              <w:spacing w:after="40" w:line="276" w:lineRule="auto"/>
              <w:ind w:left="125" w:hanging="125"/>
              <w:jc w:val="left"/>
            </w:pPr>
            <w:r>
              <w:t xml:space="preserve">• </w:t>
            </w:r>
            <w:r>
              <w:rPr>
                <w:b w:val="0"/>
                <w:i w:val="0"/>
              </w:rPr>
              <w:t>≥40% non-govt. revenue.</w:t>
            </w:r>
          </w:p>
          <w:p>
            <w:pPr>
              <w:spacing w:after="40" w:line="276" w:lineRule="auto"/>
              <w:ind w:left="125" w:hanging="125"/>
              <w:jc w:val="left"/>
            </w:pPr>
            <w:r>
              <w:t xml:space="preserve">• </w:t>
            </w:r>
            <w:r>
              <w:rPr>
                <w:b w:val="0"/>
                <w:i w:val="0"/>
              </w:rPr>
              <w:t>₹15 Cr/£1.5m raised.</w:t>
            </w:r>
          </w:p>
          <w:p>
            <w:pPr>
              <w:spacing w:after="40" w:line="276" w:lineRule="auto"/>
              <w:ind w:left="125" w:hanging="125"/>
              <w:jc w:val="left"/>
            </w:pPr>
            <w:r>
              <w:t xml:space="preserve">• </w:t>
            </w:r>
            <w:r>
              <w:rPr>
                <w:b w:val="0"/>
                <w:i w:val="0"/>
              </w:rPr>
              <w:t>≥10% endowment growth annually.</w:t>
            </w:r>
          </w:p>
        </w:tc>
      </w:tr>
      <w:tr>
        <w:trPr>
          <w:cantSplit/>
        </w:trPr>
        <w:tc>
          <w:tcPr>
            <w:tcW w:type="dxa" w:w="1757"/>
            <w:vAlign w:val="center"/>
            <w:shd w:fill="EDF2F7"/>
          </w:tcPr>
          <w:p>
            <w:pPr>
              <w:spacing w:after="40" w:line="276" w:lineRule="auto"/>
              <w:jc w:val="left"/>
            </w:pPr>
            <w:r>
              <w:rPr>
                <w:b w:val="0"/>
                <w:i w:val="0"/>
              </w:rPr>
              <w:t>Internal Processes &amp; Governance</w:t>
            </w:r>
          </w:p>
        </w:tc>
        <w:tc>
          <w:tcPr>
            <w:tcW w:type="dxa" w:w="1928"/>
            <w:vAlign w:val="center"/>
            <w:shd w:fill="EDF2F7"/>
          </w:tcPr>
          <w:p>
            <w:pPr>
              <w:spacing w:after="40" w:line="276" w:lineRule="auto"/>
              <w:jc w:val="left"/>
            </w:pPr>
            <w:r>
              <w:rPr>
                <w:b w:val="0"/>
                <w:i w:val="0"/>
              </w:rPr>
              <w:t>Strengthen accountability &amp; efficiency</w:t>
            </w:r>
          </w:p>
        </w:tc>
        <w:tc>
          <w:tcPr>
            <w:tcW w:type="dxa" w:w="1928"/>
            <w:vAlign w:val="center"/>
            <w:shd w:fill="EDF2F7"/>
          </w:tcPr>
          <w:p>
            <w:pPr>
              <w:spacing w:after="40" w:line="276" w:lineRule="auto"/>
              <w:ind w:left="125" w:hanging="125"/>
              <w:jc w:val="left"/>
            </w:pPr>
            <w:r>
              <w:t xml:space="preserve">• </w:t>
            </w:r>
            <w:r>
              <w:rPr>
                <w:b w:val="0"/>
                <w:i w:val="0"/>
              </w:rPr>
              <w:t>Conduct quality audits (internal &amp; external).</w:t>
            </w:r>
          </w:p>
          <w:p>
            <w:pPr>
              <w:spacing w:after="40" w:line="276" w:lineRule="auto"/>
              <w:ind w:left="125" w:hanging="125"/>
              <w:jc w:val="left"/>
            </w:pPr>
            <w:r>
              <w:t xml:space="preserve">• </w:t>
            </w:r>
            <w:r>
              <w:rPr>
                <w:b w:val="0"/>
                <w:i w:val="0"/>
              </w:rPr>
              <w:t>Review ERP dashboards.</w:t>
            </w:r>
          </w:p>
          <w:p>
            <w:pPr>
              <w:spacing w:after="40" w:line="276" w:lineRule="auto"/>
              <w:ind w:left="125" w:hanging="125"/>
              <w:jc w:val="left"/>
            </w:pPr>
            <w:r>
              <w:t xml:space="preserve">• </w:t>
            </w:r>
            <w:r>
              <w:rPr>
                <w:b w:val="0"/>
                <w:i w:val="0"/>
              </w:rPr>
              <w:t>Implement corrective/​preventive actions.</w:t>
            </w:r>
          </w:p>
        </w:tc>
        <w:tc>
          <w:tcPr>
            <w:tcW w:type="dxa" w:w="1871"/>
            <w:vAlign w:val="center"/>
            <w:shd w:fill="EDF2F7"/>
          </w:tcPr>
          <w:p>
            <w:pPr>
              <w:spacing w:after="40" w:line="276" w:lineRule="auto"/>
              <w:ind w:left="125" w:hanging="125"/>
              <w:jc w:val="left"/>
            </w:pPr>
            <w:r>
              <w:t xml:space="preserve">• </w:t>
            </w:r>
            <w:r>
              <w:rPr>
                <w:b w:val="0"/>
                <w:i w:val="0"/>
              </w:rPr>
              <w:t>Audit compliance rate.</w:t>
            </w:r>
          </w:p>
          <w:p>
            <w:pPr>
              <w:spacing w:after="40" w:line="276" w:lineRule="auto"/>
              <w:ind w:left="125" w:hanging="125"/>
              <w:jc w:val="left"/>
            </w:pPr>
            <w:r>
              <w:t xml:space="preserve">• </w:t>
            </w:r>
            <w:r>
              <w:rPr>
                <w:b w:val="0"/>
                <w:i w:val="0"/>
              </w:rPr>
              <w:t>Decision—making turnaround time.</w:t>
            </w:r>
          </w:p>
          <w:p>
            <w:pPr>
              <w:spacing w:after="40" w:line="276" w:lineRule="auto"/>
              <w:ind w:left="125" w:hanging="125"/>
              <w:jc w:val="left"/>
            </w:pPr>
            <w:r>
              <w:t xml:space="preserve">• </w:t>
            </w:r>
            <w:r>
              <w:rPr>
                <w:b w:val="0"/>
                <w:i w:val="0"/>
              </w:rPr>
              <w:t>% corrective actions implemented.</w:t>
            </w:r>
          </w:p>
        </w:tc>
        <w:tc>
          <w:tcPr>
            <w:tcW w:type="dxa" w:w="1928"/>
            <w:vAlign w:val="center"/>
            <w:shd w:fill="EDF2F7"/>
          </w:tcPr>
          <w:p>
            <w:pPr>
              <w:spacing w:after="40" w:line="276" w:lineRule="auto"/>
              <w:ind w:left="125" w:hanging="125"/>
              <w:jc w:val="left"/>
            </w:pPr>
            <w:r>
              <w:t xml:space="preserve">• </w:t>
            </w:r>
            <w:r>
              <w:rPr>
                <w:b w:val="0"/>
                <w:i w:val="0"/>
              </w:rPr>
              <w:t>100% audit compliance.</w:t>
            </w:r>
          </w:p>
          <w:p>
            <w:pPr>
              <w:spacing w:after="40" w:line="276" w:lineRule="auto"/>
              <w:ind w:left="125" w:hanging="125"/>
              <w:jc w:val="left"/>
            </w:pPr>
            <w:r>
              <w:t xml:space="preserve">• </w:t>
            </w:r>
            <w:r>
              <w:rPr>
                <w:b w:val="0"/>
                <w:i w:val="0"/>
              </w:rPr>
              <w:t>≤10 days avg. approval time.</w:t>
            </w:r>
          </w:p>
          <w:p>
            <w:pPr>
              <w:spacing w:after="40" w:line="276" w:lineRule="auto"/>
              <w:ind w:left="125" w:hanging="125"/>
              <w:jc w:val="left"/>
            </w:pPr>
            <w:r>
              <w:t xml:space="preserve">• </w:t>
            </w:r>
            <w:r>
              <w:rPr>
                <w:b w:val="0"/>
                <w:i w:val="0"/>
              </w:rPr>
              <w:t>≥90% corrective actions closed.</w:t>
            </w:r>
          </w:p>
        </w:tc>
      </w:tr>
      <w:tr>
        <w:trPr>
          <w:cantSplit/>
        </w:trPr>
        <w:tc>
          <w:tcPr>
            <w:tcW w:type="dxa" w:w="1757"/>
            <w:vAlign w:val="center"/>
            <w:shd w:fill="FFFFFF"/>
          </w:tcPr>
          <w:p>
            <w:pPr>
              <w:spacing w:after="40" w:line="276" w:lineRule="auto"/>
              <w:jc w:val="left"/>
            </w:pPr>
            <w:r>
              <w:rPr>
                <w:b w:val="0"/>
                <w:i w:val="0"/>
              </w:rPr>
              <w:t>Community &amp; Social Impact</w:t>
            </w:r>
          </w:p>
        </w:tc>
        <w:tc>
          <w:tcPr>
            <w:tcW w:type="dxa" w:w="1928"/>
            <w:vAlign w:val="center"/>
            <w:shd w:fill="FFFFFF"/>
          </w:tcPr>
          <w:p>
            <w:pPr>
              <w:spacing w:after="40" w:line="276" w:lineRule="auto"/>
              <w:jc w:val="left"/>
            </w:pPr>
            <w:r>
              <w:rPr>
                <w:b w:val="0"/>
                <w:i w:val="0"/>
              </w:rPr>
              <w:t>Improve ISR effectiveness via feedback</w:t>
            </w:r>
          </w:p>
        </w:tc>
        <w:tc>
          <w:tcPr>
            <w:tcW w:type="dxa" w:w="1928"/>
            <w:vAlign w:val="center"/>
            <w:shd w:fill="FFFFFF"/>
          </w:tcPr>
          <w:p>
            <w:pPr>
              <w:spacing w:after="40" w:line="276" w:lineRule="auto"/>
              <w:ind w:left="125" w:hanging="125"/>
              <w:jc w:val="left"/>
            </w:pPr>
            <w:r>
              <w:t xml:space="preserve">• </w:t>
            </w:r>
            <w:r>
              <w:rPr>
                <w:b w:val="0"/>
                <w:i w:val="0"/>
              </w:rPr>
              <w:t>Collect feedback from beneficiaries.</w:t>
            </w:r>
          </w:p>
          <w:p>
            <w:pPr>
              <w:spacing w:after="40" w:line="276" w:lineRule="auto"/>
              <w:ind w:left="125" w:hanging="125"/>
              <w:jc w:val="left"/>
            </w:pPr>
            <w:r>
              <w:t xml:space="preserve">• </w:t>
            </w:r>
            <w:r>
              <w:rPr>
                <w:b w:val="0"/>
                <w:i w:val="0"/>
              </w:rPr>
              <w:t>Evaluate SDG project impact.</w:t>
            </w:r>
          </w:p>
          <w:p>
            <w:pPr>
              <w:spacing w:after="40" w:line="276" w:lineRule="auto"/>
              <w:ind w:left="125" w:hanging="125"/>
              <w:jc w:val="left"/>
            </w:pPr>
            <w:r>
              <w:t xml:space="preserve">• </w:t>
            </w:r>
            <w:r>
              <w:rPr>
                <w:b w:val="0"/>
                <w:i w:val="0"/>
              </w:rPr>
              <w:t>Publish social responsibility reports.</w:t>
            </w:r>
          </w:p>
        </w:tc>
        <w:tc>
          <w:tcPr>
            <w:tcW w:type="dxa" w:w="1871"/>
            <w:vAlign w:val="center"/>
            <w:shd w:fill="FFFFFF"/>
          </w:tcPr>
          <w:p>
            <w:pPr>
              <w:spacing w:after="40" w:line="276" w:lineRule="auto"/>
              <w:ind w:left="125" w:hanging="125"/>
              <w:jc w:val="left"/>
            </w:pPr>
            <w:r>
              <w:t xml:space="preserve">• </w:t>
            </w:r>
            <w:r>
              <w:rPr>
                <w:b w:val="0"/>
                <w:i w:val="0"/>
              </w:rPr>
              <w:t>% students engaged in ISR.</w:t>
            </w:r>
          </w:p>
          <w:p>
            <w:pPr>
              <w:spacing w:after="40" w:line="276" w:lineRule="auto"/>
              <w:ind w:left="125" w:hanging="125"/>
              <w:jc w:val="left"/>
            </w:pPr>
            <w:r>
              <w:t xml:space="preserve">• </w:t>
            </w:r>
            <w:r>
              <w:rPr>
                <w:b w:val="0"/>
                <w:i w:val="0"/>
              </w:rPr>
              <w:t>No. of beneficiaries impacted.</w:t>
            </w:r>
          </w:p>
          <w:p>
            <w:pPr>
              <w:spacing w:after="40" w:line="276" w:lineRule="auto"/>
              <w:ind w:left="125" w:hanging="125"/>
              <w:jc w:val="left"/>
            </w:pPr>
            <w:r>
              <w:t xml:space="preserve">• </w:t>
            </w:r>
            <w:r>
              <w:rPr>
                <w:b w:val="0"/>
                <w:i w:val="0"/>
              </w:rPr>
              <w:t>Community satisfaction index.</w:t>
            </w:r>
          </w:p>
        </w:tc>
        <w:tc>
          <w:tcPr>
            <w:tcW w:type="dxa" w:w="1928"/>
            <w:vAlign w:val="center"/>
            <w:shd w:fill="FFFFFF"/>
          </w:tcPr>
          <w:p>
            <w:pPr>
              <w:spacing w:after="40" w:line="276" w:lineRule="auto"/>
              <w:ind w:left="125" w:hanging="125"/>
              <w:jc w:val="left"/>
            </w:pPr>
            <w:r>
              <w:t xml:space="preserve">• </w:t>
            </w:r>
            <w:r>
              <w:rPr>
                <w:b w:val="0"/>
                <w:i w:val="0"/>
              </w:rPr>
              <w:t>≥85% student participation.</w:t>
            </w:r>
          </w:p>
          <w:p>
            <w:pPr>
              <w:spacing w:after="40" w:line="276" w:lineRule="auto"/>
              <w:ind w:left="125" w:hanging="125"/>
              <w:jc w:val="left"/>
            </w:pPr>
            <w:r>
              <w:t xml:space="preserve">• </w:t>
            </w:r>
            <w:r>
              <w:rPr>
                <w:b w:val="0"/>
                <w:i w:val="0"/>
              </w:rPr>
              <w:t>≥15,000 beneficiaries/​year.</w:t>
            </w:r>
          </w:p>
          <w:p>
            <w:pPr>
              <w:spacing w:after="40" w:line="276" w:lineRule="auto"/>
              <w:ind w:left="125" w:hanging="125"/>
              <w:jc w:val="left"/>
            </w:pPr>
            <w:r>
              <w:t xml:space="preserve">• </w:t>
            </w:r>
            <w:r>
              <w:rPr>
                <w:b w:val="0"/>
                <w:i w:val="0"/>
              </w:rPr>
              <w:t>≥90% satisfaction score.</w:t>
            </w:r>
          </w:p>
        </w:tc>
      </w:tr>
      <w:tr>
        <w:trPr>
          <w:cantSplit/>
        </w:trPr>
        <w:tc>
          <w:tcPr>
            <w:tcW w:type="dxa" w:w="1757"/>
            <w:vAlign w:val="center"/>
            <w:shd w:fill="EDF2F7"/>
          </w:tcPr>
          <w:p>
            <w:pPr>
              <w:spacing w:after="40" w:line="276" w:lineRule="auto"/>
              <w:jc w:val="left"/>
            </w:pPr>
            <w:r>
              <w:rPr>
                <w:b w:val="0"/>
                <w:i w:val="0"/>
              </w:rPr>
              <w:t>Global Engagement</w:t>
            </w:r>
          </w:p>
        </w:tc>
        <w:tc>
          <w:tcPr>
            <w:tcW w:type="dxa" w:w="1928"/>
            <w:vAlign w:val="center"/>
            <w:shd w:fill="EDF2F7"/>
          </w:tcPr>
          <w:p>
            <w:pPr>
              <w:spacing w:after="40" w:line="276" w:lineRule="auto"/>
              <w:jc w:val="left"/>
            </w:pPr>
            <w:r>
              <w:rPr>
                <w:b w:val="0"/>
                <w:i w:val="0"/>
              </w:rPr>
              <w:t>Enhance competitiveness through global benchmarking</w:t>
            </w:r>
          </w:p>
        </w:tc>
        <w:tc>
          <w:tcPr>
            <w:tcW w:type="dxa" w:w="1928"/>
            <w:vAlign w:val="center"/>
            <w:shd w:fill="EDF2F7"/>
          </w:tcPr>
          <w:p>
            <w:pPr>
              <w:spacing w:after="40" w:line="276" w:lineRule="auto"/>
              <w:ind w:left="125" w:hanging="125"/>
              <w:jc w:val="left"/>
            </w:pPr>
            <w:r>
              <w:t xml:space="preserve">• </w:t>
            </w:r>
            <w:r>
              <w:rPr>
                <w:b w:val="0"/>
                <w:i w:val="0"/>
              </w:rPr>
              <w:t>Collect partner university feedback.</w:t>
            </w:r>
          </w:p>
          <w:p>
            <w:pPr>
              <w:spacing w:after="40" w:line="276" w:lineRule="auto"/>
              <w:ind w:left="125" w:hanging="125"/>
              <w:jc w:val="left"/>
            </w:pPr>
            <w:r>
              <w:t xml:space="preserve">• </w:t>
            </w:r>
            <w:r>
              <w:rPr>
                <w:b w:val="0"/>
                <w:i w:val="0"/>
              </w:rPr>
              <w:t>Track global mobility outcomes.</w:t>
            </w:r>
          </w:p>
          <w:p>
            <w:pPr>
              <w:spacing w:after="40" w:line="276" w:lineRule="auto"/>
              <w:ind w:left="125" w:hanging="125"/>
              <w:jc w:val="left"/>
            </w:pPr>
            <w:r>
              <w:t xml:space="preserve">• </w:t>
            </w:r>
            <w:r>
              <w:rPr>
                <w:b w:val="0"/>
                <w:i w:val="0"/>
              </w:rPr>
              <w:t>Adjust strategies for rankings.</w:t>
            </w:r>
          </w:p>
        </w:tc>
        <w:tc>
          <w:tcPr>
            <w:tcW w:type="dxa" w:w="1871"/>
            <w:vAlign w:val="center"/>
            <w:shd w:fill="EDF2F7"/>
          </w:tcPr>
          <w:p>
            <w:pPr>
              <w:spacing w:after="40" w:line="276" w:lineRule="auto"/>
              <w:ind w:left="125" w:hanging="125"/>
              <w:jc w:val="left"/>
            </w:pPr>
            <w:r>
              <w:t xml:space="preserve">• </w:t>
            </w:r>
            <w:r>
              <w:rPr>
                <w:b w:val="0"/>
                <w:i w:val="0"/>
              </w:rPr>
              <w:t>No. of active MoUs with Top 500 universities.</w:t>
            </w:r>
          </w:p>
          <w:p>
            <w:pPr>
              <w:spacing w:after="40" w:line="276" w:lineRule="auto"/>
              <w:ind w:left="125" w:hanging="125"/>
              <w:jc w:val="left"/>
            </w:pPr>
            <w:r>
              <w:t xml:space="preserve">• </w:t>
            </w:r>
            <w:r>
              <w:rPr>
                <w:b w:val="0"/>
                <w:i w:val="0"/>
              </w:rPr>
              <w:t>QS/​THE ranking position.</w:t>
            </w:r>
          </w:p>
          <w:p>
            <w:pPr>
              <w:spacing w:after="40" w:line="276" w:lineRule="auto"/>
              <w:ind w:left="125" w:hanging="125"/>
              <w:jc w:val="left"/>
            </w:pPr>
            <w:r>
              <w:t xml:space="preserve">• </w:t>
            </w:r>
            <w:r>
              <w:rPr>
                <w:b w:val="0"/>
                <w:i w:val="0"/>
              </w:rPr>
              <w:t>Exchange participation feedback.</w:t>
            </w:r>
          </w:p>
        </w:tc>
        <w:tc>
          <w:tcPr>
            <w:tcW w:type="dxa" w:w="1928"/>
            <w:vAlign w:val="center"/>
            <w:shd w:fill="EDF2F7"/>
          </w:tcPr>
          <w:p>
            <w:pPr>
              <w:spacing w:after="40" w:line="276" w:lineRule="auto"/>
              <w:ind w:left="125" w:hanging="125"/>
              <w:jc w:val="left"/>
            </w:pPr>
            <w:r>
              <w:t xml:space="preserve">• </w:t>
            </w:r>
            <w:r>
              <w:rPr>
                <w:b w:val="0"/>
                <w:i w:val="0"/>
              </w:rPr>
              <w:t>≥25 MoUs.</w:t>
            </w:r>
          </w:p>
          <w:p>
            <w:pPr>
              <w:spacing w:after="40" w:line="276" w:lineRule="auto"/>
              <w:ind w:left="125" w:hanging="125"/>
              <w:jc w:val="left"/>
            </w:pPr>
            <w:r>
              <w:t xml:space="preserve">• </w:t>
            </w:r>
            <w:r>
              <w:rPr>
                <w:b w:val="0"/>
                <w:i w:val="0"/>
              </w:rPr>
              <w:t>QS/​THE Top 400 by 2040.</w:t>
            </w:r>
          </w:p>
          <w:p>
            <w:pPr>
              <w:spacing w:after="40" w:line="276" w:lineRule="auto"/>
              <w:ind w:left="125" w:hanging="125"/>
              <w:jc w:val="left"/>
            </w:pPr>
            <w:r>
              <w:t xml:space="preserve">• </w:t>
            </w:r>
            <w:r>
              <w:rPr>
                <w:b w:val="0"/>
                <w:i w:val="0"/>
              </w:rPr>
              <w:t>≥90% satisfaction in exchange feedback.</w:t>
            </w:r>
          </w:p>
        </w:tc>
      </w:tr>
    </w:tbl>
    <w:p>
      <w:pPr>
        <w:spacing w:after="40"/>
      </w:pPr>
    </w:p>
    <w:p>
      <w:pPr>
        <w:pStyle w:val="Heading1"/>
      </w:pPr>
      <w:r>
        <w:t>22. Strategic Development Plan – Full Phase Roadmap</w:t>
      </w:r>
    </w:p>
    <w:p>
      <w:pPr>
        <w:pStyle w:val="Heading2"/>
      </w:pPr>
      <w:r>
        <w:t>Phase 1: Assessment &amp; Diagnosis</w:t>
      </w:r>
    </w:p>
    <w:p>
      <w:pPr/>
      <w:r>
        <w:rPr>
          <w:b/>
          <w:i w:val="0"/>
        </w:rPr>
        <w:t>Purpose:</w:t>
      </w:r>
      <w:r>
        <w:rPr>
          <w:b w:val="0"/>
          <w:i w:val="0"/>
        </w:rPr>
        <w:t xml:space="preserve"> Establish baseline, identify gaps, and set direction.</w:t>
      </w:r>
    </w:p>
    <w:p>
      <w:pPr>
        <w:pStyle w:val="ListBullet"/>
        <w:numPr>
          <w:ilvl w:val="0"/>
          <w:numId w:val="90"/>
        </w:numPr>
        <w:ind w:left="340" w:hanging="142"/>
      </w:pPr>
      <w:r>
        <w:rPr>
          <w:b/>
          <w:i w:val="0"/>
        </w:rPr>
        <w:t>Tasks:</w:t>
      </w:r>
      <w:r>
        <w:rPr>
          <w:b w:val="0"/>
          <w:i w:val="0"/>
        </w:rPr>
        <w:t xml:space="preserve"> Institutional audit, SWOT &amp; PESTLE analysis, stakeholder consultations, accreditation readiness check.</w:t>
      </w:r>
    </w:p>
    <w:p>
      <w:pPr>
        <w:pStyle w:val="ListBullet"/>
        <w:numPr>
          <w:ilvl w:val="0"/>
          <w:numId w:val="90"/>
        </w:numPr>
        <w:ind w:left="340" w:hanging="142"/>
      </w:pPr>
      <w:r>
        <w:rPr>
          <w:b/>
          <w:i w:val="0"/>
        </w:rPr>
        <w:t>Outputs:</w:t>
      </w:r>
      <w:r>
        <w:rPr>
          <w:b w:val="0"/>
          <w:i w:val="0"/>
        </w:rPr>
        <w:t xml:space="preserve"> Baseline report, gap analysis, risk register, readiness index.</w:t>
      </w:r>
    </w:p>
    <w:p>
      <w:pPr>
        <w:pStyle w:val="ListBullet"/>
        <w:numPr>
          <w:ilvl w:val="0"/>
          <w:numId w:val="90"/>
        </w:numPr>
        <w:ind w:left="340" w:hanging="142"/>
      </w:pPr>
      <w:r>
        <w:rPr>
          <w:b/>
          <w:i w:val="0"/>
        </w:rPr>
        <w:t>Tools:</w:t>
      </w:r>
      <w:r>
        <w:rPr>
          <w:b w:val="0"/>
          <w:i w:val="0"/>
        </w:rPr>
        <w:t xml:space="preserve"> SWOT–TOWS Matrix, PESTLE analysis, Accreditation Benchmarking.</w:t>
      </w:r>
    </w:p>
    <w:p>
      <w:pPr>
        <w:pStyle w:val="Heading2"/>
      </w:pPr>
      <w:r>
        <w:t>Phase 2: Strategy Formulation</w:t>
      </w:r>
    </w:p>
    <w:p>
      <w:pPr/>
      <w:r>
        <w:rPr>
          <w:b/>
          <w:i w:val="0"/>
        </w:rPr>
        <w:t>Purpose:</w:t>
      </w:r>
      <w:r>
        <w:rPr>
          <w:b w:val="0"/>
          <w:i w:val="0"/>
        </w:rPr>
        <w:t xml:space="preserve"> Define long-term aspirations, priorities, and alignment.</w:t>
      </w:r>
    </w:p>
    <w:p>
      <w:pPr>
        <w:pStyle w:val="ListBullet"/>
        <w:numPr>
          <w:ilvl w:val="0"/>
          <w:numId w:val="90"/>
        </w:numPr>
        <w:ind w:left="340" w:hanging="142"/>
      </w:pPr>
      <w:r>
        <w:rPr>
          <w:b/>
          <w:i w:val="0"/>
        </w:rPr>
        <w:t>Tasks:</w:t>
      </w:r>
      <w:r>
        <w:rPr>
          <w:b w:val="0"/>
          <w:i w:val="0"/>
        </w:rPr>
        <w:t xml:space="preserve"> Draft Vision (20-year), Mission (purpose in action), Core Values, Strategic Pillars.</w:t>
      </w:r>
    </w:p>
    <w:p>
      <w:pPr>
        <w:pStyle w:val="ListBullet"/>
        <w:numPr>
          <w:ilvl w:val="0"/>
          <w:numId w:val="90"/>
        </w:numPr>
        <w:ind w:left="340" w:hanging="142"/>
      </w:pPr>
      <w:r>
        <w:rPr>
          <w:b/>
          <w:i w:val="0"/>
        </w:rPr>
        <w:t>Outputs:</w:t>
      </w:r>
      <w:r>
        <w:rPr>
          <w:b w:val="0"/>
          <w:i w:val="0"/>
        </w:rPr>
        <w:t xml:space="preserve"> Vision–Mission–Values–Pillars framework, Strategic Objectives, Operational Goals.</w:t>
      </w:r>
    </w:p>
    <w:p>
      <w:pPr>
        <w:pStyle w:val="ListBullet"/>
        <w:numPr>
          <w:ilvl w:val="0"/>
          <w:numId w:val="90"/>
        </w:numPr>
        <w:ind w:left="340" w:hanging="142"/>
      </w:pPr>
      <w:r>
        <w:rPr>
          <w:b/>
          <w:i w:val="0"/>
        </w:rPr>
        <w:t>Tools:</w:t>
      </w:r>
      <w:r>
        <w:rPr>
          <w:b w:val="0"/>
          <w:i w:val="0"/>
        </w:rPr>
        <w:t xml:space="preserve"> Policy–Action–Outcome–KPI tables, Alignment Matrix (NEP 2020 + SDGs).</w:t>
      </w:r>
    </w:p>
    <w:p>
      <w:pPr>
        <w:pStyle w:val="Heading2"/>
      </w:pPr>
      <w:r>
        <w:t>Phase 3: Implementation Planning</w:t>
      </w:r>
    </w:p>
    <w:p>
      <w:pPr/>
      <w:r>
        <w:rPr>
          <w:b/>
          <w:i w:val="0"/>
        </w:rPr>
        <w:t>Purpose:</w:t>
      </w:r>
      <w:r>
        <w:rPr>
          <w:b w:val="0"/>
          <w:i w:val="0"/>
        </w:rPr>
        <w:t xml:space="preserve"> Translate strategy into operational action plans.</w:t>
      </w:r>
    </w:p>
    <w:p>
      <w:pPr>
        <w:pStyle w:val="ListBullet"/>
        <w:numPr>
          <w:ilvl w:val="0"/>
          <w:numId w:val="90"/>
        </w:numPr>
        <w:ind w:left="340" w:hanging="142"/>
      </w:pPr>
      <w:r>
        <w:rPr>
          <w:b/>
          <w:i w:val="0"/>
        </w:rPr>
        <w:t>Tasks:</w:t>
      </w:r>
      <w:r>
        <w:rPr>
          <w:b w:val="0"/>
          <w:i w:val="0"/>
        </w:rPr>
        <w:t xml:space="preserve"> Develop detailed roadmaps, allocate resources (budget–manpower–infrastructure), establish RACI roles, define KPIs.</w:t>
      </w:r>
    </w:p>
    <w:p>
      <w:pPr>
        <w:pStyle w:val="ListBullet"/>
        <w:numPr>
          <w:ilvl w:val="0"/>
          <w:numId w:val="90"/>
        </w:numPr>
        <w:ind w:left="340" w:hanging="142"/>
      </w:pPr>
      <w:r>
        <w:rPr>
          <w:b/>
          <w:i w:val="0"/>
        </w:rPr>
        <w:t>Outputs:</w:t>
      </w:r>
      <w:r>
        <w:rPr>
          <w:b w:val="0"/>
          <w:i w:val="0"/>
        </w:rPr>
        <w:t xml:space="preserve"> Action Plans, Resource Allocation Table, Phase 3 RACI Matrix.</w:t>
      </w:r>
    </w:p>
    <w:p>
      <w:pPr>
        <w:pStyle w:val="ListBullet"/>
        <w:numPr>
          <w:ilvl w:val="0"/>
          <w:numId w:val="90"/>
        </w:numPr>
        <w:ind w:left="340" w:hanging="142"/>
      </w:pPr>
      <w:r>
        <w:rPr>
          <w:b/>
          <w:i w:val="0"/>
        </w:rPr>
        <w:t>Tools:</w:t>
      </w:r>
      <w:r>
        <w:rPr>
          <w:b w:val="0"/>
          <w:i w:val="0"/>
        </w:rPr>
        <w:t xml:space="preserve"> Balanced Scorecard, Gantt charts, Project Management Frameworks.</w:t>
      </w:r>
    </w:p>
    <w:p>
      <w:pPr>
        <w:pStyle w:val="Heading2"/>
      </w:pPr>
      <w:r>
        <w:t>Phase 4: Execution</w:t>
      </w:r>
    </w:p>
    <w:p>
      <w:pPr/>
      <w:r>
        <w:rPr>
          <w:b/>
          <w:i w:val="0"/>
        </w:rPr>
        <w:t>Purpose:</w:t>
      </w:r>
      <w:r>
        <w:rPr>
          <w:b w:val="0"/>
          <w:i w:val="0"/>
        </w:rPr>
        <w:t xml:space="preserve"> Roll out strategies and initiatives across all pillars.</w:t>
      </w:r>
    </w:p>
    <w:p>
      <w:pPr>
        <w:pStyle w:val="ListBullet"/>
        <w:numPr>
          <w:ilvl w:val="0"/>
          <w:numId w:val="90"/>
        </w:numPr>
        <w:ind w:left="340" w:hanging="142"/>
      </w:pPr>
      <w:r>
        <w:rPr>
          <w:b/>
          <w:i w:val="0"/>
        </w:rPr>
        <w:t>Tasks:</w:t>
      </w:r>
      <w:r>
        <w:rPr>
          <w:b w:val="0"/>
          <w:i w:val="0"/>
        </w:rPr>
        <w:t xml:space="preserve"> Launch programs/projects, deploy resources, establish Centers of Excellence, scale ISR projects, global MoUs, curriculum reforms.</w:t>
      </w:r>
    </w:p>
    <w:p>
      <w:pPr>
        <w:pStyle w:val="ListBullet"/>
        <w:numPr>
          <w:ilvl w:val="0"/>
          <w:numId w:val="90"/>
        </w:numPr>
        <w:ind w:left="340" w:hanging="142"/>
      </w:pPr>
      <w:r>
        <w:rPr>
          <w:b/>
          <w:i w:val="0"/>
        </w:rPr>
        <w:t>Outputs:</w:t>
      </w:r>
      <w:r>
        <w:rPr>
          <w:b w:val="0"/>
          <w:i w:val="0"/>
        </w:rPr>
        <w:t xml:space="preserve"> Tangible academic, research, community, and global initiatives in action.</w:t>
      </w:r>
    </w:p>
    <w:p>
      <w:pPr>
        <w:pStyle w:val="ListBullet"/>
        <w:numPr>
          <w:ilvl w:val="0"/>
          <w:numId w:val="90"/>
        </w:numPr>
        <w:ind w:left="340" w:hanging="142"/>
      </w:pPr>
      <w:r>
        <w:rPr>
          <w:b/>
          <w:i w:val="0"/>
        </w:rPr>
        <w:t>Tools:</w:t>
      </w:r>
      <w:r>
        <w:rPr>
          <w:b w:val="0"/>
          <w:i w:val="0"/>
        </w:rPr>
        <w:t xml:space="preserve"> ERP dashboards, KPI trackers, Execution RACI Matrix, Balanced Scorecard (Execution).</w:t>
      </w:r>
    </w:p>
    <w:p>
      <w:pPr>
        <w:pStyle w:val="Heading2"/>
      </w:pPr>
      <w:r>
        <w:t>Phase 5: Monitoring &amp; Control</w:t>
      </w:r>
    </w:p>
    <w:p>
      <w:pPr/>
      <w:r>
        <w:rPr>
          <w:b/>
          <w:i w:val="0"/>
        </w:rPr>
        <w:t>Purpose:</w:t>
      </w:r>
      <w:r>
        <w:rPr>
          <w:b w:val="0"/>
          <w:i w:val="0"/>
        </w:rPr>
        <w:t xml:space="preserve"> Ensure alignment with objectives and track performance.</w:t>
      </w:r>
    </w:p>
    <w:p>
      <w:pPr>
        <w:pStyle w:val="ListBullet"/>
        <w:numPr>
          <w:ilvl w:val="0"/>
          <w:numId w:val="90"/>
        </w:numPr>
        <w:ind w:left="340" w:hanging="142"/>
      </w:pPr>
      <w:r>
        <w:rPr>
          <w:b/>
          <w:i w:val="0"/>
        </w:rPr>
        <w:t>Tasks:</w:t>
      </w:r>
      <w:r>
        <w:rPr>
          <w:b w:val="0"/>
          <w:i w:val="0"/>
        </w:rPr>
        <w:t xml:space="preserve"> Measure KPIs across Academic, Research, Finance, Governance, Community, Global Engagement; conduct reviews and audits; monitor risks.</w:t>
      </w:r>
    </w:p>
    <w:p>
      <w:pPr>
        <w:pStyle w:val="ListBullet"/>
        <w:numPr>
          <w:ilvl w:val="0"/>
          <w:numId w:val="90"/>
        </w:numPr>
        <w:ind w:left="340" w:hanging="142"/>
      </w:pPr>
      <w:r>
        <w:rPr>
          <w:b/>
          <w:i w:val="0"/>
        </w:rPr>
        <w:t>Outputs:</w:t>
      </w:r>
      <w:r>
        <w:rPr>
          <w:b w:val="0"/>
          <w:i w:val="0"/>
        </w:rPr>
        <w:t xml:space="preserve"> Quarterly/annual reports, risk register updates, accreditation compliance evidence.</w:t>
      </w:r>
    </w:p>
    <w:p>
      <w:pPr>
        <w:pStyle w:val="ListBullet"/>
        <w:numPr>
          <w:ilvl w:val="0"/>
          <w:numId w:val="90"/>
        </w:numPr>
        <w:ind w:left="340" w:hanging="142"/>
      </w:pPr>
      <w:r>
        <w:rPr>
          <w:b/>
          <w:i w:val="0"/>
        </w:rPr>
        <w:t>Tools:</w:t>
      </w:r>
      <w:r>
        <w:rPr>
          <w:b w:val="0"/>
          <w:i w:val="0"/>
        </w:rPr>
        <w:t xml:space="preserve"> Balanced Scorecard (Monitoring), Phase 5 RACI Matrix, KPI dashboards, Audit Reports.</w:t>
      </w:r>
    </w:p>
    <w:p>
      <w:pPr>
        <w:pStyle w:val="Heading2"/>
      </w:pPr>
      <w:r>
        <w:t>Phase 6: Feedback &amp; Continuous Improvement</w:t>
      </w:r>
    </w:p>
    <w:p>
      <w:pPr/>
      <w:r>
        <w:rPr>
          <w:b/>
          <w:i w:val="0"/>
        </w:rPr>
        <w:t>Purpose:</w:t>
      </w:r>
      <w:r>
        <w:rPr>
          <w:b w:val="0"/>
          <w:i w:val="0"/>
        </w:rPr>
        <w:t xml:space="preserve"> Capture lessons learned and refine strategy.</w:t>
      </w:r>
    </w:p>
    <w:p>
      <w:pPr>
        <w:pStyle w:val="ListBullet"/>
        <w:numPr>
          <w:ilvl w:val="0"/>
          <w:numId w:val="90"/>
        </w:numPr>
        <w:ind w:left="340" w:hanging="142"/>
      </w:pPr>
      <w:r>
        <w:rPr>
          <w:b/>
          <w:i w:val="0"/>
        </w:rPr>
        <w:t>Tasks:</w:t>
      </w:r>
      <w:r>
        <w:rPr>
          <w:b w:val="0"/>
          <w:i w:val="0"/>
        </w:rPr>
        <w:t xml:space="preserve"> Gather stakeholder feedback, benchmark against global standards, apply corrective/preventive actions, update curricula and policies, document best practices.</w:t>
      </w:r>
    </w:p>
    <w:p>
      <w:pPr>
        <w:pStyle w:val="ListBullet"/>
        <w:numPr>
          <w:ilvl w:val="0"/>
          <w:numId w:val="90"/>
        </w:numPr>
        <w:ind w:left="340" w:hanging="142"/>
      </w:pPr>
      <w:r>
        <w:rPr>
          <w:b/>
          <w:i w:val="0"/>
        </w:rPr>
        <w:t>Outputs:</w:t>
      </w:r>
      <w:r>
        <w:rPr>
          <w:b w:val="0"/>
          <w:i w:val="0"/>
        </w:rPr>
        <w:t xml:space="preserve"> Continuous improvement reports, best practice repository, updated strategic plan inputs.</w:t>
      </w:r>
    </w:p>
    <w:p>
      <w:pPr>
        <w:pStyle w:val="ListBullet"/>
        <w:numPr>
          <w:ilvl w:val="0"/>
          <w:numId w:val="90"/>
        </w:numPr>
        <w:ind w:left="340" w:hanging="142"/>
      </w:pPr>
      <w:r>
        <w:rPr>
          <w:b/>
          <w:i w:val="0"/>
        </w:rPr>
        <w:t>Tools:</w:t>
      </w:r>
      <w:r>
        <w:rPr>
          <w:b w:val="0"/>
          <w:i w:val="0"/>
        </w:rPr>
        <w:t xml:space="preserve"> Balanced Scorecard (Continuous Improvement), Phase 6 RACI Matrix, External Peer Review, Institutional Repository.</w:t>
      </w:r>
    </w:p>
    <w:p>
      <w:pPr>
        <w:pStyle w:val="Heading2"/>
      </w:pPr>
      <w:r>
        <w:t>Integrated Roadmap Summary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984"/>
        <w:gridCol w:w="3061"/>
        <w:gridCol w:w="2211"/>
        <w:gridCol w:w="2154"/>
      </w:tblGrid>
      <w:tr>
        <w:trPr>
          <w:tblHeader/>
          <w:cantSplit/>
        </w:trPr>
        <w:tc>
          <w:tcPr>
            <w:tcW w:type="dxa" w:w="1984"/>
            <w:vAlign w:val="center"/>
            <w:shd w:fill="1F3A5F"/>
          </w:tcPr>
          <w:p>
            <w:pPr>
              <w:keepNext/>
              <w:spacing w:after="40" w:line="276" w:lineRule="auto"/>
              <w:jc w:val="left"/>
            </w:pPr>
            <w:r>
              <w:rPr>
                <w:b/>
                <w:i w:val="0"/>
                <w:color w:val="FFFFFF"/>
              </w:rPr>
              <w:t>Phase</w:t>
            </w:r>
          </w:p>
        </w:tc>
        <w:tc>
          <w:tcPr>
            <w:tcW w:type="dxa" w:w="3061"/>
            <w:vAlign w:val="center"/>
            <w:shd w:fill="1F3A5F"/>
          </w:tcPr>
          <w:p>
            <w:pPr>
              <w:keepNext/>
              <w:spacing w:after="40" w:line="276" w:lineRule="auto"/>
              <w:jc w:val="left"/>
            </w:pPr>
            <w:r>
              <w:rPr>
                <w:b/>
                <w:i w:val="0"/>
                <w:color w:val="FFFFFF"/>
              </w:rPr>
              <w:t>Focus</w:t>
            </w:r>
          </w:p>
        </w:tc>
        <w:tc>
          <w:tcPr>
            <w:tcW w:type="dxa" w:w="2211"/>
            <w:vAlign w:val="center"/>
            <w:shd w:fill="1F3A5F"/>
          </w:tcPr>
          <w:p>
            <w:pPr>
              <w:keepNext/>
              <w:spacing w:after="40" w:line="276" w:lineRule="auto"/>
              <w:jc w:val="left"/>
            </w:pPr>
            <w:r>
              <w:rPr>
                <w:b/>
                <w:i w:val="0"/>
                <w:color w:val="FFFFFF"/>
              </w:rPr>
              <w:t>Key Outputs</w:t>
            </w:r>
          </w:p>
        </w:tc>
        <w:tc>
          <w:tcPr>
            <w:tcW w:type="dxa" w:w="2154"/>
            <w:vAlign w:val="center"/>
            <w:shd w:fill="1F3A5F"/>
          </w:tcPr>
          <w:p>
            <w:pPr>
              <w:keepNext/>
              <w:spacing w:after="40" w:line="276" w:lineRule="auto"/>
              <w:jc w:val="left"/>
            </w:pPr>
            <w:r>
              <w:rPr>
                <w:b/>
                <w:i w:val="0"/>
                <w:color w:val="FFFFFF"/>
              </w:rPr>
              <w:t>Monitoring Mechanism</w:t>
            </w:r>
          </w:p>
        </w:tc>
      </w:tr>
      <w:tr>
        <w:trPr>
          <w:cantSplit/>
        </w:trPr>
        <w:tc>
          <w:tcPr>
            <w:tcW w:type="dxa" w:w="1984"/>
            <w:vAlign w:val="center"/>
            <w:shd w:fill="FFFFFF"/>
          </w:tcPr>
          <w:p>
            <w:pPr>
              <w:spacing w:after="40" w:line="276" w:lineRule="auto"/>
              <w:jc w:val="left"/>
            </w:pPr>
            <w:r>
              <w:rPr>
                <w:b w:val="0"/>
                <w:i w:val="0"/>
              </w:rPr>
              <w:t>Phase 1</w:t>
            </w:r>
          </w:p>
        </w:tc>
        <w:tc>
          <w:tcPr>
            <w:tcW w:type="dxa" w:w="3061"/>
            <w:vAlign w:val="center"/>
            <w:shd w:fill="FFFFFF"/>
          </w:tcPr>
          <w:p>
            <w:pPr>
              <w:spacing w:after="40" w:line="276" w:lineRule="auto"/>
              <w:jc w:val="left"/>
            </w:pPr>
            <w:r>
              <w:rPr>
                <w:b w:val="0"/>
                <w:i w:val="0"/>
              </w:rPr>
              <w:t>Assessment &amp; Diagnosis</w:t>
            </w:r>
          </w:p>
        </w:tc>
        <w:tc>
          <w:tcPr>
            <w:tcW w:type="dxa" w:w="2211"/>
            <w:vAlign w:val="center"/>
            <w:shd w:fill="FFFFFF"/>
          </w:tcPr>
          <w:p>
            <w:pPr>
              <w:spacing w:after="40" w:line="276" w:lineRule="auto"/>
              <w:jc w:val="left"/>
            </w:pPr>
            <w:r>
              <w:rPr>
                <w:b w:val="0"/>
                <w:i w:val="0"/>
              </w:rPr>
              <w:t>Baseline Report, SWOT-PESTLE, Accreditation Readiness</w:t>
            </w:r>
          </w:p>
        </w:tc>
        <w:tc>
          <w:tcPr>
            <w:tcW w:type="dxa" w:w="2154"/>
            <w:vAlign w:val="center"/>
            <w:shd w:fill="FFFFFF"/>
          </w:tcPr>
          <w:p>
            <w:pPr>
              <w:spacing w:after="40" w:line="276" w:lineRule="auto"/>
              <w:jc w:val="left"/>
            </w:pPr>
            <w:r>
              <w:rPr>
                <w:b w:val="0"/>
                <w:i w:val="0"/>
              </w:rPr>
              <w:t>Gap Analysis Report</w:t>
            </w:r>
          </w:p>
        </w:tc>
      </w:tr>
      <w:tr>
        <w:trPr>
          <w:cantSplit/>
        </w:trPr>
        <w:tc>
          <w:tcPr>
            <w:tcW w:type="dxa" w:w="1984"/>
            <w:vAlign w:val="center"/>
            <w:shd w:fill="EDF2F7"/>
          </w:tcPr>
          <w:p>
            <w:pPr>
              <w:spacing w:after="40" w:line="276" w:lineRule="auto"/>
              <w:jc w:val="left"/>
            </w:pPr>
            <w:r>
              <w:rPr>
                <w:b w:val="0"/>
                <w:i w:val="0"/>
              </w:rPr>
              <w:t>Phase 2</w:t>
            </w:r>
          </w:p>
        </w:tc>
        <w:tc>
          <w:tcPr>
            <w:tcW w:type="dxa" w:w="3061"/>
            <w:vAlign w:val="center"/>
            <w:shd w:fill="EDF2F7"/>
          </w:tcPr>
          <w:p>
            <w:pPr>
              <w:spacing w:after="40" w:line="276" w:lineRule="auto"/>
              <w:jc w:val="left"/>
            </w:pPr>
            <w:r>
              <w:rPr>
                <w:b w:val="0"/>
                <w:i w:val="0"/>
              </w:rPr>
              <w:t>Strategy Formulation</w:t>
            </w:r>
          </w:p>
        </w:tc>
        <w:tc>
          <w:tcPr>
            <w:tcW w:type="dxa" w:w="2211"/>
            <w:vAlign w:val="center"/>
            <w:shd w:fill="EDF2F7"/>
          </w:tcPr>
          <w:p>
            <w:pPr>
              <w:spacing w:after="40" w:line="276" w:lineRule="auto"/>
              <w:jc w:val="left"/>
            </w:pPr>
            <w:r>
              <w:rPr>
                <w:b w:val="0"/>
                <w:i w:val="0"/>
              </w:rPr>
              <w:t>Vision–Mission–Values–Pillars, Strategic Objectives</w:t>
            </w:r>
          </w:p>
        </w:tc>
        <w:tc>
          <w:tcPr>
            <w:tcW w:type="dxa" w:w="2154"/>
            <w:vAlign w:val="center"/>
            <w:shd w:fill="EDF2F7"/>
          </w:tcPr>
          <w:p>
            <w:pPr>
              <w:spacing w:after="40" w:line="276" w:lineRule="auto"/>
              <w:jc w:val="left"/>
            </w:pPr>
            <w:r>
              <w:rPr>
                <w:b w:val="0"/>
                <w:i w:val="0"/>
              </w:rPr>
              <w:t>Alignment Matrix (NEP + SDGs)</w:t>
            </w:r>
          </w:p>
        </w:tc>
      </w:tr>
      <w:tr>
        <w:trPr>
          <w:cantSplit/>
        </w:trPr>
        <w:tc>
          <w:tcPr>
            <w:tcW w:type="dxa" w:w="1984"/>
            <w:vAlign w:val="center"/>
            <w:shd w:fill="FFFFFF"/>
          </w:tcPr>
          <w:p>
            <w:pPr>
              <w:spacing w:after="40" w:line="276" w:lineRule="auto"/>
              <w:jc w:val="left"/>
            </w:pPr>
            <w:r>
              <w:rPr>
                <w:b w:val="0"/>
                <w:i w:val="0"/>
              </w:rPr>
              <w:t>Phase 3</w:t>
            </w:r>
          </w:p>
        </w:tc>
        <w:tc>
          <w:tcPr>
            <w:tcW w:type="dxa" w:w="3061"/>
            <w:vAlign w:val="center"/>
            <w:shd w:fill="FFFFFF"/>
          </w:tcPr>
          <w:p>
            <w:pPr>
              <w:spacing w:after="40" w:line="276" w:lineRule="auto"/>
              <w:jc w:val="left"/>
            </w:pPr>
            <w:r>
              <w:rPr>
                <w:b w:val="0"/>
                <w:i w:val="0"/>
              </w:rPr>
              <w:t>Implementation Planning</w:t>
            </w:r>
          </w:p>
        </w:tc>
        <w:tc>
          <w:tcPr>
            <w:tcW w:type="dxa" w:w="2211"/>
            <w:vAlign w:val="center"/>
            <w:shd w:fill="FFFFFF"/>
          </w:tcPr>
          <w:p>
            <w:pPr>
              <w:spacing w:after="40" w:line="276" w:lineRule="auto"/>
              <w:jc w:val="left"/>
            </w:pPr>
            <w:r>
              <w:rPr>
                <w:b w:val="0"/>
                <w:i w:val="0"/>
              </w:rPr>
              <w:t>Action Plans, Resource Allocation, RACI Matrix</w:t>
            </w:r>
          </w:p>
        </w:tc>
        <w:tc>
          <w:tcPr>
            <w:tcW w:type="dxa" w:w="2154"/>
            <w:vAlign w:val="center"/>
            <w:shd w:fill="FFFFFF"/>
          </w:tcPr>
          <w:p>
            <w:pPr>
              <w:spacing w:after="40" w:line="276" w:lineRule="auto"/>
              <w:jc w:val="left"/>
            </w:pPr>
            <w:r>
              <w:rPr>
                <w:b w:val="0"/>
                <w:i w:val="0"/>
              </w:rPr>
              <w:t>Balanced Scorecard (Planning)</w:t>
            </w:r>
          </w:p>
        </w:tc>
      </w:tr>
      <w:tr>
        <w:trPr>
          <w:cantSplit/>
        </w:trPr>
        <w:tc>
          <w:tcPr>
            <w:tcW w:type="dxa" w:w="1984"/>
            <w:vAlign w:val="center"/>
            <w:shd w:fill="EDF2F7"/>
          </w:tcPr>
          <w:p>
            <w:pPr>
              <w:spacing w:after="40" w:line="276" w:lineRule="auto"/>
              <w:jc w:val="left"/>
            </w:pPr>
            <w:r>
              <w:rPr>
                <w:b w:val="0"/>
                <w:i w:val="0"/>
              </w:rPr>
              <w:t>Phase 4</w:t>
            </w:r>
          </w:p>
        </w:tc>
        <w:tc>
          <w:tcPr>
            <w:tcW w:type="dxa" w:w="3061"/>
            <w:vAlign w:val="center"/>
            <w:shd w:fill="EDF2F7"/>
          </w:tcPr>
          <w:p>
            <w:pPr>
              <w:spacing w:after="40" w:line="276" w:lineRule="auto"/>
              <w:jc w:val="left"/>
            </w:pPr>
            <w:r>
              <w:rPr>
                <w:b w:val="0"/>
                <w:i w:val="0"/>
              </w:rPr>
              <w:t>Execution</w:t>
            </w:r>
          </w:p>
        </w:tc>
        <w:tc>
          <w:tcPr>
            <w:tcW w:type="dxa" w:w="2211"/>
            <w:vAlign w:val="center"/>
            <w:shd w:fill="EDF2F7"/>
          </w:tcPr>
          <w:p>
            <w:pPr>
              <w:spacing w:after="40" w:line="276" w:lineRule="auto"/>
              <w:jc w:val="left"/>
            </w:pPr>
            <w:r>
              <w:rPr>
                <w:b w:val="0"/>
                <w:i w:val="0"/>
              </w:rPr>
              <w:t>Academic/​Research/​lSR Initiatives, Global Partnerships</w:t>
            </w:r>
          </w:p>
        </w:tc>
        <w:tc>
          <w:tcPr>
            <w:tcW w:type="dxa" w:w="2154"/>
            <w:vAlign w:val="center"/>
            <w:shd w:fill="EDF2F7"/>
          </w:tcPr>
          <w:p>
            <w:pPr>
              <w:spacing w:after="40" w:line="276" w:lineRule="auto"/>
              <w:jc w:val="left"/>
            </w:pPr>
            <w:r>
              <w:rPr>
                <w:b w:val="0"/>
                <w:i w:val="0"/>
              </w:rPr>
              <w:t>Execution Balanced Scorecard</w:t>
            </w:r>
          </w:p>
        </w:tc>
      </w:tr>
      <w:tr>
        <w:trPr>
          <w:cantSplit/>
        </w:trPr>
        <w:tc>
          <w:tcPr>
            <w:tcW w:type="dxa" w:w="1984"/>
            <w:vAlign w:val="center"/>
            <w:shd w:fill="FFFFFF"/>
          </w:tcPr>
          <w:p>
            <w:pPr>
              <w:spacing w:after="40" w:line="276" w:lineRule="auto"/>
              <w:jc w:val="left"/>
            </w:pPr>
            <w:r>
              <w:rPr>
                <w:b w:val="0"/>
                <w:i w:val="0"/>
              </w:rPr>
              <w:t>Phase 5</w:t>
            </w:r>
          </w:p>
        </w:tc>
        <w:tc>
          <w:tcPr>
            <w:tcW w:type="dxa" w:w="3061"/>
            <w:vAlign w:val="center"/>
            <w:shd w:fill="FFFFFF"/>
          </w:tcPr>
          <w:p>
            <w:pPr>
              <w:spacing w:after="40" w:line="276" w:lineRule="auto"/>
              <w:jc w:val="left"/>
            </w:pPr>
            <w:r>
              <w:rPr>
                <w:b w:val="0"/>
                <w:i w:val="0"/>
              </w:rPr>
              <w:t>Monitoring &amp; Control</w:t>
            </w:r>
          </w:p>
        </w:tc>
        <w:tc>
          <w:tcPr>
            <w:tcW w:type="dxa" w:w="2211"/>
            <w:vAlign w:val="center"/>
            <w:shd w:fill="FFFFFF"/>
          </w:tcPr>
          <w:p>
            <w:pPr>
              <w:spacing w:after="40" w:line="276" w:lineRule="auto"/>
              <w:jc w:val="left"/>
            </w:pPr>
            <w:r>
              <w:rPr>
                <w:b w:val="0"/>
                <w:i w:val="0"/>
              </w:rPr>
              <w:t>KPI Reports, Risk Registers, Accreditation Compliance</w:t>
            </w:r>
          </w:p>
        </w:tc>
        <w:tc>
          <w:tcPr>
            <w:tcW w:type="dxa" w:w="2154"/>
            <w:vAlign w:val="center"/>
            <w:shd w:fill="FFFFFF"/>
          </w:tcPr>
          <w:p>
            <w:pPr>
              <w:spacing w:after="40" w:line="276" w:lineRule="auto"/>
              <w:jc w:val="left"/>
            </w:pPr>
            <w:r>
              <w:rPr>
                <w:b w:val="0"/>
                <w:i w:val="0"/>
              </w:rPr>
              <w:t>Monitoring Balanced Scorecard, ERP Dashboards</w:t>
            </w:r>
          </w:p>
        </w:tc>
      </w:tr>
      <w:tr>
        <w:trPr>
          <w:cantSplit/>
        </w:trPr>
        <w:tc>
          <w:tcPr>
            <w:tcW w:type="dxa" w:w="1984"/>
            <w:vAlign w:val="center"/>
            <w:shd w:fill="EDF2F7"/>
          </w:tcPr>
          <w:p>
            <w:pPr>
              <w:spacing w:after="40" w:line="276" w:lineRule="auto"/>
              <w:jc w:val="left"/>
            </w:pPr>
            <w:r>
              <w:rPr>
                <w:b w:val="0"/>
                <w:i w:val="0"/>
              </w:rPr>
              <w:t>Phase 6</w:t>
            </w:r>
          </w:p>
        </w:tc>
        <w:tc>
          <w:tcPr>
            <w:tcW w:type="dxa" w:w="3061"/>
            <w:vAlign w:val="center"/>
            <w:shd w:fill="EDF2F7"/>
          </w:tcPr>
          <w:p>
            <w:pPr>
              <w:spacing w:after="40" w:line="276" w:lineRule="auto"/>
              <w:jc w:val="left"/>
            </w:pPr>
            <w:r>
              <w:rPr>
                <w:b w:val="0"/>
                <w:i w:val="0"/>
              </w:rPr>
              <w:t>Feedback &amp; Improvement</w:t>
            </w:r>
          </w:p>
        </w:tc>
        <w:tc>
          <w:tcPr>
            <w:tcW w:type="dxa" w:w="2211"/>
            <w:vAlign w:val="center"/>
            <w:shd w:fill="EDF2F7"/>
          </w:tcPr>
          <w:p>
            <w:pPr>
              <w:spacing w:after="40" w:line="276" w:lineRule="auto"/>
              <w:jc w:val="left"/>
            </w:pPr>
            <w:r>
              <w:rPr>
                <w:b w:val="0"/>
                <w:i w:val="0"/>
              </w:rPr>
              <w:t>Best Practices, CAPA Actions, Strategic Renewal</w:t>
            </w:r>
          </w:p>
        </w:tc>
        <w:tc>
          <w:tcPr>
            <w:tcW w:type="dxa" w:w="2154"/>
            <w:vAlign w:val="center"/>
            <w:shd w:fill="EDF2F7"/>
          </w:tcPr>
          <w:p>
            <w:pPr>
              <w:spacing w:after="40" w:line="276" w:lineRule="auto"/>
              <w:jc w:val="left"/>
            </w:pPr>
            <w:r>
              <w:rPr>
                <w:b w:val="0"/>
                <w:i w:val="0"/>
              </w:rPr>
              <w:t>Continuous Improvement Balanced Scorecard</w:t>
            </w:r>
          </w:p>
        </w:tc>
      </w:tr>
    </w:tbl>
    <w:p>
      <w:pPr>
        <w:spacing w:after="40"/>
      </w:pPr>
    </w:p>
    <w:p>
      <w:pPr>
        <w:pStyle w:val="Heading2"/>
      </w:pPr>
      <w:r>
        <w:t>Integrated Balanced Scorecard – Phases 1–6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417"/>
        <w:gridCol w:w="1417"/>
        <w:gridCol w:w="1701"/>
        <w:gridCol w:w="1984"/>
        <w:gridCol w:w="1701"/>
        <w:gridCol w:w="1191"/>
      </w:tblGrid>
      <w:tr>
        <w:trPr>
          <w:tblHeader/>
          <w:cantSplit/>
        </w:trPr>
        <w:tc>
          <w:tcPr>
            <w:tcW w:type="dxa" w:w="1417"/>
            <w:vAlign w:val="center"/>
            <w:shd w:fill="1F3A5F"/>
          </w:tcPr>
          <w:p>
            <w:pPr>
              <w:keepNext/>
              <w:spacing w:after="40" w:line="276" w:lineRule="auto"/>
              <w:jc w:val="left"/>
            </w:pPr>
            <w:r>
              <w:rPr>
                <w:b/>
                <w:i w:val="0"/>
                <w:color w:val="FFFFFF"/>
              </w:rPr>
              <w:t>Phase</w:t>
            </w:r>
          </w:p>
        </w:tc>
        <w:tc>
          <w:tcPr>
            <w:tcW w:type="dxa" w:w="1417"/>
            <w:vAlign w:val="center"/>
            <w:shd w:fill="1F3A5F"/>
          </w:tcPr>
          <w:p>
            <w:pPr>
              <w:keepNext/>
              <w:spacing w:after="40" w:line="276" w:lineRule="auto"/>
              <w:jc w:val="left"/>
            </w:pPr>
            <w:r>
              <w:rPr>
                <w:b/>
                <w:i w:val="0"/>
                <w:color w:val="FFFFFF"/>
              </w:rPr>
              <w:t>Perspective</w:t>
            </w:r>
          </w:p>
        </w:tc>
        <w:tc>
          <w:tcPr>
            <w:tcW w:type="dxa" w:w="1701"/>
            <w:vAlign w:val="center"/>
            <w:shd w:fill="1F3A5F"/>
          </w:tcPr>
          <w:p>
            <w:pPr>
              <w:keepNext/>
              <w:spacing w:after="40" w:line="276" w:lineRule="auto"/>
              <w:jc w:val="left"/>
            </w:pPr>
            <w:r>
              <w:rPr>
                <w:b/>
                <w:i w:val="0"/>
                <w:color w:val="FFFFFF"/>
              </w:rPr>
              <w:t>Strategic Objective</w:t>
            </w:r>
          </w:p>
        </w:tc>
        <w:tc>
          <w:tcPr>
            <w:tcW w:type="dxa" w:w="1984"/>
            <w:vAlign w:val="center"/>
            <w:shd w:fill="1F3A5F"/>
          </w:tcPr>
          <w:p>
            <w:pPr>
              <w:keepNext/>
              <w:spacing w:after="40" w:line="276" w:lineRule="auto"/>
              <w:jc w:val="left"/>
            </w:pPr>
            <w:r>
              <w:rPr>
                <w:b/>
                <w:i w:val="0"/>
                <w:color w:val="FFFFFF"/>
              </w:rPr>
              <w:t>Key Actions</w:t>
            </w:r>
          </w:p>
        </w:tc>
        <w:tc>
          <w:tcPr>
            <w:tcW w:type="dxa" w:w="1701"/>
            <w:vAlign w:val="center"/>
            <w:shd w:fill="1F3A5F"/>
          </w:tcPr>
          <w:p>
            <w:pPr>
              <w:keepNext/>
              <w:spacing w:after="40" w:line="276" w:lineRule="auto"/>
              <w:jc w:val="left"/>
            </w:pPr>
            <w:r>
              <w:rPr>
                <w:b/>
                <w:i w:val="0"/>
                <w:color w:val="FFFFFF"/>
              </w:rPr>
              <w:t>KPIs (Indicators)</w:t>
            </w:r>
          </w:p>
        </w:tc>
        <w:tc>
          <w:tcPr>
            <w:tcW w:type="dxa" w:w="1191"/>
            <w:vAlign w:val="center"/>
            <w:shd w:fill="1F3A5F"/>
          </w:tcPr>
          <w:p>
            <w:pPr>
              <w:keepNext/>
              <w:spacing w:after="40" w:line="276" w:lineRule="auto"/>
              <w:jc w:val="left"/>
            </w:pPr>
            <w:r>
              <w:rPr>
                <w:b/>
                <w:i w:val="0"/>
                <w:color w:val="FFFFFF"/>
              </w:rPr>
              <w:t>Targets</w:t>
            </w:r>
          </w:p>
        </w:tc>
      </w:tr>
      <w:tr>
        <w:trPr>
          <w:cantSplit/>
        </w:trPr>
        <w:tc>
          <w:tcPr>
            <w:tcW w:type="dxa" w:w="1417"/>
            <w:vAlign w:val="center"/>
            <w:shd w:fill="FFFFFF"/>
          </w:tcPr>
          <w:p>
            <w:pPr>
              <w:spacing w:after="40" w:line="276" w:lineRule="auto"/>
              <w:jc w:val="left"/>
            </w:pPr>
            <w:r>
              <w:rPr>
                <w:b/>
                <w:i w:val="0"/>
              </w:rPr>
              <w:t>Phase 1:</w:t>
            </w:r>
            <w:r>
              <w:rPr>
                <w:b w:val="0"/>
                <w:i w:val="0"/>
              </w:rPr>
              <w:t xml:space="preserve"> Assessment &amp; Diagnosis</w:t>
            </w:r>
          </w:p>
        </w:tc>
        <w:tc>
          <w:tcPr>
            <w:tcW w:type="dxa" w:w="1417"/>
            <w:vAlign w:val="center"/>
            <w:shd w:fill="FFFFFF"/>
          </w:tcPr>
          <w:p>
            <w:pPr>
              <w:spacing w:after="40" w:line="276" w:lineRule="auto"/>
              <w:jc w:val="left"/>
            </w:pPr>
            <w:r>
              <w:rPr>
                <w:b w:val="0"/>
                <w:i w:val="0"/>
              </w:rPr>
              <w:t>Academic Excellence</w:t>
            </w:r>
          </w:p>
        </w:tc>
        <w:tc>
          <w:tcPr>
            <w:tcW w:type="dxa" w:w="1701"/>
            <w:vAlign w:val="center"/>
            <w:shd w:fill="FFFFFF"/>
          </w:tcPr>
          <w:p>
            <w:pPr>
              <w:spacing w:after="40" w:line="276" w:lineRule="auto"/>
              <w:jc w:val="left"/>
            </w:pPr>
            <w:r>
              <w:rPr>
                <w:b w:val="0"/>
                <w:i w:val="0"/>
              </w:rPr>
              <w:t>Evaluate NEP 2020 readiness</w:t>
            </w:r>
          </w:p>
        </w:tc>
        <w:tc>
          <w:tcPr>
            <w:tcW w:type="dxa" w:w="1984"/>
            <w:vAlign w:val="center"/>
            <w:shd w:fill="FFFFFF"/>
          </w:tcPr>
          <w:p>
            <w:pPr>
              <w:spacing w:after="40" w:line="276" w:lineRule="auto"/>
              <w:jc w:val="left"/>
            </w:pPr>
            <w:r>
              <w:rPr>
                <w:b w:val="0"/>
                <w:i w:val="0"/>
              </w:rPr>
              <w:t>Audit curricula, faculty-student ratio, peer benchmarking</w:t>
            </w:r>
          </w:p>
        </w:tc>
        <w:tc>
          <w:tcPr>
            <w:tcW w:type="dxa" w:w="1701"/>
            <w:vAlign w:val="center"/>
            <w:shd w:fill="FFFFFF"/>
          </w:tcPr>
          <w:p>
            <w:pPr>
              <w:spacing w:after="40" w:line="276" w:lineRule="auto"/>
              <w:jc w:val="left"/>
            </w:pPr>
            <w:r>
              <w:rPr>
                <w:b w:val="0"/>
                <w:i w:val="0"/>
              </w:rPr>
              <w:t>% programs reviewed, ratio baseline</w:t>
            </w:r>
          </w:p>
        </w:tc>
        <w:tc>
          <w:tcPr>
            <w:tcW w:type="dxa" w:w="1191"/>
            <w:vAlign w:val="center"/>
            <w:shd w:fill="FFFFFF"/>
          </w:tcPr>
          <w:p>
            <w:pPr>
              <w:spacing w:after="40" w:line="276" w:lineRule="auto"/>
              <w:jc w:val="left"/>
            </w:pPr>
            <w:r>
              <w:rPr>
                <w:b/>
                <w:i w:val="0"/>
              </w:rPr>
              <w:t>100% review, 1:</w:t>
            </w:r>
            <w:r>
              <w:rPr>
                <w:b w:val="0"/>
                <w:i w:val="0"/>
              </w:rPr>
              <w:t>20 ratio</w:t>
            </w:r>
          </w:p>
        </w:tc>
      </w:tr>
      <w:tr>
        <w:trPr>
          <w:cantSplit/>
        </w:trPr>
        <w:tc>
          <w:tcPr>
            <w:tcW w:type="dxa" w:w="1417"/>
            <w:vAlign w:val="center"/>
            <w:shd w:fill="EDF2F7"/>
          </w:tcPr>
          <w:p>
            <w:pPr>
              <w:spacing w:after="40" w:line="276" w:lineRule="auto"/>
              <w:jc w:val="left"/>
            </w:pPr>
          </w:p>
        </w:tc>
        <w:tc>
          <w:tcPr>
            <w:tcW w:type="dxa" w:w="1417"/>
            <w:vAlign w:val="center"/>
            <w:shd w:fill="EDF2F7"/>
          </w:tcPr>
          <w:p>
            <w:pPr>
              <w:spacing w:after="40" w:line="276" w:lineRule="auto"/>
              <w:jc w:val="left"/>
            </w:pPr>
            <w:r>
              <w:rPr>
                <w:b w:val="0"/>
                <w:i w:val="0"/>
              </w:rPr>
              <w:t>Research &amp; Innovation</w:t>
            </w:r>
          </w:p>
        </w:tc>
        <w:tc>
          <w:tcPr>
            <w:tcW w:type="dxa" w:w="1701"/>
            <w:vAlign w:val="center"/>
            <w:shd w:fill="EDF2F7"/>
          </w:tcPr>
          <w:p>
            <w:pPr>
              <w:spacing w:after="40" w:line="276" w:lineRule="auto"/>
              <w:jc w:val="left"/>
            </w:pPr>
            <w:r>
              <w:rPr>
                <w:b w:val="0"/>
                <w:i w:val="0"/>
              </w:rPr>
              <w:t>Assess research capacity</w:t>
            </w:r>
          </w:p>
        </w:tc>
        <w:tc>
          <w:tcPr>
            <w:tcW w:type="dxa" w:w="1984"/>
            <w:vAlign w:val="center"/>
            <w:shd w:fill="EDF2F7"/>
          </w:tcPr>
          <w:p>
            <w:pPr>
              <w:spacing w:after="40" w:line="276" w:lineRule="auto"/>
              <w:jc w:val="left"/>
            </w:pPr>
            <w:r>
              <w:rPr>
                <w:b w:val="0"/>
                <w:i w:val="0"/>
              </w:rPr>
              <w:t>Audit labs, publications, funding</w:t>
            </w:r>
          </w:p>
        </w:tc>
        <w:tc>
          <w:tcPr>
            <w:tcW w:type="dxa" w:w="1701"/>
            <w:vAlign w:val="center"/>
            <w:shd w:fill="EDF2F7"/>
          </w:tcPr>
          <w:p>
            <w:pPr>
              <w:spacing w:after="40" w:line="276" w:lineRule="auto"/>
              <w:jc w:val="left"/>
            </w:pPr>
            <w:r>
              <w:rPr>
                <w:b w:val="0"/>
                <w:i w:val="0"/>
              </w:rPr>
              <w:t>Publications/​patents audited, funding baseline</w:t>
            </w:r>
          </w:p>
        </w:tc>
        <w:tc>
          <w:tcPr>
            <w:tcW w:type="dxa" w:w="1191"/>
            <w:vAlign w:val="center"/>
            <w:shd w:fill="EDF2F7"/>
          </w:tcPr>
          <w:p>
            <w:pPr>
              <w:spacing w:after="40" w:line="276" w:lineRule="auto"/>
              <w:jc w:val="left"/>
            </w:pPr>
            <w:r>
              <w:rPr>
                <w:b w:val="0"/>
                <w:i w:val="0"/>
              </w:rPr>
              <w:t>100% audit, ≥50% SDG alignment</w:t>
            </w:r>
          </w:p>
        </w:tc>
      </w:tr>
      <w:tr>
        <w:trPr>
          <w:cantSplit/>
        </w:trPr>
        <w:tc>
          <w:tcPr>
            <w:tcW w:type="dxa" w:w="1417"/>
            <w:vAlign w:val="center"/>
            <w:shd w:fill="FFFFFF"/>
          </w:tcPr>
          <w:p>
            <w:pPr>
              <w:spacing w:after="40" w:line="276" w:lineRule="auto"/>
              <w:jc w:val="left"/>
            </w:pPr>
          </w:p>
        </w:tc>
        <w:tc>
          <w:tcPr>
            <w:tcW w:type="dxa" w:w="1417"/>
            <w:vAlign w:val="center"/>
            <w:shd w:fill="FFFFFF"/>
          </w:tcPr>
          <w:p>
            <w:pPr>
              <w:spacing w:after="40" w:line="276" w:lineRule="auto"/>
              <w:jc w:val="left"/>
            </w:pPr>
            <w:r>
              <w:rPr>
                <w:b w:val="0"/>
                <w:i w:val="0"/>
              </w:rPr>
              <w:t>Finance</w:t>
            </w:r>
          </w:p>
        </w:tc>
        <w:tc>
          <w:tcPr>
            <w:tcW w:type="dxa" w:w="1701"/>
            <w:vAlign w:val="center"/>
            <w:shd w:fill="FFFFFF"/>
          </w:tcPr>
          <w:p>
            <w:pPr>
              <w:spacing w:after="40" w:line="276" w:lineRule="auto"/>
              <w:jc w:val="left"/>
            </w:pPr>
            <w:r>
              <w:rPr>
                <w:b w:val="0"/>
                <w:i w:val="0"/>
              </w:rPr>
              <w:t>Assess financial health</w:t>
            </w:r>
          </w:p>
        </w:tc>
        <w:tc>
          <w:tcPr>
            <w:tcW w:type="dxa" w:w="1984"/>
            <w:vAlign w:val="center"/>
            <w:shd w:fill="FFFFFF"/>
          </w:tcPr>
          <w:p>
            <w:pPr>
              <w:spacing w:after="40" w:line="276" w:lineRule="auto"/>
              <w:jc w:val="left"/>
            </w:pPr>
            <w:r>
              <w:rPr>
                <w:b w:val="0"/>
                <w:i w:val="0"/>
              </w:rPr>
              <w:t>Review budgets, revenue sources</w:t>
            </w:r>
          </w:p>
        </w:tc>
        <w:tc>
          <w:tcPr>
            <w:tcW w:type="dxa" w:w="1701"/>
            <w:vAlign w:val="center"/>
            <w:shd w:fill="FFFFFF"/>
          </w:tcPr>
          <w:p>
            <w:pPr>
              <w:spacing w:after="40" w:line="276" w:lineRule="auto"/>
              <w:jc w:val="left"/>
            </w:pPr>
            <w:r>
              <w:rPr>
                <w:b w:val="0"/>
                <w:i w:val="0"/>
              </w:rPr>
              <w:t>% non-govt. revenue, funding sources mapped</w:t>
            </w:r>
          </w:p>
        </w:tc>
        <w:tc>
          <w:tcPr>
            <w:tcW w:type="dxa" w:w="1191"/>
            <w:vAlign w:val="center"/>
            <w:shd w:fill="FFFFFF"/>
          </w:tcPr>
          <w:p>
            <w:pPr>
              <w:spacing w:after="40" w:line="276" w:lineRule="auto"/>
              <w:jc w:val="left"/>
            </w:pPr>
            <w:r>
              <w:rPr>
                <w:b w:val="0"/>
                <w:i w:val="0"/>
              </w:rPr>
              <w:t>≥20% baseline, ≥5 sources</w:t>
            </w:r>
          </w:p>
        </w:tc>
      </w:tr>
      <w:tr>
        <w:trPr>
          <w:cantSplit/>
        </w:trPr>
        <w:tc>
          <w:tcPr>
            <w:tcW w:type="dxa" w:w="1417"/>
            <w:vAlign w:val="center"/>
            <w:shd w:fill="EDF2F7"/>
          </w:tcPr>
          <w:p>
            <w:pPr>
              <w:spacing w:after="40" w:line="276" w:lineRule="auto"/>
              <w:jc w:val="left"/>
            </w:pPr>
          </w:p>
        </w:tc>
        <w:tc>
          <w:tcPr>
            <w:tcW w:type="dxa" w:w="1417"/>
            <w:vAlign w:val="center"/>
            <w:shd w:fill="EDF2F7"/>
          </w:tcPr>
          <w:p>
            <w:pPr>
              <w:spacing w:after="40" w:line="276" w:lineRule="auto"/>
              <w:jc w:val="left"/>
            </w:pPr>
            <w:r>
              <w:rPr>
                <w:b w:val="0"/>
                <w:i w:val="0"/>
              </w:rPr>
              <w:t>Governance</w:t>
            </w:r>
          </w:p>
        </w:tc>
        <w:tc>
          <w:tcPr>
            <w:tcW w:type="dxa" w:w="1701"/>
            <w:vAlign w:val="center"/>
            <w:shd w:fill="EDF2F7"/>
          </w:tcPr>
          <w:p>
            <w:pPr>
              <w:spacing w:after="40" w:line="276" w:lineRule="auto"/>
              <w:jc w:val="left"/>
            </w:pPr>
            <w:r>
              <w:rPr>
                <w:b w:val="0"/>
                <w:i w:val="0"/>
              </w:rPr>
              <w:t>Review accreditation readiness</w:t>
            </w:r>
          </w:p>
        </w:tc>
        <w:tc>
          <w:tcPr>
            <w:tcW w:type="dxa" w:w="1984"/>
            <w:vAlign w:val="center"/>
            <w:shd w:fill="EDF2F7"/>
          </w:tcPr>
          <w:p>
            <w:pPr>
              <w:spacing w:after="40" w:line="276" w:lineRule="auto"/>
              <w:jc w:val="left"/>
            </w:pPr>
            <w:r>
              <w:rPr>
                <w:b w:val="0"/>
                <w:i w:val="0"/>
              </w:rPr>
              <w:t>NAAC/​NBA/​NI RF audits, ERP readiness</w:t>
            </w:r>
          </w:p>
        </w:tc>
        <w:tc>
          <w:tcPr>
            <w:tcW w:type="dxa" w:w="1701"/>
            <w:vAlign w:val="center"/>
            <w:shd w:fill="EDF2F7"/>
          </w:tcPr>
          <w:p>
            <w:pPr>
              <w:spacing w:after="40" w:line="276" w:lineRule="auto"/>
              <w:jc w:val="left"/>
            </w:pPr>
            <w:r>
              <w:rPr>
                <w:b w:val="0"/>
                <w:i w:val="0"/>
              </w:rPr>
              <w:t>Accreditation readiness index</w:t>
            </w:r>
          </w:p>
        </w:tc>
        <w:tc>
          <w:tcPr>
            <w:tcW w:type="dxa" w:w="1191"/>
            <w:vAlign w:val="center"/>
            <w:shd w:fill="EDF2F7"/>
          </w:tcPr>
          <w:p>
            <w:pPr>
              <w:spacing w:after="40" w:line="276" w:lineRule="auto"/>
              <w:jc w:val="left"/>
            </w:pPr>
            <w:r>
              <w:rPr>
                <w:b w:val="0"/>
                <w:i w:val="0"/>
              </w:rPr>
              <w:t>≥80% readiness</w:t>
            </w:r>
          </w:p>
        </w:tc>
      </w:tr>
      <w:tr>
        <w:trPr>
          <w:cantSplit/>
        </w:trPr>
        <w:tc>
          <w:tcPr>
            <w:tcW w:type="dxa" w:w="1417"/>
            <w:vAlign w:val="center"/>
            <w:shd w:fill="FFFFFF"/>
          </w:tcPr>
          <w:p>
            <w:pPr>
              <w:spacing w:after="40" w:line="276" w:lineRule="auto"/>
              <w:jc w:val="left"/>
            </w:pPr>
          </w:p>
        </w:tc>
        <w:tc>
          <w:tcPr>
            <w:tcW w:type="dxa" w:w="1417"/>
            <w:vAlign w:val="center"/>
            <w:shd w:fill="FFFFFF"/>
          </w:tcPr>
          <w:p>
            <w:pPr>
              <w:spacing w:after="40" w:line="276" w:lineRule="auto"/>
              <w:jc w:val="left"/>
            </w:pPr>
            <w:r>
              <w:rPr>
                <w:b w:val="0"/>
                <w:i w:val="0"/>
              </w:rPr>
              <w:t>Community</w:t>
            </w:r>
          </w:p>
        </w:tc>
        <w:tc>
          <w:tcPr>
            <w:tcW w:type="dxa" w:w="1701"/>
            <w:vAlign w:val="center"/>
            <w:shd w:fill="FFFFFF"/>
          </w:tcPr>
          <w:p>
            <w:pPr>
              <w:spacing w:after="40" w:line="276" w:lineRule="auto"/>
              <w:jc w:val="left"/>
            </w:pPr>
            <w:r>
              <w:rPr>
                <w:b w:val="0"/>
                <w:i w:val="0"/>
              </w:rPr>
              <w:t>Assess ISR projects</w:t>
            </w:r>
          </w:p>
        </w:tc>
        <w:tc>
          <w:tcPr>
            <w:tcW w:type="dxa" w:w="1984"/>
            <w:vAlign w:val="center"/>
            <w:shd w:fill="FFFFFF"/>
          </w:tcPr>
          <w:p>
            <w:pPr>
              <w:spacing w:after="40" w:line="276" w:lineRule="auto"/>
              <w:jc w:val="left"/>
            </w:pPr>
            <w:r>
              <w:rPr>
                <w:b w:val="0"/>
                <w:i w:val="0"/>
              </w:rPr>
              <w:t>Audit outreach, stakeholder feedback</w:t>
            </w:r>
          </w:p>
        </w:tc>
        <w:tc>
          <w:tcPr>
            <w:tcW w:type="dxa" w:w="1701"/>
            <w:vAlign w:val="center"/>
            <w:shd w:fill="FFFFFF"/>
          </w:tcPr>
          <w:p>
            <w:pPr>
              <w:spacing w:after="40" w:line="276" w:lineRule="auto"/>
              <w:jc w:val="left"/>
            </w:pPr>
            <w:r>
              <w:rPr>
                <w:b w:val="0"/>
                <w:i w:val="0"/>
              </w:rPr>
              <w:t>% projects linked to SDGs, satisfaction score</w:t>
            </w:r>
          </w:p>
        </w:tc>
        <w:tc>
          <w:tcPr>
            <w:tcW w:type="dxa" w:w="1191"/>
            <w:vAlign w:val="center"/>
            <w:shd w:fill="FFFFFF"/>
          </w:tcPr>
          <w:p>
            <w:pPr>
              <w:spacing w:after="40" w:line="276" w:lineRule="auto"/>
              <w:jc w:val="left"/>
            </w:pPr>
            <w:r>
              <w:rPr>
                <w:b w:val="0"/>
                <w:i w:val="0"/>
              </w:rPr>
              <w:t>≥60% linked, ≥80% satisfaction</w:t>
            </w:r>
          </w:p>
        </w:tc>
      </w:tr>
      <w:tr>
        <w:trPr>
          <w:cantSplit/>
        </w:trPr>
        <w:tc>
          <w:tcPr>
            <w:tcW w:type="dxa" w:w="1417"/>
            <w:vAlign w:val="center"/>
            <w:shd w:fill="EDF2F7"/>
          </w:tcPr>
          <w:p>
            <w:pPr>
              <w:spacing w:after="40" w:line="276" w:lineRule="auto"/>
              <w:jc w:val="left"/>
            </w:pPr>
          </w:p>
        </w:tc>
        <w:tc>
          <w:tcPr>
            <w:tcW w:type="dxa" w:w="1417"/>
            <w:vAlign w:val="center"/>
            <w:shd w:fill="EDF2F7"/>
          </w:tcPr>
          <w:p>
            <w:pPr>
              <w:spacing w:after="40" w:line="276" w:lineRule="auto"/>
              <w:jc w:val="left"/>
            </w:pPr>
            <w:r>
              <w:rPr>
                <w:b w:val="0"/>
                <w:i w:val="0"/>
              </w:rPr>
              <w:t>Global</w:t>
            </w:r>
          </w:p>
        </w:tc>
        <w:tc>
          <w:tcPr>
            <w:tcW w:type="dxa" w:w="1701"/>
            <w:vAlign w:val="center"/>
            <w:shd w:fill="EDF2F7"/>
          </w:tcPr>
          <w:p>
            <w:pPr>
              <w:spacing w:after="40" w:line="276" w:lineRule="auto"/>
              <w:jc w:val="left"/>
            </w:pPr>
            <w:r>
              <w:rPr>
                <w:b w:val="0"/>
                <w:i w:val="0"/>
              </w:rPr>
              <w:t>Benchmark global standing</w:t>
            </w:r>
          </w:p>
        </w:tc>
        <w:tc>
          <w:tcPr>
            <w:tcW w:type="dxa" w:w="1984"/>
            <w:vAlign w:val="center"/>
            <w:shd w:fill="EDF2F7"/>
          </w:tcPr>
          <w:p>
            <w:pPr>
              <w:spacing w:after="40" w:line="276" w:lineRule="auto"/>
              <w:jc w:val="left"/>
            </w:pPr>
            <w:r>
              <w:rPr>
                <w:b w:val="0"/>
                <w:i w:val="0"/>
              </w:rPr>
              <w:t>Audit MoUs, QS/​THE metrics</w:t>
            </w:r>
          </w:p>
        </w:tc>
        <w:tc>
          <w:tcPr>
            <w:tcW w:type="dxa" w:w="1701"/>
            <w:vAlign w:val="center"/>
            <w:shd w:fill="EDF2F7"/>
          </w:tcPr>
          <w:p>
            <w:pPr>
              <w:spacing w:after="40" w:line="276" w:lineRule="auto"/>
              <w:jc w:val="left"/>
            </w:pPr>
            <w:r>
              <w:rPr>
                <w:b w:val="0"/>
                <w:i w:val="0"/>
              </w:rPr>
              <w:t>Active MoUs, mobility baseline</w:t>
            </w:r>
          </w:p>
        </w:tc>
        <w:tc>
          <w:tcPr>
            <w:tcW w:type="dxa" w:w="1191"/>
            <w:vAlign w:val="center"/>
            <w:shd w:fill="EDF2F7"/>
          </w:tcPr>
          <w:p>
            <w:pPr>
              <w:spacing w:after="40" w:line="276" w:lineRule="auto"/>
              <w:jc w:val="left"/>
            </w:pPr>
            <w:r>
              <w:rPr>
                <w:b w:val="0"/>
                <w:i w:val="0"/>
              </w:rPr>
              <w:t>≥5 MoUs, benchmarking complete</w:t>
            </w:r>
          </w:p>
        </w:tc>
      </w:tr>
      <w:tr>
        <w:trPr>
          <w:cantSplit/>
        </w:trPr>
        <w:tc>
          <w:tcPr>
            <w:tcW w:type="dxa" w:w="1417"/>
            <w:vAlign w:val="center"/>
            <w:shd w:fill="FFFFFF"/>
          </w:tcPr>
          <w:p>
            <w:pPr>
              <w:spacing w:after="40" w:line="276" w:lineRule="auto"/>
              <w:jc w:val="left"/>
            </w:pPr>
            <w:r>
              <w:rPr>
                <w:b/>
                <w:i w:val="0"/>
              </w:rPr>
              <w:t>Phase 2:</w:t>
            </w:r>
            <w:r>
              <w:rPr>
                <w:b w:val="0"/>
                <w:i w:val="0"/>
              </w:rPr>
              <w:t xml:space="preserve"> Strategy Formulation</w:t>
            </w:r>
          </w:p>
        </w:tc>
        <w:tc>
          <w:tcPr>
            <w:tcW w:type="dxa" w:w="1417"/>
            <w:vAlign w:val="center"/>
            <w:shd w:fill="FFFFFF"/>
          </w:tcPr>
          <w:p>
            <w:pPr>
              <w:spacing w:after="40" w:line="276" w:lineRule="auto"/>
              <w:jc w:val="left"/>
            </w:pPr>
            <w:r>
              <w:rPr>
                <w:b w:val="0"/>
                <w:i w:val="0"/>
              </w:rPr>
              <w:t>Academic Excellence</w:t>
            </w:r>
          </w:p>
        </w:tc>
        <w:tc>
          <w:tcPr>
            <w:tcW w:type="dxa" w:w="1701"/>
            <w:vAlign w:val="center"/>
            <w:shd w:fill="FFFFFF"/>
          </w:tcPr>
          <w:p>
            <w:pPr>
              <w:spacing w:after="40" w:line="276" w:lineRule="auto"/>
              <w:jc w:val="left"/>
            </w:pPr>
            <w:r>
              <w:rPr>
                <w:b w:val="0"/>
                <w:i w:val="0"/>
              </w:rPr>
              <w:t>Define Vision &amp; Mission</w:t>
            </w:r>
          </w:p>
        </w:tc>
        <w:tc>
          <w:tcPr>
            <w:tcW w:type="dxa" w:w="1984"/>
            <w:vAlign w:val="center"/>
            <w:shd w:fill="FFFFFF"/>
          </w:tcPr>
          <w:p>
            <w:pPr>
              <w:spacing w:after="40" w:line="276" w:lineRule="auto"/>
              <w:jc w:val="left"/>
            </w:pPr>
            <w:r>
              <w:rPr>
                <w:b w:val="0"/>
                <w:i w:val="0"/>
              </w:rPr>
              <w:t>Draft Vision–Mission with stakeholders</w:t>
            </w:r>
          </w:p>
        </w:tc>
        <w:tc>
          <w:tcPr>
            <w:tcW w:type="dxa" w:w="1701"/>
            <w:vAlign w:val="center"/>
            <w:shd w:fill="FFFFFF"/>
          </w:tcPr>
          <w:p>
            <w:pPr>
              <w:spacing w:after="40" w:line="276" w:lineRule="auto"/>
              <w:jc w:val="left"/>
            </w:pPr>
            <w:r>
              <w:rPr>
                <w:b w:val="0"/>
                <w:i w:val="0"/>
              </w:rPr>
              <w:t>Approval status, stakeholder engagement</w:t>
            </w:r>
          </w:p>
        </w:tc>
        <w:tc>
          <w:tcPr>
            <w:tcW w:type="dxa" w:w="1191"/>
            <w:vAlign w:val="center"/>
            <w:shd w:fill="FFFFFF"/>
          </w:tcPr>
          <w:p>
            <w:pPr>
              <w:spacing w:after="40" w:line="276" w:lineRule="auto"/>
              <w:jc w:val="left"/>
            </w:pPr>
            <w:r>
              <w:rPr>
                <w:b w:val="0"/>
                <w:i w:val="0"/>
              </w:rPr>
              <w:t>100% approval, ≥80% engagement</w:t>
            </w:r>
          </w:p>
        </w:tc>
      </w:tr>
      <w:tr>
        <w:trPr>
          <w:cantSplit/>
        </w:trPr>
        <w:tc>
          <w:tcPr>
            <w:tcW w:type="dxa" w:w="1417"/>
            <w:vAlign w:val="center"/>
            <w:shd w:fill="EDF2F7"/>
          </w:tcPr>
          <w:p>
            <w:pPr>
              <w:spacing w:after="40" w:line="276" w:lineRule="auto"/>
              <w:jc w:val="left"/>
            </w:pPr>
          </w:p>
        </w:tc>
        <w:tc>
          <w:tcPr>
            <w:tcW w:type="dxa" w:w="1417"/>
            <w:vAlign w:val="center"/>
            <w:shd w:fill="EDF2F7"/>
          </w:tcPr>
          <w:p>
            <w:pPr>
              <w:spacing w:after="40" w:line="276" w:lineRule="auto"/>
              <w:jc w:val="left"/>
            </w:pPr>
            <w:r>
              <w:rPr>
                <w:b w:val="0"/>
                <w:i w:val="0"/>
              </w:rPr>
              <w:t>Research &amp; Innovation</w:t>
            </w:r>
          </w:p>
        </w:tc>
        <w:tc>
          <w:tcPr>
            <w:tcW w:type="dxa" w:w="1701"/>
            <w:vAlign w:val="center"/>
            <w:shd w:fill="EDF2F7"/>
          </w:tcPr>
          <w:p>
            <w:pPr>
              <w:spacing w:after="40" w:line="276" w:lineRule="auto"/>
              <w:jc w:val="left"/>
            </w:pPr>
            <w:r>
              <w:rPr>
                <w:b w:val="0"/>
                <w:i w:val="0"/>
              </w:rPr>
              <w:t>Set research pillars</w:t>
            </w:r>
          </w:p>
        </w:tc>
        <w:tc>
          <w:tcPr>
            <w:tcW w:type="dxa" w:w="1984"/>
            <w:vAlign w:val="center"/>
            <w:shd w:fill="EDF2F7"/>
          </w:tcPr>
          <w:p>
            <w:pPr>
              <w:spacing w:after="40" w:line="276" w:lineRule="auto"/>
              <w:jc w:val="left"/>
            </w:pPr>
            <w:r>
              <w:rPr>
                <w:b w:val="0"/>
                <w:i w:val="0"/>
              </w:rPr>
              <w:t>Identify domains aligned with SDGs</w:t>
            </w:r>
          </w:p>
        </w:tc>
        <w:tc>
          <w:tcPr>
            <w:tcW w:type="dxa" w:w="1701"/>
            <w:vAlign w:val="center"/>
            <w:shd w:fill="EDF2F7"/>
          </w:tcPr>
          <w:p>
            <w:pPr>
              <w:spacing w:after="40" w:line="276" w:lineRule="auto"/>
              <w:jc w:val="left"/>
            </w:pPr>
            <w:r>
              <w:rPr>
                <w:b w:val="0"/>
                <w:i w:val="0"/>
              </w:rPr>
              <w:t>No. of clusters defined</w:t>
            </w:r>
          </w:p>
        </w:tc>
        <w:tc>
          <w:tcPr>
            <w:tcW w:type="dxa" w:w="1191"/>
            <w:vAlign w:val="center"/>
            <w:shd w:fill="EDF2F7"/>
          </w:tcPr>
          <w:p>
            <w:pPr>
              <w:spacing w:after="40" w:line="276" w:lineRule="auto"/>
              <w:jc w:val="left"/>
            </w:pPr>
            <w:r>
              <w:rPr>
                <w:b w:val="0"/>
                <w:i w:val="0"/>
              </w:rPr>
              <w:t>≥5 research clusters</w:t>
            </w:r>
          </w:p>
        </w:tc>
      </w:tr>
      <w:tr>
        <w:trPr>
          <w:cantSplit/>
        </w:trPr>
        <w:tc>
          <w:tcPr>
            <w:tcW w:type="dxa" w:w="1417"/>
            <w:vAlign w:val="center"/>
            <w:shd w:fill="FFFFFF"/>
          </w:tcPr>
          <w:p>
            <w:pPr>
              <w:spacing w:after="40" w:line="276" w:lineRule="auto"/>
              <w:jc w:val="left"/>
            </w:pPr>
          </w:p>
        </w:tc>
        <w:tc>
          <w:tcPr>
            <w:tcW w:type="dxa" w:w="1417"/>
            <w:vAlign w:val="center"/>
            <w:shd w:fill="FFFFFF"/>
          </w:tcPr>
          <w:p>
            <w:pPr>
              <w:spacing w:after="40" w:line="276" w:lineRule="auto"/>
              <w:jc w:val="left"/>
            </w:pPr>
            <w:r>
              <w:rPr>
                <w:b w:val="0"/>
                <w:i w:val="0"/>
              </w:rPr>
              <w:t>Finance</w:t>
            </w:r>
          </w:p>
        </w:tc>
        <w:tc>
          <w:tcPr>
            <w:tcW w:type="dxa" w:w="1701"/>
            <w:vAlign w:val="center"/>
            <w:shd w:fill="FFFFFF"/>
          </w:tcPr>
          <w:p>
            <w:pPr>
              <w:spacing w:after="40" w:line="276" w:lineRule="auto"/>
              <w:jc w:val="left"/>
            </w:pPr>
            <w:r>
              <w:rPr>
                <w:b w:val="0"/>
                <w:i w:val="0"/>
              </w:rPr>
              <w:t>Align strategy with resources</w:t>
            </w:r>
          </w:p>
        </w:tc>
        <w:tc>
          <w:tcPr>
            <w:tcW w:type="dxa" w:w="1984"/>
            <w:vAlign w:val="center"/>
            <w:shd w:fill="FFFFFF"/>
          </w:tcPr>
          <w:p>
            <w:pPr>
              <w:spacing w:after="40" w:line="276" w:lineRule="auto"/>
              <w:jc w:val="left"/>
            </w:pPr>
            <w:r>
              <w:rPr>
                <w:b w:val="0"/>
                <w:i w:val="0"/>
              </w:rPr>
              <w:t>Map funding to strategic pillars</w:t>
            </w:r>
          </w:p>
        </w:tc>
        <w:tc>
          <w:tcPr>
            <w:tcW w:type="dxa" w:w="1701"/>
            <w:vAlign w:val="center"/>
            <w:shd w:fill="FFFFFF"/>
          </w:tcPr>
          <w:p>
            <w:pPr>
              <w:spacing w:after="40" w:line="276" w:lineRule="auto"/>
              <w:jc w:val="left"/>
            </w:pPr>
            <w:r>
              <w:rPr>
                <w:b w:val="0"/>
                <w:i w:val="0"/>
              </w:rPr>
              <w:t>% objectives resourced</w:t>
            </w:r>
          </w:p>
        </w:tc>
        <w:tc>
          <w:tcPr>
            <w:tcW w:type="dxa" w:w="1191"/>
            <w:vAlign w:val="center"/>
            <w:shd w:fill="FFFFFF"/>
          </w:tcPr>
          <w:p>
            <w:pPr>
              <w:spacing w:after="40" w:line="276" w:lineRule="auto"/>
              <w:jc w:val="left"/>
            </w:pPr>
            <w:r>
              <w:rPr>
                <w:b w:val="0"/>
                <w:i w:val="0"/>
              </w:rPr>
              <w:t>100% pillars resourced</w:t>
            </w:r>
          </w:p>
        </w:tc>
      </w:tr>
      <w:tr>
        <w:trPr>
          <w:cantSplit/>
        </w:trPr>
        <w:tc>
          <w:tcPr>
            <w:tcW w:type="dxa" w:w="1417"/>
            <w:vAlign w:val="center"/>
            <w:shd w:fill="EDF2F7"/>
          </w:tcPr>
          <w:p>
            <w:pPr>
              <w:spacing w:after="40" w:line="276" w:lineRule="auto"/>
              <w:jc w:val="left"/>
            </w:pPr>
          </w:p>
        </w:tc>
        <w:tc>
          <w:tcPr>
            <w:tcW w:type="dxa" w:w="1417"/>
            <w:vAlign w:val="center"/>
            <w:shd w:fill="EDF2F7"/>
          </w:tcPr>
          <w:p>
            <w:pPr>
              <w:spacing w:after="40" w:line="276" w:lineRule="auto"/>
              <w:jc w:val="left"/>
            </w:pPr>
            <w:r>
              <w:rPr>
                <w:b w:val="0"/>
                <w:i w:val="0"/>
              </w:rPr>
              <w:t>Governance</w:t>
            </w:r>
          </w:p>
        </w:tc>
        <w:tc>
          <w:tcPr>
            <w:tcW w:type="dxa" w:w="1701"/>
            <w:vAlign w:val="center"/>
            <w:shd w:fill="EDF2F7"/>
          </w:tcPr>
          <w:p>
            <w:pPr>
              <w:spacing w:after="40" w:line="276" w:lineRule="auto"/>
              <w:jc w:val="left"/>
            </w:pPr>
            <w:r>
              <w:rPr>
                <w:b w:val="0"/>
                <w:i w:val="0"/>
              </w:rPr>
              <w:t>Create frameworks</w:t>
            </w:r>
          </w:p>
        </w:tc>
        <w:tc>
          <w:tcPr>
            <w:tcW w:type="dxa" w:w="1984"/>
            <w:vAlign w:val="center"/>
            <w:shd w:fill="EDF2F7"/>
          </w:tcPr>
          <w:p>
            <w:pPr>
              <w:spacing w:after="40" w:line="276" w:lineRule="auto"/>
              <w:jc w:val="left"/>
            </w:pPr>
            <w:r>
              <w:rPr>
                <w:b w:val="0"/>
                <w:i w:val="0"/>
              </w:rPr>
              <w:t>Policy–Action–Outcome–KPI tables</w:t>
            </w:r>
          </w:p>
        </w:tc>
        <w:tc>
          <w:tcPr>
            <w:tcW w:type="dxa" w:w="1701"/>
            <w:vAlign w:val="center"/>
            <w:shd w:fill="EDF2F7"/>
          </w:tcPr>
          <w:p>
            <w:pPr>
              <w:spacing w:after="40" w:line="276" w:lineRule="auto"/>
              <w:jc w:val="left"/>
            </w:pPr>
            <w:r>
              <w:rPr>
                <w:b w:val="0"/>
                <w:i w:val="0"/>
              </w:rPr>
              <w:t>No. of policies mapped</w:t>
            </w:r>
          </w:p>
        </w:tc>
        <w:tc>
          <w:tcPr>
            <w:tcW w:type="dxa" w:w="1191"/>
            <w:vAlign w:val="center"/>
            <w:shd w:fill="EDF2F7"/>
          </w:tcPr>
          <w:p>
            <w:pPr>
              <w:spacing w:after="40" w:line="276" w:lineRule="auto"/>
              <w:jc w:val="left"/>
            </w:pPr>
            <w:r>
              <w:rPr>
                <w:b w:val="0"/>
                <w:i w:val="0"/>
              </w:rPr>
              <w:t>100% objectives aligned</w:t>
            </w:r>
          </w:p>
        </w:tc>
      </w:tr>
      <w:tr>
        <w:trPr>
          <w:cantSplit/>
        </w:trPr>
        <w:tc>
          <w:tcPr>
            <w:tcW w:type="dxa" w:w="1417"/>
            <w:vAlign w:val="center"/>
            <w:shd w:fill="FFFFFF"/>
          </w:tcPr>
          <w:p>
            <w:pPr>
              <w:spacing w:after="40" w:line="276" w:lineRule="auto"/>
              <w:jc w:val="left"/>
            </w:pPr>
          </w:p>
        </w:tc>
        <w:tc>
          <w:tcPr>
            <w:tcW w:type="dxa" w:w="1417"/>
            <w:vAlign w:val="center"/>
            <w:shd w:fill="FFFFFF"/>
          </w:tcPr>
          <w:p>
            <w:pPr>
              <w:spacing w:after="40" w:line="276" w:lineRule="auto"/>
              <w:jc w:val="left"/>
            </w:pPr>
            <w:r>
              <w:rPr>
                <w:b w:val="0"/>
                <w:i w:val="0"/>
              </w:rPr>
              <w:t>Community</w:t>
            </w:r>
          </w:p>
        </w:tc>
        <w:tc>
          <w:tcPr>
            <w:tcW w:type="dxa" w:w="1701"/>
            <w:vAlign w:val="center"/>
            <w:shd w:fill="FFFFFF"/>
          </w:tcPr>
          <w:p>
            <w:pPr>
              <w:spacing w:after="40" w:line="276" w:lineRule="auto"/>
              <w:jc w:val="left"/>
            </w:pPr>
            <w:r>
              <w:rPr>
                <w:b w:val="0"/>
                <w:i w:val="0"/>
              </w:rPr>
              <w:t>Integrate ISR &amp; SDGs</w:t>
            </w:r>
          </w:p>
        </w:tc>
        <w:tc>
          <w:tcPr>
            <w:tcW w:type="dxa" w:w="1984"/>
            <w:vAlign w:val="center"/>
            <w:shd w:fill="FFFFFF"/>
          </w:tcPr>
          <w:p>
            <w:pPr>
              <w:spacing w:after="40" w:line="276" w:lineRule="auto"/>
              <w:jc w:val="left"/>
            </w:pPr>
            <w:r>
              <w:rPr>
                <w:b w:val="0"/>
                <w:i w:val="0"/>
              </w:rPr>
              <w:t>Consult community, map to goals</w:t>
            </w:r>
          </w:p>
        </w:tc>
        <w:tc>
          <w:tcPr>
            <w:tcW w:type="dxa" w:w="1701"/>
            <w:vAlign w:val="center"/>
            <w:shd w:fill="FFFFFF"/>
          </w:tcPr>
          <w:p>
            <w:pPr>
              <w:spacing w:after="40" w:line="276" w:lineRule="auto"/>
              <w:jc w:val="left"/>
            </w:pPr>
            <w:r>
              <w:rPr>
                <w:b w:val="0"/>
                <w:i w:val="0"/>
              </w:rPr>
              <w:t>No. of ISR/​SDG projects</w:t>
            </w:r>
          </w:p>
        </w:tc>
        <w:tc>
          <w:tcPr>
            <w:tcW w:type="dxa" w:w="1191"/>
            <w:vAlign w:val="center"/>
            <w:shd w:fill="FFFFFF"/>
          </w:tcPr>
          <w:p>
            <w:pPr>
              <w:spacing w:after="40" w:line="276" w:lineRule="auto"/>
              <w:jc w:val="left"/>
            </w:pPr>
            <w:r>
              <w:rPr>
                <w:b w:val="0"/>
                <w:i w:val="0"/>
              </w:rPr>
              <w:t>≥10 projects</w:t>
            </w:r>
          </w:p>
        </w:tc>
      </w:tr>
      <w:tr>
        <w:trPr>
          <w:cantSplit/>
        </w:trPr>
        <w:tc>
          <w:tcPr>
            <w:tcW w:type="dxa" w:w="1417"/>
            <w:vAlign w:val="center"/>
            <w:shd w:fill="EDF2F7"/>
          </w:tcPr>
          <w:p>
            <w:pPr>
              <w:spacing w:after="40" w:line="276" w:lineRule="auto"/>
              <w:jc w:val="left"/>
            </w:pPr>
          </w:p>
        </w:tc>
        <w:tc>
          <w:tcPr>
            <w:tcW w:type="dxa" w:w="1417"/>
            <w:vAlign w:val="center"/>
            <w:shd w:fill="EDF2F7"/>
          </w:tcPr>
          <w:p>
            <w:pPr>
              <w:spacing w:after="40" w:line="276" w:lineRule="auto"/>
              <w:jc w:val="left"/>
            </w:pPr>
            <w:r>
              <w:rPr>
                <w:b w:val="0"/>
                <w:i w:val="0"/>
              </w:rPr>
              <w:t>Global</w:t>
            </w:r>
          </w:p>
        </w:tc>
        <w:tc>
          <w:tcPr>
            <w:tcW w:type="dxa" w:w="1701"/>
            <w:vAlign w:val="center"/>
            <w:shd w:fill="EDF2F7"/>
          </w:tcPr>
          <w:p>
            <w:pPr>
              <w:spacing w:after="40" w:line="276" w:lineRule="auto"/>
              <w:jc w:val="left"/>
            </w:pPr>
            <w:r>
              <w:rPr>
                <w:b w:val="0"/>
                <w:i w:val="0"/>
              </w:rPr>
              <w:t>Plan for global rankings</w:t>
            </w:r>
          </w:p>
        </w:tc>
        <w:tc>
          <w:tcPr>
            <w:tcW w:type="dxa" w:w="1984"/>
            <w:vAlign w:val="center"/>
            <w:shd w:fill="EDF2F7"/>
          </w:tcPr>
          <w:p>
            <w:pPr>
              <w:spacing w:after="40" w:line="276" w:lineRule="auto"/>
              <w:jc w:val="left"/>
            </w:pPr>
            <w:r>
              <w:rPr>
                <w:b w:val="0"/>
                <w:i w:val="0"/>
              </w:rPr>
              <w:t>Identify QS/​THE linkages</w:t>
            </w:r>
          </w:p>
        </w:tc>
        <w:tc>
          <w:tcPr>
            <w:tcW w:type="dxa" w:w="1701"/>
            <w:vAlign w:val="center"/>
            <w:shd w:fill="EDF2F7"/>
          </w:tcPr>
          <w:p>
            <w:pPr>
              <w:spacing w:after="40" w:line="276" w:lineRule="auto"/>
              <w:jc w:val="left"/>
            </w:pPr>
            <w:r>
              <w:rPr>
                <w:b w:val="0"/>
                <w:i w:val="0"/>
              </w:rPr>
              <w:t>% objectives mapped</w:t>
            </w:r>
          </w:p>
        </w:tc>
        <w:tc>
          <w:tcPr>
            <w:tcW w:type="dxa" w:w="1191"/>
            <w:vAlign w:val="center"/>
            <w:shd w:fill="EDF2F7"/>
          </w:tcPr>
          <w:p>
            <w:pPr>
              <w:spacing w:after="40" w:line="276" w:lineRule="auto"/>
              <w:jc w:val="left"/>
            </w:pPr>
            <w:r>
              <w:rPr>
                <w:b w:val="0"/>
                <w:i w:val="0"/>
              </w:rPr>
              <w:t>≥80% objectives mapped</w:t>
            </w:r>
          </w:p>
        </w:tc>
      </w:tr>
      <w:tr>
        <w:trPr>
          <w:cantSplit/>
        </w:trPr>
        <w:tc>
          <w:tcPr>
            <w:tcW w:type="dxa" w:w="1417"/>
            <w:vAlign w:val="center"/>
            <w:shd w:fill="FFFFFF"/>
          </w:tcPr>
          <w:p>
            <w:pPr>
              <w:spacing w:after="40" w:line="276" w:lineRule="auto"/>
              <w:jc w:val="left"/>
            </w:pPr>
            <w:r>
              <w:rPr>
                <w:b/>
                <w:i w:val="0"/>
              </w:rPr>
              <w:t>Phase 3:</w:t>
            </w:r>
            <w:r>
              <w:rPr>
                <w:b w:val="0"/>
                <w:i w:val="0"/>
              </w:rPr>
              <w:t xml:space="preserve"> Implementation Planning</w:t>
            </w:r>
          </w:p>
        </w:tc>
        <w:tc>
          <w:tcPr>
            <w:tcW w:type="dxa" w:w="1417"/>
            <w:vAlign w:val="center"/>
            <w:shd w:fill="FFFFFF"/>
          </w:tcPr>
          <w:p>
            <w:pPr>
              <w:spacing w:after="40" w:line="276" w:lineRule="auto"/>
              <w:jc w:val="left"/>
            </w:pPr>
            <w:r>
              <w:rPr>
                <w:b w:val="0"/>
                <w:i w:val="0"/>
              </w:rPr>
              <w:t>Academic Excellence</w:t>
            </w:r>
          </w:p>
        </w:tc>
        <w:tc>
          <w:tcPr>
            <w:tcW w:type="dxa" w:w="1701"/>
            <w:vAlign w:val="center"/>
            <w:shd w:fill="FFFFFF"/>
          </w:tcPr>
          <w:p>
            <w:pPr>
              <w:spacing w:after="40" w:line="276" w:lineRule="auto"/>
              <w:jc w:val="left"/>
            </w:pPr>
            <w:r>
              <w:rPr>
                <w:b w:val="0"/>
                <w:i w:val="0"/>
              </w:rPr>
              <w:t>Translate strategy into plans</w:t>
            </w:r>
          </w:p>
        </w:tc>
        <w:tc>
          <w:tcPr>
            <w:tcW w:type="dxa" w:w="1984"/>
            <w:vAlign w:val="center"/>
            <w:shd w:fill="FFFFFF"/>
          </w:tcPr>
          <w:p>
            <w:pPr>
              <w:spacing w:after="40" w:line="276" w:lineRule="auto"/>
              <w:jc w:val="left"/>
            </w:pPr>
            <w:r>
              <w:rPr>
                <w:b w:val="0"/>
                <w:i w:val="0"/>
              </w:rPr>
              <w:t>Develop action plans, milestones</w:t>
            </w:r>
          </w:p>
        </w:tc>
        <w:tc>
          <w:tcPr>
            <w:tcW w:type="dxa" w:w="1701"/>
            <w:vAlign w:val="center"/>
            <w:shd w:fill="FFFFFF"/>
          </w:tcPr>
          <w:p>
            <w:pPr>
              <w:spacing w:after="40" w:line="276" w:lineRule="auto"/>
              <w:jc w:val="left"/>
            </w:pPr>
            <w:r>
              <w:rPr>
                <w:b w:val="0"/>
                <w:i w:val="0"/>
              </w:rPr>
              <w:t>% plans finalized</w:t>
            </w:r>
          </w:p>
        </w:tc>
        <w:tc>
          <w:tcPr>
            <w:tcW w:type="dxa" w:w="1191"/>
            <w:vAlign w:val="center"/>
            <w:shd w:fill="FFFFFF"/>
          </w:tcPr>
          <w:p>
            <w:pPr>
              <w:spacing w:after="40" w:line="276" w:lineRule="auto"/>
              <w:jc w:val="left"/>
            </w:pPr>
            <w:r>
              <w:rPr>
                <w:b w:val="0"/>
                <w:i w:val="0"/>
              </w:rPr>
              <w:t>100% by end of phase</w:t>
            </w:r>
          </w:p>
        </w:tc>
      </w:tr>
      <w:tr>
        <w:trPr>
          <w:cantSplit/>
        </w:trPr>
        <w:tc>
          <w:tcPr>
            <w:tcW w:type="dxa" w:w="1417"/>
            <w:vAlign w:val="center"/>
            <w:shd w:fill="EDF2F7"/>
          </w:tcPr>
          <w:p>
            <w:pPr>
              <w:spacing w:after="40" w:line="276" w:lineRule="auto"/>
              <w:jc w:val="left"/>
            </w:pPr>
          </w:p>
        </w:tc>
        <w:tc>
          <w:tcPr>
            <w:tcW w:type="dxa" w:w="1417"/>
            <w:vAlign w:val="center"/>
            <w:shd w:fill="EDF2F7"/>
          </w:tcPr>
          <w:p>
            <w:pPr>
              <w:spacing w:after="40" w:line="276" w:lineRule="auto"/>
              <w:jc w:val="left"/>
            </w:pPr>
            <w:r>
              <w:rPr>
                <w:b w:val="0"/>
                <w:i w:val="0"/>
              </w:rPr>
              <w:t>Research &amp; Innovation</w:t>
            </w:r>
          </w:p>
        </w:tc>
        <w:tc>
          <w:tcPr>
            <w:tcW w:type="dxa" w:w="1701"/>
            <w:vAlign w:val="center"/>
            <w:shd w:fill="EDF2F7"/>
          </w:tcPr>
          <w:p>
            <w:pPr>
              <w:spacing w:after="40" w:line="276" w:lineRule="auto"/>
              <w:jc w:val="left"/>
            </w:pPr>
            <w:r>
              <w:rPr>
                <w:b w:val="0"/>
                <w:i w:val="0"/>
              </w:rPr>
              <w:t>Plan CoEs &amp; projects</w:t>
            </w:r>
          </w:p>
        </w:tc>
        <w:tc>
          <w:tcPr>
            <w:tcW w:type="dxa" w:w="1984"/>
            <w:vAlign w:val="center"/>
            <w:shd w:fill="EDF2F7"/>
          </w:tcPr>
          <w:p>
            <w:pPr>
              <w:spacing w:after="40" w:line="276" w:lineRule="auto"/>
              <w:jc w:val="left"/>
            </w:pPr>
            <w:r>
              <w:rPr>
                <w:b w:val="0"/>
                <w:i w:val="0"/>
              </w:rPr>
              <w:t>Allocate budgets, draft proposals</w:t>
            </w:r>
          </w:p>
        </w:tc>
        <w:tc>
          <w:tcPr>
            <w:tcW w:type="dxa" w:w="1701"/>
            <w:vAlign w:val="center"/>
            <w:shd w:fill="EDF2F7"/>
          </w:tcPr>
          <w:p>
            <w:pPr>
              <w:spacing w:after="40" w:line="276" w:lineRule="auto"/>
              <w:jc w:val="left"/>
            </w:pPr>
            <w:r>
              <w:rPr>
                <w:b w:val="0"/>
                <w:i w:val="0"/>
              </w:rPr>
              <w:t>No. of CoEs planned</w:t>
            </w:r>
          </w:p>
        </w:tc>
        <w:tc>
          <w:tcPr>
            <w:tcW w:type="dxa" w:w="1191"/>
            <w:vAlign w:val="center"/>
            <w:shd w:fill="EDF2F7"/>
          </w:tcPr>
          <w:p>
            <w:pPr>
              <w:spacing w:after="40" w:line="276" w:lineRule="auto"/>
              <w:jc w:val="left"/>
            </w:pPr>
            <w:r>
              <w:rPr>
                <w:b w:val="0"/>
                <w:i w:val="0"/>
              </w:rPr>
              <w:t>≥5 CoEs</w:t>
            </w:r>
          </w:p>
        </w:tc>
      </w:tr>
      <w:tr>
        <w:trPr>
          <w:cantSplit/>
        </w:trPr>
        <w:tc>
          <w:tcPr>
            <w:tcW w:type="dxa" w:w="1417"/>
            <w:vAlign w:val="center"/>
            <w:shd w:fill="FFFFFF"/>
          </w:tcPr>
          <w:p>
            <w:pPr>
              <w:spacing w:after="40" w:line="276" w:lineRule="auto"/>
              <w:jc w:val="left"/>
            </w:pPr>
          </w:p>
        </w:tc>
        <w:tc>
          <w:tcPr>
            <w:tcW w:type="dxa" w:w="1417"/>
            <w:vAlign w:val="center"/>
            <w:shd w:fill="FFFFFF"/>
          </w:tcPr>
          <w:p>
            <w:pPr>
              <w:spacing w:after="40" w:line="276" w:lineRule="auto"/>
              <w:jc w:val="left"/>
            </w:pPr>
            <w:r>
              <w:rPr>
                <w:b w:val="0"/>
                <w:i w:val="0"/>
              </w:rPr>
              <w:t>Finance</w:t>
            </w:r>
          </w:p>
        </w:tc>
        <w:tc>
          <w:tcPr>
            <w:tcW w:type="dxa" w:w="1701"/>
            <w:vAlign w:val="center"/>
            <w:shd w:fill="FFFFFF"/>
          </w:tcPr>
          <w:p>
            <w:pPr>
              <w:spacing w:after="40" w:line="276" w:lineRule="auto"/>
              <w:jc w:val="left"/>
            </w:pPr>
            <w:r>
              <w:rPr>
                <w:b w:val="0"/>
                <w:i w:val="0"/>
              </w:rPr>
              <w:t>Resource allocation</w:t>
            </w:r>
          </w:p>
        </w:tc>
        <w:tc>
          <w:tcPr>
            <w:tcW w:type="dxa" w:w="1984"/>
            <w:vAlign w:val="center"/>
            <w:shd w:fill="FFFFFF"/>
          </w:tcPr>
          <w:p>
            <w:pPr>
              <w:spacing w:after="40" w:line="276" w:lineRule="auto"/>
              <w:jc w:val="left"/>
            </w:pPr>
            <w:r>
              <w:rPr>
                <w:b w:val="0"/>
                <w:i w:val="0"/>
              </w:rPr>
              <w:t>Budget—manpower–infra mapping</w:t>
            </w:r>
          </w:p>
        </w:tc>
        <w:tc>
          <w:tcPr>
            <w:tcW w:type="dxa" w:w="1701"/>
            <w:vAlign w:val="center"/>
            <w:shd w:fill="FFFFFF"/>
          </w:tcPr>
          <w:p>
            <w:pPr>
              <w:spacing w:after="40" w:line="276" w:lineRule="auto"/>
              <w:jc w:val="left"/>
            </w:pPr>
            <w:r>
              <w:rPr>
                <w:b w:val="0"/>
                <w:i w:val="0"/>
              </w:rPr>
              <w:t>Budget coverage per pillar</w:t>
            </w:r>
          </w:p>
        </w:tc>
        <w:tc>
          <w:tcPr>
            <w:tcW w:type="dxa" w:w="1191"/>
            <w:vAlign w:val="center"/>
            <w:shd w:fill="FFFFFF"/>
          </w:tcPr>
          <w:p>
            <w:pPr>
              <w:spacing w:after="40" w:line="276" w:lineRule="auto"/>
              <w:jc w:val="left"/>
            </w:pPr>
            <w:r>
              <w:rPr>
                <w:b w:val="0"/>
                <w:i w:val="0"/>
              </w:rPr>
              <w:t>100% pillars covered</w:t>
            </w:r>
          </w:p>
        </w:tc>
      </w:tr>
      <w:tr>
        <w:trPr>
          <w:cantSplit/>
        </w:trPr>
        <w:tc>
          <w:tcPr>
            <w:tcW w:type="dxa" w:w="1417"/>
            <w:vAlign w:val="center"/>
            <w:shd w:fill="EDF2F7"/>
          </w:tcPr>
          <w:p>
            <w:pPr>
              <w:spacing w:after="40" w:line="276" w:lineRule="auto"/>
              <w:jc w:val="left"/>
            </w:pPr>
          </w:p>
        </w:tc>
        <w:tc>
          <w:tcPr>
            <w:tcW w:type="dxa" w:w="1417"/>
            <w:vAlign w:val="center"/>
            <w:shd w:fill="EDF2F7"/>
          </w:tcPr>
          <w:p>
            <w:pPr>
              <w:spacing w:after="40" w:line="276" w:lineRule="auto"/>
              <w:jc w:val="left"/>
            </w:pPr>
            <w:r>
              <w:rPr>
                <w:b w:val="0"/>
                <w:i w:val="0"/>
              </w:rPr>
              <w:t>Governance</w:t>
            </w:r>
          </w:p>
        </w:tc>
        <w:tc>
          <w:tcPr>
            <w:tcW w:type="dxa" w:w="1701"/>
            <w:vAlign w:val="center"/>
            <w:shd w:fill="EDF2F7"/>
          </w:tcPr>
          <w:p>
            <w:pPr>
              <w:spacing w:after="40" w:line="276" w:lineRule="auto"/>
              <w:jc w:val="left"/>
            </w:pPr>
            <w:r>
              <w:rPr>
                <w:b w:val="0"/>
                <w:i w:val="0"/>
              </w:rPr>
              <w:t>Define accountability</w:t>
            </w:r>
          </w:p>
        </w:tc>
        <w:tc>
          <w:tcPr>
            <w:tcW w:type="dxa" w:w="1984"/>
            <w:vAlign w:val="center"/>
            <w:shd w:fill="EDF2F7"/>
          </w:tcPr>
          <w:p>
            <w:pPr>
              <w:spacing w:after="40" w:line="276" w:lineRule="auto"/>
              <w:jc w:val="left"/>
            </w:pPr>
            <w:r>
              <w:rPr>
                <w:b w:val="0"/>
                <w:i w:val="0"/>
              </w:rPr>
              <w:t>RACI matrices, committees</w:t>
            </w:r>
          </w:p>
        </w:tc>
        <w:tc>
          <w:tcPr>
            <w:tcW w:type="dxa" w:w="1701"/>
            <w:vAlign w:val="center"/>
            <w:shd w:fill="EDF2F7"/>
          </w:tcPr>
          <w:p>
            <w:pPr>
              <w:spacing w:after="40" w:line="276" w:lineRule="auto"/>
              <w:jc w:val="left"/>
            </w:pPr>
            <w:r>
              <w:rPr>
                <w:b w:val="0"/>
                <w:i w:val="0"/>
              </w:rPr>
              <w:t>No. of committees formed</w:t>
            </w:r>
          </w:p>
        </w:tc>
        <w:tc>
          <w:tcPr>
            <w:tcW w:type="dxa" w:w="1191"/>
            <w:vAlign w:val="center"/>
            <w:shd w:fill="EDF2F7"/>
          </w:tcPr>
          <w:p>
            <w:pPr>
              <w:spacing w:after="40" w:line="276" w:lineRule="auto"/>
              <w:jc w:val="left"/>
            </w:pPr>
            <w:r>
              <w:rPr>
                <w:b w:val="0"/>
                <w:i w:val="0"/>
              </w:rPr>
              <w:t>≥5 committees</w:t>
            </w:r>
          </w:p>
        </w:tc>
      </w:tr>
      <w:tr>
        <w:trPr>
          <w:cantSplit/>
        </w:trPr>
        <w:tc>
          <w:tcPr>
            <w:tcW w:type="dxa" w:w="1417"/>
            <w:vAlign w:val="center"/>
            <w:shd w:fill="FFFFFF"/>
          </w:tcPr>
          <w:p>
            <w:pPr>
              <w:spacing w:after="40" w:line="276" w:lineRule="auto"/>
              <w:jc w:val="left"/>
            </w:pPr>
          </w:p>
        </w:tc>
        <w:tc>
          <w:tcPr>
            <w:tcW w:type="dxa" w:w="1417"/>
            <w:vAlign w:val="center"/>
            <w:shd w:fill="FFFFFF"/>
          </w:tcPr>
          <w:p>
            <w:pPr>
              <w:spacing w:after="40" w:line="276" w:lineRule="auto"/>
              <w:jc w:val="left"/>
            </w:pPr>
            <w:r>
              <w:rPr>
                <w:b w:val="0"/>
                <w:i w:val="0"/>
              </w:rPr>
              <w:t>Community</w:t>
            </w:r>
          </w:p>
        </w:tc>
        <w:tc>
          <w:tcPr>
            <w:tcW w:type="dxa" w:w="1701"/>
            <w:vAlign w:val="center"/>
            <w:shd w:fill="FFFFFF"/>
          </w:tcPr>
          <w:p>
            <w:pPr>
              <w:spacing w:after="40" w:line="276" w:lineRule="auto"/>
              <w:jc w:val="left"/>
            </w:pPr>
            <w:r>
              <w:rPr>
                <w:b w:val="0"/>
                <w:i w:val="0"/>
              </w:rPr>
              <w:t>Plan ISR initiatives</w:t>
            </w:r>
          </w:p>
        </w:tc>
        <w:tc>
          <w:tcPr>
            <w:tcW w:type="dxa" w:w="1984"/>
            <w:vAlign w:val="center"/>
            <w:shd w:fill="FFFFFF"/>
          </w:tcPr>
          <w:p>
            <w:pPr>
              <w:spacing w:after="40" w:line="276" w:lineRule="auto"/>
              <w:jc w:val="left"/>
            </w:pPr>
            <w:r>
              <w:rPr>
                <w:b w:val="0"/>
                <w:i w:val="0"/>
              </w:rPr>
              <w:t>Resource allocation, MoUs</w:t>
            </w:r>
          </w:p>
        </w:tc>
        <w:tc>
          <w:tcPr>
            <w:tcW w:type="dxa" w:w="1701"/>
            <w:vAlign w:val="center"/>
            <w:shd w:fill="FFFFFF"/>
          </w:tcPr>
          <w:p>
            <w:pPr>
              <w:spacing w:after="40" w:line="276" w:lineRule="auto"/>
              <w:jc w:val="left"/>
            </w:pPr>
            <w:r>
              <w:rPr>
                <w:b w:val="0"/>
                <w:i w:val="0"/>
              </w:rPr>
              <w:t>No. of ISR MoUs</w:t>
            </w:r>
          </w:p>
        </w:tc>
        <w:tc>
          <w:tcPr>
            <w:tcW w:type="dxa" w:w="1191"/>
            <w:vAlign w:val="center"/>
            <w:shd w:fill="FFFFFF"/>
          </w:tcPr>
          <w:p>
            <w:pPr>
              <w:spacing w:after="40" w:line="276" w:lineRule="auto"/>
              <w:jc w:val="left"/>
            </w:pPr>
            <w:r>
              <w:rPr>
                <w:b w:val="0"/>
                <w:i w:val="0"/>
              </w:rPr>
              <w:t>≥10 MoUs</w:t>
            </w:r>
          </w:p>
        </w:tc>
      </w:tr>
      <w:tr>
        <w:trPr>
          <w:cantSplit/>
        </w:trPr>
        <w:tc>
          <w:tcPr>
            <w:tcW w:type="dxa" w:w="1417"/>
            <w:vAlign w:val="center"/>
            <w:shd w:fill="EDF2F7"/>
          </w:tcPr>
          <w:p>
            <w:pPr>
              <w:spacing w:after="40" w:line="276" w:lineRule="auto"/>
              <w:jc w:val="left"/>
            </w:pPr>
          </w:p>
        </w:tc>
        <w:tc>
          <w:tcPr>
            <w:tcW w:type="dxa" w:w="1417"/>
            <w:vAlign w:val="center"/>
            <w:shd w:fill="EDF2F7"/>
          </w:tcPr>
          <w:p>
            <w:pPr>
              <w:spacing w:after="40" w:line="276" w:lineRule="auto"/>
              <w:jc w:val="left"/>
            </w:pPr>
            <w:r>
              <w:rPr>
                <w:b w:val="0"/>
                <w:i w:val="0"/>
              </w:rPr>
              <w:t>Global</w:t>
            </w:r>
          </w:p>
        </w:tc>
        <w:tc>
          <w:tcPr>
            <w:tcW w:type="dxa" w:w="1701"/>
            <w:vAlign w:val="center"/>
            <w:shd w:fill="EDF2F7"/>
          </w:tcPr>
          <w:p>
            <w:pPr>
              <w:spacing w:after="40" w:line="276" w:lineRule="auto"/>
              <w:jc w:val="left"/>
            </w:pPr>
            <w:r>
              <w:rPr>
                <w:b w:val="0"/>
                <w:i w:val="0"/>
              </w:rPr>
              <w:t>Plan mobility &amp; MoUs</w:t>
            </w:r>
          </w:p>
        </w:tc>
        <w:tc>
          <w:tcPr>
            <w:tcW w:type="dxa" w:w="1984"/>
            <w:vAlign w:val="center"/>
            <w:shd w:fill="EDF2F7"/>
          </w:tcPr>
          <w:p>
            <w:pPr>
              <w:spacing w:after="40" w:line="276" w:lineRule="auto"/>
              <w:jc w:val="left"/>
            </w:pPr>
            <w:r>
              <w:rPr>
                <w:b w:val="0"/>
                <w:i w:val="0"/>
              </w:rPr>
              <w:t>Draft agreements, exchange targets</w:t>
            </w:r>
          </w:p>
        </w:tc>
        <w:tc>
          <w:tcPr>
            <w:tcW w:type="dxa" w:w="1701"/>
            <w:vAlign w:val="center"/>
            <w:shd w:fill="EDF2F7"/>
          </w:tcPr>
          <w:p>
            <w:pPr>
              <w:spacing w:after="40" w:line="276" w:lineRule="auto"/>
              <w:jc w:val="left"/>
            </w:pPr>
            <w:r>
              <w:rPr>
                <w:b w:val="0"/>
                <w:i w:val="0"/>
              </w:rPr>
              <w:t>No. of MoUs planned</w:t>
            </w:r>
          </w:p>
        </w:tc>
        <w:tc>
          <w:tcPr>
            <w:tcW w:type="dxa" w:w="1191"/>
            <w:vAlign w:val="center"/>
            <w:shd w:fill="EDF2F7"/>
          </w:tcPr>
          <w:p>
            <w:pPr>
              <w:spacing w:after="40" w:line="276" w:lineRule="auto"/>
              <w:jc w:val="left"/>
            </w:pPr>
            <w:r>
              <w:rPr>
                <w:b w:val="0"/>
                <w:i w:val="0"/>
              </w:rPr>
              <w:t>≥10 MoUs</w:t>
            </w:r>
          </w:p>
        </w:tc>
      </w:tr>
      <w:tr>
        <w:trPr>
          <w:cantSplit/>
        </w:trPr>
        <w:tc>
          <w:tcPr>
            <w:tcW w:type="dxa" w:w="1417"/>
            <w:vAlign w:val="center"/>
            <w:shd w:fill="FFFFFF"/>
          </w:tcPr>
          <w:p>
            <w:pPr>
              <w:spacing w:after="40" w:line="276" w:lineRule="auto"/>
              <w:jc w:val="left"/>
            </w:pPr>
            <w:r>
              <w:rPr>
                <w:b/>
                <w:i w:val="0"/>
              </w:rPr>
              <w:t>Phase 4:</w:t>
            </w:r>
            <w:r>
              <w:rPr>
                <w:b w:val="0"/>
                <w:i w:val="0"/>
              </w:rPr>
              <w:t xml:space="preserve"> Execution</w:t>
            </w:r>
          </w:p>
        </w:tc>
        <w:tc>
          <w:tcPr>
            <w:tcW w:type="dxa" w:w="1417"/>
            <w:vAlign w:val="center"/>
            <w:shd w:fill="FFFFFF"/>
          </w:tcPr>
          <w:p>
            <w:pPr>
              <w:spacing w:after="40" w:line="276" w:lineRule="auto"/>
              <w:jc w:val="left"/>
            </w:pPr>
            <w:r>
              <w:rPr>
                <w:b w:val="0"/>
                <w:i w:val="0"/>
              </w:rPr>
              <w:t>Academic Excellence</w:t>
            </w:r>
          </w:p>
        </w:tc>
        <w:tc>
          <w:tcPr>
            <w:tcW w:type="dxa" w:w="1701"/>
            <w:vAlign w:val="center"/>
            <w:shd w:fill="FFFFFF"/>
          </w:tcPr>
          <w:p>
            <w:pPr>
              <w:spacing w:after="40" w:line="276" w:lineRule="auto"/>
              <w:jc w:val="left"/>
            </w:pPr>
            <w:r>
              <w:rPr>
                <w:b w:val="0"/>
                <w:i w:val="0"/>
              </w:rPr>
              <w:t>Deliver NEP-aligned programs</w:t>
            </w:r>
          </w:p>
        </w:tc>
        <w:tc>
          <w:tcPr>
            <w:tcW w:type="dxa" w:w="1984"/>
            <w:vAlign w:val="center"/>
            <w:shd w:fill="FFFFFF"/>
          </w:tcPr>
          <w:p>
            <w:pPr>
              <w:spacing w:after="40" w:line="276" w:lineRule="auto"/>
              <w:jc w:val="left"/>
            </w:pPr>
            <w:r>
              <w:rPr>
                <w:b w:val="0"/>
                <w:i w:val="0"/>
              </w:rPr>
              <w:t>Rollout curricula, blended learning</w:t>
            </w:r>
          </w:p>
        </w:tc>
        <w:tc>
          <w:tcPr>
            <w:tcW w:type="dxa" w:w="1701"/>
            <w:vAlign w:val="center"/>
            <w:shd w:fill="FFFFFF"/>
          </w:tcPr>
          <w:p>
            <w:pPr>
              <w:spacing w:after="40" w:line="276" w:lineRule="auto"/>
              <w:jc w:val="left"/>
            </w:pPr>
            <w:r>
              <w:rPr>
                <w:b w:val="0"/>
                <w:i w:val="0"/>
              </w:rPr>
              <w:t>% courses implemented</w:t>
            </w:r>
          </w:p>
        </w:tc>
        <w:tc>
          <w:tcPr>
            <w:tcW w:type="dxa" w:w="1191"/>
            <w:vAlign w:val="center"/>
            <w:shd w:fill="FFFFFF"/>
          </w:tcPr>
          <w:p>
            <w:pPr>
              <w:spacing w:after="40" w:line="276" w:lineRule="auto"/>
              <w:jc w:val="left"/>
            </w:pPr>
            <w:r>
              <w:rPr>
                <w:b w:val="0"/>
                <w:i w:val="0"/>
              </w:rPr>
              <w:t>100% NEP compliance</w:t>
            </w:r>
          </w:p>
        </w:tc>
      </w:tr>
      <w:tr>
        <w:trPr>
          <w:cantSplit/>
        </w:trPr>
        <w:tc>
          <w:tcPr>
            <w:tcW w:type="dxa" w:w="1417"/>
            <w:vAlign w:val="center"/>
            <w:shd w:fill="EDF2F7"/>
          </w:tcPr>
          <w:p>
            <w:pPr>
              <w:spacing w:after="40" w:line="276" w:lineRule="auto"/>
              <w:jc w:val="left"/>
            </w:pPr>
          </w:p>
        </w:tc>
        <w:tc>
          <w:tcPr>
            <w:tcW w:type="dxa" w:w="1417"/>
            <w:vAlign w:val="center"/>
            <w:shd w:fill="EDF2F7"/>
          </w:tcPr>
          <w:p>
            <w:pPr>
              <w:spacing w:after="40" w:line="276" w:lineRule="auto"/>
              <w:jc w:val="left"/>
            </w:pPr>
            <w:r>
              <w:rPr>
                <w:b w:val="0"/>
                <w:i w:val="0"/>
              </w:rPr>
              <w:t>Research &amp; Innovation</w:t>
            </w:r>
          </w:p>
        </w:tc>
        <w:tc>
          <w:tcPr>
            <w:tcW w:type="dxa" w:w="1701"/>
            <w:vAlign w:val="center"/>
            <w:shd w:fill="EDF2F7"/>
          </w:tcPr>
          <w:p>
            <w:pPr>
              <w:spacing w:after="40" w:line="276" w:lineRule="auto"/>
              <w:jc w:val="left"/>
            </w:pPr>
            <w:r>
              <w:rPr>
                <w:b w:val="0"/>
                <w:i w:val="0"/>
              </w:rPr>
              <w:t>Launch CoEs &amp; research clusters</w:t>
            </w:r>
          </w:p>
        </w:tc>
        <w:tc>
          <w:tcPr>
            <w:tcW w:type="dxa" w:w="1984"/>
            <w:vAlign w:val="center"/>
            <w:shd w:fill="EDF2F7"/>
          </w:tcPr>
          <w:p>
            <w:pPr>
              <w:spacing w:after="40" w:line="276" w:lineRule="auto"/>
              <w:jc w:val="left"/>
            </w:pPr>
            <w:r>
              <w:rPr>
                <w:b w:val="0"/>
                <w:i w:val="0"/>
              </w:rPr>
              <w:t>Start funded projects, patent filings</w:t>
            </w:r>
          </w:p>
        </w:tc>
        <w:tc>
          <w:tcPr>
            <w:tcW w:type="dxa" w:w="1701"/>
            <w:vAlign w:val="center"/>
            <w:shd w:fill="EDF2F7"/>
          </w:tcPr>
          <w:p>
            <w:pPr>
              <w:spacing w:after="40" w:line="276" w:lineRule="auto"/>
              <w:jc w:val="left"/>
            </w:pPr>
            <w:r>
              <w:rPr>
                <w:b w:val="0"/>
                <w:i w:val="0"/>
              </w:rPr>
              <w:t>No. of projects launched</w:t>
            </w:r>
          </w:p>
        </w:tc>
        <w:tc>
          <w:tcPr>
            <w:tcW w:type="dxa" w:w="1191"/>
            <w:vAlign w:val="center"/>
            <w:shd w:fill="EDF2F7"/>
          </w:tcPr>
          <w:p>
            <w:pPr>
              <w:spacing w:after="40" w:line="276" w:lineRule="auto"/>
              <w:jc w:val="left"/>
            </w:pPr>
            <w:r>
              <w:rPr>
                <w:b w:val="0"/>
                <w:i w:val="0"/>
              </w:rPr>
              <w:t>≥15 projects/​year</w:t>
            </w:r>
          </w:p>
        </w:tc>
      </w:tr>
      <w:tr>
        <w:trPr>
          <w:cantSplit/>
        </w:trPr>
        <w:tc>
          <w:tcPr>
            <w:tcW w:type="dxa" w:w="1417"/>
            <w:vAlign w:val="center"/>
            <w:shd w:fill="FFFFFF"/>
          </w:tcPr>
          <w:p>
            <w:pPr>
              <w:spacing w:after="40" w:line="276" w:lineRule="auto"/>
              <w:jc w:val="left"/>
            </w:pPr>
          </w:p>
        </w:tc>
        <w:tc>
          <w:tcPr>
            <w:tcW w:type="dxa" w:w="1417"/>
            <w:vAlign w:val="center"/>
            <w:shd w:fill="FFFFFF"/>
          </w:tcPr>
          <w:p>
            <w:pPr>
              <w:spacing w:after="40" w:line="276" w:lineRule="auto"/>
              <w:jc w:val="left"/>
            </w:pPr>
            <w:r>
              <w:rPr>
                <w:b w:val="0"/>
                <w:i w:val="0"/>
              </w:rPr>
              <w:t>Finance</w:t>
            </w:r>
          </w:p>
        </w:tc>
        <w:tc>
          <w:tcPr>
            <w:tcW w:type="dxa" w:w="1701"/>
            <w:vAlign w:val="center"/>
            <w:shd w:fill="FFFFFF"/>
          </w:tcPr>
          <w:p>
            <w:pPr>
              <w:spacing w:after="40" w:line="276" w:lineRule="auto"/>
              <w:jc w:val="left"/>
            </w:pPr>
            <w:r>
              <w:rPr>
                <w:b w:val="0"/>
                <w:i w:val="0"/>
              </w:rPr>
              <w:t>Diversify revenues</w:t>
            </w:r>
          </w:p>
        </w:tc>
        <w:tc>
          <w:tcPr>
            <w:tcW w:type="dxa" w:w="1984"/>
            <w:vAlign w:val="center"/>
            <w:shd w:fill="FFFFFF"/>
          </w:tcPr>
          <w:p>
            <w:pPr>
              <w:spacing w:after="40" w:line="276" w:lineRule="auto"/>
              <w:jc w:val="left"/>
            </w:pPr>
            <w:r>
              <w:rPr>
                <w:b w:val="0"/>
                <w:i w:val="0"/>
              </w:rPr>
              <w:t>Launch CSR, consultancy, endowment</w:t>
            </w:r>
          </w:p>
        </w:tc>
        <w:tc>
          <w:tcPr>
            <w:tcW w:type="dxa" w:w="1701"/>
            <w:vAlign w:val="center"/>
            <w:shd w:fill="FFFFFF"/>
          </w:tcPr>
          <w:p>
            <w:pPr>
              <w:spacing w:after="40" w:line="276" w:lineRule="auto"/>
              <w:jc w:val="left"/>
            </w:pPr>
            <w:r>
              <w:rPr>
                <w:b w:val="0"/>
                <w:i w:val="0"/>
              </w:rPr>
              <w:t>% non-govt. revenue</w:t>
            </w:r>
          </w:p>
        </w:tc>
        <w:tc>
          <w:tcPr>
            <w:tcW w:type="dxa" w:w="1191"/>
            <w:vAlign w:val="center"/>
            <w:shd w:fill="FFFFFF"/>
          </w:tcPr>
          <w:p>
            <w:pPr>
              <w:spacing w:after="40" w:line="276" w:lineRule="auto"/>
              <w:jc w:val="left"/>
            </w:pPr>
            <w:r>
              <w:rPr>
                <w:b w:val="0"/>
                <w:i w:val="0"/>
              </w:rPr>
              <w:t>≥30% non-govt.</w:t>
            </w:r>
          </w:p>
        </w:tc>
      </w:tr>
      <w:tr>
        <w:trPr>
          <w:cantSplit/>
        </w:trPr>
        <w:tc>
          <w:tcPr>
            <w:tcW w:type="dxa" w:w="1417"/>
            <w:vAlign w:val="center"/>
            <w:shd w:fill="EDF2F7"/>
          </w:tcPr>
          <w:p>
            <w:pPr>
              <w:spacing w:after="40" w:line="276" w:lineRule="auto"/>
              <w:jc w:val="left"/>
            </w:pPr>
          </w:p>
        </w:tc>
        <w:tc>
          <w:tcPr>
            <w:tcW w:type="dxa" w:w="1417"/>
            <w:vAlign w:val="center"/>
            <w:shd w:fill="EDF2F7"/>
          </w:tcPr>
          <w:p>
            <w:pPr>
              <w:spacing w:after="40" w:line="276" w:lineRule="auto"/>
              <w:jc w:val="left"/>
            </w:pPr>
            <w:r>
              <w:rPr>
                <w:b w:val="0"/>
                <w:i w:val="0"/>
              </w:rPr>
              <w:t>Governance</w:t>
            </w:r>
          </w:p>
        </w:tc>
        <w:tc>
          <w:tcPr>
            <w:tcW w:type="dxa" w:w="1701"/>
            <w:vAlign w:val="center"/>
            <w:shd w:fill="EDF2F7"/>
          </w:tcPr>
          <w:p>
            <w:pPr>
              <w:spacing w:after="40" w:line="276" w:lineRule="auto"/>
              <w:jc w:val="left"/>
            </w:pPr>
            <w:r>
              <w:rPr>
                <w:b w:val="0"/>
                <w:i w:val="0"/>
              </w:rPr>
              <w:t>Ensure efficient processes</w:t>
            </w:r>
          </w:p>
        </w:tc>
        <w:tc>
          <w:tcPr>
            <w:tcW w:type="dxa" w:w="1984"/>
            <w:vAlign w:val="center"/>
            <w:shd w:fill="EDF2F7"/>
          </w:tcPr>
          <w:p>
            <w:pPr>
              <w:spacing w:after="40" w:line="276" w:lineRule="auto"/>
              <w:jc w:val="left"/>
            </w:pPr>
            <w:r>
              <w:rPr>
                <w:b w:val="0"/>
                <w:i w:val="0"/>
              </w:rPr>
              <w:t>Digitize workflows, ERP dashboards</w:t>
            </w:r>
          </w:p>
        </w:tc>
        <w:tc>
          <w:tcPr>
            <w:tcW w:type="dxa" w:w="1701"/>
            <w:vAlign w:val="center"/>
            <w:shd w:fill="EDF2F7"/>
          </w:tcPr>
          <w:p>
            <w:pPr>
              <w:spacing w:after="40" w:line="276" w:lineRule="auto"/>
              <w:jc w:val="left"/>
            </w:pPr>
            <w:r>
              <w:rPr>
                <w:b w:val="0"/>
                <w:i w:val="0"/>
              </w:rPr>
              <w:t>% processes digitized</w:t>
            </w:r>
          </w:p>
        </w:tc>
        <w:tc>
          <w:tcPr>
            <w:tcW w:type="dxa" w:w="1191"/>
            <w:vAlign w:val="center"/>
            <w:shd w:fill="EDF2F7"/>
          </w:tcPr>
          <w:p>
            <w:pPr>
              <w:spacing w:after="40" w:line="276" w:lineRule="auto"/>
              <w:jc w:val="left"/>
            </w:pPr>
            <w:r>
              <w:rPr>
                <w:b w:val="0"/>
                <w:i w:val="0"/>
              </w:rPr>
              <w:t>≥80%</w:t>
            </w:r>
          </w:p>
        </w:tc>
      </w:tr>
      <w:tr>
        <w:trPr>
          <w:cantSplit/>
        </w:trPr>
        <w:tc>
          <w:tcPr>
            <w:tcW w:type="dxa" w:w="1417"/>
            <w:vAlign w:val="center"/>
            <w:shd w:fill="FFFFFF"/>
          </w:tcPr>
          <w:p>
            <w:pPr>
              <w:spacing w:after="40" w:line="276" w:lineRule="auto"/>
              <w:jc w:val="left"/>
            </w:pPr>
          </w:p>
        </w:tc>
        <w:tc>
          <w:tcPr>
            <w:tcW w:type="dxa" w:w="1417"/>
            <w:vAlign w:val="center"/>
            <w:shd w:fill="FFFFFF"/>
          </w:tcPr>
          <w:p>
            <w:pPr>
              <w:spacing w:after="40" w:line="276" w:lineRule="auto"/>
              <w:jc w:val="left"/>
            </w:pPr>
            <w:r>
              <w:rPr>
                <w:b w:val="0"/>
                <w:i w:val="0"/>
              </w:rPr>
              <w:t>Community</w:t>
            </w:r>
          </w:p>
        </w:tc>
        <w:tc>
          <w:tcPr>
            <w:tcW w:type="dxa" w:w="1701"/>
            <w:vAlign w:val="center"/>
            <w:shd w:fill="FFFFFF"/>
          </w:tcPr>
          <w:p>
            <w:pPr>
              <w:spacing w:after="40" w:line="276" w:lineRule="auto"/>
              <w:jc w:val="left"/>
            </w:pPr>
            <w:r>
              <w:rPr>
                <w:b w:val="0"/>
                <w:i w:val="0"/>
              </w:rPr>
              <w:t>Expand ISR &amp; SDG projects</w:t>
            </w:r>
          </w:p>
        </w:tc>
        <w:tc>
          <w:tcPr>
            <w:tcW w:type="dxa" w:w="1984"/>
            <w:vAlign w:val="center"/>
            <w:shd w:fill="FFFFFF"/>
          </w:tcPr>
          <w:p>
            <w:pPr>
              <w:spacing w:after="40" w:line="276" w:lineRule="auto"/>
              <w:jc w:val="left"/>
            </w:pPr>
            <w:r>
              <w:rPr>
                <w:b w:val="0"/>
                <w:i w:val="0"/>
              </w:rPr>
              <w:t>Launch ISR/​SDG programs</w:t>
            </w:r>
          </w:p>
        </w:tc>
        <w:tc>
          <w:tcPr>
            <w:tcW w:type="dxa" w:w="1701"/>
            <w:vAlign w:val="center"/>
            <w:shd w:fill="FFFFFF"/>
          </w:tcPr>
          <w:p>
            <w:pPr>
              <w:spacing w:after="40" w:line="276" w:lineRule="auto"/>
              <w:jc w:val="left"/>
            </w:pPr>
            <w:r>
              <w:rPr>
                <w:b w:val="0"/>
                <w:i w:val="0"/>
              </w:rPr>
              <w:t>% students in ISR</w:t>
            </w:r>
          </w:p>
        </w:tc>
        <w:tc>
          <w:tcPr>
            <w:tcW w:type="dxa" w:w="1191"/>
            <w:vAlign w:val="center"/>
            <w:shd w:fill="FFFFFF"/>
          </w:tcPr>
          <w:p>
            <w:pPr>
              <w:spacing w:after="40" w:line="276" w:lineRule="auto"/>
              <w:jc w:val="left"/>
            </w:pPr>
            <w:r>
              <w:rPr>
                <w:b w:val="0"/>
                <w:i w:val="0"/>
              </w:rPr>
              <w:t>≥80% participation</w:t>
            </w:r>
          </w:p>
        </w:tc>
      </w:tr>
      <w:tr>
        <w:trPr>
          <w:cantSplit/>
        </w:trPr>
        <w:tc>
          <w:tcPr>
            <w:tcW w:type="dxa" w:w="1417"/>
            <w:vAlign w:val="center"/>
            <w:shd w:fill="EDF2F7"/>
          </w:tcPr>
          <w:p>
            <w:pPr>
              <w:spacing w:after="40" w:line="276" w:lineRule="auto"/>
              <w:jc w:val="left"/>
            </w:pPr>
          </w:p>
        </w:tc>
        <w:tc>
          <w:tcPr>
            <w:tcW w:type="dxa" w:w="1417"/>
            <w:vAlign w:val="center"/>
            <w:shd w:fill="EDF2F7"/>
          </w:tcPr>
          <w:p>
            <w:pPr>
              <w:spacing w:after="40" w:line="276" w:lineRule="auto"/>
              <w:jc w:val="left"/>
            </w:pPr>
            <w:r>
              <w:rPr>
                <w:b w:val="0"/>
                <w:i w:val="0"/>
              </w:rPr>
              <w:t>Global</w:t>
            </w:r>
          </w:p>
        </w:tc>
        <w:tc>
          <w:tcPr>
            <w:tcW w:type="dxa" w:w="1701"/>
            <w:vAlign w:val="center"/>
            <w:shd w:fill="EDF2F7"/>
          </w:tcPr>
          <w:p>
            <w:pPr>
              <w:spacing w:after="40" w:line="276" w:lineRule="auto"/>
              <w:jc w:val="left"/>
            </w:pPr>
            <w:r>
              <w:rPr>
                <w:b w:val="0"/>
                <w:i w:val="0"/>
              </w:rPr>
              <w:t>Build partnerships</w:t>
            </w:r>
          </w:p>
        </w:tc>
        <w:tc>
          <w:tcPr>
            <w:tcW w:type="dxa" w:w="1984"/>
            <w:vAlign w:val="center"/>
            <w:shd w:fill="EDF2F7"/>
          </w:tcPr>
          <w:p>
            <w:pPr>
              <w:spacing w:after="40" w:line="276" w:lineRule="auto"/>
              <w:jc w:val="left"/>
            </w:pPr>
            <w:r>
              <w:rPr>
                <w:b w:val="0"/>
                <w:i w:val="0"/>
              </w:rPr>
              <w:t>Sign MOUs, launch exchanges</w:t>
            </w:r>
          </w:p>
        </w:tc>
        <w:tc>
          <w:tcPr>
            <w:tcW w:type="dxa" w:w="1701"/>
            <w:vAlign w:val="center"/>
            <w:shd w:fill="EDF2F7"/>
          </w:tcPr>
          <w:p>
            <w:pPr>
              <w:spacing w:after="40" w:line="276" w:lineRule="auto"/>
              <w:jc w:val="left"/>
            </w:pPr>
            <w:r>
              <w:rPr>
                <w:b w:val="0"/>
                <w:i w:val="0"/>
              </w:rPr>
              <w:t>No. of exchanges</w:t>
            </w:r>
          </w:p>
        </w:tc>
        <w:tc>
          <w:tcPr>
            <w:tcW w:type="dxa" w:w="1191"/>
            <w:vAlign w:val="center"/>
            <w:shd w:fill="EDF2F7"/>
          </w:tcPr>
          <w:p>
            <w:pPr>
              <w:spacing w:after="40" w:line="276" w:lineRule="auto"/>
              <w:jc w:val="left"/>
            </w:pPr>
            <w:r>
              <w:rPr>
                <w:b w:val="0"/>
                <w:i w:val="0"/>
              </w:rPr>
              <w:t>≥200 exchanges</w:t>
            </w:r>
          </w:p>
        </w:tc>
      </w:tr>
      <w:tr>
        <w:trPr>
          <w:cantSplit/>
        </w:trPr>
        <w:tc>
          <w:tcPr>
            <w:tcW w:type="dxa" w:w="1417"/>
            <w:vAlign w:val="center"/>
            <w:shd w:fill="FFFFFF"/>
          </w:tcPr>
          <w:p>
            <w:pPr>
              <w:spacing w:after="40" w:line="276" w:lineRule="auto"/>
              <w:jc w:val="left"/>
            </w:pPr>
            <w:r>
              <w:rPr>
                <w:b/>
                <w:i w:val="0"/>
              </w:rPr>
              <w:t>Phase 5:</w:t>
            </w:r>
            <w:r>
              <w:rPr>
                <w:b w:val="0"/>
                <w:i w:val="0"/>
              </w:rPr>
              <w:t xml:space="preserve"> Monitoring &amp; Control</w:t>
            </w:r>
          </w:p>
        </w:tc>
        <w:tc>
          <w:tcPr>
            <w:tcW w:type="dxa" w:w="1417"/>
            <w:vAlign w:val="center"/>
            <w:shd w:fill="FFFFFF"/>
          </w:tcPr>
          <w:p>
            <w:pPr>
              <w:spacing w:after="40" w:line="276" w:lineRule="auto"/>
              <w:jc w:val="left"/>
            </w:pPr>
            <w:r>
              <w:rPr>
                <w:b w:val="0"/>
                <w:i w:val="0"/>
              </w:rPr>
              <w:t>Academic Excellence</w:t>
            </w:r>
          </w:p>
        </w:tc>
        <w:tc>
          <w:tcPr>
            <w:tcW w:type="dxa" w:w="1701"/>
            <w:vAlign w:val="center"/>
            <w:shd w:fill="FFFFFF"/>
          </w:tcPr>
          <w:p>
            <w:pPr>
              <w:spacing w:after="40" w:line="276" w:lineRule="auto"/>
              <w:jc w:val="left"/>
            </w:pPr>
            <w:r>
              <w:rPr>
                <w:b w:val="0"/>
                <w:i w:val="0"/>
              </w:rPr>
              <w:t>Track learning outcomes</w:t>
            </w:r>
          </w:p>
        </w:tc>
        <w:tc>
          <w:tcPr>
            <w:tcW w:type="dxa" w:w="1984"/>
            <w:vAlign w:val="center"/>
            <w:shd w:fill="FFFFFF"/>
          </w:tcPr>
          <w:p>
            <w:pPr>
              <w:spacing w:after="40" w:line="276" w:lineRule="auto"/>
              <w:jc w:val="left"/>
            </w:pPr>
            <w:r>
              <w:rPr>
                <w:b w:val="0"/>
                <w:i w:val="0"/>
              </w:rPr>
              <w:t>Monitor student/​facult y KPIs</w:t>
            </w:r>
          </w:p>
        </w:tc>
        <w:tc>
          <w:tcPr>
            <w:tcW w:type="dxa" w:w="1701"/>
            <w:vAlign w:val="center"/>
            <w:shd w:fill="FFFFFF"/>
          </w:tcPr>
          <w:p>
            <w:pPr>
              <w:spacing w:after="40" w:line="276" w:lineRule="auto"/>
              <w:jc w:val="left"/>
            </w:pPr>
            <w:r>
              <w:rPr>
                <w:b w:val="0"/>
                <w:i w:val="0"/>
              </w:rPr>
              <w:t>Student satisfaction index</w:t>
            </w:r>
          </w:p>
        </w:tc>
        <w:tc>
          <w:tcPr>
            <w:tcW w:type="dxa" w:w="1191"/>
            <w:vAlign w:val="center"/>
            <w:shd w:fill="FFFFFF"/>
          </w:tcPr>
          <w:p>
            <w:pPr>
              <w:spacing w:after="40" w:line="276" w:lineRule="auto"/>
              <w:jc w:val="left"/>
            </w:pPr>
            <w:r>
              <w:rPr>
                <w:b w:val="0"/>
                <w:i w:val="0"/>
              </w:rPr>
              <w:t>≥85%</w:t>
            </w:r>
          </w:p>
        </w:tc>
      </w:tr>
      <w:tr>
        <w:trPr>
          <w:cantSplit/>
        </w:trPr>
        <w:tc>
          <w:tcPr>
            <w:tcW w:type="dxa" w:w="1417"/>
            <w:vAlign w:val="center"/>
            <w:shd w:fill="EDF2F7"/>
          </w:tcPr>
          <w:p>
            <w:pPr>
              <w:spacing w:after="40" w:line="276" w:lineRule="auto"/>
              <w:jc w:val="left"/>
            </w:pPr>
          </w:p>
        </w:tc>
        <w:tc>
          <w:tcPr>
            <w:tcW w:type="dxa" w:w="1417"/>
            <w:vAlign w:val="center"/>
            <w:shd w:fill="EDF2F7"/>
          </w:tcPr>
          <w:p>
            <w:pPr>
              <w:spacing w:after="40" w:line="276" w:lineRule="auto"/>
              <w:jc w:val="left"/>
            </w:pPr>
            <w:r>
              <w:rPr>
                <w:b w:val="0"/>
                <w:i w:val="0"/>
              </w:rPr>
              <w:t>Research &amp; Innovation</w:t>
            </w:r>
          </w:p>
        </w:tc>
        <w:tc>
          <w:tcPr>
            <w:tcW w:type="dxa" w:w="1701"/>
            <w:vAlign w:val="center"/>
            <w:shd w:fill="EDF2F7"/>
          </w:tcPr>
          <w:p>
            <w:pPr>
              <w:spacing w:after="40" w:line="276" w:lineRule="auto"/>
              <w:jc w:val="left"/>
            </w:pPr>
            <w:r>
              <w:rPr>
                <w:b w:val="0"/>
                <w:i w:val="0"/>
              </w:rPr>
              <w:t>Monitor outputs</w:t>
            </w:r>
          </w:p>
        </w:tc>
        <w:tc>
          <w:tcPr>
            <w:tcW w:type="dxa" w:w="1984"/>
            <w:vAlign w:val="center"/>
            <w:shd w:fill="EDF2F7"/>
          </w:tcPr>
          <w:p>
            <w:pPr>
              <w:spacing w:after="40" w:line="276" w:lineRule="auto"/>
              <w:jc w:val="left"/>
            </w:pPr>
            <w:r>
              <w:rPr>
                <w:b w:val="0"/>
                <w:i w:val="0"/>
              </w:rPr>
              <w:t>Track publications, patents</w:t>
            </w:r>
          </w:p>
        </w:tc>
        <w:tc>
          <w:tcPr>
            <w:tcW w:type="dxa" w:w="1701"/>
            <w:vAlign w:val="center"/>
            <w:shd w:fill="EDF2F7"/>
          </w:tcPr>
          <w:p>
            <w:pPr>
              <w:spacing w:after="40" w:line="276" w:lineRule="auto"/>
              <w:jc w:val="left"/>
            </w:pPr>
            <w:r>
              <w:rPr>
                <w:b w:val="0"/>
                <w:i w:val="0"/>
              </w:rPr>
              <w:t>Publications per year</w:t>
            </w:r>
          </w:p>
        </w:tc>
        <w:tc>
          <w:tcPr>
            <w:tcW w:type="dxa" w:w="1191"/>
            <w:vAlign w:val="center"/>
            <w:shd w:fill="EDF2F7"/>
          </w:tcPr>
          <w:p>
            <w:pPr>
              <w:spacing w:after="40" w:line="276" w:lineRule="auto"/>
              <w:jc w:val="left"/>
            </w:pPr>
            <w:r>
              <w:rPr>
                <w:b w:val="0"/>
                <w:i w:val="0"/>
              </w:rPr>
              <w:t>≥200 annually</w:t>
            </w:r>
          </w:p>
        </w:tc>
      </w:tr>
      <w:tr>
        <w:trPr>
          <w:cantSplit/>
        </w:trPr>
        <w:tc>
          <w:tcPr>
            <w:tcW w:type="dxa" w:w="1417"/>
            <w:vAlign w:val="center"/>
            <w:shd w:fill="FFFFFF"/>
          </w:tcPr>
          <w:p>
            <w:pPr>
              <w:spacing w:after="40" w:line="276" w:lineRule="auto"/>
              <w:jc w:val="left"/>
            </w:pPr>
          </w:p>
        </w:tc>
        <w:tc>
          <w:tcPr>
            <w:tcW w:type="dxa" w:w="1417"/>
            <w:vAlign w:val="center"/>
            <w:shd w:fill="FFFFFF"/>
          </w:tcPr>
          <w:p>
            <w:pPr>
              <w:spacing w:after="40" w:line="276" w:lineRule="auto"/>
              <w:jc w:val="left"/>
            </w:pPr>
            <w:r>
              <w:rPr>
                <w:b w:val="0"/>
                <w:i w:val="0"/>
              </w:rPr>
              <w:t>Finance</w:t>
            </w:r>
          </w:p>
        </w:tc>
        <w:tc>
          <w:tcPr>
            <w:tcW w:type="dxa" w:w="1701"/>
            <w:vAlign w:val="center"/>
            <w:shd w:fill="FFFFFF"/>
          </w:tcPr>
          <w:p>
            <w:pPr>
              <w:spacing w:after="40" w:line="276" w:lineRule="auto"/>
              <w:jc w:val="left"/>
            </w:pPr>
            <w:r>
              <w:rPr>
                <w:b w:val="0"/>
                <w:i w:val="0"/>
              </w:rPr>
              <w:t>Review financial sustainability</w:t>
            </w:r>
          </w:p>
        </w:tc>
        <w:tc>
          <w:tcPr>
            <w:tcW w:type="dxa" w:w="1984"/>
            <w:vAlign w:val="center"/>
            <w:shd w:fill="FFFFFF"/>
          </w:tcPr>
          <w:p>
            <w:pPr>
              <w:spacing w:after="40" w:line="276" w:lineRule="auto"/>
              <w:jc w:val="left"/>
            </w:pPr>
            <w:r>
              <w:rPr>
                <w:b w:val="0"/>
                <w:i w:val="0"/>
              </w:rPr>
              <w:t>Audit funding, revenue</w:t>
            </w:r>
          </w:p>
        </w:tc>
        <w:tc>
          <w:tcPr>
            <w:tcW w:type="dxa" w:w="1701"/>
            <w:vAlign w:val="center"/>
            <w:shd w:fill="FFFFFF"/>
          </w:tcPr>
          <w:p>
            <w:pPr>
              <w:spacing w:after="40" w:line="276" w:lineRule="auto"/>
              <w:jc w:val="left"/>
            </w:pPr>
            <w:r>
              <w:rPr>
                <w:b w:val="0"/>
                <w:i w:val="0"/>
              </w:rPr>
              <w:t>Alumni/​CSR contributions</w:t>
            </w:r>
          </w:p>
        </w:tc>
        <w:tc>
          <w:tcPr>
            <w:tcW w:type="dxa" w:w="1191"/>
            <w:vAlign w:val="center"/>
            <w:shd w:fill="FFFFFF"/>
          </w:tcPr>
          <w:p>
            <w:pPr>
              <w:spacing w:after="40" w:line="276" w:lineRule="auto"/>
              <w:jc w:val="left"/>
            </w:pPr>
            <w:r>
              <w:rPr>
                <w:b w:val="0"/>
                <w:i w:val="0"/>
              </w:rPr>
              <w:t>₹10Cr/£1m funds</w:t>
            </w:r>
          </w:p>
        </w:tc>
      </w:tr>
      <w:tr>
        <w:trPr>
          <w:cantSplit/>
        </w:trPr>
        <w:tc>
          <w:tcPr>
            <w:tcW w:type="dxa" w:w="1417"/>
            <w:vAlign w:val="center"/>
            <w:shd w:fill="EDF2F7"/>
          </w:tcPr>
          <w:p>
            <w:pPr>
              <w:spacing w:after="40" w:line="276" w:lineRule="auto"/>
              <w:jc w:val="left"/>
            </w:pPr>
          </w:p>
        </w:tc>
        <w:tc>
          <w:tcPr>
            <w:tcW w:type="dxa" w:w="1417"/>
            <w:vAlign w:val="center"/>
            <w:shd w:fill="EDF2F7"/>
          </w:tcPr>
          <w:p>
            <w:pPr>
              <w:spacing w:after="40" w:line="276" w:lineRule="auto"/>
              <w:jc w:val="left"/>
            </w:pPr>
            <w:r>
              <w:rPr>
                <w:b w:val="0"/>
                <w:i w:val="0"/>
              </w:rPr>
              <w:t>Governance</w:t>
            </w:r>
          </w:p>
        </w:tc>
        <w:tc>
          <w:tcPr>
            <w:tcW w:type="dxa" w:w="1701"/>
            <w:vAlign w:val="center"/>
            <w:shd w:fill="EDF2F7"/>
          </w:tcPr>
          <w:p>
            <w:pPr>
              <w:spacing w:after="40" w:line="276" w:lineRule="auto"/>
              <w:jc w:val="left"/>
            </w:pPr>
            <w:r>
              <w:rPr>
                <w:b w:val="0"/>
                <w:i w:val="0"/>
              </w:rPr>
              <w:t>Control processes</w:t>
            </w:r>
          </w:p>
        </w:tc>
        <w:tc>
          <w:tcPr>
            <w:tcW w:type="dxa" w:w="1984"/>
            <w:vAlign w:val="center"/>
            <w:shd w:fill="EDF2F7"/>
          </w:tcPr>
          <w:p>
            <w:pPr>
              <w:spacing w:after="40" w:line="276" w:lineRule="auto"/>
              <w:jc w:val="left"/>
            </w:pPr>
            <w:r>
              <w:rPr>
                <w:b w:val="0"/>
                <w:i w:val="0"/>
              </w:rPr>
              <w:t>Conduct internal/​external audits</w:t>
            </w:r>
          </w:p>
        </w:tc>
        <w:tc>
          <w:tcPr>
            <w:tcW w:type="dxa" w:w="1701"/>
            <w:vAlign w:val="center"/>
            <w:shd w:fill="EDF2F7"/>
          </w:tcPr>
          <w:p>
            <w:pPr>
              <w:spacing w:after="40" w:line="276" w:lineRule="auto"/>
              <w:jc w:val="left"/>
            </w:pPr>
            <w:r>
              <w:rPr>
                <w:b w:val="0"/>
                <w:i w:val="0"/>
              </w:rPr>
              <w:t>Compliance rate</w:t>
            </w:r>
          </w:p>
        </w:tc>
        <w:tc>
          <w:tcPr>
            <w:tcW w:type="dxa" w:w="1191"/>
            <w:vAlign w:val="center"/>
            <w:shd w:fill="EDF2F7"/>
          </w:tcPr>
          <w:p>
            <w:pPr>
              <w:spacing w:after="40" w:line="276" w:lineRule="auto"/>
              <w:jc w:val="left"/>
            </w:pPr>
            <w:r>
              <w:rPr>
                <w:b w:val="0"/>
                <w:i w:val="0"/>
              </w:rPr>
              <w:t>100%</w:t>
            </w:r>
          </w:p>
        </w:tc>
      </w:tr>
      <w:tr>
        <w:trPr>
          <w:cantSplit/>
        </w:trPr>
        <w:tc>
          <w:tcPr>
            <w:tcW w:type="dxa" w:w="1417"/>
            <w:vAlign w:val="center"/>
            <w:shd w:fill="FFFFFF"/>
          </w:tcPr>
          <w:p>
            <w:pPr>
              <w:spacing w:after="40" w:line="276" w:lineRule="auto"/>
              <w:jc w:val="left"/>
            </w:pPr>
          </w:p>
        </w:tc>
        <w:tc>
          <w:tcPr>
            <w:tcW w:type="dxa" w:w="1417"/>
            <w:vAlign w:val="center"/>
            <w:shd w:fill="FFFFFF"/>
          </w:tcPr>
          <w:p>
            <w:pPr>
              <w:spacing w:after="40" w:line="276" w:lineRule="auto"/>
              <w:jc w:val="left"/>
            </w:pPr>
            <w:r>
              <w:rPr>
                <w:b w:val="0"/>
                <w:i w:val="0"/>
              </w:rPr>
              <w:t>Community</w:t>
            </w:r>
          </w:p>
        </w:tc>
        <w:tc>
          <w:tcPr>
            <w:tcW w:type="dxa" w:w="1701"/>
            <w:vAlign w:val="center"/>
            <w:shd w:fill="FFFFFF"/>
          </w:tcPr>
          <w:p>
            <w:pPr>
              <w:spacing w:after="40" w:line="276" w:lineRule="auto"/>
              <w:jc w:val="left"/>
            </w:pPr>
            <w:r>
              <w:rPr>
                <w:b w:val="0"/>
                <w:i w:val="0"/>
              </w:rPr>
              <w:t>Assess ISR impact</w:t>
            </w:r>
          </w:p>
        </w:tc>
        <w:tc>
          <w:tcPr>
            <w:tcW w:type="dxa" w:w="1984"/>
            <w:vAlign w:val="center"/>
            <w:shd w:fill="FFFFFF"/>
          </w:tcPr>
          <w:p>
            <w:pPr>
              <w:spacing w:after="40" w:line="276" w:lineRule="auto"/>
              <w:jc w:val="left"/>
            </w:pPr>
            <w:r>
              <w:rPr>
                <w:b w:val="0"/>
                <w:i w:val="0"/>
              </w:rPr>
              <w:t>Beneficiary feedback</w:t>
            </w:r>
          </w:p>
        </w:tc>
        <w:tc>
          <w:tcPr>
            <w:tcW w:type="dxa" w:w="1701"/>
            <w:vAlign w:val="center"/>
            <w:shd w:fill="FFFFFF"/>
          </w:tcPr>
          <w:p>
            <w:pPr>
              <w:spacing w:after="40" w:line="276" w:lineRule="auto"/>
              <w:jc w:val="left"/>
            </w:pPr>
            <w:r>
              <w:rPr>
                <w:b w:val="0"/>
                <w:i w:val="0"/>
              </w:rPr>
              <w:t>No. beneficiaries</w:t>
            </w:r>
          </w:p>
        </w:tc>
        <w:tc>
          <w:tcPr>
            <w:tcW w:type="dxa" w:w="1191"/>
            <w:vAlign w:val="center"/>
            <w:shd w:fill="FFFFFF"/>
          </w:tcPr>
          <w:p>
            <w:pPr>
              <w:spacing w:after="40" w:line="276" w:lineRule="auto"/>
              <w:jc w:val="left"/>
            </w:pPr>
            <w:r>
              <w:rPr>
                <w:b w:val="0"/>
                <w:i w:val="0"/>
              </w:rPr>
              <w:t>≥10,000 annually</w:t>
            </w:r>
          </w:p>
        </w:tc>
      </w:tr>
      <w:tr>
        <w:trPr>
          <w:cantSplit/>
        </w:trPr>
        <w:tc>
          <w:tcPr>
            <w:tcW w:type="dxa" w:w="1417"/>
            <w:vAlign w:val="center"/>
            <w:shd w:fill="EDF2F7"/>
          </w:tcPr>
          <w:p>
            <w:pPr>
              <w:spacing w:after="40" w:line="276" w:lineRule="auto"/>
              <w:jc w:val="left"/>
            </w:pPr>
          </w:p>
        </w:tc>
        <w:tc>
          <w:tcPr>
            <w:tcW w:type="dxa" w:w="1417"/>
            <w:vAlign w:val="center"/>
            <w:shd w:fill="EDF2F7"/>
          </w:tcPr>
          <w:p>
            <w:pPr>
              <w:spacing w:after="40" w:line="276" w:lineRule="auto"/>
              <w:jc w:val="left"/>
            </w:pPr>
            <w:r>
              <w:rPr>
                <w:b w:val="0"/>
                <w:i w:val="0"/>
              </w:rPr>
              <w:t>Global</w:t>
            </w:r>
          </w:p>
        </w:tc>
        <w:tc>
          <w:tcPr>
            <w:tcW w:type="dxa" w:w="1701"/>
            <w:vAlign w:val="center"/>
            <w:shd w:fill="EDF2F7"/>
          </w:tcPr>
          <w:p>
            <w:pPr>
              <w:spacing w:after="40" w:line="276" w:lineRule="auto"/>
              <w:jc w:val="left"/>
            </w:pPr>
            <w:r>
              <w:rPr>
                <w:b w:val="0"/>
                <w:i w:val="0"/>
              </w:rPr>
              <w:t>Track global visibility</w:t>
            </w:r>
          </w:p>
        </w:tc>
        <w:tc>
          <w:tcPr>
            <w:tcW w:type="dxa" w:w="1984"/>
            <w:vAlign w:val="center"/>
            <w:shd w:fill="EDF2F7"/>
          </w:tcPr>
          <w:p>
            <w:pPr>
              <w:spacing w:after="40" w:line="276" w:lineRule="auto"/>
              <w:jc w:val="left"/>
            </w:pPr>
            <w:r>
              <w:rPr>
                <w:b w:val="0"/>
                <w:i w:val="0"/>
              </w:rPr>
              <w:t>Review rankings, MoUs</w:t>
            </w:r>
          </w:p>
        </w:tc>
        <w:tc>
          <w:tcPr>
            <w:tcW w:type="dxa" w:w="1701"/>
            <w:vAlign w:val="center"/>
            <w:shd w:fill="EDF2F7"/>
          </w:tcPr>
          <w:p>
            <w:pPr>
              <w:spacing w:after="40" w:line="276" w:lineRule="auto"/>
              <w:jc w:val="left"/>
            </w:pPr>
            <w:r>
              <w:rPr>
                <w:b w:val="0"/>
                <w:i w:val="0"/>
              </w:rPr>
              <w:t>QS/​THE position</w:t>
            </w:r>
          </w:p>
        </w:tc>
        <w:tc>
          <w:tcPr>
            <w:tcW w:type="dxa" w:w="1191"/>
            <w:vAlign w:val="center"/>
            <w:shd w:fill="EDF2F7"/>
          </w:tcPr>
          <w:p>
            <w:pPr>
              <w:spacing w:after="40" w:line="276" w:lineRule="auto"/>
              <w:jc w:val="left"/>
            </w:pPr>
            <w:r>
              <w:rPr>
                <w:b w:val="0"/>
                <w:i w:val="0"/>
              </w:rPr>
              <w:t>Top 500 by 2035</w:t>
            </w:r>
          </w:p>
        </w:tc>
      </w:tr>
      <w:tr>
        <w:trPr>
          <w:cantSplit/>
        </w:trPr>
        <w:tc>
          <w:tcPr>
            <w:tcW w:type="dxa" w:w="1417"/>
            <w:vAlign w:val="center"/>
            <w:shd w:fill="FFFFFF"/>
          </w:tcPr>
          <w:p>
            <w:pPr>
              <w:spacing w:after="40" w:line="276" w:lineRule="auto"/>
              <w:jc w:val="left"/>
            </w:pPr>
            <w:r>
              <w:rPr>
                <w:b/>
                <w:i w:val="0"/>
              </w:rPr>
              <w:t>Phase 6:</w:t>
            </w:r>
            <w:r>
              <w:rPr>
                <w:b w:val="0"/>
                <w:i w:val="0"/>
              </w:rPr>
              <w:t xml:space="preserve"> Feedback &amp; Continuous Improvement</w:t>
            </w:r>
          </w:p>
        </w:tc>
        <w:tc>
          <w:tcPr>
            <w:tcW w:type="dxa" w:w="1417"/>
            <w:vAlign w:val="center"/>
            <w:shd w:fill="FFFFFF"/>
          </w:tcPr>
          <w:p>
            <w:pPr>
              <w:spacing w:after="40" w:line="276" w:lineRule="auto"/>
              <w:jc w:val="left"/>
            </w:pPr>
            <w:r>
              <w:rPr>
                <w:b w:val="0"/>
                <w:i w:val="0"/>
              </w:rPr>
              <w:t>Academic Excellence</w:t>
            </w:r>
          </w:p>
        </w:tc>
        <w:tc>
          <w:tcPr>
            <w:tcW w:type="dxa" w:w="1701"/>
            <w:vAlign w:val="center"/>
            <w:shd w:fill="FFFFFF"/>
          </w:tcPr>
          <w:p>
            <w:pPr>
              <w:spacing w:after="40" w:line="276" w:lineRule="auto"/>
              <w:jc w:val="left"/>
            </w:pPr>
            <w:r>
              <w:rPr>
                <w:b w:val="0"/>
                <w:i w:val="0"/>
              </w:rPr>
              <w:t>Continuous reforms</w:t>
            </w:r>
          </w:p>
        </w:tc>
        <w:tc>
          <w:tcPr>
            <w:tcW w:type="dxa" w:w="1984"/>
            <w:vAlign w:val="center"/>
            <w:shd w:fill="FFFFFF"/>
          </w:tcPr>
          <w:p>
            <w:pPr>
              <w:spacing w:after="40" w:line="276" w:lineRule="auto"/>
              <w:jc w:val="left"/>
            </w:pPr>
            <w:r>
              <w:rPr>
                <w:b w:val="0"/>
                <w:i w:val="0"/>
              </w:rPr>
              <w:t>Curriculum feedback, faculty training</w:t>
            </w:r>
          </w:p>
        </w:tc>
        <w:tc>
          <w:tcPr>
            <w:tcW w:type="dxa" w:w="1701"/>
            <w:vAlign w:val="center"/>
            <w:shd w:fill="FFFFFF"/>
          </w:tcPr>
          <w:p>
            <w:pPr>
              <w:spacing w:after="40" w:line="276" w:lineRule="auto"/>
              <w:jc w:val="left"/>
            </w:pPr>
            <w:r>
              <w:rPr>
                <w:b w:val="0"/>
                <w:i w:val="0"/>
              </w:rPr>
              <w:t>% courses reviewed</w:t>
            </w:r>
          </w:p>
        </w:tc>
        <w:tc>
          <w:tcPr>
            <w:tcW w:type="dxa" w:w="1191"/>
            <w:vAlign w:val="center"/>
            <w:shd w:fill="FFFFFF"/>
          </w:tcPr>
          <w:p>
            <w:pPr>
              <w:spacing w:after="40" w:line="276" w:lineRule="auto"/>
              <w:jc w:val="left"/>
            </w:pPr>
            <w:r>
              <w:rPr>
                <w:b w:val="0"/>
                <w:i w:val="0"/>
              </w:rPr>
              <w:t>100% annually</w:t>
            </w:r>
          </w:p>
        </w:tc>
      </w:tr>
      <w:tr>
        <w:trPr>
          <w:cantSplit/>
        </w:trPr>
        <w:tc>
          <w:tcPr>
            <w:tcW w:type="dxa" w:w="1417"/>
            <w:vAlign w:val="center"/>
            <w:shd w:fill="EDF2F7"/>
          </w:tcPr>
          <w:p>
            <w:pPr>
              <w:spacing w:after="40" w:line="276" w:lineRule="auto"/>
              <w:jc w:val="left"/>
            </w:pPr>
          </w:p>
        </w:tc>
        <w:tc>
          <w:tcPr>
            <w:tcW w:type="dxa" w:w="1417"/>
            <w:vAlign w:val="center"/>
            <w:shd w:fill="EDF2F7"/>
          </w:tcPr>
          <w:p>
            <w:pPr>
              <w:spacing w:after="40" w:line="276" w:lineRule="auto"/>
              <w:jc w:val="left"/>
            </w:pPr>
            <w:r>
              <w:rPr>
                <w:b w:val="0"/>
                <w:i w:val="0"/>
              </w:rPr>
              <w:t>Research &amp; Innovation</w:t>
            </w:r>
          </w:p>
        </w:tc>
        <w:tc>
          <w:tcPr>
            <w:tcW w:type="dxa" w:w="1701"/>
            <w:vAlign w:val="center"/>
            <w:shd w:fill="EDF2F7"/>
          </w:tcPr>
          <w:p>
            <w:pPr>
              <w:spacing w:after="40" w:line="276" w:lineRule="auto"/>
              <w:jc w:val="left"/>
            </w:pPr>
            <w:r>
              <w:rPr>
                <w:b w:val="0"/>
                <w:i w:val="0"/>
              </w:rPr>
              <w:t>Improve quality &amp; impact</w:t>
            </w:r>
          </w:p>
        </w:tc>
        <w:tc>
          <w:tcPr>
            <w:tcW w:type="dxa" w:w="1984"/>
            <w:vAlign w:val="center"/>
            <w:shd w:fill="EDF2F7"/>
          </w:tcPr>
          <w:p>
            <w:pPr>
              <w:spacing w:after="40" w:line="276" w:lineRule="auto"/>
              <w:jc w:val="left"/>
            </w:pPr>
            <w:r>
              <w:rPr>
                <w:b w:val="0"/>
                <w:i w:val="0"/>
              </w:rPr>
              <w:t>Citation tracking, benchmarking</w:t>
            </w:r>
          </w:p>
        </w:tc>
        <w:tc>
          <w:tcPr>
            <w:tcW w:type="dxa" w:w="1701"/>
            <w:vAlign w:val="center"/>
            <w:shd w:fill="EDF2F7"/>
          </w:tcPr>
          <w:p>
            <w:pPr>
              <w:spacing w:after="40" w:line="276" w:lineRule="auto"/>
              <w:jc w:val="left"/>
            </w:pPr>
            <w:r>
              <w:rPr>
                <w:b w:val="0"/>
                <w:i w:val="0"/>
              </w:rPr>
              <w:t>Citation index growth</w:t>
            </w:r>
          </w:p>
        </w:tc>
        <w:tc>
          <w:tcPr>
            <w:tcW w:type="dxa" w:w="1191"/>
            <w:vAlign w:val="center"/>
            <w:shd w:fill="EDF2F7"/>
          </w:tcPr>
          <w:p>
            <w:pPr>
              <w:spacing w:after="40" w:line="276" w:lineRule="auto"/>
              <w:jc w:val="left"/>
            </w:pPr>
            <w:r>
              <w:rPr>
                <w:b w:val="0"/>
                <w:i w:val="0"/>
              </w:rPr>
              <w:t>≥20% growth</w:t>
            </w:r>
          </w:p>
        </w:tc>
      </w:tr>
      <w:tr>
        <w:trPr>
          <w:cantSplit/>
        </w:trPr>
        <w:tc>
          <w:tcPr>
            <w:tcW w:type="dxa" w:w="1417"/>
            <w:vAlign w:val="center"/>
            <w:shd w:fill="FFFFFF"/>
          </w:tcPr>
          <w:p>
            <w:pPr>
              <w:spacing w:after="40" w:line="276" w:lineRule="auto"/>
              <w:jc w:val="left"/>
            </w:pPr>
          </w:p>
        </w:tc>
        <w:tc>
          <w:tcPr>
            <w:tcW w:type="dxa" w:w="1417"/>
            <w:vAlign w:val="center"/>
            <w:shd w:fill="FFFFFF"/>
          </w:tcPr>
          <w:p>
            <w:pPr>
              <w:spacing w:after="40" w:line="276" w:lineRule="auto"/>
              <w:jc w:val="left"/>
            </w:pPr>
            <w:r>
              <w:rPr>
                <w:b w:val="0"/>
                <w:i w:val="0"/>
              </w:rPr>
              <w:t>Finance</w:t>
            </w:r>
          </w:p>
        </w:tc>
        <w:tc>
          <w:tcPr>
            <w:tcW w:type="dxa" w:w="1701"/>
            <w:vAlign w:val="center"/>
            <w:shd w:fill="FFFFFF"/>
          </w:tcPr>
          <w:p>
            <w:pPr>
              <w:spacing w:after="40" w:line="276" w:lineRule="auto"/>
              <w:jc w:val="left"/>
            </w:pPr>
            <w:r>
              <w:rPr>
                <w:b w:val="0"/>
                <w:i w:val="0"/>
              </w:rPr>
              <w:t>Adaptive funding models</w:t>
            </w:r>
          </w:p>
        </w:tc>
        <w:tc>
          <w:tcPr>
            <w:tcW w:type="dxa" w:w="1984"/>
            <w:vAlign w:val="center"/>
            <w:shd w:fill="FFFFFF"/>
          </w:tcPr>
          <w:p>
            <w:pPr>
              <w:spacing w:after="40" w:line="276" w:lineRule="auto"/>
              <w:jc w:val="left"/>
            </w:pPr>
            <w:r>
              <w:rPr>
                <w:b w:val="0"/>
                <w:i w:val="0"/>
              </w:rPr>
              <w:t>Adjust strategies, endowment review</w:t>
            </w:r>
          </w:p>
        </w:tc>
        <w:tc>
          <w:tcPr>
            <w:tcW w:type="dxa" w:w="1701"/>
            <w:vAlign w:val="center"/>
            <w:shd w:fill="FFFFFF"/>
          </w:tcPr>
          <w:p>
            <w:pPr>
              <w:spacing w:after="40" w:line="276" w:lineRule="auto"/>
              <w:jc w:val="left"/>
            </w:pPr>
            <w:r>
              <w:rPr>
                <w:b w:val="0"/>
                <w:i w:val="0"/>
              </w:rPr>
              <w:t>Endowment growth rate</w:t>
            </w:r>
          </w:p>
        </w:tc>
        <w:tc>
          <w:tcPr>
            <w:tcW w:type="dxa" w:w="1191"/>
            <w:vAlign w:val="center"/>
            <w:shd w:fill="FFFFFF"/>
          </w:tcPr>
          <w:p>
            <w:pPr>
              <w:spacing w:after="40" w:line="276" w:lineRule="auto"/>
              <w:jc w:val="left"/>
            </w:pPr>
            <w:r>
              <w:rPr>
                <w:b w:val="0"/>
                <w:i w:val="0"/>
              </w:rPr>
              <w:t>≥10% annually</w:t>
            </w:r>
          </w:p>
        </w:tc>
      </w:tr>
      <w:tr>
        <w:trPr>
          <w:cantSplit/>
        </w:trPr>
        <w:tc>
          <w:tcPr>
            <w:tcW w:type="dxa" w:w="1417"/>
            <w:vAlign w:val="center"/>
            <w:shd w:fill="EDF2F7"/>
          </w:tcPr>
          <w:p>
            <w:pPr>
              <w:spacing w:after="40" w:line="276" w:lineRule="auto"/>
              <w:jc w:val="left"/>
            </w:pPr>
          </w:p>
        </w:tc>
        <w:tc>
          <w:tcPr>
            <w:tcW w:type="dxa" w:w="1417"/>
            <w:vAlign w:val="center"/>
            <w:shd w:fill="EDF2F7"/>
          </w:tcPr>
          <w:p>
            <w:pPr>
              <w:spacing w:after="40" w:line="276" w:lineRule="auto"/>
              <w:jc w:val="left"/>
            </w:pPr>
            <w:r>
              <w:rPr>
                <w:b w:val="0"/>
                <w:i w:val="0"/>
              </w:rPr>
              <w:t>Governance</w:t>
            </w:r>
          </w:p>
        </w:tc>
        <w:tc>
          <w:tcPr>
            <w:tcW w:type="dxa" w:w="1701"/>
            <w:vAlign w:val="center"/>
            <w:shd w:fill="EDF2F7"/>
          </w:tcPr>
          <w:p>
            <w:pPr>
              <w:spacing w:after="40" w:line="276" w:lineRule="auto"/>
              <w:jc w:val="left"/>
            </w:pPr>
            <w:r>
              <w:rPr>
                <w:b w:val="0"/>
                <w:i w:val="0"/>
              </w:rPr>
              <w:t>Strengthen accountability</w:t>
            </w:r>
          </w:p>
        </w:tc>
        <w:tc>
          <w:tcPr>
            <w:tcW w:type="dxa" w:w="1984"/>
            <w:vAlign w:val="center"/>
            <w:shd w:fill="EDF2F7"/>
          </w:tcPr>
          <w:p>
            <w:pPr>
              <w:spacing w:after="40" w:line="276" w:lineRule="auto"/>
              <w:jc w:val="left"/>
            </w:pPr>
            <w:r>
              <w:rPr>
                <w:b w:val="0"/>
                <w:i w:val="0"/>
              </w:rPr>
              <w:t>CAPA actions, peer review</w:t>
            </w:r>
          </w:p>
        </w:tc>
        <w:tc>
          <w:tcPr>
            <w:tcW w:type="dxa" w:w="1701"/>
            <w:vAlign w:val="center"/>
            <w:shd w:fill="EDF2F7"/>
          </w:tcPr>
          <w:p>
            <w:pPr>
              <w:spacing w:after="40" w:line="276" w:lineRule="auto"/>
              <w:jc w:val="left"/>
            </w:pPr>
            <w:r>
              <w:rPr>
                <w:b w:val="0"/>
                <w:i w:val="0"/>
              </w:rPr>
              <w:t>% corrective actions closed</w:t>
            </w:r>
          </w:p>
        </w:tc>
        <w:tc>
          <w:tcPr>
            <w:tcW w:type="dxa" w:w="1191"/>
            <w:vAlign w:val="center"/>
            <w:shd w:fill="EDF2F7"/>
          </w:tcPr>
          <w:p>
            <w:pPr>
              <w:spacing w:after="40" w:line="276" w:lineRule="auto"/>
              <w:jc w:val="left"/>
            </w:pPr>
            <w:r>
              <w:rPr>
                <w:b w:val="0"/>
                <w:i w:val="0"/>
              </w:rPr>
              <w:t>≥90%</w:t>
            </w:r>
          </w:p>
        </w:tc>
      </w:tr>
      <w:tr>
        <w:trPr>
          <w:cantSplit/>
        </w:trPr>
        <w:tc>
          <w:tcPr>
            <w:tcW w:type="dxa" w:w="1417"/>
            <w:vAlign w:val="center"/>
            <w:shd w:fill="FFFFFF"/>
          </w:tcPr>
          <w:p>
            <w:pPr>
              <w:spacing w:after="40" w:line="276" w:lineRule="auto"/>
              <w:jc w:val="left"/>
            </w:pPr>
          </w:p>
        </w:tc>
        <w:tc>
          <w:tcPr>
            <w:tcW w:type="dxa" w:w="1417"/>
            <w:vAlign w:val="center"/>
            <w:shd w:fill="FFFFFF"/>
          </w:tcPr>
          <w:p>
            <w:pPr>
              <w:spacing w:after="40" w:line="276" w:lineRule="auto"/>
              <w:jc w:val="left"/>
            </w:pPr>
            <w:r>
              <w:rPr>
                <w:b w:val="0"/>
                <w:i w:val="0"/>
              </w:rPr>
              <w:t>Community</w:t>
            </w:r>
          </w:p>
        </w:tc>
        <w:tc>
          <w:tcPr>
            <w:tcW w:type="dxa" w:w="1701"/>
            <w:vAlign w:val="center"/>
            <w:shd w:fill="FFFFFF"/>
          </w:tcPr>
          <w:p>
            <w:pPr>
              <w:spacing w:after="40" w:line="276" w:lineRule="auto"/>
              <w:jc w:val="left"/>
            </w:pPr>
            <w:r>
              <w:rPr>
                <w:b w:val="0"/>
                <w:i w:val="0"/>
              </w:rPr>
              <w:t>Refine ISR effectiveness</w:t>
            </w:r>
          </w:p>
        </w:tc>
        <w:tc>
          <w:tcPr>
            <w:tcW w:type="dxa" w:w="1984"/>
            <w:vAlign w:val="center"/>
            <w:shd w:fill="FFFFFF"/>
          </w:tcPr>
          <w:p>
            <w:pPr>
              <w:spacing w:after="40" w:line="276" w:lineRule="auto"/>
              <w:jc w:val="left"/>
            </w:pPr>
            <w:r>
              <w:rPr>
                <w:b w:val="0"/>
                <w:i w:val="0"/>
              </w:rPr>
              <w:t>Impact reports, case studies</w:t>
            </w:r>
          </w:p>
        </w:tc>
        <w:tc>
          <w:tcPr>
            <w:tcW w:type="dxa" w:w="1701"/>
            <w:vAlign w:val="center"/>
            <w:shd w:fill="FFFFFF"/>
          </w:tcPr>
          <w:p>
            <w:pPr>
              <w:spacing w:after="40" w:line="276" w:lineRule="auto"/>
              <w:jc w:val="left"/>
            </w:pPr>
            <w:r>
              <w:rPr>
                <w:b w:val="0"/>
                <w:i w:val="0"/>
              </w:rPr>
              <w:t>Community satisfaction</w:t>
            </w:r>
          </w:p>
        </w:tc>
        <w:tc>
          <w:tcPr>
            <w:tcW w:type="dxa" w:w="1191"/>
            <w:vAlign w:val="center"/>
            <w:shd w:fill="FFFFFF"/>
          </w:tcPr>
          <w:p>
            <w:pPr>
              <w:spacing w:after="40" w:line="276" w:lineRule="auto"/>
              <w:jc w:val="left"/>
            </w:pPr>
            <w:r>
              <w:rPr>
                <w:b w:val="0"/>
                <w:i w:val="0"/>
              </w:rPr>
              <w:t>≥90%</w:t>
            </w:r>
          </w:p>
        </w:tc>
      </w:tr>
      <w:tr>
        <w:trPr>
          <w:cantSplit/>
        </w:trPr>
        <w:tc>
          <w:tcPr>
            <w:tcW w:type="dxa" w:w="1417"/>
            <w:vAlign w:val="center"/>
            <w:shd w:fill="EDF2F7"/>
          </w:tcPr>
          <w:p>
            <w:pPr>
              <w:spacing w:after="40" w:line="276" w:lineRule="auto"/>
              <w:jc w:val="left"/>
            </w:pPr>
          </w:p>
        </w:tc>
        <w:tc>
          <w:tcPr>
            <w:tcW w:type="dxa" w:w="1417"/>
            <w:vAlign w:val="center"/>
            <w:shd w:fill="EDF2F7"/>
          </w:tcPr>
          <w:p>
            <w:pPr>
              <w:spacing w:after="40" w:line="276" w:lineRule="auto"/>
              <w:jc w:val="left"/>
            </w:pPr>
            <w:r>
              <w:rPr>
                <w:b w:val="0"/>
                <w:i w:val="0"/>
              </w:rPr>
              <w:t>Global</w:t>
            </w:r>
          </w:p>
        </w:tc>
        <w:tc>
          <w:tcPr>
            <w:tcW w:type="dxa" w:w="1701"/>
            <w:vAlign w:val="center"/>
            <w:shd w:fill="EDF2F7"/>
          </w:tcPr>
          <w:p>
            <w:pPr>
              <w:spacing w:after="40" w:line="276" w:lineRule="auto"/>
              <w:jc w:val="left"/>
            </w:pPr>
            <w:r>
              <w:rPr>
                <w:b w:val="0"/>
                <w:i w:val="0"/>
              </w:rPr>
              <w:t>Enhance competitiveness</w:t>
            </w:r>
          </w:p>
        </w:tc>
        <w:tc>
          <w:tcPr>
            <w:tcW w:type="dxa" w:w="1984"/>
            <w:vAlign w:val="center"/>
            <w:shd w:fill="EDF2F7"/>
          </w:tcPr>
          <w:p>
            <w:pPr>
              <w:spacing w:after="40" w:line="276" w:lineRule="auto"/>
              <w:jc w:val="left"/>
            </w:pPr>
            <w:r>
              <w:rPr>
                <w:b w:val="0"/>
                <w:i w:val="0"/>
              </w:rPr>
              <w:t>Partner feedback, ranking review</w:t>
            </w:r>
          </w:p>
        </w:tc>
        <w:tc>
          <w:tcPr>
            <w:tcW w:type="dxa" w:w="1701"/>
            <w:vAlign w:val="center"/>
            <w:shd w:fill="EDF2F7"/>
          </w:tcPr>
          <w:p>
            <w:pPr>
              <w:spacing w:after="40" w:line="276" w:lineRule="auto"/>
              <w:jc w:val="left"/>
            </w:pPr>
            <w:r>
              <w:rPr>
                <w:b w:val="0"/>
                <w:i w:val="0"/>
              </w:rPr>
              <w:t>No. of MoUs with Top 500</w:t>
            </w:r>
          </w:p>
        </w:tc>
        <w:tc>
          <w:tcPr>
            <w:tcW w:type="dxa" w:w="1191"/>
            <w:vAlign w:val="center"/>
            <w:shd w:fill="EDF2F7"/>
          </w:tcPr>
          <w:p>
            <w:pPr>
              <w:spacing w:after="40" w:line="276" w:lineRule="auto"/>
              <w:jc w:val="left"/>
            </w:pPr>
            <w:r>
              <w:rPr>
                <w:b w:val="0"/>
                <w:i w:val="0"/>
              </w:rPr>
              <w:t>≥25 MoUs</w:t>
            </w:r>
          </w:p>
        </w:tc>
      </w:tr>
    </w:tbl>
    <w:p>
      <w:pPr>
        <w:spacing w:after="40"/>
      </w:pPr>
    </w:p>
    <w:p>
      <w:pPr>
        <w:pStyle w:val="Heading1"/>
      </w:pPr>
      <w:r>
        <w:t>23. Strategic Pillars (Common Domains)</w:t>
      </w:r>
    </w:p>
    <w:p>
      <w:pPr>
        <w:pStyle w:val="Heading2"/>
      </w:pPr>
      <w:r>
        <w:t>1. Academic Excellence</w:t>
      </w:r>
    </w:p>
    <w:p>
      <w:pPr>
        <w:pStyle w:val="ListBullet2"/>
        <w:numPr>
          <w:ilvl w:val="1"/>
          <w:numId w:val="90"/>
        </w:numPr>
        <w:ind w:left="652" w:hanging="142"/>
      </w:pPr>
      <w:r>
        <w:rPr>
          <w:b/>
          <w:i w:val="0"/>
        </w:rPr>
        <w:t>Focus:</w:t>
      </w:r>
      <w:r>
        <w:rPr>
          <w:b w:val="0"/>
          <w:i w:val="0"/>
        </w:rPr>
        <w:t xml:space="preserve"> Curriculum reforms, faculty development, research and innovation.</w:t>
      </w:r>
    </w:p>
    <w:p>
      <w:pPr>
        <w:pStyle w:val="ListBullet2"/>
        <w:numPr>
          <w:ilvl w:val="1"/>
          <w:numId w:val="90"/>
        </w:numPr>
        <w:ind w:left="652" w:hanging="142"/>
      </w:pPr>
      <w:r>
        <w:rPr>
          <w:b/>
          <w:i w:val="0"/>
        </w:rPr>
        <w:t>Aim:</w:t>
      </w:r>
      <w:r>
        <w:rPr>
          <w:b w:val="0"/>
          <w:i w:val="0"/>
        </w:rPr>
        <w:t xml:space="preserve"> Strengthen teaching, learning, and research aligned with NEP 2020 &amp; SDGs.</w:t>
      </w:r>
    </w:p>
    <w:p>
      <w:pPr>
        <w:pStyle w:val="Heading2"/>
      </w:pPr>
      <w:r>
        <w:t>2. Infrastructure &amp; Technology</w:t>
      </w:r>
    </w:p>
    <w:p>
      <w:pPr>
        <w:pStyle w:val="ListBullet2"/>
        <w:numPr>
          <w:ilvl w:val="1"/>
          <w:numId w:val="90"/>
        </w:numPr>
        <w:ind w:left="652" w:hanging="142"/>
      </w:pPr>
      <w:r>
        <w:rPr>
          <w:b/>
          <w:i w:val="0"/>
        </w:rPr>
        <w:t>Focus:</w:t>
      </w:r>
      <w:r>
        <w:rPr>
          <w:b w:val="0"/>
          <w:i w:val="0"/>
        </w:rPr>
        <w:t xml:space="preserve"> Smart classrooms, ICT integration, green and sustainable infrastructure.</w:t>
      </w:r>
    </w:p>
    <w:p>
      <w:pPr>
        <w:pStyle w:val="ListBullet2"/>
        <w:numPr>
          <w:ilvl w:val="1"/>
          <w:numId w:val="90"/>
        </w:numPr>
        <w:ind w:left="652" w:hanging="142"/>
      </w:pPr>
      <w:r>
        <w:rPr>
          <w:b/>
          <w:i w:val="0"/>
        </w:rPr>
        <w:t>Aim:</w:t>
      </w:r>
      <w:r>
        <w:rPr>
          <w:b w:val="0"/>
          <w:i w:val="0"/>
        </w:rPr>
        <w:t xml:space="preserve"> Build a future-ready campus with digital and eco-friendly facilities.</w:t>
      </w:r>
    </w:p>
    <w:p>
      <w:pPr>
        <w:pStyle w:val="Heading2"/>
      </w:pPr>
      <w:r>
        <w:t>3. Governance &amp; Leadership</w:t>
      </w:r>
    </w:p>
    <w:p>
      <w:pPr>
        <w:pStyle w:val="ListBullet2"/>
        <w:numPr>
          <w:ilvl w:val="1"/>
          <w:numId w:val="90"/>
        </w:numPr>
        <w:ind w:left="652" w:hanging="142"/>
      </w:pPr>
      <w:r>
        <w:rPr>
          <w:b/>
          <w:i w:val="0"/>
        </w:rPr>
        <w:t>Focus:</w:t>
      </w:r>
      <w:r>
        <w:rPr>
          <w:b w:val="0"/>
          <w:i w:val="0"/>
        </w:rPr>
        <w:t xml:space="preserve"> Transparent decision-making, quality assurance, accreditation readiness.</w:t>
      </w:r>
    </w:p>
    <w:p>
      <w:pPr>
        <w:pStyle w:val="ListBullet2"/>
        <w:numPr>
          <w:ilvl w:val="1"/>
          <w:numId w:val="90"/>
        </w:numPr>
        <w:ind w:left="652" w:hanging="142"/>
      </w:pPr>
      <w:r>
        <w:rPr>
          <w:b/>
          <w:i w:val="0"/>
        </w:rPr>
        <w:t>Aim:</w:t>
      </w:r>
      <w:r>
        <w:rPr>
          <w:b w:val="0"/>
          <w:i w:val="0"/>
        </w:rPr>
        <w:t xml:space="preserve"> Establish accountable, data-driven, and globally benchmarked governance.</w:t>
      </w:r>
    </w:p>
    <w:p>
      <w:pPr>
        <w:pStyle w:val="Heading2"/>
      </w:pPr>
      <w:r>
        <w:t>4. Financial Sustainability</w:t>
      </w:r>
    </w:p>
    <w:p>
      <w:pPr>
        <w:pStyle w:val="ListBullet2"/>
        <w:numPr>
          <w:ilvl w:val="1"/>
          <w:numId w:val="90"/>
        </w:numPr>
        <w:ind w:left="652" w:hanging="142"/>
      </w:pPr>
      <w:r>
        <w:rPr>
          <w:b/>
          <w:i w:val="0"/>
        </w:rPr>
        <w:t>Focus:</w:t>
      </w:r>
      <w:r>
        <w:rPr>
          <w:b w:val="0"/>
          <w:i w:val="0"/>
        </w:rPr>
        <w:t xml:space="preserve"> Resource mobilization, alumni/CSR support, diversification of funding streams.</w:t>
      </w:r>
    </w:p>
    <w:p>
      <w:pPr>
        <w:pStyle w:val="ListBullet2"/>
        <w:numPr>
          <w:ilvl w:val="1"/>
          <w:numId w:val="90"/>
        </w:numPr>
        <w:ind w:left="652" w:hanging="142"/>
      </w:pPr>
      <w:r>
        <w:rPr>
          <w:b/>
          <w:i w:val="0"/>
        </w:rPr>
        <w:t>Aim:</w:t>
      </w:r>
      <w:r>
        <w:rPr>
          <w:b w:val="0"/>
          <w:i w:val="0"/>
        </w:rPr>
        <w:t xml:space="preserve"> Reduce over-dependence on government grants, ensure long-term resilience.</w:t>
      </w:r>
    </w:p>
    <w:p>
      <w:pPr>
        <w:pStyle w:val="Heading2"/>
      </w:pPr>
      <w:r>
        <w:t>5. Community Engagement</w:t>
      </w:r>
    </w:p>
    <w:p>
      <w:pPr>
        <w:pStyle w:val="ListBullet2"/>
        <w:numPr>
          <w:ilvl w:val="1"/>
          <w:numId w:val="90"/>
        </w:numPr>
        <w:ind w:left="652" w:hanging="142"/>
      </w:pPr>
      <w:r>
        <w:rPr>
          <w:b/>
          <w:i w:val="0"/>
        </w:rPr>
        <w:t>Focus:</w:t>
      </w:r>
      <w:r>
        <w:rPr>
          <w:b w:val="0"/>
          <w:i w:val="0"/>
        </w:rPr>
        <w:t xml:space="preserve"> Outreach services, social impact projects, SDG alignment.</w:t>
      </w:r>
    </w:p>
    <w:p>
      <w:pPr>
        <w:pStyle w:val="ListBullet2"/>
        <w:numPr>
          <w:ilvl w:val="1"/>
          <w:numId w:val="90"/>
        </w:numPr>
        <w:ind w:left="652" w:hanging="142"/>
      </w:pPr>
      <w:r>
        <w:rPr>
          <w:b/>
          <w:i w:val="0"/>
        </w:rPr>
        <w:t>Aim:</w:t>
      </w:r>
      <w:r>
        <w:rPr>
          <w:b w:val="0"/>
          <w:i w:val="0"/>
        </w:rPr>
        <w:t xml:space="preserve"> Position HEI as a driver of social innovation and inclusive growth.</w:t>
      </w:r>
    </w:p>
    <w:p>
      <w:pPr>
        <w:pStyle w:val="Heading2"/>
      </w:pPr>
      <w:r>
        <w:t>6. Internationalization</w:t>
      </w:r>
    </w:p>
    <w:p>
      <w:pPr>
        <w:pStyle w:val="ListBullet2"/>
        <w:numPr>
          <w:ilvl w:val="1"/>
          <w:numId w:val="90"/>
        </w:numPr>
        <w:ind w:left="652" w:hanging="142"/>
      </w:pPr>
      <w:r>
        <w:rPr>
          <w:b/>
          <w:i w:val="0"/>
        </w:rPr>
        <w:t>Focus:</w:t>
      </w:r>
      <w:r>
        <w:rPr>
          <w:b w:val="0"/>
          <w:i w:val="0"/>
        </w:rPr>
        <w:t xml:space="preserve"> Global partnerships, student/faculty exchanges, research collaborations.</w:t>
      </w:r>
    </w:p>
    <w:p>
      <w:pPr>
        <w:pStyle w:val="ListBullet2"/>
        <w:numPr>
          <w:ilvl w:val="1"/>
          <w:numId w:val="90"/>
        </w:numPr>
        <w:ind w:left="652" w:hanging="142"/>
      </w:pPr>
      <w:r>
        <w:rPr>
          <w:b/>
          <w:i w:val="0"/>
        </w:rPr>
        <w:t>Aim:</w:t>
      </w:r>
      <w:r>
        <w:rPr>
          <w:b w:val="0"/>
          <w:i w:val="0"/>
        </w:rPr>
        <w:t xml:space="preserve"> Enhance global visibility, mobility, and competitiveness in rankings.</w:t>
      </w:r>
    </w:p>
    <w:p>
      <w:pPr>
        <w:pStyle w:val="Heading2"/>
      </w:pPr>
      <w:r>
        <w:t>Policy–Action–Outcome–KPI Table</w:t>
      </w:r>
    </w:p>
    <w:p>
      <w:pPr>
        <w:pStyle w:val="Heading2"/>
      </w:pPr>
      <w:r>
        <w:t>1. Academic Excellence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984"/>
        <w:gridCol w:w="3061"/>
        <w:gridCol w:w="2211"/>
        <w:gridCol w:w="2154"/>
      </w:tblGrid>
      <w:tr>
        <w:trPr>
          <w:tblHeader/>
          <w:cantSplit/>
        </w:trPr>
        <w:tc>
          <w:tcPr>
            <w:tcW w:type="dxa" w:w="1984"/>
            <w:vAlign w:val="center"/>
            <w:shd w:fill="1F3A5F"/>
          </w:tcPr>
          <w:p>
            <w:pPr>
              <w:keepNext/>
              <w:spacing w:after="40" w:line="276" w:lineRule="auto"/>
              <w:jc w:val="left"/>
            </w:pPr>
            <w:r>
              <w:rPr>
                <w:b/>
                <w:i w:val="0"/>
                <w:color w:val="FFFFFF"/>
              </w:rPr>
              <w:t>Policy Direction</w:t>
            </w:r>
          </w:p>
        </w:tc>
        <w:tc>
          <w:tcPr>
            <w:tcW w:type="dxa" w:w="3061"/>
            <w:vAlign w:val="center"/>
            <w:shd w:fill="1F3A5F"/>
          </w:tcPr>
          <w:p>
            <w:pPr>
              <w:keepNext/>
              <w:spacing w:after="40" w:line="276" w:lineRule="auto"/>
              <w:jc w:val="left"/>
            </w:pPr>
            <w:r>
              <w:rPr>
                <w:b/>
                <w:i w:val="0"/>
                <w:color w:val="FFFFFF"/>
              </w:rPr>
              <w:t>Actions</w:t>
            </w:r>
          </w:p>
        </w:tc>
        <w:tc>
          <w:tcPr>
            <w:tcW w:type="dxa" w:w="2211"/>
            <w:vAlign w:val="center"/>
            <w:shd w:fill="1F3A5F"/>
          </w:tcPr>
          <w:p>
            <w:pPr>
              <w:keepNext/>
              <w:spacing w:after="40" w:line="276" w:lineRule="auto"/>
              <w:jc w:val="left"/>
            </w:pPr>
            <w:r>
              <w:rPr>
                <w:b/>
                <w:i w:val="0"/>
                <w:color w:val="FFFFFF"/>
              </w:rPr>
              <w:t>Expected Outcomes</w:t>
            </w:r>
          </w:p>
        </w:tc>
        <w:tc>
          <w:tcPr>
            <w:tcW w:type="dxa" w:w="2154"/>
            <w:vAlign w:val="center"/>
            <w:shd w:fill="1F3A5F"/>
          </w:tcPr>
          <w:p>
            <w:pPr>
              <w:keepNext/>
              <w:spacing w:after="40" w:line="276" w:lineRule="auto"/>
              <w:jc w:val="left"/>
            </w:pPr>
            <w:r>
              <w:rPr>
                <w:b/>
                <w:i w:val="0"/>
                <w:color w:val="FFFFFF"/>
              </w:rPr>
              <w:t>KPIs</w:t>
            </w:r>
          </w:p>
        </w:tc>
      </w:tr>
      <w:tr>
        <w:trPr>
          <w:cantSplit/>
        </w:trPr>
        <w:tc>
          <w:tcPr>
            <w:tcW w:type="dxa" w:w="1984"/>
            <w:vAlign w:val="center"/>
            <w:shd w:fill="FFFFFF"/>
          </w:tcPr>
          <w:p>
            <w:pPr>
              <w:spacing w:after="40" w:line="276" w:lineRule="auto"/>
              <w:jc w:val="left"/>
            </w:pPr>
            <w:r>
              <w:rPr>
                <w:b w:val="0"/>
                <w:i w:val="0"/>
              </w:rPr>
              <w:t>Curriculum reforms for NEP 2020 &amp; SDGs</w:t>
            </w:r>
          </w:p>
        </w:tc>
        <w:tc>
          <w:tcPr>
            <w:tcW w:type="dxa" w:w="3061"/>
            <w:vAlign w:val="center"/>
            <w:shd w:fill="FFFFFF"/>
          </w:tcPr>
          <w:p>
            <w:pPr>
              <w:spacing w:after="40" w:line="276" w:lineRule="auto"/>
              <w:ind w:left="125" w:hanging="125"/>
              <w:jc w:val="left"/>
            </w:pPr>
            <w:r>
              <w:t xml:space="preserve">• </w:t>
            </w:r>
            <w:r>
              <w:rPr>
                <w:b w:val="0"/>
                <w:i w:val="0"/>
              </w:rPr>
              <w:t>Revise curricula into multidisciplinary, outcome-based frameworks.</w:t>
            </w:r>
          </w:p>
          <w:p>
            <w:pPr>
              <w:spacing w:after="40" w:line="276" w:lineRule="auto"/>
              <w:ind w:left="125" w:hanging="125"/>
              <w:jc w:val="left"/>
            </w:pPr>
            <w:r>
              <w:t xml:space="preserve">• </w:t>
            </w:r>
            <w:r>
              <w:rPr>
                <w:b w:val="0"/>
                <w:i w:val="0"/>
              </w:rPr>
              <w:t>Integrate skill-based and experiential learning.</w:t>
            </w:r>
          </w:p>
        </w:tc>
        <w:tc>
          <w:tcPr>
            <w:tcW w:type="dxa" w:w="2211"/>
            <w:vAlign w:val="center"/>
            <w:shd w:fill="FFFFFF"/>
          </w:tcPr>
          <w:p>
            <w:pPr>
              <w:spacing w:after="40" w:line="276" w:lineRule="auto"/>
              <w:jc w:val="left"/>
            </w:pPr>
            <w:r>
              <w:rPr>
                <w:b w:val="0"/>
                <w:i w:val="0"/>
              </w:rPr>
              <w:t>Students gain future-ready competencies.</w:t>
            </w:r>
          </w:p>
        </w:tc>
        <w:tc>
          <w:tcPr>
            <w:tcW w:type="dxa" w:w="2154"/>
            <w:vAlign w:val="center"/>
            <w:shd w:fill="FFFFFF"/>
          </w:tcPr>
          <w:p>
            <w:pPr>
              <w:spacing w:after="40" w:line="276" w:lineRule="auto"/>
              <w:ind w:left="125" w:hanging="125"/>
              <w:jc w:val="left"/>
            </w:pPr>
            <w:r>
              <w:t xml:space="preserve">• </w:t>
            </w:r>
            <w:r>
              <w:rPr>
                <w:b/>
                <w:i w:val="0"/>
              </w:rPr>
              <w:t>% programs NEP/​OBE aligned (Target:</w:t>
            </w:r>
            <w:r>
              <w:rPr>
                <w:b w:val="0"/>
                <w:i w:val="0"/>
              </w:rPr>
              <w:t xml:space="preserve"> 100%).</w:t>
            </w:r>
          </w:p>
          <w:p>
            <w:pPr>
              <w:spacing w:after="40" w:line="276" w:lineRule="auto"/>
              <w:ind w:left="125" w:hanging="125"/>
              <w:jc w:val="left"/>
            </w:pPr>
            <w:r>
              <w:t xml:space="preserve">• </w:t>
            </w:r>
            <w:r>
              <w:rPr>
                <w:b w:val="0"/>
                <w:i w:val="0"/>
              </w:rPr>
              <w:t>Graduate employability rate (≥90%).</w:t>
            </w:r>
          </w:p>
        </w:tc>
      </w:tr>
      <w:tr>
        <w:trPr>
          <w:cantSplit/>
        </w:trPr>
        <w:tc>
          <w:tcPr>
            <w:tcW w:type="dxa" w:w="1984"/>
            <w:vAlign w:val="center"/>
            <w:shd w:fill="EDF2F7"/>
          </w:tcPr>
          <w:p>
            <w:pPr>
              <w:spacing w:after="40" w:line="276" w:lineRule="auto"/>
              <w:jc w:val="left"/>
            </w:pPr>
            <w:r>
              <w:rPr>
                <w:b w:val="0"/>
                <w:i w:val="0"/>
              </w:rPr>
              <w:t>Faculty development &amp; research capacity</w:t>
            </w:r>
          </w:p>
        </w:tc>
        <w:tc>
          <w:tcPr>
            <w:tcW w:type="dxa" w:w="3061"/>
            <w:vAlign w:val="center"/>
            <w:shd w:fill="EDF2F7"/>
          </w:tcPr>
          <w:p>
            <w:pPr>
              <w:spacing w:after="40" w:line="276" w:lineRule="auto"/>
              <w:ind w:left="125" w:hanging="125"/>
              <w:jc w:val="left"/>
            </w:pPr>
            <w:r>
              <w:t xml:space="preserve">• </w:t>
            </w:r>
            <w:r>
              <w:rPr>
                <w:b w:val="0"/>
                <w:i w:val="0"/>
              </w:rPr>
              <w:t>Organize FDPs and leadership training.</w:t>
            </w:r>
          </w:p>
          <w:p>
            <w:pPr>
              <w:spacing w:after="40" w:line="276" w:lineRule="auto"/>
              <w:ind w:left="125" w:hanging="125"/>
              <w:jc w:val="left"/>
            </w:pPr>
            <w:r>
              <w:t xml:space="preserve">• </w:t>
            </w:r>
            <w:r>
              <w:rPr>
                <w:b w:val="0"/>
                <w:i w:val="0"/>
              </w:rPr>
              <w:t>Incentivize research and publications.</w:t>
            </w:r>
          </w:p>
        </w:tc>
        <w:tc>
          <w:tcPr>
            <w:tcW w:type="dxa" w:w="2211"/>
            <w:vAlign w:val="center"/>
            <w:shd w:fill="EDF2F7"/>
          </w:tcPr>
          <w:p>
            <w:pPr>
              <w:spacing w:after="40" w:line="276" w:lineRule="auto"/>
              <w:jc w:val="left"/>
            </w:pPr>
            <w:r>
              <w:rPr>
                <w:b w:val="0"/>
                <w:i w:val="0"/>
              </w:rPr>
              <w:t>Enhanced faculty expertise and global research visibility.</w:t>
            </w:r>
          </w:p>
        </w:tc>
        <w:tc>
          <w:tcPr>
            <w:tcW w:type="dxa" w:w="2154"/>
            <w:vAlign w:val="center"/>
            <w:shd w:fill="EDF2F7"/>
          </w:tcPr>
          <w:p>
            <w:pPr>
              <w:spacing w:after="40" w:line="276" w:lineRule="auto"/>
              <w:ind w:left="125" w:hanging="125"/>
              <w:jc w:val="left"/>
            </w:pPr>
            <w:r>
              <w:t xml:space="preserve">• </w:t>
            </w:r>
            <w:r>
              <w:rPr>
                <w:b w:val="0"/>
                <w:i w:val="0"/>
              </w:rPr>
              <w:t>No. of FDPs per year.</w:t>
            </w:r>
          </w:p>
          <w:p>
            <w:pPr>
              <w:spacing w:after="40" w:line="276" w:lineRule="auto"/>
              <w:ind w:left="125" w:hanging="125"/>
              <w:jc w:val="left"/>
            </w:pPr>
            <w:r>
              <w:t xml:space="preserve">• </w:t>
            </w:r>
            <w:r>
              <w:rPr>
                <w:b w:val="0"/>
                <w:i w:val="0"/>
              </w:rPr>
              <w:t>Publications &amp; patents per faculty.</w:t>
            </w:r>
          </w:p>
          <w:p>
            <w:pPr>
              <w:spacing w:after="40" w:line="276" w:lineRule="auto"/>
              <w:ind w:left="125" w:hanging="125"/>
              <w:jc w:val="left"/>
            </w:pPr>
            <w:r>
              <w:t xml:space="preserve">• </w:t>
            </w:r>
            <w:r>
              <w:rPr>
                <w:b w:val="0"/>
                <w:i w:val="0"/>
              </w:rPr>
              <w:t>Research funding secured.</w:t>
            </w:r>
          </w:p>
        </w:tc>
      </w:tr>
      <w:tr>
        <w:trPr>
          <w:cantSplit/>
        </w:trPr>
        <w:tc>
          <w:tcPr>
            <w:tcW w:type="dxa" w:w="1984"/>
            <w:vAlign w:val="center"/>
            <w:shd w:fill="FFFFFF"/>
          </w:tcPr>
          <w:p>
            <w:pPr>
              <w:spacing w:after="40" w:line="276" w:lineRule="auto"/>
              <w:jc w:val="left"/>
            </w:pPr>
            <w:r>
              <w:rPr>
                <w:b w:val="0"/>
                <w:i w:val="0"/>
              </w:rPr>
              <w:t>Innovation in pedagogy &amp; research</w:t>
            </w:r>
          </w:p>
        </w:tc>
        <w:tc>
          <w:tcPr>
            <w:tcW w:type="dxa" w:w="3061"/>
            <w:vAlign w:val="center"/>
            <w:shd w:fill="FFFFFF"/>
          </w:tcPr>
          <w:p>
            <w:pPr>
              <w:spacing w:after="40" w:line="276" w:lineRule="auto"/>
              <w:ind w:left="125" w:hanging="125"/>
              <w:jc w:val="left"/>
            </w:pPr>
            <w:r>
              <w:t xml:space="preserve">• </w:t>
            </w:r>
            <w:r>
              <w:rPr>
                <w:b w:val="0"/>
                <w:i w:val="0"/>
              </w:rPr>
              <w:t>Promote blended learning, EdTech tools.</w:t>
            </w:r>
          </w:p>
          <w:p>
            <w:pPr>
              <w:spacing w:after="40" w:line="276" w:lineRule="auto"/>
              <w:ind w:left="125" w:hanging="125"/>
              <w:jc w:val="left"/>
            </w:pPr>
            <w:r>
              <w:t xml:space="preserve">• </w:t>
            </w:r>
            <w:r>
              <w:rPr>
                <w:b w:val="0"/>
                <w:i w:val="0"/>
              </w:rPr>
              <w:t>Establish research clusters.</w:t>
            </w:r>
          </w:p>
        </w:tc>
        <w:tc>
          <w:tcPr>
            <w:tcW w:type="dxa" w:w="2211"/>
            <w:vAlign w:val="center"/>
            <w:shd w:fill="FFFFFF"/>
          </w:tcPr>
          <w:p>
            <w:pPr>
              <w:spacing w:after="40" w:line="276" w:lineRule="auto"/>
              <w:jc w:val="left"/>
            </w:pPr>
            <w:r>
              <w:rPr>
                <w:b w:val="0"/>
                <w:i w:val="0"/>
              </w:rPr>
              <w:t>Improved teaching—learning experience, impactful research.</w:t>
            </w:r>
          </w:p>
        </w:tc>
        <w:tc>
          <w:tcPr>
            <w:tcW w:type="dxa" w:w="2154"/>
            <w:vAlign w:val="center"/>
            <w:shd w:fill="FFFFFF"/>
          </w:tcPr>
          <w:p>
            <w:pPr>
              <w:spacing w:after="40" w:line="276" w:lineRule="auto"/>
              <w:ind w:left="125" w:hanging="125"/>
              <w:jc w:val="left"/>
            </w:pPr>
            <w:r>
              <w:t xml:space="preserve">• </w:t>
            </w:r>
            <w:r>
              <w:rPr>
                <w:b w:val="0"/>
                <w:i w:val="0"/>
              </w:rPr>
              <w:t>Student satisfaction index (≥85%).</w:t>
            </w:r>
          </w:p>
          <w:p>
            <w:pPr>
              <w:spacing w:after="40" w:line="276" w:lineRule="auto"/>
              <w:ind w:left="125" w:hanging="125"/>
              <w:jc w:val="left"/>
            </w:pPr>
            <w:r>
              <w:t xml:space="preserve">• </w:t>
            </w:r>
            <w:r>
              <w:rPr>
                <w:b w:val="0"/>
                <w:i w:val="0"/>
              </w:rPr>
              <w:t>No. of research clusters/​CoEs.</w:t>
            </w:r>
          </w:p>
        </w:tc>
      </w:tr>
    </w:tbl>
    <w:p>
      <w:pPr>
        <w:spacing w:after="40"/>
      </w:pPr>
    </w:p>
    <w:p>
      <w:pPr>
        <w:pStyle w:val="Heading2"/>
      </w:pPr>
      <w:r>
        <w:t>2. Infrastructure &amp; Technology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984"/>
        <w:gridCol w:w="3061"/>
        <w:gridCol w:w="2211"/>
        <w:gridCol w:w="2154"/>
      </w:tblGrid>
      <w:tr>
        <w:trPr>
          <w:tblHeader/>
          <w:cantSplit/>
        </w:trPr>
        <w:tc>
          <w:tcPr>
            <w:tcW w:type="dxa" w:w="1984"/>
            <w:vAlign w:val="center"/>
            <w:shd w:fill="1F3A5F"/>
          </w:tcPr>
          <w:p>
            <w:pPr>
              <w:keepNext/>
              <w:spacing w:after="40" w:line="276" w:lineRule="auto"/>
              <w:jc w:val="left"/>
            </w:pPr>
            <w:r>
              <w:rPr>
                <w:b/>
                <w:i w:val="0"/>
                <w:color w:val="FFFFFF"/>
              </w:rPr>
              <w:t>Policy Direction</w:t>
            </w:r>
          </w:p>
        </w:tc>
        <w:tc>
          <w:tcPr>
            <w:tcW w:type="dxa" w:w="3061"/>
            <w:vAlign w:val="center"/>
            <w:shd w:fill="1F3A5F"/>
          </w:tcPr>
          <w:p>
            <w:pPr>
              <w:keepNext/>
              <w:spacing w:after="40" w:line="276" w:lineRule="auto"/>
              <w:jc w:val="left"/>
            </w:pPr>
            <w:r>
              <w:rPr>
                <w:b/>
                <w:i w:val="0"/>
                <w:color w:val="FFFFFF"/>
              </w:rPr>
              <w:t>Actions</w:t>
            </w:r>
          </w:p>
        </w:tc>
        <w:tc>
          <w:tcPr>
            <w:tcW w:type="dxa" w:w="2211"/>
            <w:vAlign w:val="center"/>
            <w:shd w:fill="1F3A5F"/>
          </w:tcPr>
          <w:p>
            <w:pPr>
              <w:keepNext/>
              <w:spacing w:after="40" w:line="276" w:lineRule="auto"/>
              <w:jc w:val="left"/>
            </w:pPr>
            <w:r>
              <w:rPr>
                <w:b/>
                <w:i w:val="0"/>
                <w:color w:val="FFFFFF"/>
              </w:rPr>
              <w:t>Expected Outcomes</w:t>
            </w:r>
          </w:p>
        </w:tc>
        <w:tc>
          <w:tcPr>
            <w:tcW w:type="dxa" w:w="2154"/>
            <w:vAlign w:val="center"/>
            <w:shd w:fill="1F3A5F"/>
          </w:tcPr>
          <w:p>
            <w:pPr>
              <w:keepNext/>
              <w:spacing w:after="40" w:line="276" w:lineRule="auto"/>
              <w:jc w:val="left"/>
            </w:pPr>
            <w:r>
              <w:rPr>
                <w:b/>
                <w:i w:val="0"/>
                <w:color w:val="FFFFFF"/>
              </w:rPr>
              <w:t>KPIs</w:t>
            </w:r>
          </w:p>
        </w:tc>
      </w:tr>
      <w:tr>
        <w:trPr>
          <w:cantSplit/>
        </w:trPr>
        <w:tc>
          <w:tcPr>
            <w:tcW w:type="dxa" w:w="1984"/>
            <w:vAlign w:val="center"/>
            <w:shd w:fill="FFFFFF"/>
          </w:tcPr>
          <w:p>
            <w:pPr>
              <w:spacing w:after="40" w:line="276" w:lineRule="auto"/>
              <w:jc w:val="left"/>
            </w:pPr>
            <w:r>
              <w:rPr>
                <w:b w:val="0"/>
                <w:i w:val="0"/>
              </w:rPr>
              <w:t>Upgrade to smart infrastructure</w:t>
            </w:r>
          </w:p>
        </w:tc>
        <w:tc>
          <w:tcPr>
            <w:tcW w:type="dxa" w:w="3061"/>
            <w:vAlign w:val="center"/>
            <w:shd w:fill="FFFFFF"/>
          </w:tcPr>
          <w:p>
            <w:pPr>
              <w:spacing w:after="40" w:line="276" w:lineRule="auto"/>
              <w:ind w:left="125" w:hanging="125"/>
              <w:jc w:val="left"/>
            </w:pPr>
            <w:r>
              <w:t xml:space="preserve">• </w:t>
            </w:r>
            <w:r>
              <w:rPr>
                <w:b w:val="0"/>
                <w:i w:val="0"/>
              </w:rPr>
              <w:t>Develop smart classrooms &amp; digital libraries.</w:t>
            </w:r>
          </w:p>
          <w:p>
            <w:pPr>
              <w:spacing w:after="40" w:line="276" w:lineRule="auto"/>
              <w:ind w:left="125" w:hanging="125"/>
              <w:jc w:val="left"/>
            </w:pPr>
            <w:r>
              <w:t xml:space="preserve">• </w:t>
            </w:r>
            <w:r>
              <w:rPr>
                <w:b w:val="0"/>
                <w:i w:val="0"/>
              </w:rPr>
              <w:t>ICT-enabled teaching platforms.</w:t>
            </w:r>
          </w:p>
        </w:tc>
        <w:tc>
          <w:tcPr>
            <w:tcW w:type="dxa" w:w="2211"/>
            <w:vAlign w:val="center"/>
            <w:shd w:fill="FFFFFF"/>
          </w:tcPr>
          <w:p>
            <w:pPr>
              <w:spacing w:after="40" w:line="276" w:lineRule="auto"/>
              <w:jc w:val="left"/>
            </w:pPr>
            <w:r>
              <w:rPr>
                <w:b w:val="0"/>
                <w:i w:val="0"/>
              </w:rPr>
              <w:t>Digitally empowered learning environment.</w:t>
            </w:r>
          </w:p>
        </w:tc>
        <w:tc>
          <w:tcPr>
            <w:tcW w:type="dxa" w:w="2154"/>
            <w:vAlign w:val="center"/>
            <w:shd w:fill="FFFFFF"/>
          </w:tcPr>
          <w:p>
            <w:pPr>
              <w:spacing w:after="40" w:line="276" w:lineRule="auto"/>
              <w:ind w:left="125" w:hanging="125"/>
              <w:jc w:val="left"/>
            </w:pPr>
            <w:r>
              <w:t xml:space="preserve">• </w:t>
            </w:r>
            <w:r>
              <w:rPr>
                <w:b w:val="0"/>
                <w:i w:val="0"/>
              </w:rPr>
              <w:t>% classrooms ICT-enabled (≥80%)</w:t>
            </w:r>
          </w:p>
          <w:p>
            <w:pPr>
              <w:spacing w:after="40" w:line="276" w:lineRule="auto"/>
              <w:ind w:left="125" w:hanging="125"/>
              <w:jc w:val="left"/>
            </w:pPr>
            <w:r>
              <w:t xml:space="preserve">• </w:t>
            </w:r>
            <w:r>
              <w:rPr>
                <w:b w:val="0"/>
                <w:i w:val="0"/>
              </w:rPr>
              <w:t>No. of e-resources accessed.</w:t>
            </w:r>
          </w:p>
        </w:tc>
      </w:tr>
      <w:tr>
        <w:trPr>
          <w:cantSplit/>
        </w:trPr>
        <w:tc>
          <w:tcPr>
            <w:tcW w:type="dxa" w:w="1984"/>
            <w:vAlign w:val="center"/>
            <w:shd w:fill="EDF2F7"/>
          </w:tcPr>
          <w:p>
            <w:pPr>
              <w:spacing w:after="40" w:line="276" w:lineRule="auto"/>
              <w:jc w:val="left"/>
            </w:pPr>
            <w:r>
              <w:rPr>
                <w:b w:val="0"/>
                <w:i w:val="0"/>
              </w:rPr>
              <w:t>Green &amp; sustainable campus</w:t>
            </w:r>
          </w:p>
        </w:tc>
        <w:tc>
          <w:tcPr>
            <w:tcW w:type="dxa" w:w="3061"/>
            <w:vAlign w:val="center"/>
            <w:shd w:fill="EDF2F7"/>
          </w:tcPr>
          <w:p>
            <w:pPr>
              <w:spacing w:after="40" w:line="276" w:lineRule="auto"/>
              <w:ind w:left="125" w:hanging="125"/>
              <w:jc w:val="left"/>
            </w:pPr>
            <w:r>
              <w:t xml:space="preserve">• </w:t>
            </w:r>
            <w:r>
              <w:rPr>
                <w:b w:val="0"/>
                <w:i w:val="0"/>
              </w:rPr>
              <w:t>Implement solar, rainwater harvesting, energy audits.</w:t>
            </w:r>
          </w:p>
          <w:p>
            <w:pPr>
              <w:spacing w:after="40" w:line="276" w:lineRule="auto"/>
              <w:ind w:left="125" w:hanging="125"/>
              <w:jc w:val="left"/>
            </w:pPr>
            <w:r>
              <w:t xml:space="preserve">• </w:t>
            </w:r>
            <w:r>
              <w:rPr>
                <w:b w:val="0"/>
                <w:i w:val="0"/>
              </w:rPr>
              <w:t>Build eco-friendly facilities.</w:t>
            </w:r>
          </w:p>
        </w:tc>
        <w:tc>
          <w:tcPr>
            <w:tcW w:type="dxa" w:w="2211"/>
            <w:vAlign w:val="center"/>
            <w:shd w:fill="EDF2F7"/>
          </w:tcPr>
          <w:p>
            <w:pPr>
              <w:spacing w:after="40" w:line="276" w:lineRule="auto"/>
              <w:jc w:val="left"/>
            </w:pPr>
            <w:r>
              <w:rPr>
                <w:b w:val="0"/>
                <w:i w:val="0"/>
              </w:rPr>
              <w:t>Resilient, sustainable campus aligned with SDG 13.</w:t>
            </w:r>
          </w:p>
        </w:tc>
        <w:tc>
          <w:tcPr>
            <w:tcW w:type="dxa" w:w="2154"/>
            <w:vAlign w:val="center"/>
            <w:shd w:fill="EDF2F7"/>
          </w:tcPr>
          <w:p>
            <w:pPr>
              <w:spacing w:after="40" w:line="276" w:lineRule="auto"/>
              <w:ind w:left="125" w:hanging="125"/>
              <w:jc w:val="left"/>
            </w:pPr>
            <w:r>
              <w:t xml:space="preserve">• </w:t>
            </w:r>
            <w:r>
              <w:rPr>
                <w:b w:val="0"/>
                <w:i w:val="0"/>
              </w:rPr>
              <w:t>% renewable energy use (≥50%).</w:t>
            </w:r>
          </w:p>
          <w:p>
            <w:pPr>
              <w:spacing w:after="40" w:line="276" w:lineRule="auto"/>
              <w:ind w:left="125" w:hanging="125"/>
              <w:jc w:val="left"/>
            </w:pPr>
            <w:r>
              <w:t xml:space="preserve">• </w:t>
            </w:r>
            <w:r>
              <w:rPr>
                <w:b w:val="0"/>
                <w:i w:val="0"/>
              </w:rPr>
              <w:t>Green audit score (≥90%).</w:t>
            </w:r>
          </w:p>
        </w:tc>
      </w:tr>
      <w:tr>
        <w:trPr>
          <w:cantSplit/>
        </w:trPr>
        <w:tc>
          <w:tcPr>
            <w:tcW w:type="dxa" w:w="1984"/>
            <w:vAlign w:val="center"/>
            <w:shd w:fill="FFFFFF"/>
          </w:tcPr>
          <w:p>
            <w:pPr>
              <w:spacing w:after="40" w:line="276" w:lineRule="auto"/>
              <w:jc w:val="left"/>
            </w:pPr>
            <w:r>
              <w:rPr>
                <w:b w:val="0"/>
                <w:i w:val="0"/>
              </w:rPr>
              <w:t>Research &amp; innovation infrastructure</w:t>
            </w:r>
          </w:p>
        </w:tc>
        <w:tc>
          <w:tcPr>
            <w:tcW w:type="dxa" w:w="3061"/>
            <w:vAlign w:val="center"/>
            <w:shd w:fill="FFFFFF"/>
          </w:tcPr>
          <w:p>
            <w:pPr>
              <w:spacing w:after="40" w:line="276" w:lineRule="auto"/>
              <w:ind w:left="125" w:hanging="125"/>
              <w:jc w:val="left"/>
            </w:pPr>
            <w:r>
              <w:t xml:space="preserve">• </w:t>
            </w:r>
            <w:r>
              <w:rPr>
                <w:b w:val="0"/>
                <w:i w:val="0"/>
              </w:rPr>
              <w:t>Establish innovation hubs, incubators, labs.</w:t>
            </w:r>
          </w:p>
          <w:p>
            <w:pPr>
              <w:spacing w:after="40" w:line="276" w:lineRule="auto"/>
              <w:ind w:left="125" w:hanging="125"/>
              <w:jc w:val="left"/>
            </w:pPr>
            <w:r>
              <w:t xml:space="preserve">• </w:t>
            </w:r>
            <w:r>
              <w:rPr>
                <w:b w:val="0"/>
                <w:i w:val="0"/>
              </w:rPr>
              <w:t>Upgrade libraries and CoEs.</w:t>
            </w:r>
          </w:p>
        </w:tc>
        <w:tc>
          <w:tcPr>
            <w:tcW w:type="dxa" w:w="2211"/>
            <w:vAlign w:val="center"/>
            <w:shd w:fill="FFFFFF"/>
          </w:tcPr>
          <w:p>
            <w:pPr>
              <w:spacing w:after="40" w:line="276" w:lineRule="auto"/>
              <w:jc w:val="left"/>
            </w:pPr>
            <w:r>
              <w:rPr>
                <w:b w:val="0"/>
                <w:i w:val="0"/>
              </w:rPr>
              <w:t>World-class infrastructure for knowledge creation.</w:t>
            </w:r>
          </w:p>
        </w:tc>
        <w:tc>
          <w:tcPr>
            <w:tcW w:type="dxa" w:w="2154"/>
            <w:vAlign w:val="center"/>
            <w:shd w:fill="FFFFFF"/>
          </w:tcPr>
          <w:p>
            <w:pPr>
              <w:spacing w:after="40" w:line="276" w:lineRule="auto"/>
              <w:ind w:left="125" w:hanging="125"/>
              <w:jc w:val="left"/>
            </w:pPr>
            <w:r>
              <w:t xml:space="preserve">• </w:t>
            </w:r>
            <w:r>
              <w:rPr>
                <w:b w:val="0"/>
                <w:i w:val="0"/>
              </w:rPr>
              <w:t>No. of CoEs established.</w:t>
            </w:r>
          </w:p>
          <w:p>
            <w:pPr>
              <w:spacing w:after="40" w:line="276" w:lineRule="auto"/>
              <w:ind w:left="125" w:hanging="125"/>
              <w:jc w:val="left"/>
            </w:pPr>
            <w:r>
              <w:t xml:space="preserve">• </w:t>
            </w:r>
            <w:r>
              <w:rPr>
                <w:b w:val="0"/>
                <w:i w:val="0"/>
              </w:rPr>
              <w:t>Industry–academia projects initiated.</w:t>
            </w:r>
          </w:p>
        </w:tc>
      </w:tr>
    </w:tbl>
    <w:p>
      <w:pPr>
        <w:spacing w:after="40"/>
      </w:pPr>
    </w:p>
    <w:p>
      <w:pPr>
        <w:pStyle w:val="Heading2"/>
      </w:pPr>
      <w:r>
        <w:t>3. Governance &amp; Leadership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984"/>
        <w:gridCol w:w="3061"/>
        <w:gridCol w:w="2211"/>
        <w:gridCol w:w="2154"/>
      </w:tblGrid>
      <w:tr>
        <w:trPr>
          <w:tblHeader/>
          <w:cantSplit/>
        </w:trPr>
        <w:tc>
          <w:tcPr>
            <w:tcW w:type="dxa" w:w="1984"/>
            <w:vAlign w:val="center"/>
            <w:shd w:fill="1F3A5F"/>
          </w:tcPr>
          <w:p>
            <w:pPr>
              <w:keepNext/>
              <w:spacing w:after="40" w:line="276" w:lineRule="auto"/>
              <w:jc w:val="left"/>
            </w:pPr>
            <w:r>
              <w:rPr>
                <w:b/>
                <w:i w:val="0"/>
                <w:color w:val="FFFFFF"/>
              </w:rPr>
              <w:t>Policy Direction</w:t>
            </w:r>
          </w:p>
        </w:tc>
        <w:tc>
          <w:tcPr>
            <w:tcW w:type="dxa" w:w="3061"/>
            <w:vAlign w:val="center"/>
            <w:shd w:fill="1F3A5F"/>
          </w:tcPr>
          <w:p>
            <w:pPr>
              <w:keepNext/>
              <w:spacing w:after="40" w:line="276" w:lineRule="auto"/>
              <w:jc w:val="left"/>
            </w:pPr>
            <w:r>
              <w:rPr>
                <w:b/>
                <w:i w:val="0"/>
                <w:color w:val="FFFFFF"/>
              </w:rPr>
              <w:t>Actions</w:t>
            </w:r>
          </w:p>
        </w:tc>
        <w:tc>
          <w:tcPr>
            <w:tcW w:type="dxa" w:w="2211"/>
            <w:vAlign w:val="center"/>
            <w:shd w:fill="1F3A5F"/>
          </w:tcPr>
          <w:p>
            <w:pPr>
              <w:keepNext/>
              <w:spacing w:after="40" w:line="276" w:lineRule="auto"/>
              <w:jc w:val="left"/>
            </w:pPr>
            <w:r>
              <w:rPr>
                <w:b/>
                <w:i w:val="0"/>
                <w:color w:val="FFFFFF"/>
              </w:rPr>
              <w:t>Expected Outcomes</w:t>
            </w:r>
          </w:p>
        </w:tc>
        <w:tc>
          <w:tcPr>
            <w:tcW w:type="dxa" w:w="2154"/>
            <w:vAlign w:val="center"/>
            <w:shd w:fill="1F3A5F"/>
          </w:tcPr>
          <w:p>
            <w:pPr>
              <w:keepNext/>
              <w:spacing w:after="40" w:line="276" w:lineRule="auto"/>
              <w:jc w:val="left"/>
            </w:pPr>
            <w:r>
              <w:rPr>
                <w:b/>
                <w:i w:val="0"/>
                <w:color w:val="FFFFFF"/>
              </w:rPr>
              <w:t>KPIs</w:t>
            </w:r>
          </w:p>
        </w:tc>
      </w:tr>
      <w:tr>
        <w:trPr>
          <w:cantSplit/>
        </w:trPr>
        <w:tc>
          <w:tcPr>
            <w:tcW w:type="dxa" w:w="1984"/>
            <w:vAlign w:val="center"/>
            <w:shd w:fill="FFFFFF"/>
          </w:tcPr>
          <w:p>
            <w:pPr>
              <w:spacing w:after="40" w:line="276" w:lineRule="auto"/>
              <w:jc w:val="left"/>
            </w:pPr>
            <w:r>
              <w:rPr>
                <w:b w:val="0"/>
                <w:i w:val="0"/>
              </w:rPr>
              <w:t>Strengthen governance structures</w:t>
            </w:r>
          </w:p>
        </w:tc>
        <w:tc>
          <w:tcPr>
            <w:tcW w:type="dxa" w:w="3061"/>
            <w:vAlign w:val="center"/>
            <w:shd w:fill="FFFFFF"/>
          </w:tcPr>
          <w:p>
            <w:pPr>
              <w:spacing w:after="40" w:line="276" w:lineRule="auto"/>
              <w:ind w:left="125" w:hanging="125"/>
              <w:jc w:val="left"/>
            </w:pPr>
            <w:r>
              <w:t xml:space="preserve">• </w:t>
            </w:r>
            <w:r>
              <w:rPr>
                <w:b w:val="0"/>
                <w:i w:val="0"/>
              </w:rPr>
              <w:t>Form steering &amp; advisory committees.</w:t>
            </w:r>
          </w:p>
          <w:p>
            <w:pPr>
              <w:spacing w:after="40" w:line="276" w:lineRule="auto"/>
              <w:ind w:left="125" w:hanging="125"/>
              <w:jc w:val="left"/>
            </w:pPr>
            <w:r>
              <w:t xml:space="preserve">• </w:t>
            </w:r>
            <w:r>
              <w:rPr>
                <w:b w:val="0"/>
                <w:i w:val="0"/>
              </w:rPr>
              <w:t>Establish transparent digital governance (ERP).</w:t>
            </w:r>
          </w:p>
        </w:tc>
        <w:tc>
          <w:tcPr>
            <w:tcW w:type="dxa" w:w="2211"/>
            <w:vAlign w:val="center"/>
            <w:shd w:fill="FFFFFF"/>
          </w:tcPr>
          <w:p>
            <w:pPr>
              <w:spacing w:after="40" w:line="276" w:lineRule="auto"/>
              <w:jc w:val="left"/>
            </w:pPr>
            <w:r>
              <w:rPr>
                <w:b w:val="0"/>
                <w:i w:val="0"/>
              </w:rPr>
              <w:t>Agile and accountable decision-making.</w:t>
            </w:r>
          </w:p>
        </w:tc>
        <w:tc>
          <w:tcPr>
            <w:tcW w:type="dxa" w:w="2154"/>
            <w:vAlign w:val="center"/>
            <w:shd w:fill="FFFFFF"/>
          </w:tcPr>
          <w:p>
            <w:pPr>
              <w:spacing w:after="40" w:line="276" w:lineRule="auto"/>
              <w:ind w:left="125" w:hanging="125"/>
              <w:jc w:val="left"/>
            </w:pPr>
            <w:r>
              <w:t xml:space="preserve">• </w:t>
            </w:r>
            <w:r>
              <w:rPr>
                <w:b w:val="0"/>
                <w:i w:val="0"/>
              </w:rPr>
              <w:t>Decision-making turnaround time (≤2 weeks).</w:t>
            </w:r>
          </w:p>
          <w:p>
            <w:pPr>
              <w:spacing w:after="40" w:line="276" w:lineRule="auto"/>
              <w:ind w:left="125" w:hanging="125"/>
              <w:jc w:val="left"/>
            </w:pPr>
            <w:r>
              <w:t xml:space="preserve">• </w:t>
            </w:r>
            <w:r>
              <w:rPr>
                <w:b w:val="0"/>
                <w:i w:val="0"/>
              </w:rPr>
              <w:t>% processes digitized (≥80%).</w:t>
            </w:r>
          </w:p>
        </w:tc>
      </w:tr>
      <w:tr>
        <w:trPr>
          <w:cantSplit/>
        </w:trPr>
        <w:tc>
          <w:tcPr>
            <w:tcW w:type="dxa" w:w="1984"/>
            <w:vAlign w:val="center"/>
            <w:shd w:fill="EDF2F7"/>
          </w:tcPr>
          <w:p>
            <w:pPr>
              <w:spacing w:after="40" w:line="276" w:lineRule="auto"/>
              <w:jc w:val="left"/>
            </w:pPr>
            <w:r>
              <w:rPr>
                <w:b w:val="0"/>
                <w:i w:val="0"/>
              </w:rPr>
              <w:t>Accreditation &amp; quality assurance</w:t>
            </w:r>
          </w:p>
        </w:tc>
        <w:tc>
          <w:tcPr>
            <w:tcW w:type="dxa" w:w="3061"/>
            <w:vAlign w:val="center"/>
            <w:shd w:fill="EDF2F7"/>
          </w:tcPr>
          <w:p>
            <w:pPr>
              <w:spacing w:after="40" w:line="276" w:lineRule="auto"/>
              <w:ind w:left="125" w:hanging="125"/>
              <w:jc w:val="left"/>
            </w:pPr>
            <w:r>
              <w:t xml:space="preserve">• </w:t>
            </w:r>
            <w:r>
              <w:rPr>
                <w:b w:val="0"/>
                <w:i w:val="0"/>
              </w:rPr>
              <w:t>Regular NAAC/​NBA/​NIRF/​ISO compliance reviews.</w:t>
            </w:r>
          </w:p>
          <w:p>
            <w:pPr>
              <w:spacing w:after="40" w:line="276" w:lineRule="auto"/>
              <w:ind w:left="125" w:hanging="125"/>
              <w:jc w:val="left"/>
            </w:pPr>
            <w:r>
              <w:t xml:space="preserve">• </w:t>
            </w:r>
            <w:r>
              <w:rPr>
                <w:b w:val="0"/>
                <w:i w:val="0"/>
              </w:rPr>
              <w:t>Implement IQAC-driven audits.</w:t>
            </w:r>
          </w:p>
        </w:tc>
        <w:tc>
          <w:tcPr>
            <w:tcW w:type="dxa" w:w="2211"/>
            <w:vAlign w:val="center"/>
            <w:shd w:fill="EDF2F7"/>
          </w:tcPr>
          <w:p>
            <w:pPr>
              <w:spacing w:after="40" w:line="276" w:lineRule="auto"/>
              <w:jc w:val="left"/>
            </w:pPr>
            <w:r>
              <w:rPr>
                <w:b w:val="0"/>
                <w:i w:val="0"/>
              </w:rPr>
              <w:t>Improved accreditation ratings and rankings.</w:t>
            </w:r>
          </w:p>
        </w:tc>
        <w:tc>
          <w:tcPr>
            <w:tcW w:type="dxa" w:w="2154"/>
            <w:vAlign w:val="center"/>
            <w:shd w:fill="EDF2F7"/>
          </w:tcPr>
          <w:p>
            <w:pPr>
              <w:spacing w:after="40" w:line="276" w:lineRule="auto"/>
              <w:ind w:left="125" w:hanging="125"/>
              <w:jc w:val="left"/>
            </w:pPr>
            <w:r>
              <w:t xml:space="preserve">• </w:t>
            </w:r>
            <w:r>
              <w:rPr>
                <w:b w:val="0"/>
                <w:i w:val="0"/>
              </w:rPr>
              <w:t>NAAC grade (A++).</w:t>
            </w:r>
          </w:p>
          <w:p>
            <w:pPr>
              <w:spacing w:after="40" w:line="276" w:lineRule="auto"/>
              <w:ind w:left="125" w:hanging="125"/>
              <w:jc w:val="left"/>
            </w:pPr>
            <w:r>
              <w:t xml:space="preserve">• </w:t>
            </w:r>
            <w:r>
              <w:rPr>
                <w:b w:val="0"/>
                <w:i w:val="0"/>
              </w:rPr>
              <w:t>NIRF ranking (Top 50 nationally).</w:t>
            </w:r>
          </w:p>
        </w:tc>
      </w:tr>
      <w:tr>
        <w:trPr>
          <w:cantSplit/>
        </w:trPr>
        <w:tc>
          <w:tcPr>
            <w:tcW w:type="dxa" w:w="1984"/>
            <w:vAlign w:val="center"/>
            <w:shd w:fill="FFFFFF"/>
          </w:tcPr>
          <w:p>
            <w:pPr>
              <w:spacing w:after="40" w:line="276" w:lineRule="auto"/>
              <w:jc w:val="left"/>
            </w:pPr>
            <w:r>
              <w:rPr>
                <w:b w:val="0"/>
                <w:i w:val="0"/>
              </w:rPr>
              <w:t>Leadership development</w:t>
            </w:r>
          </w:p>
        </w:tc>
        <w:tc>
          <w:tcPr>
            <w:tcW w:type="dxa" w:w="3061"/>
            <w:vAlign w:val="center"/>
            <w:shd w:fill="FFFFFF"/>
          </w:tcPr>
          <w:p>
            <w:pPr>
              <w:spacing w:after="40" w:line="276" w:lineRule="auto"/>
              <w:ind w:left="125" w:hanging="125"/>
              <w:jc w:val="left"/>
            </w:pPr>
            <w:r>
              <w:t xml:space="preserve">• </w:t>
            </w:r>
            <w:r>
              <w:rPr>
                <w:b w:val="0"/>
                <w:i w:val="0"/>
              </w:rPr>
              <w:t>Train academic leaders.</w:t>
            </w:r>
          </w:p>
          <w:p>
            <w:pPr>
              <w:spacing w:after="40" w:line="276" w:lineRule="auto"/>
              <w:ind w:left="125" w:hanging="125"/>
              <w:jc w:val="left"/>
            </w:pPr>
            <w:r>
              <w:t xml:space="preserve">• </w:t>
            </w:r>
            <w:r>
              <w:rPr>
                <w:b w:val="0"/>
                <w:i w:val="0"/>
              </w:rPr>
              <w:t>Promote inclusive, participatory decision-making.</w:t>
            </w:r>
          </w:p>
        </w:tc>
        <w:tc>
          <w:tcPr>
            <w:tcW w:type="dxa" w:w="2211"/>
            <w:vAlign w:val="center"/>
            <w:shd w:fill="FFFFFF"/>
          </w:tcPr>
          <w:p>
            <w:pPr>
              <w:spacing w:after="40" w:line="276" w:lineRule="auto"/>
              <w:jc w:val="left"/>
            </w:pPr>
            <w:r>
              <w:rPr>
                <w:b w:val="0"/>
                <w:i w:val="0"/>
              </w:rPr>
              <w:t>Future-ready, visionary leadership.</w:t>
            </w:r>
          </w:p>
        </w:tc>
        <w:tc>
          <w:tcPr>
            <w:tcW w:type="dxa" w:w="2154"/>
            <w:vAlign w:val="center"/>
            <w:shd w:fill="FFFFFF"/>
          </w:tcPr>
          <w:p>
            <w:pPr>
              <w:spacing w:after="40" w:line="276" w:lineRule="auto"/>
              <w:ind w:left="125" w:hanging="125"/>
              <w:jc w:val="left"/>
            </w:pPr>
            <w:r>
              <w:t xml:space="preserve">• </w:t>
            </w:r>
            <w:r>
              <w:rPr>
                <w:b w:val="0"/>
                <w:i w:val="0"/>
              </w:rPr>
              <w:t>No. of leadership programs.</w:t>
            </w:r>
          </w:p>
          <w:p>
            <w:pPr>
              <w:spacing w:after="40" w:line="276" w:lineRule="auto"/>
              <w:ind w:left="125" w:hanging="125"/>
              <w:jc w:val="left"/>
            </w:pPr>
            <w:r>
              <w:t xml:space="preserve">• </w:t>
            </w:r>
            <w:r>
              <w:rPr>
                <w:b w:val="0"/>
                <w:i w:val="0"/>
              </w:rPr>
              <w:t>Stakeholder participation index.</w:t>
            </w:r>
          </w:p>
        </w:tc>
      </w:tr>
    </w:tbl>
    <w:p>
      <w:pPr>
        <w:spacing w:after="40"/>
      </w:pPr>
    </w:p>
    <w:p>
      <w:pPr>
        <w:pStyle w:val="Heading2"/>
      </w:pPr>
      <w:r>
        <w:t>4. Financial Sustainability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984"/>
        <w:gridCol w:w="3061"/>
        <w:gridCol w:w="2211"/>
        <w:gridCol w:w="2154"/>
      </w:tblGrid>
      <w:tr>
        <w:trPr>
          <w:tblHeader/>
          <w:cantSplit/>
        </w:trPr>
        <w:tc>
          <w:tcPr>
            <w:tcW w:type="dxa" w:w="1984"/>
            <w:vAlign w:val="center"/>
            <w:shd w:fill="1F3A5F"/>
          </w:tcPr>
          <w:p>
            <w:pPr>
              <w:keepNext/>
              <w:spacing w:after="40" w:line="276" w:lineRule="auto"/>
              <w:jc w:val="left"/>
            </w:pPr>
            <w:r>
              <w:rPr>
                <w:b/>
                <w:i w:val="0"/>
                <w:color w:val="FFFFFF"/>
              </w:rPr>
              <w:t>Policy Direction</w:t>
            </w:r>
          </w:p>
        </w:tc>
        <w:tc>
          <w:tcPr>
            <w:tcW w:type="dxa" w:w="3061"/>
            <w:vAlign w:val="center"/>
            <w:shd w:fill="1F3A5F"/>
          </w:tcPr>
          <w:p>
            <w:pPr>
              <w:keepNext/>
              <w:spacing w:after="40" w:line="276" w:lineRule="auto"/>
              <w:jc w:val="left"/>
            </w:pPr>
            <w:r>
              <w:rPr>
                <w:b/>
                <w:i w:val="0"/>
                <w:color w:val="FFFFFF"/>
              </w:rPr>
              <w:t>Actions</w:t>
            </w:r>
          </w:p>
        </w:tc>
        <w:tc>
          <w:tcPr>
            <w:tcW w:type="dxa" w:w="2211"/>
            <w:vAlign w:val="center"/>
            <w:shd w:fill="1F3A5F"/>
          </w:tcPr>
          <w:p>
            <w:pPr>
              <w:keepNext/>
              <w:spacing w:after="40" w:line="276" w:lineRule="auto"/>
              <w:jc w:val="left"/>
            </w:pPr>
            <w:r>
              <w:rPr>
                <w:b/>
                <w:i w:val="0"/>
                <w:color w:val="FFFFFF"/>
              </w:rPr>
              <w:t>Expected Outcomes</w:t>
            </w:r>
          </w:p>
        </w:tc>
        <w:tc>
          <w:tcPr>
            <w:tcW w:type="dxa" w:w="2154"/>
            <w:vAlign w:val="center"/>
            <w:shd w:fill="1F3A5F"/>
          </w:tcPr>
          <w:p>
            <w:pPr>
              <w:keepNext/>
              <w:spacing w:after="40" w:line="276" w:lineRule="auto"/>
              <w:jc w:val="left"/>
            </w:pPr>
            <w:r>
              <w:rPr>
                <w:b/>
                <w:i w:val="0"/>
                <w:color w:val="FFFFFF"/>
              </w:rPr>
              <w:t>KPIs</w:t>
            </w:r>
          </w:p>
        </w:tc>
      </w:tr>
      <w:tr>
        <w:trPr>
          <w:cantSplit/>
        </w:trPr>
        <w:tc>
          <w:tcPr>
            <w:tcW w:type="dxa" w:w="1984"/>
            <w:vAlign w:val="center"/>
            <w:shd w:fill="FFFFFF"/>
          </w:tcPr>
          <w:p>
            <w:pPr>
              <w:spacing w:after="40" w:line="276" w:lineRule="auto"/>
              <w:jc w:val="left"/>
            </w:pPr>
            <w:r>
              <w:rPr>
                <w:b w:val="0"/>
                <w:i w:val="0"/>
              </w:rPr>
              <w:t>Diversify revenue streams</w:t>
            </w:r>
          </w:p>
        </w:tc>
        <w:tc>
          <w:tcPr>
            <w:tcW w:type="dxa" w:w="3061"/>
            <w:vAlign w:val="center"/>
            <w:shd w:fill="FFFFFF"/>
          </w:tcPr>
          <w:p>
            <w:pPr>
              <w:spacing w:after="40" w:line="276" w:lineRule="auto"/>
              <w:ind w:left="125" w:hanging="125"/>
              <w:jc w:val="left"/>
            </w:pPr>
            <w:r>
              <w:t xml:space="preserve">• </w:t>
            </w:r>
            <w:r>
              <w:rPr>
                <w:b w:val="0"/>
                <w:i w:val="0"/>
              </w:rPr>
              <w:t>Mobilize CSR, alumni endowments, PPP.</w:t>
            </w:r>
          </w:p>
          <w:p>
            <w:pPr>
              <w:spacing w:after="40" w:line="276" w:lineRule="auto"/>
              <w:ind w:left="125" w:hanging="125"/>
              <w:jc w:val="left"/>
            </w:pPr>
            <w:r>
              <w:t xml:space="preserve">• </w:t>
            </w:r>
            <w:r>
              <w:rPr>
                <w:b w:val="0"/>
                <w:i w:val="0"/>
              </w:rPr>
              <w:t>Expand consultancy and executive education.</w:t>
            </w:r>
          </w:p>
        </w:tc>
        <w:tc>
          <w:tcPr>
            <w:tcW w:type="dxa" w:w="2211"/>
            <w:vAlign w:val="center"/>
            <w:shd w:fill="FFFFFF"/>
          </w:tcPr>
          <w:p>
            <w:pPr>
              <w:spacing w:after="40" w:line="276" w:lineRule="auto"/>
              <w:jc w:val="left"/>
            </w:pPr>
            <w:r>
              <w:rPr>
                <w:b w:val="0"/>
                <w:i w:val="0"/>
              </w:rPr>
              <w:t>Reduced dependency on government grants.</w:t>
            </w:r>
          </w:p>
        </w:tc>
        <w:tc>
          <w:tcPr>
            <w:tcW w:type="dxa" w:w="2154"/>
            <w:vAlign w:val="center"/>
            <w:shd w:fill="FFFFFF"/>
          </w:tcPr>
          <w:p>
            <w:pPr>
              <w:spacing w:after="40" w:line="276" w:lineRule="auto"/>
              <w:ind w:left="125" w:hanging="125"/>
              <w:jc w:val="left"/>
            </w:pPr>
            <w:r>
              <w:t xml:space="preserve">• </w:t>
            </w:r>
            <w:r>
              <w:rPr>
                <w:b w:val="0"/>
                <w:i w:val="0"/>
              </w:rPr>
              <w:t>% non-government revenue (≥40%).</w:t>
            </w:r>
          </w:p>
          <w:p>
            <w:pPr>
              <w:spacing w:after="40" w:line="276" w:lineRule="auto"/>
              <w:ind w:left="125" w:hanging="125"/>
              <w:jc w:val="left"/>
            </w:pPr>
            <w:r>
              <w:t xml:space="preserve">• </w:t>
            </w:r>
            <w:r>
              <w:rPr>
                <w:b w:val="0"/>
                <w:i w:val="0"/>
              </w:rPr>
              <w:t>Alumni/​CSR funds raised annually.</w:t>
            </w:r>
          </w:p>
        </w:tc>
      </w:tr>
      <w:tr>
        <w:trPr>
          <w:cantSplit/>
        </w:trPr>
        <w:tc>
          <w:tcPr>
            <w:tcW w:type="dxa" w:w="1984"/>
            <w:vAlign w:val="center"/>
            <w:shd w:fill="EDF2F7"/>
          </w:tcPr>
          <w:p>
            <w:pPr>
              <w:spacing w:after="40" w:line="276" w:lineRule="auto"/>
              <w:jc w:val="left"/>
            </w:pPr>
            <w:r>
              <w:rPr>
                <w:b w:val="0"/>
                <w:i w:val="0"/>
              </w:rPr>
              <w:t>Optimize resource allocation</w:t>
            </w:r>
          </w:p>
        </w:tc>
        <w:tc>
          <w:tcPr>
            <w:tcW w:type="dxa" w:w="3061"/>
            <w:vAlign w:val="center"/>
            <w:shd w:fill="EDF2F7"/>
          </w:tcPr>
          <w:p>
            <w:pPr>
              <w:spacing w:after="40" w:line="276" w:lineRule="auto"/>
              <w:ind w:left="125" w:hanging="125"/>
              <w:jc w:val="left"/>
            </w:pPr>
            <w:r>
              <w:t xml:space="preserve">• </w:t>
            </w:r>
            <w:r>
              <w:rPr>
                <w:b w:val="0"/>
                <w:i w:val="0"/>
              </w:rPr>
              <w:t>Link budgets to strategic pillars.</w:t>
            </w:r>
          </w:p>
          <w:p>
            <w:pPr>
              <w:spacing w:after="40" w:line="276" w:lineRule="auto"/>
              <w:ind w:left="125" w:hanging="125"/>
              <w:jc w:val="left"/>
            </w:pPr>
            <w:r>
              <w:t xml:space="preserve">• </w:t>
            </w:r>
            <w:r>
              <w:rPr>
                <w:b w:val="0"/>
                <w:i w:val="0"/>
              </w:rPr>
              <w:t>Implement transparent budget monitoring.</w:t>
            </w:r>
          </w:p>
        </w:tc>
        <w:tc>
          <w:tcPr>
            <w:tcW w:type="dxa" w:w="2211"/>
            <w:vAlign w:val="center"/>
            <w:shd w:fill="EDF2F7"/>
          </w:tcPr>
          <w:p>
            <w:pPr>
              <w:spacing w:after="40" w:line="276" w:lineRule="auto"/>
              <w:jc w:val="left"/>
            </w:pPr>
            <w:r>
              <w:rPr>
                <w:b w:val="0"/>
                <w:i w:val="0"/>
              </w:rPr>
              <w:t>Efficient use of institutional resources.</w:t>
            </w:r>
          </w:p>
        </w:tc>
        <w:tc>
          <w:tcPr>
            <w:tcW w:type="dxa" w:w="2154"/>
            <w:vAlign w:val="center"/>
            <w:shd w:fill="EDF2F7"/>
          </w:tcPr>
          <w:p>
            <w:pPr>
              <w:spacing w:after="40" w:line="276" w:lineRule="auto"/>
              <w:ind w:left="125" w:hanging="125"/>
              <w:jc w:val="left"/>
            </w:pPr>
            <w:r>
              <w:t xml:space="preserve">• </w:t>
            </w:r>
            <w:r>
              <w:rPr>
                <w:b w:val="0"/>
                <w:i w:val="0"/>
              </w:rPr>
              <w:t>Budget utilization rate (≥90%).</w:t>
            </w:r>
          </w:p>
          <w:p>
            <w:pPr>
              <w:spacing w:after="40" w:line="276" w:lineRule="auto"/>
              <w:ind w:left="125" w:hanging="125"/>
              <w:jc w:val="left"/>
            </w:pPr>
            <w:r>
              <w:t xml:space="preserve">• </w:t>
            </w:r>
            <w:r>
              <w:rPr>
                <w:b w:val="0"/>
                <w:i w:val="0"/>
              </w:rPr>
              <w:t>Financial risk index (low risk).</w:t>
            </w:r>
          </w:p>
        </w:tc>
      </w:tr>
      <w:tr>
        <w:trPr>
          <w:cantSplit/>
        </w:trPr>
        <w:tc>
          <w:tcPr>
            <w:tcW w:type="dxa" w:w="1984"/>
            <w:vAlign w:val="center"/>
            <w:shd w:fill="FFFFFF"/>
          </w:tcPr>
          <w:p>
            <w:pPr>
              <w:spacing w:after="40" w:line="276" w:lineRule="auto"/>
              <w:jc w:val="left"/>
            </w:pPr>
            <w:r>
              <w:rPr>
                <w:b w:val="0"/>
                <w:i w:val="0"/>
              </w:rPr>
              <w:t>Build financial resilience</w:t>
            </w:r>
          </w:p>
        </w:tc>
        <w:tc>
          <w:tcPr>
            <w:tcW w:type="dxa" w:w="3061"/>
            <w:vAlign w:val="center"/>
            <w:shd w:fill="FFFFFF"/>
          </w:tcPr>
          <w:p>
            <w:pPr>
              <w:spacing w:after="40" w:line="276" w:lineRule="auto"/>
              <w:ind w:left="125" w:hanging="125"/>
              <w:jc w:val="left"/>
            </w:pPr>
            <w:r>
              <w:t xml:space="preserve">• </w:t>
            </w:r>
            <w:r>
              <w:rPr>
                <w:b w:val="0"/>
                <w:i w:val="0"/>
              </w:rPr>
              <w:t>Establish endowment fund.</w:t>
            </w:r>
          </w:p>
          <w:p>
            <w:pPr>
              <w:spacing w:after="40" w:line="276" w:lineRule="auto"/>
              <w:ind w:left="125" w:hanging="125"/>
              <w:jc w:val="left"/>
            </w:pPr>
            <w:r>
              <w:t xml:space="preserve">• </w:t>
            </w:r>
            <w:r>
              <w:rPr>
                <w:b w:val="0"/>
                <w:i w:val="0"/>
              </w:rPr>
              <w:t>Develop revenue-sharing models with industry.</w:t>
            </w:r>
          </w:p>
        </w:tc>
        <w:tc>
          <w:tcPr>
            <w:tcW w:type="dxa" w:w="2211"/>
            <w:vAlign w:val="center"/>
            <w:shd w:fill="FFFFFF"/>
          </w:tcPr>
          <w:p>
            <w:pPr>
              <w:spacing w:after="40" w:line="276" w:lineRule="auto"/>
              <w:jc w:val="left"/>
            </w:pPr>
            <w:r>
              <w:rPr>
                <w:b w:val="0"/>
                <w:i w:val="0"/>
              </w:rPr>
              <w:t>Long-term financial security.</w:t>
            </w:r>
          </w:p>
        </w:tc>
        <w:tc>
          <w:tcPr>
            <w:tcW w:type="dxa" w:w="2154"/>
            <w:vAlign w:val="center"/>
            <w:shd w:fill="FFFFFF"/>
          </w:tcPr>
          <w:p>
            <w:pPr>
              <w:spacing w:after="40" w:line="276" w:lineRule="auto"/>
              <w:ind w:left="125" w:hanging="125"/>
              <w:jc w:val="left"/>
            </w:pPr>
            <w:r>
              <w:t xml:space="preserve">• </w:t>
            </w:r>
            <w:r>
              <w:rPr>
                <w:b w:val="0"/>
                <w:i w:val="0"/>
              </w:rPr>
              <w:t>Endowment growth rate (≥10% annually).</w:t>
            </w:r>
          </w:p>
        </w:tc>
      </w:tr>
    </w:tbl>
    <w:p>
      <w:pPr>
        <w:spacing w:after="40"/>
      </w:pPr>
    </w:p>
    <w:p>
      <w:pPr>
        <w:pStyle w:val="Heading2"/>
      </w:pPr>
      <w:r>
        <w:t>5. Community Engagement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984"/>
        <w:gridCol w:w="3061"/>
        <w:gridCol w:w="2211"/>
        <w:gridCol w:w="2154"/>
      </w:tblGrid>
      <w:tr>
        <w:trPr>
          <w:tblHeader/>
          <w:cantSplit/>
        </w:trPr>
        <w:tc>
          <w:tcPr>
            <w:tcW w:type="dxa" w:w="1984"/>
            <w:vAlign w:val="center"/>
            <w:shd w:fill="1F3A5F"/>
          </w:tcPr>
          <w:p>
            <w:pPr>
              <w:keepNext/>
              <w:spacing w:after="40" w:line="276" w:lineRule="auto"/>
              <w:jc w:val="left"/>
            </w:pPr>
            <w:r>
              <w:rPr>
                <w:b/>
                <w:i w:val="0"/>
                <w:color w:val="FFFFFF"/>
              </w:rPr>
              <w:t>Policy Direction</w:t>
            </w:r>
          </w:p>
        </w:tc>
        <w:tc>
          <w:tcPr>
            <w:tcW w:type="dxa" w:w="3061"/>
            <w:vAlign w:val="center"/>
            <w:shd w:fill="1F3A5F"/>
          </w:tcPr>
          <w:p>
            <w:pPr>
              <w:keepNext/>
              <w:spacing w:after="40" w:line="276" w:lineRule="auto"/>
              <w:jc w:val="left"/>
            </w:pPr>
            <w:r>
              <w:rPr>
                <w:b/>
                <w:i w:val="0"/>
                <w:color w:val="FFFFFF"/>
              </w:rPr>
              <w:t>Actions</w:t>
            </w:r>
          </w:p>
        </w:tc>
        <w:tc>
          <w:tcPr>
            <w:tcW w:type="dxa" w:w="2211"/>
            <w:vAlign w:val="center"/>
            <w:shd w:fill="1F3A5F"/>
          </w:tcPr>
          <w:p>
            <w:pPr>
              <w:keepNext/>
              <w:spacing w:after="40" w:line="276" w:lineRule="auto"/>
              <w:jc w:val="left"/>
            </w:pPr>
            <w:r>
              <w:rPr>
                <w:b/>
                <w:i w:val="0"/>
                <w:color w:val="FFFFFF"/>
              </w:rPr>
              <w:t>Expected Outcomes</w:t>
            </w:r>
          </w:p>
        </w:tc>
        <w:tc>
          <w:tcPr>
            <w:tcW w:type="dxa" w:w="2154"/>
            <w:vAlign w:val="center"/>
            <w:shd w:fill="1F3A5F"/>
          </w:tcPr>
          <w:p>
            <w:pPr>
              <w:keepNext/>
              <w:spacing w:after="40" w:line="276" w:lineRule="auto"/>
              <w:jc w:val="left"/>
            </w:pPr>
            <w:r>
              <w:rPr>
                <w:b/>
                <w:i w:val="0"/>
                <w:color w:val="FFFFFF"/>
              </w:rPr>
              <w:t>KPIs</w:t>
            </w:r>
          </w:p>
        </w:tc>
      </w:tr>
      <w:tr>
        <w:trPr>
          <w:cantSplit/>
        </w:trPr>
        <w:tc>
          <w:tcPr>
            <w:tcW w:type="dxa" w:w="1984"/>
            <w:vAlign w:val="center"/>
            <w:shd w:fill="FFFFFF"/>
          </w:tcPr>
          <w:p>
            <w:pPr>
              <w:spacing w:after="40" w:line="276" w:lineRule="auto"/>
              <w:jc w:val="left"/>
            </w:pPr>
            <w:r>
              <w:rPr>
                <w:b w:val="0"/>
                <w:i w:val="0"/>
              </w:rPr>
              <w:t>Institutional Social Responsibility (ISR)</w:t>
            </w:r>
          </w:p>
        </w:tc>
        <w:tc>
          <w:tcPr>
            <w:tcW w:type="dxa" w:w="3061"/>
            <w:vAlign w:val="center"/>
            <w:shd w:fill="FFFFFF"/>
          </w:tcPr>
          <w:p>
            <w:pPr>
              <w:spacing w:after="40" w:line="276" w:lineRule="auto"/>
              <w:ind w:left="125" w:hanging="125"/>
              <w:jc w:val="left"/>
            </w:pPr>
            <w:r>
              <w:t xml:space="preserve">• </w:t>
            </w:r>
            <w:r>
              <w:rPr>
                <w:b w:val="0"/>
                <w:i w:val="0"/>
              </w:rPr>
              <w:t>Launch literacy, health, sustainability programs.</w:t>
            </w:r>
          </w:p>
          <w:p>
            <w:pPr>
              <w:spacing w:after="40" w:line="276" w:lineRule="auto"/>
              <w:ind w:left="125" w:hanging="125"/>
              <w:jc w:val="left"/>
            </w:pPr>
            <w:r>
              <w:t xml:space="preserve">• </w:t>
            </w:r>
            <w:r>
              <w:rPr>
                <w:b w:val="0"/>
                <w:i w:val="0"/>
              </w:rPr>
              <w:t>Partner with NGOs &amp; local bodies.</w:t>
            </w:r>
          </w:p>
        </w:tc>
        <w:tc>
          <w:tcPr>
            <w:tcW w:type="dxa" w:w="2211"/>
            <w:vAlign w:val="center"/>
            <w:shd w:fill="FFFFFF"/>
          </w:tcPr>
          <w:p>
            <w:pPr>
              <w:spacing w:after="40" w:line="276" w:lineRule="auto"/>
              <w:jc w:val="left"/>
            </w:pPr>
            <w:r>
              <w:rPr>
                <w:b w:val="0"/>
                <w:i w:val="0"/>
              </w:rPr>
              <w:t>Strong social footprint &amp; inclusive development.</w:t>
            </w:r>
          </w:p>
        </w:tc>
        <w:tc>
          <w:tcPr>
            <w:tcW w:type="dxa" w:w="2154"/>
            <w:vAlign w:val="center"/>
            <w:shd w:fill="FFFFFF"/>
          </w:tcPr>
          <w:p>
            <w:pPr>
              <w:spacing w:after="40" w:line="276" w:lineRule="auto"/>
              <w:ind w:left="125" w:hanging="125"/>
              <w:jc w:val="left"/>
            </w:pPr>
            <w:r>
              <w:t xml:space="preserve">• </w:t>
            </w:r>
            <w:r>
              <w:rPr>
                <w:b w:val="0"/>
                <w:i w:val="0"/>
              </w:rPr>
              <w:t>% students in ISR (≥80%)</w:t>
            </w:r>
          </w:p>
          <w:p>
            <w:pPr>
              <w:spacing w:after="40" w:line="276" w:lineRule="auto"/>
              <w:ind w:left="125" w:hanging="125"/>
              <w:jc w:val="left"/>
            </w:pPr>
            <w:r>
              <w:t xml:space="preserve">• </w:t>
            </w:r>
            <w:r>
              <w:rPr>
                <w:b w:val="0"/>
                <w:i w:val="0"/>
              </w:rPr>
              <w:t>No. of ISR projects/​year.</w:t>
            </w:r>
          </w:p>
        </w:tc>
      </w:tr>
      <w:tr>
        <w:trPr>
          <w:cantSplit/>
        </w:trPr>
        <w:tc>
          <w:tcPr>
            <w:tcW w:type="dxa" w:w="1984"/>
            <w:vAlign w:val="center"/>
            <w:shd w:fill="EDF2F7"/>
          </w:tcPr>
          <w:p>
            <w:pPr>
              <w:spacing w:after="40" w:line="276" w:lineRule="auto"/>
              <w:jc w:val="left"/>
            </w:pPr>
            <w:r>
              <w:rPr>
                <w:b w:val="0"/>
                <w:i w:val="0"/>
              </w:rPr>
              <w:t>SDG-aligned outreach</w:t>
            </w:r>
          </w:p>
        </w:tc>
        <w:tc>
          <w:tcPr>
            <w:tcW w:type="dxa" w:w="3061"/>
            <w:vAlign w:val="center"/>
            <w:shd w:fill="EDF2F7"/>
          </w:tcPr>
          <w:p>
            <w:pPr>
              <w:spacing w:after="40" w:line="276" w:lineRule="auto"/>
              <w:ind w:left="125" w:hanging="125"/>
              <w:jc w:val="left"/>
            </w:pPr>
            <w:r>
              <w:t xml:space="preserve">• </w:t>
            </w:r>
            <w:r>
              <w:rPr>
                <w:b w:val="0"/>
                <w:i w:val="0"/>
              </w:rPr>
              <w:t>Map projects to SDGs (3, 4, 7, 13).</w:t>
            </w:r>
          </w:p>
          <w:p>
            <w:pPr>
              <w:spacing w:after="40" w:line="276" w:lineRule="auto"/>
              <w:ind w:left="125" w:hanging="125"/>
              <w:jc w:val="left"/>
            </w:pPr>
            <w:r>
              <w:t xml:space="preserve">• </w:t>
            </w:r>
            <w:r>
              <w:rPr>
                <w:b w:val="0"/>
                <w:i w:val="0"/>
              </w:rPr>
              <w:t>Publish annual SDG impact reports.</w:t>
            </w:r>
          </w:p>
        </w:tc>
        <w:tc>
          <w:tcPr>
            <w:tcW w:type="dxa" w:w="2211"/>
            <w:vAlign w:val="center"/>
            <w:shd w:fill="EDF2F7"/>
          </w:tcPr>
          <w:p>
            <w:pPr>
              <w:spacing w:after="40" w:line="276" w:lineRule="auto"/>
              <w:jc w:val="left"/>
            </w:pPr>
            <w:r>
              <w:rPr>
                <w:b w:val="0"/>
                <w:i w:val="0"/>
              </w:rPr>
              <w:t>Contribution to national &amp; global goals.</w:t>
            </w:r>
          </w:p>
        </w:tc>
        <w:tc>
          <w:tcPr>
            <w:tcW w:type="dxa" w:w="2154"/>
            <w:vAlign w:val="center"/>
            <w:shd w:fill="EDF2F7"/>
          </w:tcPr>
          <w:p>
            <w:pPr>
              <w:spacing w:after="40" w:line="276" w:lineRule="auto"/>
              <w:ind w:left="125" w:hanging="125"/>
              <w:jc w:val="left"/>
            </w:pPr>
            <w:r>
              <w:t xml:space="preserve">• </w:t>
            </w:r>
            <w:r>
              <w:rPr>
                <w:b w:val="0"/>
                <w:i w:val="0"/>
              </w:rPr>
              <w:t>% projects SDG-linked (≥80%)</w:t>
            </w:r>
          </w:p>
          <w:p>
            <w:pPr>
              <w:spacing w:after="40" w:line="276" w:lineRule="auto"/>
              <w:ind w:left="125" w:hanging="125"/>
              <w:jc w:val="left"/>
            </w:pPr>
            <w:r>
              <w:t xml:space="preserve">• </w:t>
            </w:r>
            <w:r>
              <w:rPr>
                <w:b w:val="0"/>
                <w:i w:val="0"/>
              </w:rPr>
              <w:t>Beneficiaries impacted/​year (≥10,000).</w:t>
            </w:r>
          </w:p>
        </w:tc>
      </w:tr>
      <w:tr>
        <w:trPr>
          <w:cantSplit/>
        </w:trPr>
        <w:tc>
          <w:tcPr>
            <w:tcW w:type="dxa" w:w="1984"/>
            <w:vAlign w:val="center"/>
            <w:shd w:fill="FFFFFF"/>
          </w:tcPr>
          <w:p>
            <w:pPr>
              <w:spacing w:after="40" w:line="276" w:lineRule="auto"/>
              <w:jc w:val="left"/>
            </w:pPr>
            <w:r>
              <w:rPr>
                <w:b w:val="0"/>
                <w:i w:val="0"/>
              </w:rPr>
              <w:t>Service-learning integration</w:t>
            </w:r>
          </w:p>
        </w:tc>
        <w:tc>
          <w:tcPr>
            <w:tcW w:type="dxa" w:w="3061"/>
            <w:vAlign w:val="center"/>
            <w:shd w:fill="FFFFFF"/>
          </w:tcPr>
          <w:p>
            <w:pPr>
              <w:spacing w:after="40" w:line="276" w:lineRule="auto"/>
              <w:ind w:left="125" w:hanging="125"/>
              <w:jc w:val="left"/>
            </w:pPr>
            <w:r>
              <w:t xml:space="preserve">• </w:t>
            </w:r>
            <w:r>
              <w:rPr>
                <w:b w:val="0"/>
                <w:i w:val="0"/>
              </w:rPr>
              <w:t>Include service-learning in curriculum.</w:t>
            </w:r>
          </w:p>
          <w:p>
            <w:pPr>
              <w:spacing w:after="40" w:line="276" w:lineRule="auto"/>
              <w:ind w:left="125" w:hanging="125"/>
              <w:jc w:val="left"/>
            </w:pPr>
            <w:r>
              <w:t xml:space="preserve">• </w:t>
            </w:r>
            <w:r>
              <w:rPr>
                <w:b w:val="0"/>
                <w:i w:val="0"/>
              </w:rPr>
              <w:t>Credit-linked community projects.</w:t>
            </w:r>
          </w:p>
        </w:tc>
        <w:tc>
          <w:tcPr>
            <w:tcW w:type="dxa" w:w="2211"/>
            <w:vAlign w:val="center"/>
            <w:shd w:fill="FFFFFF"/>
          </w:tcPr>
          <w:p>
            <w:pPr>
              <w:spacing w:after="40" w:line="276" w:lineRule="auto"/>
              <w:jc w:val="left"/>
            </w:pPr>
            <w:r>
              <w:rPr>
                <w:b w:val="0"/>
                <w:i w:val="0"/>
              </w:rPr>
              <w:t>Students gain civic and social responsibility.</w:t>
            </w:r>
          </w:p>
        </w:tc>
        <w:tc>
          <w:tcPr>
            <w:tcW w:type="dxa" w:w="2154"/>
            <w:vAlign w:val="center"/>
            <w:shd w:fill="FFFFFF"/>
          </w:tcPr>
          <w:p>
            <w:pPr>
              <w:spacing w:after="40" w:line="276" w:lineRule="auto"/>
              <w:ind w:left="125" w:hanging="125"/>
              <w:jc w:val="left"/>
            </w:pPr>
            <w:r>
              <w:t xml:space="preserve">• </w:t>
            </w:r>
            <w:r>
              <w:rPr>
                <w:b w:val="0"/>
                <w:i w:val="0"/>
              </w:rPr>
              <w:t>% programs with service-learning.</w:t>
            </w:r>
          </w:p>
          <w:p>
            <w:pPr>
              <w:spacing w:after="40" w:line="276" w:lineRule="auto"/>
              <w:ind w:left="125" w:hanging="125"/>
              <w:jc w:val="left"/>
            </w:pPr>
            <w:r>
              <w:t xml:space="preserve">• </w:t>
            </w:r>
            <w:r>
              <w:rPr>
                <w:b w:val="0"/>
                <w:i w:val="0"/>
              </w:rPr>
              <w:t>Student satisfaction in ISR (≥85%).</w:t>
            </w:r>
          </w:p>
        </w:tc>
      </w:tr>
    </w:tbl>
    <w:p>
      <w:pPr>
        <w:spacing w:after="40"/>
      </w:pPr>
    </w:p>
    <w:p>
      <w:pPr>
        <w:pStyle w:val="Heading2"/>
      </w:pPr>
      <w:r>
        <w:t>6. Internationalization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65" w:type="dxa"/>
          <w:right w:w="65" w:type="dxa"/>
        </w:tblCellMar>
      </w:tblPr>
      <w:tblGrid>
        <w:gridCol w:w="1984"/>
        <w:gridCol w:w="3061"/>
        <w:gridCol w:w="2211"/>
        <w:gridCol w:w="2154"/>
      </w:tblGrid>
      <w:tr>
        <w:trPr>
          <w:tblHeader/>
          <w:cantSplit/>
        </w:trPr>
        <w:tc>
          <w:tcPr>
            <w:tcW w:type="dxa" w:w="1984"/>
            <w:vAlign w:val="center"/>
            <w:shd w:fill="1F3A5F"/>
          </w:tcPr>
          <w:p>
            <w:pPr>
              <w:keepNext/>
              <w:spacing w:after="40" w:line="276" w:lineRule="auto"/>
              <w:jc w:val="left"/>
            </w:pPr>
            <w:r>
              <w:rPr>
                <w:b/>
                <w:i w:val="0"/>
                <w:color w:val="FFFFFF"/>
              </w:rPr>
              <w:t>Policy Direction</w:t>
            </w:r>
          </w:p>
        </w:tc>
        <w:tc>
          <w:tcPr>
            <w:tcW w:type="dxa" w:w="3061"/>
            <w:vAlign w:val="center"/>
            <w:shd w:fill="1F3A5F"/>
          </w:tcPr>
          <w:p>
            <w:pPr>
              <w:keepNext/>
              <w:spacing w:after="40" w:line="276" w:lineRule="auto"/>
              <w:jc w:val="left"/>
            </w:pPr>
            <w:r>
              <w:rPr>
                <w:b/>
                <w:i w:val="0"/>
                <w:color w:val="FFFFFF"/>
              </w:rPr>
              <w:t>Actions</w:t>
            </w:r>
          </w:p>
        </w:tc>
        <w:tc>
          <w:tcPr>
            <w:tcW w:type="dxa" w:w="2211"/>
            <w:vAlign w:val="center"/>
            <w:shd w:fill="1F3A5F"/>
          </w:tcPr>
          <w:p>
            <w:pPr>
              <w:keepNext/>
              <w:spacing w:after="40" w:line="276" w:lineRule="auto"/>
              <w:jc w:val="left"/>
            </w:pPr>
            <w:r>
              <w:rPr>
                <w:b/>
                <w:i w:val="0"/>
                <w:color w:val="FFFFFF"/>
              </w:rPr>
              <w:t>Expected Outcomes</w:t>
            </w:r>
          </w:p>
        </w:tc>
        <w:tc>
          <w:tcPr>
            <w:tcW w:type="dxa" w:w="2154"/>
            <w:vAlign w:val="center"/>
            <w:shd w:fill="1F3A5F"/>
          </w:tcPr>
          <w:p>
            <w:pPr>
              <w:keepNext/>
              <w:spacing w:after="40" w:line="276" w:lineRule="auto"/>
              <w:jc w:val="left"/>
            </w:pPr>
            <w:r>
              <w:rPr>
                <w:b/>
                <w:i w:val="0"/>
                <w:color w:val="FFFFFF"/>
              </w:rPr>
              <w:t>KPIs</w:t>
            </w:r>
          </w:p>
        </w:tc>
      </w:tr>
      <w:tr>
        <w:trPr>
          <w:cantSplit/>
        </w:trPr>
        <w:tc>
          <w:tcPr>
            <w:tcW w:type="dxa" w:w="1984"/>
            <w:vAlign w:val="center"/>
            <w:shd w:fill="FFFFFF"/>
          </w:tcPr>
          <w:p>
            <w:pPr>
              <w:spacing w:after="40" w:line="276" w:lineRule="auto"/>
              <w:jc w:val="left"/>
            </w:pPr>
            <w:r>
              <w:rPr>
                <w:b w:val="0"/>
                <w:i w:val="0"/>
              </w:rPr>
              <w:t>Strengthen global partnerships</w:t>
            </w:r>
          </w:p>
        </w:tc>
        <w:tc>
          <w:tcPr>
            <w:tcW w:type="dxa" w:w="3061"/>
            <w:vAlign w:val="center"/>
            <w:shd w:fill="FFFFFF"/>
          </w:tcPr>
          <w:p>
            <w:pPr>
              <w:spacing w:after="40" w:line="276" w:lineRule="auto"/>
              <w:ind w:left="125" w:hanging="125"/>
              <w:jc w:val="left"/>
            </w:pPr>
            <w:r>
              <w:t xml:space="preserve">• </w:t>
            </w:r>
            <w:r>
              <w:rPr>
                <w:b w:val="0"/>
                <w:i w:val="0"/>
              </w:rPr>
              <w:t>Sign MoUs with QS Top 500 institutions.</w:t>
            </w:r>
          </w:p>
          <w:p>
            <w:pPr>
              <w:spacing w:after="40" w:line="276" w:lineRule="auto"/>
              <w:ind w:left="125" w:hanging="125"/>
              <w:jc w:val="left"/>
            </w:pPr>
            <w:r>
              <w:t xml:space="preserve">• </w:t>
            </w:r>
            <w:r>
              <w:rPr>
                <w:b w:val="0"/>
                <w:i w:val="0"/>
              </w:rPr>
              <w:t>Launch joint research &amp; dual-degree programs.</w:t>
            </w:r>
          </w:p>
        </w:tc>
        <w:tc>
          <w:tcPr>
            <w:tcW w:type="dxa" w:w="2211"/>
            <w:vAlign w:val="center"/>
            <w:shd w:fill="FFFFFF"/>
          </w:tcPr>
          <w:p>
            <w:pPr>
              <w:spacing w:after="40" w:line="276" w:lineRule="auto"/>
              <w:jc w:val="left"/>
            </w:pPr>
            <w:r>
              <w:rPr>
                <w:b w:val="0"/>
                <w:i w:val="0"/>
              </w:rPr>
              <w:t>Enhanced global visibility and collaborations.</w:t>
            </w:r>
          </w:p>
        </w:tc>
        <w:tc>
          <w:tcPr>
            <w:tcW w:type="dxa" w:w="2154"/>
            <w:vAlign w:val="center"/>
            <w:shd w:fill="FFFFFF"/>
          </w:tcPr>
          <w:p>
            <w:pPr>
              <w:spacing w:after="40" w:line="276" w:lineRule="auto"/>
              <w:ind w:left="125" w:hanging="125"/>
              <w:jc w:val="left"/>
            </w:pPr>
            <w:r>
              <w:t xml:space="preserve">• </w:t>
            </w:r>
            <w:r>
              <w:rPr>
                <w:b w:val="0"/>
                <w:i w:val="0"/>
              </w:rPr>
              <w:t>No. of MoUs signed (≥25).</w:t>
            </w:r>
          </w:p>
          <w:p>
            <w:pPr>
              <w:spacing w:after="40" w:line="276" w:lineRule="auto"/>
              <w:ind w:left="125" w:hanging="125"/>
              <w:jc w:val="left"/>
            </w:pPr>
            <w:r>
              <w:t xml:space="preserve">• </w:t>
            </w:r>
            <w:r>
              <w:rPr>
                <w:b w:val="0"/>
                <w:i w:val="0"/>
              </w:rPr>
              <w:t>No. of joint programs initiated.</w:t>
            </w:r>
          </w:p>
        </w:tc>
      </w:tr>
      <w:tr>
        <w:trPr>
          <w:cantSplit/>
        </w:trPr>
        <w:tc>
          <w:tcPr>
            <w:tcW w:type="dxa" w:w="1984"/>
            <w:vAlign w:val="center"/>
            <w:shd w:fill="EDF2F7"/>
          </w:tcPr>
          <w:p>
            <w:pPr>
              <w:spacing w:after="40" w:line="276" w:lineRule="auto"/>
              <w:jc w:val="left"/>
            </w:pPr>
            <w:r>
              <w:rPr>
                <w:b w:val="0"/>
                <w:i w:val="0"/>
              </w:rPr>
              <w:t>Expand student &amp; faculty mobility</w:t>
            </w:r>
          </w:p>
        </w:tc>
        <w:tc>
          <w:tcPr>
            <w:tcW w:type="dxa" w:w="3061"/>
            <w:vAlign w:val="center"/>
            <w:shd w:fill="EDF2F7"/>
          </w:tcPr>
          <w:p>
            <w:pPr>
              <w:spacing w:after="40" w:line="276" w:lineRule="auto"/>
              <w:ind w:left="125" w:hanging="125"/>
              <w:jc w:val="left"/>
            </w:pPr>
            <w:r>
              <w:t xml:space="preserve">• </w:t>
            </w:r>
            <w:r>
              <w:rPr>
                <w:b w:val="0"/>
                <w:i w:val="0"/>
              </w:rPr>
              <w:t>Exchange programs &amp; internships abroad.</w:t>
            </w:r>
          </w:p>
          <w:p>
            <w:pPr>
              <w:spacing w:after="40" w:line="276" w:lineRule="auto"/>
              <w:ind w:left="125" w:hanging="125"/>
              <w:jc w:val="left"/>
            </w:pPr>
            <w:r>
              <w:t xml:space="preserve">• </w:t>
            </w:r>
            <w:r>
              <w:rPr>
                <w:b w:val="0"/>
                <w:i w:val="0"/>
              </w:rPr>
              <w:t>Faculty visits and sabbaticals.</w:t>
            </w:r>
          </w:p>
        </w:tc>
        <w:tc>
          <w:tcPr>
            <w:tcW w:type="dxa" w:w="2211"/>
            <w:vAlign w:val="center"/>
            <w:shd w:fill="EDF2F7"/>
          </w:tcPr>
          <w:p>
            <w:pPr>
              <w:spacing w:after="40" w:line="276" w:lineRule="auto"/>
              <w:jc w:val="left"/>
            </w:pPr>
            <w:r>
              <w:rPr>
                <w:b w:val="0"/>
                <w:i w:val="0"/>
              </w:rPr>
              <w:t>Improved global exposure and competitiveness.</w:t>
            </w:r>
          </w:p>
        </w:tc>
        <w:tc>
          <w:tcPr>
            <w:tcW w:type="dxa" w:w="2154"/>
            <w:vAlign w:val="center"/>
            <w:shd w:fill="EDF2F7"/>
          </w:tcPr>
          <w:p>
            <w:pPr>
              <w:spacing w:after="40" w:line="276" w:lineRule="auto"/>
              <w:ind w:left="125" w:hanging="125"/>
              <w:jc w:val="left"/>
            </w:pPr>
            <w:r>
              <w:t xml:space="preserve">• </w:t>
            </w:r>
            <w:r>
              <w:rPr>
                <w:b w:val="0"/>
                <w:i w:val="0"/>
              </w:rPr>
              <w:t>No. of students/​faculty in exchanges (≥200/​year).</w:t>
            </w:r>
          </w:p>
        </w:tc>
      </w:tr>
      <w:tr>
        <w:trPr>
          <w:cantSplit/>
        </w:trPr>
        <w:tc>
          <w:tcPr>
            <w:tcW w:type="dxa" w:w="1984"/>
            <w:vAlign w:val="center"/>
            <w:shd w:fill="FFFFFF"/>
          </w:tcPr>
          <w:p>
            <w:pPr>
              <w:spacing w:after="40" w:line="276" w:lineRule="auto"/>
              <w:jc w:val="left"/>
            </w:pPr>
            <w:r>
              <w:rPr>
                <w:b w:val="0"/>
                <w:i w:val="0"/>
              </w:rPr>
              <w:t>Improve global rankings</w:t>
            </w:r>
          </w:p>
        </w:tc>
        <w:tc>
          <w:tcPr>
            <w:tcW w:type="dxa" w:w="3061"/>
            <w:vAlign w:val="center"/>
            <w:shd w:fill="FFFFFF"/>
          </w:tcPr>
          <w:p>
            <w:pPr>
              <w:spacing w:after="40" w:line="276" w:lineRule="auto"/>
              <w:ind w:left="125" w:hanging="125"/>
              <w:jc w:val="left"/>
            </w:pPr>
            <w:r>
              <w:t xml:space="preserve">• </w:t>
            </w:r>
            <w:r>
              <w:rPr>
                <w:b w:val="0"/>
                <w:i w:val="0"/>
              </w:rPr>
              <w:t>Apply for QS/​THE rankings.</w:t>
            </w:r>
          </w:p>
          <w:p>
            <w:pPr>
              <w:spacing w:after="40" w:line="276" w:lineRule="auto"/>
              <w:ind w:left="125" w:hanging="125"/>
              <w:jc w:val="left"/>
            </w:pPr>
            <w:r>
              <w:t xml:space="preserve">• </w:t>
            </w:r>
            <w:r>
              <w:rPr>
                <w:b w:val="0"/>
                <w:i w:val="0"/>
              </w:rPr>
              <w:t>Benchmark with international peers.</w:t>
            </w:r>
          </w:p>
        </w:tc>
        <w:tc>
          <w:tcPr>
            <w:tcW w:type="dxa" w:w="2211"/>
            <w:vAlign w:val="center"/>
            <w:shd w:fill="FFFFFF"/>
          </w:tcPr>
          <w:p>
            <w:pPr>
              <w:spacing w:after="40" w:line="276" w:lineRule="auto"/>
              <w:jc w:val="left"/>
            </w:pPr>
            <w:r>
              <w:rPr>
                <w:b w:val="0"/>
                <w:i w:val="0"/>
              </w:rPr>
              <w:t>Recognition as globally competitive HEI.</w:t>
            </w:r>
          </w:p>
        </w:tc>
        <w:tc>
          <w:tcPr>
            <w:tcW w:type="dxa" w:w="2154"/>
            <w:vAlign w:val="center"/>
            <w:shd w:fill="FFFFFF"/>
          </w:tcPr>
          <w:p>
            <w:pPr>
              <w:spacing w:after="40" w:line="276" w:lineRule="auto"/>
              <w:ind w:left="125" w:hanging="125"/>
              <w:jc w:val="left"/>
            </w:pPr>
            <w:r>
              <w:t xml:space="preserve">• </w:t>
            </w:r>
            <w:r>
              <w:rPr>
                <w:b w:val="0"/>
                <w:i w:val="0"/>
              </w:rPr>
              <w:t>QS/​THE rank (Top 400 by 2040).</w:t>
            </w:r>
          </w:p>
        </w:tc>
      </w:tr>
    </w:tbl>
    <w:p>
      <w:pPr>
        <w:spacing w:after="40"/>
      </w:pPr>
    </w:p>
    <w:p>
      <w:pPr>
        <w:pStyle w:val="Heading1"/>
      </w:pPr>
      <w:r>
        <w:t>24. References</w:t>
      </w:r>
    </w:p>
    <w:p>
      <w:pPr>
        <w:spacing w:after="160"/>
      </w:pPr>
      <w:r>
        <w:rPr>
          <w:b/>
          <w:i w:val="0"/>
        </w:rPr>
        <w:t>NBA</w:t>
      </w:r>
    </w:p>
    <w:p>
      <w:pPr>
        <w:spacing w:after="160"/>
      </w:pPr>
      <w:r>
        <w:rPr>
          <w:b/>
          <w:i w:val="0"/>
        </w:rPr>
        <w:t>1. NBA Accreditation Process for Tier-I Institutions — Criterion 1:</w:t>
      </w:r>
      <w:r>
        <w:rPr>
          <w:b/>
          <w:i w:val="0"/>
        </w:rPr>
        <w:t xml:space="preserve"> Outcome-Based Curriculum: Vision, Mission, PEOs, Curriculum Structure, CO–PO–PSO Mapping, and Articulation Framework, Kindle Edition, ASIN: B0FPDCG13D https://amzn.in/d/4fcc0jE</w:t>
      </w:r>
    </w:p>
    <w:p>
      <w:pPr>
        <w:spacing w:after="160"/>
      </w:pPr>
      <w:r>
        <w:rPr>
          <w:b/>
          <w:i w:val="0"/>
        </w:rPr>
        <w:t>2. NBA Accreditation Process for Tier-I Institutions — Criterion 2:</w:t>
      </w:r>
      <w:r>
        <w:rPr>
          <w:b/>
          <w:i w:val="0"/>
        </w:rPr>
        <w:t xml:space="preserve"> Outcome-Based Teaching—Learning (OBTL): A Framework of Systematic Processes, Evidence-Based Practices, and CQI in OBE Kindle Edition, ASIN: B0FPG4KFB1 https://amzn.in/d/g1bchNl</w:t>
      </w:r>
    </w:p>
    <w:p>
      <w:pPr>
        <w:spacing w:after="160"/>
      </w:pPr>
      <w:r>
        <w:rPr>
          <w:b/>
          <w:i w:val="0"/>
        </w:rPr>
        <w:t>3. NBA Accreditation Process for Tier-I Institutions — Criterion 3:</w:t>
      </w:r>
      <w:r>
        <w:rPr>
          <w:b/>
          <w:i w:val="0"/>
        </w:rPr>
        <w:t xml:space="preserve"> Outcome-Based Assessment: Framework for Evaluating COs, POs, and PSOs in Compliance with NBA Accreditation Standards, Kindle Edition, ASIN: B0FQBQ21S1 https://amzn.in/d/a2nGhnx</w:t>
      </w:r>
    </w:p>
    <w:p>
      <w:pPr>
        <w:spacing w:after="160"/>
      </w:pPr>
      <w:r>
        <w:rPr>
          <w:b/>
          <w:i w:val="0"/>
        </w:rPr>
        <w:t>4. NBA Accreditation Process for Tier-I Institutions — Criterion 4:</w:t>
      </w:r>
      <w:r>
        <w:rPr>
          <w:b/>
          <w:i w:val="0"/>
        </w:rPr>
        <w:t xml:space="preserve"> Students' Performance: Evaluating Enrolment, Academic Success, and Career Outcomes in Higher Education, Kindle Edition, ASIN: B0FR3JHMXS https://amzn.in/d/dry9IRW</w:t>
      </w:r>
    </w:p>
    <w:p>
      <w:pPr>
        <w:spacing w:after="160"/>
      </w:pPr>
      <w:r>
        <w:rPr>
          <w:b/>
          <w:i w:val="0"/>
        </w:rPr>
        <w:t>5. NBA Accreditation Process for Tier-I Institutions — Criterion 5:</w:t>
      </w:r>
      <w:r>
        <w:rPr>
          <w:b/>
          <w:i w:val="0"/>
        </w:rPr>
        <w:t xml:space="preserve"> Faculty Information: Evaluating Faculty Strength, Qualifications, and Development in Higher Education Institutions, Kindle Edition, ASIN: B0FR3DBZ3B https://amzn.in/d/a1344li</w:t>
      </w:r>
    </w:p>
    <w:p>
      <w:pPr>
        <w:spacing w:after="160"/>
      </w:pPr>
      <w:r>
        <w:rPr>
          <w:b/>
          <w:i w:val="0"/>
        </w:rPr>
        <w:t>6. NBA Accreditation Process for Tier-I Institutions — Criterion 6:</w:t>
      </w:r>
      <w:r>
        <w:rPr>
          <w:b/>
          <w:i w:val="0"/>
        </w:rPr>
        <w:t xml:space="preserve"> Faculty Contribution: Recognizing Professional Development, Research, and Institutional Growth, Kindle Edition, ASIN: B0FR1JLR73 https://amzn.in/d/98KXO4k</w:t>
      </w:r>
    </w:p>
    <w:p>
      <w:pPr>
        <w:spacing w:after="160"/>
      </w:pPr>
      <w:r>
        <w:rPr>
          <w:b/>
          <w:i w:val="0"/>
        </w:rPr>
        <w:t>7. NBA Accreditation Process for Tier-I Institutions—Criterion 7:</w:t>
      </w:r>
      <w:r>
        <w:rPr>
          <w:b/>
          <w:i w:val="0"/>
        </w:rPr>
        <w:t xml:space="preserve"> Facilities and Technical Support: A Comprehensive Guide to Facilities, Laboratories, and Technical Support in Accreditation, Kindle Edition, ASIN: B0FQPHYBRC https://amzn.in/d/9kAkdLZ</w:t>
      </w:r>
    </w:p>
    <w:p>
      <w:pPr>
        <w:spacing w:after="160"/>
      </w:pPr>
      <w:r>
        <w:rPr>
          <w:b/>
          <w:i w:val="0"/>
        </w:rPr>
        <w:t>8. NBA Accreditation Process for Tier-I Institutions — Criterion 8:</w:t>
      </w:r>
      <w:r>
        <w:rPr>
          <w:b/>
          <w:i w:val="0"/>
        </w:rPr>
        <w:t xml:space="preserve"> Continuous Improvement: Closing the Loop in Outcome-Based Education for Quality Enhancement, Kindle Edition, ASIN: B0FQJ75CNV https://amzn.in/d/1Vco5Ye</w:t>
      </w:r>
    </w:p>
    <w:p>
      <w:pPr>
        <w:spacing w:after="160"/>
      </w:pPr>
      <w:r>
        <w:rPr>
          <w:b/>
          <w:i w:val="0"/>
        </w:rPr>
        <w:t>9. NBA Accreditation Process for Tier-I Institutions — Criterion 9:</w:t>
      </w:r>
      <w:r>
        <w:rPr>
          <w:b/>
          <w:i w:val="0"/>
        </w:rPr>
        <w:t xml:space="preserve"> Student Support System and Governance: A Framework for Student Support, Governance, and Institutional Accountability in HEIs, Kindle Edition, ASIN: B0FQJ2KHPC https://amzn.in/d/dYBQik0</w:t>
      </w:r>
    </w:p>
    <w:p>
      <w:pPr>
        <w:spacing w:after="160"/>
      </w:pPr>
      <w:r>
        <w:rPr>
          <w:b/>
          <w:i w:val="0"/>
        </w:rPr>
        <w:t>NAAC</w:t>
      </w:r>
    </w:p>
    <w:p>
      <w:pPr>
        <w:spacing w:after="160"/>
      </w:pPr>
      <w:r>
        <w:rPr>
          <w:b/>
          <w:i w:val="0"/>
        </w:rPr>
        <w:t>10. Curricular Aspects under NAAC Accreditation — Criterion 1 for Higher Education Institutions:</w:t>
      </w:r>
      <w:r>
        <w:rPr>
          <w:b/>
          <w:i w:val="0"/>
        </w:rPr>
        <w:t xml:space="preserve"> Ensuring Academic Flexibility, Curriculum Enrichment, and Alignment with NEP 2020 Kindle Edition, ASIN: B0FPR342MM https://amzn.in/d/0S10khp</w:t>
      </w:r>
    </w:p>
    <w:p>
      <w:pPr>
        <w:spacing w:after="160"/>
      </w:pPr>
      <w:r>
        <w:rPr>
          <w:b/>
          <w:i w:val="0"/>
        </w:rPr>
        <w:t>11. Comprehensive Guide for Teaching-Learning and Evaluation under NAAC Accreditation — Criterion 2 for Higher Education Institutions Kindle Edition, ASIN: B0FPRBZ2JH https://amzn.in/d/37Ltl4z</w:t>
      </w:r>
    </w:p>
    <w:p>
      <w:pPr>
        <w:spacing w:after="160"/>
      </w:pPr>
      <w:r>
        <w:rPr>
          <w:b/>
          <w:i w:val="0"/>
        </w:rPr>
        <w:t>12. Comprehensive Guide for Research, Innovations, and Extension under NAAC Accreditation — Criterion 3 for Higher Education Institutions: Quality Assurance in Research, Innovation, and Extension, Kindle Edition, ASIN: B0FR9GFTST https://amzn.in/d/06MFYRq</w:t>
      </w:r>
    </w:p>
    <w:p>
      <w:pPr>
        <w:spacing w:after="160"/>
      </w:pPr>
      <w:r>
        <w:rPr>
          <w:b/>
          <w:i w:val="0"/>
        </w:rPr>
        <w:t>13. Comprehensive Guide for Infrastructure and Learning Resources under NAAC Accreditation — Criterion 4 for Higher Education Institutions: Sustainable, Inclusive, and Future-Ready Learning Ecosystems, Kindle Edition, ASIN: B0FRFFRDPB https://amzn.in/d/5xlUunj</w:t>
      </w:r>
    </w:p>
    <w:p>
      <w:pPr>
        <w:spacing w:after="160"/>
      </w:pPr>
      <w:r>
        <w:rPr>
          <w:b/>
          <w:i w:val="0"/>
        </w:rPr>
        <w:t>14. Comprehensive Guide for Student Support and Progression under NAAC Accreditation — Criterion 5 for Higher Education Institutions, Kindle Edition, ASIN: B0FRDZKYNG https://amzn.in/d/3zP8hvF</w:t>
      </w:r>
    </w:p>
    <w:p>
      <w:pPr>
        <w:spacing w:after="160"/>
      </w:pPr>
      <w:r>
        <w:rPr>
          <w:b/>
          <w:i w:val="0"/>
        </w:rPr>
        <w:t>15. Comprehensive Guide for Governance, Leadership and Management under NAAC Accreditation — Criterion 6 for Higher Education Institutions, Kindle Edition, ASIN: B0FR8KKXS4 https://amzn.in/d/5dscvoN</w:t>
      </w:r>
    </w:p>
    <w:p>
      <w:pPr>
        <w:spacing w:after="160"/>
      </w:pPr>
      <w:r>
        <w:rPr>
          <w:b/>
          <w:i w:val="0"/>
        </w:rPr>
        <w:t>16. Comprehensive Guide for Institutional Values and Best Practices under NAAC Accreditation — Criterion 7 for Higher Education Institutions: Frameworks, Case Studies, and Evidence for Quality Assurance, Kindle Edition, ASIN: B0FR7WJQJ2 https://amzn.in/d/6gMGSy4</w:t>
      </w:r>
    </w:p>
    <w:p>
      <w:pPr>
        <w:spacing w:after="160"/>
      </w:pPr>
      <w:r>
        <w:rPr>
          <w:b/>
          <w:i w:val="0"/>
        </w:rPr>
        <w:t>QS I GUAGE</w:t>
      </w:r>
    </w:p>
    <w:p>
      <w:pPr>
        <w:spacing w:after="160"/>
      </w:pPr>
      <w:r>
        <w:rPr>
          <w:b/>
          <w:i w:val="0"/>
        </w:rPr>
        <w:t>17. QS I-GAUGE:</w:t>
      </w:r>
      <w:r>
        <w:rPr>
          <w:b/>
          <w:i w:val="0"/>
        </w:rPr>
        <w:t xml:space="preserve"> An Independent Rating Framework for Indian Higher Education, Kindle Edition, ASIN: B0FN4WBGLT https://amzn.in/d/2mlYiez</w:t>
      </w:r>
    </w:p>
    <w:p>
      <w:pPr>
        <w:spacing w:after="160"/>
      </w:pPr>
      <w:r>
        <w:rPr>
          <w:b/>
          <w:i w:val="0"/>
        </w:rPr>
        <w:t>NIRF</w:t>
      </w:r>
    </w:p>
    <w:p>
      <w:pPr>
        <w:spacing w:after="160"/>
      </w:pPr>
      <w:r>
        <w:rPr>
          <w:b/>
          <w:i w:val="0"/>
        </w:rPr>
        <w:t>18. National Institutional Ranking Framework (NIRF):</w:t>
      </w:r>
      <w:r>
        <w:rPr>
          <w:b/>
          <w:i w:val="0"/>
        </w:rPr>
        <w:t xml:space="preserve"> Transforming Indian Higher Education: A Comprehensive Analysis of Methodology, Parameters, and Impact, Kindle Edition, ASIN: B0FQ5MNVGR https://amzn.in/d/hhrZvux</w:t>
      </w:r>
    </w:p>
    <w:p>
      <w:pPr>
        <w:spacing w:after="160"/>
      </w:pPr>
      <w:r>
        <w:rPr>
          <w:b/>
          <w:i w:val="0"/>
        </w:rPr>
        <w:t>NEP2020</w:t>
      </w:r>
    </w:p>
    <w:p>
      <w:pPr>
        <w:spacing w:after="160"/>
      </w:pPr>
      <w:r>
        <w:rPr>
          <w:b/>
          <w:i w:val="0"/>
        </w:rPr>
        <w:t>19. National Education Policy 2020:</w:t>
      </w:r>
      <w:r>
        <w:rPr>
          <w:b/>
          <w:i w:val="0"/>
        </w:rPr>
        <w:t xml:space="preserve"> A Transformative Roadmap for Holistic, Inclusive, and Future-Ready Learning in India, Kindle Edition, ASIN: B0F1L321B6 https://amzn.in/d/euglo4v</w:t>
      </w:r>
    </w:p>
    <w:p>
      <w:pPr>
        <w:spacing w:after="160"/>
      </w:pPr>
      <w:r>
        <w:rPr>
          <w:b/>
          <w:i w:val="0"/>
        </w:rPr>
        <w:t>IQAC</w:t>
      </w:r>
    </w:p>
    <w:p>
      <w:pPr>
        <w:spacing w:after="160"/>
      </w:pPr>
      <w:r>
        <w:rPr>
          <w:b/>
          <w:i w:val="0"/>
        </w:rPr>
        <w:t>20. Internal Quality Assurance Cell (IQAC):</w:t>
      </w:r>
      <w:r>
        <w:rPr>
          <w:b/>
          <w:i w:val="0"/>
        </w:rPr>
        <w:t xml:space="preserve"> A Framework for Sustaining and Enhancing Quality in Higher Education Kindle Edition, ASIN: B0FPLRX4YF https://amzn.in/d/8n5aQRb</w:t>
      </w:r>
    </w:p>
    <w:p>
      <w:pPr>
        <w:spacing w:after="160"/>
      </w:pPr>
      <w:r>
        <w:rPr>
          <w:b/>
          <w:i w:val="0"/>
        </w:rPr>
        <w:t>21. Systematic and Transparent Feedback Mechanism in Higher Education Institutions:</w:t>
      </w:r>
      <w:r>
        <w:rPr>
          <w:b/>
          <w:i w:val="0"/>
        </w:rPr>
        <w:t xml:space="preserve"> Ensuring Continuous Quality Improvement (CQI) and Strengthening NAAC/NBA Accreditation Kindle Edition, ASIN: B0FPGJ77RC, https://amzn.in/d/emeRiJ3</w:t>
      </w:r>
    </w:p>
    <w:p>
      <w:pPr>
        <w:spacing w:after="160"/>
      </w:pPr>
      <w:r>
        <w:rPr>
          <w:b/>
          <w:i w:val="0"/>
        </w:rPr>
        <w:t>22. Qualitative Metrics (QlM) and Quantitative Metrics (QnM) in Higher Educational Institutions (HEIs): As Applied in NAAC, NBA, and NIRF Frameworks, Kindle Edition, ASIN: B0F6CR212X https://amzn.in/d/gUWl02e</w:t>
      </w:r>
    </w:p>
    <w:p>
      <w:pPr>
        <w:spacing w:after="160"/>
      </w:pPr>
      <w:r>
        <w:rPr>
          <w:b/>
          <w:i w:val="0"/>
        </w:rPr>
        <w:t>23. Statutory and Non-Statutory Committees in Higher Educational Institutions (HEIs):</w:t>
      </w:r>
      <w:r>
        <w:rPr>
          <w:b/>
          <w:i w:val="0"/>
        </w:rPr>
        <w:t xml:space="preserve"> Mandatory by regulatory bodies like AICTE, UGC, NAAC, NBA, etc. Kindle Edition, ASIN: B0F7GHJ863 https://amzn.in/d/gf0LiBn</w:t>
      </w:r>
    </w:p>
    <w:p>
      <w:pPr>
        <w:spacing w:after="160"/>
      </w:pPr>
      <w:r>
        <w:rPr>
          <w:b/>
          <w:i w:val="0"/>
        </w:rPr>
        <w:t>24. Empowering Academic Skilling and Mathematical Modelling through Technical Computing Languages in Higher Education Institutions, Kindle Edition, ASIN: B0FC7TNZNG https://amzn.in/d/brllQwZ</w:t>
      </w:r>
    </w:p>
    <w:p>
      <w:pPr>
        <w:spacing w:after="160"/>
      </w:pPr>
      <w:r>
        <w:rPr>
          <w:b/>
          <w:i w:val="0"/>
        </w:rPr>
        <w:t>25. Research and Development Transformation in Higher Education Institutions, Kindle Edition, ASIN:</w:t>
      </w:r>
      <w:r>
        <w:rPr>
          <w:b/>
          <w:i w:val="0"/>
        </w:rPr>
        <w:t xml:space="preserve"> B0FB9QFS88 https://amzn.in/d/1uOQZ0o</w:t>
      </w:r>
    </w:p>
    <w:p>
      <w:pPr>
        <w:spacing w:after="160"/>
      </w:pPr>
      <w:r>
        <w:rPr>
          <w:b/>
          <w:i w:val="0"/>
        </w:rPr>
        <w:t>26. Institutional Development Plans in Higher Education:</w:t>
      </w:r>
      <w:r>
        <w:rPr>
          <w:b/>
          <w:i w:val="0"/>
        </w:rPr>
        <w:t xml:space="preserve"> Empowering Institutions for the 21st Century Kindle Edition, ASIN: B0FDBV6D47 https://amzn.in/d/ckm98I2</w:t>
      </w:r>
    </w:p>
    <w:p>
      <w:pPr>
        <w:spacing w:after="160"/>
      </w:pPr>
      <w:r>
        <w:rPr>
          <w:b/>
          <w:i w:val="0"/>
        </w:rPr>
        <w:t>27. Comprehensive Academic System in Higher Education Institutions, Kindle Edition, ASIN:</w:t>
      </w:r>
      <w:r>
        <w:rPr>
          <w:b/>
          <w:i w:val="0"/>
        </w:rPr>
        <w:t xml:space="preserve"> B0FF2HDMSG https://amzn.in/d/dbPMaVL</w:t>
      </w:r>
    </w:p>
    <w:p>
      <w:pPr>
        <w:spacing w:after="160"/>
      </w:pPr>
      <w:r>
        <w:rPr>
          <w:b/>
          <w:i w:val="0"/>
        </w:rPr>
        <w:t>28. Structured Approaches to Teaching, Learning, and Student Engagement in HEIs, Kindle Edition, ASIN: B0DB8QK1B4 https://amzn.in/d/7iNZrQo</w:t>
      </w:r>
    </w:p>
    <w:p>
      <w:pPr>
        <w:spacing w:after="160"/>
      </w:pPr>
      <w:r>
        <w:rPr>
          <w:b/>
          <w:i w:val="0"/>
        </w:rPr>
        <w:t>29. Admission Process in Indian Higher Education:</w:t>
      </w:r>
      <w:r>
        <w:rPr>
          <w:b/>
          <w:i w:val="0"/>
        </w:rPr>
        <w:t xml:space="preserve"> A Comprehensive Institutional Guide Kindle Edition, ASIN: B0FFNCPP6P, https://amzn.in/d/0XO6APq</w:t>
      </w:r>
    </w:p>
    <w:p>
      <w:pPr>
        <w:spacing w:after="160"/>
      </w:pPr>
      <w:r>
        <w:rPr>
          <w:b/>
          <w:i w:val="0"/>
        </w:rPr>
        <w:t>30. Strategic Implementation of Best Practices in HEIs:</w:t>
      </w:r>
      <w:r>
        <w:rPr>
          <w:b/>
          <w:i w:val="0"/>
        </w:rPr>
        <w:t xml:space="preserve"> Enhancing Quality, Innovation, and Impact, Kindle Edition, ASIN: B0CZP85QK7 https://amzn.in/d/5ui5Lkb</w:t>
      </w:r>
    </w:p>
    <w:p>
      <w:pPr>
        <w:spacing w:after="160"/>
      </w:pPr>
      <w:r>
        <w:rPr>
          <w:b/>
          <w:i w:val="0"/>
        </w:rPr>
        <w:t>31. Outcome-Based Education in Higher Learning:</w:t>
      </w:r>
      <w:r>
        <w:rPr>
          <w:b/>
          <w:i w:val="0"/>
        </w:rPr>
        <w:t xml:space="preserve"> Philosophy, Design, and Impact, Kindle Edition, ASIN: B0FPCB5GHH https://amzn.in/d/3oGmnue</w:t>
      </w:r>
    </w:p>
    <w:p>
      <w:pPr>
        <w:spacing w:after="160"/>
      </w:pPr>
      <w:r>
        <w:rPr>
          <w:b/>
          <w:i w:val="0"/>
        </w:rPr>
        <w:t>32. Holistic Performance Appraisal and Development:</w:t>
      </w:r>
      <w:r>
        <w:rPr>
          <w:b/>
          <w:i w:val="0"/>
        </w:rPr>
        <w:t xml:space="preserve"> Driving Continuous Quality in Higher Education Institutions, Kindle Edition, ASIN: B0FQN2S8WH https://amzn.in/d/bipHsu8</w:t>
      </w:r>
    </w:p>
    <w:p>
      <w:pPr>
        <w:spacing w:after="160"/>
      </w:pPr>
      <w:r>
        <w:rPr>
          <w:b/>
          <w:i w:val="0"/>
        </w:rPr>
        <w:t>33. Comprehensive Code of Ethics and Conduct for Students in Higher Education Institutions, Kindle Edition, ASIN: B0FQS7V248 https://amzn.in/d/6ifKQnl</w:t>
      </w:r>
    </w:p>
    <w:p>
      <w:pPr>
        <w:spacing w:after="160"/>
      </w:pPr>
      <w:r>
        <w:rPr>
          <w:b/>
          <w:i w:val="0"/>
        </w:rPr>
        <w:t>34. Industry Internship Program:</w:t>
      </w:r>
      <w:r>
        <w:rPr>
          <w:b/>
          <w:i w:val="0"/>
        </w:rPr>
        <w:t xml:space="preserve"> Structure, Guidelines, and Evaluation Framework: Enhancing Employability and Industry Linkages in HEIs, Kindle Edition, ASIN: B0FQLF8385 https://amzn.in/d/8scRAll</w:t>
      </w:r>
    </w:p>
    <w:p>
      <w:pPr>
        <w:spacing w:after="160"/>
      </w:pPr>
      <w:r>
        <w:rPr>
          <w:b/>
          <w:i w:val="0"/>
        </w:rPr>
        <w:t>35. Energy Management and Audit in Indian Educational Institutions:</w:t>
      </w:r>
      <w:r>
        <w:rPr>
          <w:b/>
          <w:i w:val="0"/>
        </w:rPr>
        <w:t xml:space="preserve"> A Blueprint for Sustainable Growth: Mapping Institutional Energy Management to NAAC Criteria, SDG Goals, and QS I-GAUGE Standards, Kindle Edition, ASIN: B0FQZNSBJ5 https://amzn.in/d/eKx5NC9</w:t>
      </w:r>
    </w:p>
    <w:p>
      <w:pPr>
        <w:spacing w:after="160"/>
      </w:pPr>
      <w:r>
        <w:rPr>
          <w:b/>
          <w:i w:val="0"/>
        </w:rPr>
        <w:t>36. Financial Operations and Management Policy in Higher Education Institutions:</w:t>
      </w:r>
      <w:r>
        <w:rPr>
          <w:b/>
          <w:i w:val="0"/>
        </w:rPr>
        <w:t xml:space="preserve"> A Comprehensive Framework Linking Finance Policy to NAAC, NBA, NIRF, QS I-GAUGE, and SDGs, Kindle Edition, ASIN: B0FR1P216J https://amzn.in/d/8st88zc</w:t>
      </w:r>
    </w:p>
    <w:p>
      <w:pPr>
        <w:spacing w:after="160"/>
      </w:pPr>
      <w:r>
        <w:rPr>
          <w:b/>
          <w:i w:val="0"/>
        </w:rPr>
        <w:t>37. Comprehensive Policy Framework for Sustainable Water Management, Conservation, and Auditing in Higher Education Institutions, Kindle Edition, ASIN: B0FR31X1BC https://amzn.in/d/3i40Lf1</w:t>
      </w:r>
    </w:p>
    <w:p>
      <w:pPr>
        <w:spacing w:after="160"/>
      </w:pPr>
      <w:r>
        <w:rPr>
          <w:b/>
          <w:i w:val="0"/>
        </w:rPr>
        <w:t>38. Comprehensive Framework for Student Grievance, Counselling, Anti-Ragging, and Internal Complaints in HEIs: Mapping Student Support and Protection Mechanisms to NAAC, NBA, NIRF, QS I-GAUGE, and SDGs, Kindle Edition, ASIN: B0FR58L1G8 https://amzn.in/d/gXvdCpx</w:t>
      </w:r>
    </w:p>
    <w:p>
      <w:pPr>
        <w:spacing w:after="160"/>
      </w:pPr>
      <w:r>
        <w:rPr>
          <w:b/>
          <w:i w:val="0"/>
        </w:rPr>
        <w:t>39. Student Affairs Policy for Higher Education Institutions (HEIs):</w:t>
      </w:r>
      <w:r>
        <w:rPr>
          <w:b/>
          <w:i w:val="0"/>
        </w:rPr>
        <w:t xml:space="preserve"> Aligning Student Development with NAAC, NBA, NIRF, QS I-GAUGE, and SDG Standards, Kindle Edition, ASIN: B0FR4GW6RB https://amzn.in/d/2zTHV0B</w:t>
      </w:r>
    </w:p>
    <w:p>
      <w:pPr>
        <w:spacing w:after="160"/>
      </w:pPr>
      <w:r>
        <w:rPr>
          <w:b/>
          <w:i w:val="0"/>
        </w:rPr>
        <w:t>40. Extension and Outreach Services in Higher Education:</w:t>
      </w:r>
      <w:r>
        <w:rPr>
          <w:b/>
          <w:i w:val="0"/>
        </w:rPr>
        <w:t xml:space="preserve"> Leadership, Governance, and Community Engagement Strategies, Kindle Edition, ASIN: B0FRLHXR1G, https://amzn.in/d/9NE2wGs</w:t>
      </w:r>
    </w:p>
    <w:p>
      <w:pPr>
        <w:spacing w:after="160"/>
      </w:pPr>
      <w:r>
        <w:rPr>
          <w:b/>
          <w:i w:val="0"/>
        </w:rPr>
        <w:t>41. Central Library:</w:t>
      </w:r>
      <w:r>
        <w:rPr>
          <w:b/>
          <w:i w:val="0"/>
        </w:rPr>
        <w:t xml:space="preserve"> Policies, Procedures, and Best Practices in Higher Education Institutions: Aligning with NAAC, NIRF, NBA, and QS-I Gauge Standards, Kindle Edition, ASIN: B0FRMKX2BX https://amzn.in/d/9Qfr8S0</w:t>
      </w:r>
    </w:p>
    <w:p>
      <w:pPr>
        <w:spacing w:after="160"/>
      </w:pPr>
      <w:r>
        <w:rPr>
          <w:b/>
          <w:i w:val="0"/>
        </w:rPr>
        <w:t>42. Institutional Policy on Publishing in Higher Education Institutions:</w:t>
      </w:r>
      <w:r>
        <w:rPr>
          <w:b/>
          <w:i w:val="0"/>
        </w:rPr>
        <w:t xml:space="preserve"> Frameworks, Standards, and Best Practices for NAAC, NBA, NIRF, and QS I-GAUGE Compliance, Kindle Edition, ASIN: B0FRRBM6HD https://amzn.in/d/0bYPpGu</w:t>
      </w:r>
    </w:p>
    <w:p>
      <w:pPr>
        <w:spacing w:after="160"/>
      </w:pPr>
      <w:r>
        <w:rPr>
          <w:b/>
          <w:i w:val="0"/>
        </w:rPr>
        <w:t>43. IT Services in Higher Education Institutions (HEIs):</w:t>
      </w:r>
      <w:r>
        <w:rPr>
          <w:b/>
          <w:i w:val="0"/>
        </w:rPr>
        <w:t xml:space="preserve"> Policies, Registers, and Best Practices: Aligning IT Services in HEIs with NAAC, NBA, NIRF, and QS I-GAUGE Accreditation Frameworks, Kindle Edition, ASIN: B0FRRD3W8C https://amzn.in/d/5wXPUFs</w:t>
      </w:r>
    </w:p>
    <w:p>
      <w:pPr>
        <w:spacing w:after="160"/>
      </w:pPr>
      <w:r>
        <w:rPr>
          <w:b/>
          <w:i w:val="0"/>
        </w:rPr>
        <w:t>44. Physical Facilities, Maintenance, and Construction in Higher Education Institutions (HEIs):</w:t>
      </w:r>
      <w:r>
        <w:rPr>
          <w:b/>
          <w:i w:val="0"/>
        </w:rPr>
        <w:t xml:space="preserve"> Registers, Audit Frameworks, and Accreditation Evidence for NAAC, NIRF, QS I.GAUGE, and NBA, Kindle Edition, ASIN: B0FRYFGLHC https://amzn.in/d/fdm0ipL</w:t>
      </w:r>
    </w:p>
    <w:p>
      <w:pPr>
        <w:spacing w:after="160"/>
      </w:pPr>
      <w:r>
        <w:rPr>
          <w:b/>
          <w:i w:val="0"/>
        </w:rPr>
        <w:t>45. Dean of Planning &amp; Development (DoPD):</w:t>
      </w:r>
      <w:r>
        <w:rPr>
          <w:b/>
          <w:i w:val="0"/>
        </w:rPr>
        <w:t xml:space="preserve"> Architect of Institutional Growth in Higher Education: Institutional Planning, Sustainability, and Accreditation Alignment with NAAC, NBA, NIRF, and QS I-GAUGE, Kindle Edition, ASIN: B0FRZZGMF8 https://amzn.in/d/cbSxKTJ</w:t>
      </w:r>
    </w:p>
    <w:p>
      <w:pPr>
        <w:spacing w:after="160"/>
      </w:pPr>
      <w:r>
        <w:rPr>
          <w:b/>
          <w:i w:val="0"/>
        </w:rPr>
        <w:t>46. Dean — IQA and Ranking (DoIQAR):</w:t>
      </w:r>
      <w:r>
        <w:rPr>
          <w:b/>
          <w:i w:val="0"/>
        </w:rPr>
        <w:t xml:space="preserve"> Leadership in Accreditation, Quality Assurance, and Global Benchmarking in Higher Education: Mapping of DoIQAR &amp; Associate Deans to NBA, NAAC, NIRF, and QS I-GAUGE, Kindle Edition, ASIN: B0FS5W7JYP https://amzn.in/d/aqwihkT</w:t>
      </w:r>
    </w:p>
    <w:p>
      <w:pPr>
        <w:spacing w:after="160"/>
      </w:pPr>
      <w:r>
        <w:rPr>
          <w:b/>
          <w:i w:val="0"/>
        </w:rPr>
        <w:t>47. Dean — Research &amp; Development (R&amp;D):</w:t>
      </w:r>
      <w:r>
        <w:rPr>
          <w:b/>
          <w:i w:val="0"/>
        </w:rPr>
        <w:t xml:space="preserve"> Leadership in Knowledge Creation and Innovation in Higher Education: Mapping of R&amp;D Leadership to NBA, NAAC, NIRF, and QS I-GAUGE, Kindle Edition, ASIN: B0FS5K7G27 https://amzn.in/d/9Ffi30s</w:t>
      </w:r>
    </w:p>
    <w:p>
      <w:pPr>
        <w:spacing w:after="160"/>
      </w:pPr>
      <w:r>
        <w:rPr>
          <w:b/>
          <w:i w:val="0"/>
        </w:rPr>
        <w:t>48. Dean of Academic Affairs:</w:t>
      </w:r>
      <w:r>
        <w:rPr>
          <w:b/>
          <w:i w:val="0"/>
        </w:rPr>
        <w:t xml:space="preserve"> Custodian of Academic Excellence: The Role of the Dean and Associate Deans in Governance, Quality, and Global Benchmarks, Kindle Edition, ASIN: B0FRY8N2SD https://amzn.in/d/6Fh0u3l</w:t>
      </w:r>
    </w:p>
    <w:p>
      <w:pPr>
        <w:spacing w:after="160"/>
      </w:pPr>
      <w:r>
        <w:rPr>
          <w:b/>
          <w:i w:val="0"/>
        </w:rPr>
        <w:t>SDG</w:t>
      </w:r>
    </w:p>
    <w:p>
      <w:pPr>
        <w:spacing w:after="160"/>
      </w:pPr>
      <w:r>
        <w:rPr>
          <w:b/>
          <w:i w:val="0"/>
        </w:rPr>
        <w:t>49. SDG-1:</w:t>
      </w:r>
      <w:r>
        <w:rPr>
          <w:b/>
          <w:i w:val="0"/>
        </w:rPr>
        <w:t xml:space="preserve"> No Poverty in Higher Education Institutions: Aligning with NAAC, NIRF, NBA, and QS I-GAUGE Frameworks, Kindle Edition, ASIN: B0FRYTT6B1 https://amzn.in/d/1oTu188</w:t>
      </w:r>
    </w:p>
    <w:p>
      <w:pPr>
        <w:spacing w:after="160"/>
      </w:pPr>
      <w:r>
        <w:rPr>
          <w:b/>
          <w:i w:val="0"/>
        </w:rPr>
        <w:t>50. SDG-2:</w:t>
      </w:r>
      <w:r>
        <w:rPr>
          <w:b/>
          <w:i w:val="0"/>
        </w:rPr>
        <w:t xml:space="preserve"> Zero Hunger in Higher Education Institutions: Aligning with NAAC, NIRF, NBA, and QS I-GAUGE Frameworks, Kindle Edition, ASIN: B0FRYWPQ1N https://amzn.in/d/2RlKCrz</w:t>
      </w:r>
    </w:p>
    <w:p>
      <w:pPr>
        <w:spacing w:after="160"/>
      </w:pPr>
      <w:r>
        <w:rPr>
          <w:b/>
          <w:i w:val="0"/>
        </w:rPr>
        <w:t>51. SDG-11:</w:t>
      </w:r>
      <w:r>
        <w:rPr>
          <w:b/>
          <w:i w:val="0"/>
        </w:rPr>
        <w:t xml:space="preserve"> Sustainable Cities and Communities in Higher Education Institutions: Aligning with NAAC, NIRF, NBA, and QS I-GAUGE Frameworks, Kindle Edition, ASIN: B0FS181BL2, https://amzn.in/d/3sv8FFT</w:t>
      </w:r>
    </w:p>
    <w:sectPr w:rsidR="00FC693F" w:rsidRPr="0006063C" w:rsidSect="00034616">
      <w:footerReference w:type="default" r:id="rId9"/>
      <w:pgSz w:w="11906" w:h="16838"/>
      <w:pgMar w:top="1134" w:right="1247" w:bottom="1134" w:left="1247"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
    <w:lvl w:ilvl="0">
      <w:start w:val="1"/>
      <w:numFmt w:val="bullet"/>
      <w:lvlText w:val="•"/>
      <w:lvlJc w:val="left"/>
      <w:suff w:val="space"/>
    </w:lvl>
    <w:lvl w:ilvl="1">
      <w:start w:val="1"/>
      <w:numFmt w:val="bullet"/>
      <w:lvlText w:val="○"/>
      <w:lvlJc w:val="left"/>
      <w:suff w:val="space"/>
    </w:lvl>
  </w:abstract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jc w:val="both"/>
    </w:pPr>
    <w:rPr>
      <w:rFonts w:ascii="Cambria" w:hAnsi="Cambria" w:eastAsia="Cambria" w:cs="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mbria" w:hAnsi="Cambria" w:eastAsia="Cambria" w:cs="Cambria"/>
    </w:rPr>
  </w:style>
  <w:style w:type="character" w:customStyle="1" w:styleId="HeaderChar">
    <w:name w:val="Header Char"/>
    <w:basedOn w:val="DefaultParagraphFont"/>
    <w:link w:val="Header"/>
    <w:uiPriority w:val="99"/>
    <w:rsid w:val="00E618BF"/>
    <w:rPr>
      <w:rFonts w:ascii="Cambria" w:hAnsi="Cambria" w:eastAsia="Cambria" w:cs="Cambri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mbria" w:hAnsi="Cambria" w:eastAsia="Cambria" w:cs="Cambria"/>
    </w:rPr>
  </w:style>
  <w:style w:type="character" w:customStyle="1" w:styleId="FooterChar">
    <w:name w:val="Footer Char"/>
    <w:basedOn w:val="DefaultParagraphFont"/>
    <w:link w:val="Footer"/>
    <w:uiPriority w:val="99"/>
    <w:rsid w:val="00E618BF"/>
    <w:rPr>
      <w:rFonts w:ascii="Cambria" w:hAnsi="Cambria" w:eastAsia="Cambria" w:cs="Cambria"/>
    </w:rPr>
  </w:style>
  <w:style w:type="paragraph" w:styleId="Heading1">
    <w:name w:val="heading 1"/>
    <w:basedOn w:val="Normal"/>
    <w:next w:val="Normal"/>
    <w:link w:val="Heading1Char"/>
    <w:uiPriority w:val="9"/>
    <w:qFormat/>
    <w:rsid w:val="00FC693F"/>
    <w:pPr>
      <w:keepNext/>
      <w:keepLines/>
      <w:spacing w:before="200" w:after="100"/>
      <w:outlineLvl w:val="0"/>
    </w:pPr>
    <w:rPr>
      <w:rFonts w:cstheme="majorBidi" w:ascii="Cambria" w:hAnsi="Cambria" w:eastAsia="Cambria" w:cs="Cambria"/>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Cambria" w:hAnsi="Cambria" w:eastAsia="Cambria" w:cs="Cambria"/>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Cambria" w:hAnsi="Cambria" w:eastAsia="Cambria" w:cs="Cambria"/>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Cambria" w:hAnsi="Cambria" w:eastAsia="Cambria" w:cs="Cambria"/>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Cambria" w:hAnsi="Cambria" w:eastAsia="Cambria" w:cs="Cambria"/>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Cambria" w:hAnsi="Cambria" w:eastAsia="Cambria" w:cs="Cambria"/>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Cambria" w:hAnsi="Cambria" w:eastAsia="Cambria" w:cs="Cambria"/>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Cambria" w:hAnsi="Cambria" w:eastAsia="Cambria" w:cs="Cambria"/>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Cambria" w:hAnsi="Cambria" w:eastAsia="Cambria" w:cs="Cambria"/>
      <w:i/>
      <w:iCs/>
      <w:color w:val="404040" w:themeColor="text1" w:themeTint="BF"/>
      <w:sz w:val="20"/>
      <w:szCs w:val="20"/>
    </w:rPr>
  </w:style>
  <w:style w:type="character" w:default="1" w:styleId="DefaultParagraphFont">
    <w:name w:val="Default Paragraph Font"/>
    <w:uiPriority w:val="1"/>
    <w:semiHidden/>
    <w:unhideWhenUsed/>
    <w:rPr>
      <w:rFonts w:ascii="Cambria" w:hAnsi="Cambria" w:eastAsia="Cambria" w:cs="Cambria"/>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mbria" w:hAnsi="Cambria" w:eastAsia="Cambria" w:cs="Cambria"/>
    </w:rPr>
  </w:style>
  <w:style w:type="character" w:customStyle="1" w:styleId="Heading1Char">
    <w:name w:val="Heading 1 Char"/>
    <w:basedOn w:val="DefaultParagraphFont"/>
    <w:link w:val="Heading1"/>
    <w:uiPriority w:val="9"/>
    <w:rsid w:val="00FC693F"/>
    <w:rPr>
      <w:rFonts w:cstheme="majorBidi" w:ascii="Cambria" w:hAnsi="Cambria" w:eastAsia="Cambria" w:cs="Cambria"/>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Cambria" w:hAnsi="Cambria" w:eastAsia="Cambria" w:cs="Cambria"/>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Cambria" w:hAnsi="Cambria" w:eastAsia="Cambria" w:cs="Cambria"/>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Pr>
    <w:rPr>
      <w:rFonts w:cstheme="majorBidi" w:ascii="Cambria" w:hAnsi="Cambria" w:eastAsia="Cambria" w:cs="Cambria"/>
      <w:color w:val="000000"/>
      <w:spacing w:val="5"/>
      <w:kern w:val="28"/>
      <w:sz w:val="52"/>
      <w:szCs w:val="52"/>
    </w:rPr>
  </w:style>
  <w:style w:type="character" w:customStyle="1" w:styleId="TitleChar">
    <w:name w:val="Title Char"/>
    <w:basedOn w:val="DefaultParagraphFont"/>
    <w:link w:val="Title"/>
    <w:uiPriority w:val="10"/>
    <w:rsid w:val="00FC693F"/>
    <w:rPr>
      <w:rFonts w:cstheme="majorBidi" w:ascii="Cambria" w:hAnsi="Cambria" w:eastAsia="Cambria" w:cs="Cambria"/>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cstheme="majorBidi" w:ascii="Cambria" w:hAnsi="Cambria" w:eastAsia="Cambria" w:cs="Cambria"/>
      <w:i/>
      <w:iCs/>
      <w:color w:val="1F3A5F"/>
      <w:spacing w:val="15"/>
      <w:sz w:val="30"/>
      <w:szCs w:val="24"/>
    </w:rPr>
  </w:style>
  <w:style w:type="character" w:customStyle="1" w:styleId="SubtitleChar">
    <w:name w:val="Subtitle Char"/>
    <w:basedOn w:val="DefaultParagraphFont"/>
    <w:link w:val="Subtitle"/>
    <w:uiPriority w:val="11"/>
    <w:rsid w:val="00FC693F"/>
    <w:rPr>
      <w:rFonts w:cstheme="majorBidi" w:ascii="Cambria" w:hAnsi="Cambria" w:eastAsia="Cambria" w:cs="Cambria"/>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mbria" w:hAnsi="Cambria" w:eastAsia="Cambria" w:cs="Cambria"/>
    </w:rPr>
  </w:style>
  <w:style w:type="paragraph" w:styleId="BodyText">
    <w:name w:val="Body Text"/>
    <w:basedOn w:val="Normal"/>
    <w:link w:val="BodyTextChar"/>
    <w:uiPriority w:val="99"/>
    <w:unhideWhenUsed/>
    <w:rsid w:val="00AA1D8D"/>
    <w:pPr>
      <w:spacing w:after="120"/>
    </w:pPr>
    <w:rPr>
      <w:rFonts w:ascii="Cambria" w:hAnsi="Cambria" w:eastAsia="Cambria" w:cs="Cambria"/>
    </w:rPr>
  </w:style>
  <w:style w:type="character" w:customStyle="1" w:styleId="BodyTextChar">
    <w:name w:val="Body Text Char"/>
    <w:basedOn w:val="DefaultParagraphFont"/>
    <w:link w:val="BodyText"/>
    <w:uiPriority w:val="99"/>
    <w:rsid w:val="00AA1D8D"/>
    <w:rPr>
      <w:rFonts w:ascii="Cambria" w:hAnsi="Cambria" w:eastAsia="Cambria" w:cs="Cambria"/>
    </w:rPr>
  </w:style>
  <w:style w:type="paragraph" w:styleId="BodyText2">
    <w:name w:val="Body Text 2"/>
    <w:basedOn w:val="Normal"/>
    <w:link w:val="BodyText2Char"/>
    <w:uiPriority w:val="99"/>
    <w:unhideWhenUsed/>
    <w:rsid w:val="00AA1D8D"/>
    <w:pPr>
      <w:spacing w:after="120" w:line="480" w:lineRule="auto"/>
    </w:pPr>
    <w:rPr>
      <w:rFonts w:ascii="Cambria" w:hAnsi="Cambria" w:eastAsia="Cambria" w:cs="Cambria"/>
    </w:rPr>
  </w:style>
  <w:style w:type="character" w:customStyle="1" w:styleId="BodyText2Char">
    <w:name w:val="Body Text 2 Char"/>
    <w:basedOn w:val="DefaultParagraphFont"/>
    <w:link w:val="BodyText2"/>
    <w:uiPriority w:val="99"/>
    <w:rsid w:val="00AA1D8D"/>
    <w:rPr>
      <w:rFonts w:ascii="Cambria" w:hAnsi="Cambria" w:eastAsia="Cambria" w:cs="Cambria"/>
    </w:rPr>
  </w:style>
  <w:style w:type="paragraph" w:styleId="BodyText3">
    <w:name w:val="Body Text 3"/>
    <w:basedOn w:val="Normal"/>
    <w:link w:val="BodyText3Char"/>
    <w:uiPriority w:val="99"/>
    <w:unhideWhenUsed/>
    <w:rsid w:val="00AA1D8D"/>
    <w:pPr>
      <w:spacing w:after="120"/>
    </w:pPr>
    <w:rPr>
      <w:rFonts w:ascii="Cambria" w:hAnsi="Cambria" w:eastAsia="Cambria" w:cs="Cambria"/>
      <w:sz w:val="16"/>
      <w:szCs w:val="16"/>
    </w:rPr>
  </w:style>
  <w:style w:type="character" w:customStyle="1" w:styleId="BodyText3Char">
    <w:name w:val="Body Text 3 Char"/>
    <w:basedOn w:val="DefaultParagraphFont"/>
    <w:link w:val="BodyText3"/>
    <w:uiPriority w:val="99"/>
    <w:rsid w:val="00AA1D8D"/>
    <w:rPr>
      <w:rFonts w:ascii="Cambria" w:hAnsi="Cambria" w:eastAsia="Cambria" w:cs="Cambria"/>
      <w:sz w:val="16"/>
      <w:szCs w:val="16"/>
    </w:rPr>
  </w:style>
  <w:style w:type="paragraph" w:styleId="List">
    <w:name w:val="List"/>
    <w:basedOn w:val="Normal"/>
    <w:uiPriority w:val="99"/>
    <w:unhideWhenUsed/>
    <w:rsid w:val="00AA1D8D"/>
    <w:pPr>
      <w:ind w:left="360" w:hanging="360"/>
      <w:contextualSpacing/>
    </w:pPr>
    <w:rPr>
      <w:rFonts w:ascii="Cambria" w:hAnsi="Cambria" w:eastAsia="Cambria" w:cs="Cambria"/>
    </w:rPr>
  </w:style>
  <w:style w:type="paragraph" w:styleId="List2">
    <w:name w:val="List 2"/>
    <w:basedOn w:val="Normal"/>
    <w:uiPriority w:val="99"/>
    <w:unhideWhenUsed/>
    <w:rsid w:val="00326F90"/>
    <w:pPr>
      <w:ind w:left="720" w:hanging="360"/>
      <w:contextualSpacing/>
    </w:pPr>
    <w:rPr>
      <w:rFonts w:ascii="Cambria" w:hAnsi="Cambria" w:eastAsia="Cambria" w:cs="Cambria"/>
    </w:rPr>
  </w:style>
  <w:style w:type="paragraph" w:styleId="List3">
    <w:name w:val="List 3"/>
    <w:basedOn w:val="Normal"/>
    <w:uiPriority w:val="99"/>
    <w:unhideWhenUsed/>
    <w:rsid w:val="00326F90"/>
    <w:pPr>
      <w:ind w:left="1080" w:hanging="360"/>
      <w:contextualSpacing/>
    </w:pPr>
    <w:rPr>
      <w:rFonts w:ascii="Cambria" w:hAnsi="Cambria" w:eastAsia="Cambria" w:cs="Cambria"/>
    </w:rPr>
  </w:style>
  <w:style w:type="paragraph" w:styleId="ListBullet">
    <w:name w:val="List Bullet"/>
    <w:basedOn w:val="Normal"/>
    <w:uiPriority w:val="99"/>
    <w:unhideWhenUsed/>
    <w:rsid w:val="00326F90"/>
    <w:pPr>
      <w:numPr>
        <w:numId w:val="1"/>
      </w:numPr>
      <w:spacing w:line="276" w:lineRule="auto" w:after="60"/>
      <w:contextualSpacing/>
    </w:pPr>
    <w:rPr>
      <w:rFonts w:ascii="Cambria" w:hAnsi="Cambria" w:eastAsia="Cambria" w:cs="Cambria"/>
      <w:sz w:val="22"/>
    </w:rPr>
  </w:style>
  <w:style w:type="paragraph" w:styleId="ListBullet2">
    <w:name w:val="List Bullet 2"/>
    <w:basedOn w:val="Normal"/>
    <w:uiPriority w:val="99"/>
    <w:unhideWhenUsed/>
    <w:rsid w:val="00326F90"/>
    <w:pPr>
      <w:numPr>
        <w:numId w:val="2"/>
      </w:numPr>
      <w:spacing w:line="276" w:lineRule="auto" w:after="60"/>
      <w:contextualSpacing/>
    </w:pPr>
    <w:rPr>
      <w:rFonts w:ascii="Cambria" w:hAnsi="Cambria" w:eastAsia="Cambria" w:cs="Cambria"/>
      <w:sz w:val="22"/>
    </w:rPr>
  </w:style>
  <w:style w:type="paragraph" w:styleId="ListBullet3">
    <w:name w:val="List Bullet 3"/>
    <w:basedOn w:val="Normal"/>
    <w:uiPriority w:val="99"/>
    <w:unhideWhenUsed/>
    <w:rsid w:val="00326F90"/>
    <w:pPr>
      <w:numPr>
        <w:numId w:val="3"/>
      </w:numPr>
      <w:contextualSpacing/>
    </w:pPr>
    <w:rPr>
      <w:rFonts w:ascii="Cambria" w:hAnsi="Cambria" w:eastAsia="Cambria" w:cs="Cambria"/>
    </w:rPr>
  </w:style>
  <w:style w:type="paragraph" w:styleId="ListNumber">
    <w:name w:val="List Number"/>
    <w:basedOn w:val="Normal"/>
    <w:uiPriority w:val="99"/>
    <w:unhideWhenUsed/>
    <w:rsid w:val="00326F90"/>
    <w:pPr>
      <w:numPr>
        <w:numId w:val="5"/>
      </w:numPr>
      <w:contextualSpacing/>
    </w:pPr>
    <w:rPr>
      <w:rFonts w:ascii="Cambria" w:hAnsi="Cambria" w:eastAsia="Cambria" w:cs="Cambria"/>
    </w:rPr>
  </w:style>
  <w:style w:type="paragraph" w:styleId="ListNumber2">
    <w:name w:val="List Number 2"/>
    <w:basedOn w:val="Normal"/>
    <w:uiPriority w:val="99"/>
    <w:unhideWhenUsed/>
    <w:rsid w:val="0029639D"/>
    <w:pPr>
      <w:numPr>
        <w:numId w:val="6"/>
      </w:numPr>
      <w:contextualSpacing/>
    </w:pPr>
    <w:rPr>
      <w:rFonts w:ascii="Cambria" w:hAnsi="Cambria" w:eastAsia="Cambria" w:cs="Cambria"/>
    </w:rPr>
  </w:style>
  <w:style w:type="paragraph" w:styleId="ListNumber3">
    <w:name w:val="List Number 3"/>
    <w:basedOn w:val="Normal"/>
    <w:uiPriority w:val="99"/>
    <w:unhideWhenUsed/>
    <w:rsid w:val="0029639D"/>
    <w:pPr>
      <w:numPr>
        <w:numId w:val="7"/>
      </w:numPr>
      <w:contextualSpacing/>
    </w:pPr>
    <w:rPr>
      <w:rFonts w:ascii="Cambria" w:hAnsi="Cambria" w:eastAsia="Cambria" w:cs="Cambria"/>
    </w:rPr>
  </w:style>
  <w:style w:type="paragraph" w:styleId="ListContinue">
    <w:name w:val="List Continue"/>
    <w:basedOn w:val="Normal"/>
    <w:uiPriority w:val="99"/>
    <w:unhideWhenUsed/>
    <w:rsid w:val="0029639D"/>
    <w:pPr>
      <w:spacing w:after="120"/>
      <w:ind w:left="360"/>
      <w:contextualSpacing/>
    </w:pPr>
    <w:rPr>
      <w:rFonts w:ascii="Cambria" w:hAnsi="Cambria" w:eastAsia="Cambria" w:cs="Cambria"/>
    </w:rPr>
  </w:style>
  <w:style w:type="paragraph" w:styleId="ListContinue2">
    <w:name w:val="List Continue 2"/>
    <w:basedOn w:val="Normal"/>
    <w:uiPriority w:val="99"/>
    <w:unhideWhenUsed/>
    <w:rsid w:val="0029639D"/>
    <w:pPr>
      <w:spacing w:after="120"/>
      <w:ind w:left="720"/>
      <w:contextualSpacing/>
    </w:pPr>
    <w:rPr>
      <w:rFonts w:ascii="Cambria" w:hAnsi="Cambria" w:eastAsia="Cambria" w:cs="Cambria"/>
    </w:rPr>
  </w:style>
  <w:style w:type="paragraph" w:styleId="ListContinue3">
    <w:name w:val="List Continue 3"/>
    <w:basedOn w:val="Normal"/>
    <w:uiPriority w:val="99"/>
    <w:unhideWhenUsed/>
    <w:rsid w:val="0029639D"/>
    <w:pPr>
      <w:spacing w:after="120"/>
      <w:ind w:left="1080"/>
      <w:contextualSpacing/>
    </w:pPr>
    <w:rPr>
      <w:rFonts w:ascii="Cambria" w:hAnsi="Cambria" w:eastAsia="Cambria" w:cs="Cambri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mbria" w:hAnsi="Cambria" w:eastAsia="Cambria" w:cs="Cambria"/>
      <w:sz w:val="20"/>
      <w:szCs w:val="20"/>
    </w:rPr>
  </w:style>
  <w:style w:type="character" w:customStyle="1" w:styleId="MacroTextChar">
    <w:name w:val="Macro Text Char"/>
    <w:basedOn w:val="DefaultParagraphFont"/>
    <w:link w:val="MacroText"/>
    <w:uiPriority w:val="99"/>
    <w:rsid w:val="0029639D"/>
    <w:rPr>
      <w:rFonts w:ascii="Cambria" w:hAnsi="Cambria" w:eastAsia="Cambria" w:cs="Cambria"/>
      <w:sz w:val="20"/>
      <w:szCs w:val="20"/>
    </w:rPr>
  </w:style>
  <w:style w:type="paragraph" w:styleId="Quote">
    <w:name w:val="Quote"/>
    <w:basedOn w:val="Normal"/>
    <w:next w:val="Normal"/>
    <w:link w:val="QuoteChar"/>
    <w:uiPriority w:val="29"/>
    <w:qFormat/>
    <w:rsid w:val="00FC693F"/>
    <w:rPr>
      <w:rFonts w:ascii="Cambria" w:hAnsi="Cambria" w:eastAsia="Cambria" w:cs="Cambria"/>
      <w:i/>
      <w:iCs/>
      <w:color w:val="000000" w:themeColor="text1"/>
    </w:rPr>
  </w:style>
  <w:style w:type="character" w:customStyle="1" w:styleId="QuoteChar">
    <w:name w:val="Quote Char"/>
    <w:basedOn w:val="DefaultParagraphFont"/>
    <w:link w:val="Quote"/>
    <w:uiPriority w:val="29"/>
    <w:rsid w:val="00FC693F"/>
    <w:rPr>
      <w:rFonts w:ascii="Cambria" w:hAnsi="Cambria" w:eastAsia="Cambria" w:cs="Cambria"/>
      <w:i/>
      <w:iCs/>
      <w:color w:val="000000" w:themeColor="text1"/>
    </w:rPr>
  </w:style>
  <w:style w:type="character" w:customStyle="1" w:styleId="Heading4Char">
    <w:name w:val="Heading 4 Char"/>
    <w:basedOn w:val="DefaultParagraphFont"/>
    <w:link w:val="Heading4"/>
    <w:uiPriority w:val="9"/>
    <w:semiHidden/>
    <w:rsid w:val="00FC693F"/>
    <w:rPr>
      <w:rFonts w:cstheme="majorBidi" w:ascii="Cambria" w:hAnsi="Cambria" w:eastAsia="Cambria" w:cs="Cambria"/>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Cambria" w:hAnsi="Cambria" w:eastAsia="Cambria" w:cs="Cambria"/>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Cambria" w:hAnsi="Cambria" w:eastAsia="Cambria" w:cs="Cambria"/>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Cambria" w:hAnsi="Cambria" w:eastAsia="Cambria" w:cs="Cambria"/>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Cambria" w:hAnsi="Cambria" w:eastAsia="Cambria" w:cs="Cambria"/>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Cambria" w:hAnsi="Cambria" w:eastAsia="Cambria" w:cs="Cambria"/>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mbria" w:hAnsi="Cambria" w:eastAsia="Cambria" w:cs="Cambria"/>
      <w:b/>
      <w:bCs/>
      <w:color w:val="4F81BD" w:themeColor="accent1"/>
      <w:sz w:val="18"/>
      <w:szCs w:val="18"/>
    </w:rPr>
  </w:style>
  <w:style w:type="character" w:styleId="Strong">
    <w:name w:val="Strong"/>
    <w:basedOn w:val="DefaultParagraphFont"/>
    <w:uiPriority w:val="22"/>
    <w:qFormat/>
    <w:rsid w:val="00FC693F"/>
    <w:rPr>
      <w:rFonts w:ascii="Cambria" w:hAnsi="Cambria" w:eastAsia="Cambria" w:cs="Cambria"/>
      <w:b/>
      <w:bCs/>
    </w:rPr>
  </w:style>
  <w:style w:type="character" w:styleId="Emphasis">
    <w:name w:val="Emphasis"/>
    <w:basedOn w:val="DefaultParagraphFont"/>
    <w:uiPriority w:val="20"/>
    <w:qFormat/>
    <w:rsid w:val="00FC693F"/>
    <w:rPr>
      <w:rFonts w:ascii="Cambria" w:hAnsi="Cambria" w:eastAsia="Cambria" w:cs="Cambria"/>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Cambria" w:hAnsi="Cambria" w:eastAsia="Cambria" w:cs="Cambria"/>
      <w:b/>
      <w:bCs/>
      <w:i/>
      <w:iCs/>
      <w:color w:val="4F81BD" w:themeColor="accent1"/>
    </w:rPr>
  </w:style>
  <w:style w:type="character" w:customStyle="1" w:styleId="IntenseQuoteChar">
    <w:name w:val="Intense Quote Char"/>
    <w:basedOn w:val="DefaultParagraphFont"/>
    <w:link w:val="IntenseQuote"/>
    <w:uiPriority w:val="30"/>
    <w:rsid w:val="00FC693F"/>
    <w:rPr>
      <w:rFonts w:ascii="Cambria" w:hAnsi="Cambria" w:eastAsia="Cambria" w:cs="Cambria"/>
      <w:b/>
      <w:bCs/>
      <w:i/>
      <w:iCs/>
      <w:color w:val="4F81BD" w:themeColor="accent1"/>
    </w:rPr>
  </w:style>
  <w:style w:type="character" w:styleId="SubtleEmphasis">
    <w:name w:val="Subtle Emphasis"/>
    <w:basedOn w:val="DefaultParagraphFont"/>
    <w:uiPriority w:val="19"/>
    <w:qFormat/>
    <w:rsid w:val="00FC693F"/>
    <w:rPr>
      <w:rFonts w:ascii="Cambria" w:hAnsi="Cambria" w:eastAsia="Cambria" w:cs="Cambria"/>
      <w:i/>
      <w:iCs/>
      <w:color w:val="808080" w:themeColor="text1" w:themeTint="7F"/>
    </w:rPr>
  </w:style>
  <w:style w:type="character" w:styleId="IntenseEmphasis">
    <w:name w:val="Intense Emphasis"/>
    <w:basedOn w:val="DefaultParagraphFont"/>
    <w:uiPriority w:val="21"/>
    <w:qFormat/>
    <w:rsid w:val="00FC693F"/>
    <w:rPr>
      <w:rFonts w:ascii="Cambria" w:hAnsi="Cambria" w:eastAsia="Cambria" w:cs="Cambria"/>
      <w:b/>
      <w:bCs/>
      <w:i/>
      <w:iCs/>
      <w:color w:val="4F81BD" w:themeColor="accent1"/>
    </w:rPr>
  </w:style>
  <w:style w:type="character" w:styleId="SubtleReference">
    <w:name w:val="Subtle Reference"/>
    <w:basedOn w:val="DefaultParagraphFont"/>
    <w:uiPriority w:val="31"/>
    <w:qFormat/>
    <w:rsid w:val="00FC693F"/>
    <w:rPr>
      <w:rFonts w:ascii="Cambria" w:hAnsi="Cambria" w:eastAsia="Cambria" w:cs="Cambria"/>
      <w:smallCaps/>
      <w:color w:val="C0504D" w:themeColor="accent2"/>
      <w:u w:val="single"/>
    </w:rPr>
  </w:style>
  <w:style w:type="character" w:styleId="IntenseReference">
    <w:name w:val="Intense Reference"/>
    <w:basedOn w:val="DefaultParagraphFont"/>
    <w:uiPriority w:val="32"/>
    <w:qFormat/>
    <w:rsid w:val="00FC693F"/>
    <w:rPr>
      <w:rFonts w:ascii="Cambria" w:hAnsi="Cambria" w:eastAsia="Cambria" w:cs="Cambria"/>
      <w:b/>
      <w:bCs/>
      <w:smallCaps/>
      <w:color w:val="C0504D" w:themeColor="accent2"/>
      <w:spacing w:val="5"/>
      <w:u w:val="single"/>
    </w:rPr>
  </w:style>
  <w:style w:type="character" w:styleId="BookTitle">
    <w:name w:val="Book Title"/>
    <w:basedOn w:val="DefaultParagraphFont"/>
    <w:uiPriority w:val="33"/>
    <w:qFormat/>
    <w:rsid w:val="00FC693F"/>
    <w:rPr>
      <w:rFonts w:ascii="Cambria" w:hAnsi="Cambria" w:eastAsia="Cambria" w:cs="Cambria"/>
      <w:b/>
      <w:bCs/>
      <w:smallCaps/>
      <w:spacing w:val="5"/>
    </w:rPr>
  </w:style>
  <w:style w:type="paragraph" w:styleId="TOCHeading">
    <w:name w:val="TOC Heading"/>
    <w:basedOn w:val="Heading1"/>
    <w:next w:val="Normal"/>
    <w:uiPriority w:val="39"/>
    <w:semiHidden/>
    <w:unhideWhenUsed/>
    <w:qFormat/>
    <w:rsid w:val="00FC693F"/>
    <w:pPr>
      <w:outlineLvl w:val="9"/>
    </w:pPr>
    <w:rPr>
      <w:rFonts w:ascii="Cambria" w:hAnsi="Cambria" w:eastAsia="Cambria" w:cs="Cambria"/>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Development Plan for Higher Education Institutions</dc:title>
  <dc:subject/>
  <dc:creator>Dr Venkata Rama Krishna Tottempudi; Sai Saran Tottempudi</dc:creator>
  <cp:keywords/>
  <dc:description>generated by python-docx</dc:description>
  <cp:lastModifiedBy/>
  <cp:revision>1</cp:revision>
  <dcterms:created xsi:type="dcterms:W3CDTF">2013-12-23T23:15:00Z</dcterms:created>
  <dcterms:modified xsi:type="dcterms:W3CDTF">2013-12-23T23:15:00Z</dcterms:modified>
  <cp:category/>
</cp:coreProperties>
</file>