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1F3A5F"/>
          <w:sz w:val="52"/>
        </w:rPr>
        <w:t>Strategic Development Plan for Higher Education Institutions</w:t>
      </w:r>
    </w:p>
    <w:p>
      <w:pPr>
        <w:jc w:val="center"/>
      </w:pPr>
      <w:r>
        <w:rPr>
          <w:color w:val="1F3A5F"/>
          <w:sz w:val="36"/>
        </w:rPr>
        <w:t>Structured Summary</w:t>
      </w:r>
    </w:p>
    <w:p>
      <w:pPr>
        <w:jc w:val="center"/>
      </w:pPr>
      <w:r>
        <w:rPr>
          <w:i/>
          <w:sz w:val="26"/>
        </w:rPr>
        <w:t>Aligning with NEP 2020, SDGs, NAAC, NBA, NIRF and QS I-GAUGE</w:t>
      </w:r>
    </w:p>
    <w:p/>
    <w:p>
      <w:pPr>
        <w:jc w:val="center"/>
      </w:pPr>
      <w:r>
        <w:rPr>
          <w:sz w:val="24"/>
        </w:rPr>
        <w:t>Source work by Dr Venkata Rama Krishna Tottempudi and Sai Saran Tottempudi</w:t>
      </w:r>
    </w:p>
    <w:p>
      <w:pPr>
        <w:jc w:val="center"/>
      </w:pPr>
      <w:r>
        <w:rPr>
          <w:sz w:val="20"/>
        </w:rPr>
        <w:t>Summary prepared in original wording for study and reference.</w:t>
      </w:r>
    </w:p>
    <w:p>
      <w:r>
        <w:br w:type="page"/>
      </w:r>
    </w:p>
    <w:p>
      <w:pPr>
        <w:pStyle w:val="Heading1"/>
      </w:pPr>
      <w:r>
        <w:t>Contents</w:t>
      </w:r>
    </w:p>
    <w:tbl>
      <w:tblPr>
        <w:tblStyle w:val="TableGrid"/>
        <w:tblW w:type="auto" w:w="0"/>
        <w:jc w:val="center"/>
        <w:tblLayout w:type="fixed"/>
        <w:tblLook w:firstColumn="1" w:firstRow="1" w:lastColumn="0" w:lastRow="0" w:noHBand="0" w:noVBand="1" w:val="04A0"/>
      </w:tblPr>
      <w:tblGrid>
        <w:gridCol w:w="850"/>
        <w:gridCol w:w="7540"/>
        <w:gridCol w:w="1020"/>
      </w:tblGrid>
      <w:tr>
        <w:tc>
          <w:tcPr>
            <w:tcW w:type="dxa" w:w="850"/>
            <w:shd w:val="clear" w:color="auto" w:fill="1F3A5F"/>
          </w:tcPr>
          <w:p>
            <w:pPr>
              <w:spacing w:after="40" w:line="240" w:lineRule="auto"/>
            </w:pPr>
            <w:r/>
            <w:r>
              <w:rPr>
                <w:rFonts w:ascii="Cambria" w:hAnsi="Cambria"/>
                <w:b/>
                <w:color w:val="FFFFFF"/>
                <w:sz w:val="20"/>
              </w:rPr>
              <w:t>S. No</w:t>
            </w:r>
          </w:p>
        </w:tc>
        <w:tc>
          <w:tcPr>
            <w:tcW w:type="dxa" w:w="7540"/>
            <w:shd w:val="clear" w:color="auto" w:fill="1F3A5F"/>
          </w:tcPr>
          <w:p>
            <w:pPr>
              <w:spacing w:after="40" w:line="240" w:lineRule="auto"/>
            </w:pPr>
            <w:r/>
            <w:r>
              <w:rPr>
                <w:rFonts w:ascii="Cambria" w:hAnsi="Cambria"/>
                <w:b/>
                <w:color w:val="FFFFFF"/>
                <w:sz w:val="20"/>
              </w:rPr>
              <w:t>Content</w:t>
            </w:r>
          </w:p>
        </w:tc>
        <w:tc>
          <w:tcPr>
            <w:tcW w:type="dxa" w:w="1020"/>
            <w:shd w:val="clear" w:color="auto" w:fill="1F3A5F"/>
          </w:tcPr>
          <w:p>
            <w:pPr>
              <w:spacing w:after="40" w:line="240" w:lineRule="auto"/>
            </w:pPr>
            <w:r/>
            <w:r>
              <w:rPr>
                <w:rFonts w:ascii="Cambria" w:hAnsi="Cambria"/>
                <w:b/>
                <w:color w:val="FFFFFF"/>
                <w:sz w:val="20"/>
              </w:rPr>
              <w:t>Pg. No</w:t>
            </w:r>
          </w:p>
        </w:tc>
      </w:tr>
      <w:tr>
        <w:tc>
          <w:tcPr>
            <w:tcW w:type="dxa" w:w="850"/>
          </w:tcPr>
          <w:p>
            <w:pPr>
              <w:spacing w:after="40" w:line="240" w:lineRule="auto"/>
            </w:pPr>
            <w:r/>
            <w:r>
              <w:rPr>
                <w:rFonts w:ascii="Cambria" w:hAnsi="Cambria"/>
                <w:sz w:val="20"/>
              </w:rPr>
              <w:t>1</w:t>
            </w:r>
          </w:p>
        </w:tc>
        <w:tc>
          <w:tcPr>
            <w:tcW w:type="dxa" w:w="7540"/>
          </w:tcPr>
          <w:p>
            <w:pPr>
              <w:spacing w:after="40" w:line="240" w:lineRule="auto"/>
            </w:pPr>
            <w:r/>
            <w:r>
              <w:rPr>
                <w:rFonts w:ascii="Cambria" w:hAnsi="Cambria"/>
                <w:sz w:val="20"/>
              </w:rPr>
              <w:t>Overview and Purpose</w:t>
            </w:r>
          </w:p>
        </w:tc>
        <w:tc>
          <w:tcPr>
            <w:tcW w:type="dxa" w:w="1020"/>
          </w:tcPr>
          <w:p>
            <w:pPr>
              <w:spacing w:after="40" w:line="240" w:lineRule="auto"/>
            </w:pPr>
            <w:r/>
            <w:r>
              <w:rPr>
                <w:rFonts w:ascii="Cambria" w:hAnsi="Cambria"/>
                <w:sz w:val="20"/>
              </w:rPr>
              <w:t>3</w:t>
            </w:r>
          </w:p>
        </w:tc>
      </w:tr>
      <w:tr>
        <w:tc>
          <w:tcPr>
            <w:tcW w:type="dxa" w:w="850"/>
            <w:shd w:val="clear" w:color="auto" w:fill="E8EEF5"/>
          </w:tcPr>
          <w:p>
            <w:pPr>
              <w:spacing w:after="40" w:line="240" w:lineRule="auto"/>
            </w:pPr>
            <w:r/>
            <w:r>
              <w:rPr>
                <w:rFonts w:ascii="Cambria" w:hAnsi="Cambria"/>
                <w:sz w:val="20"/>
              </w:rPr>
              <w:t>2</w:t>
            </w:r>
          </w:p>
        </w:tc>
        <w:tc>
          <w:tcPr>
            <w:tcW w:type="dxa" w:w="7540"/>
            <w:shd w:val="clear" w:color="auto" w:fill="E8EEF5"/>
          </w:tcPr>
          <w:p>
            <w:pPr>
              <w:spacing w:after="40" w:line="240" w:lineRule="auto"/>
            </w:pPr>
            <w:r/>
            <w:r>
              <w:rPr>
                <w:rFonts w:ascii="Cambria" w:hAnsi="Cambria"/>
                <w:sz w:val="20"/>
              </w:rPr>
              <w:t>What an SDP Is and How It Is Built</w:t>
            </w:r>
          </w:p>
        </w:tc>
        <w:tc>
          <w:tcPr>
            <w:tcW w:type="dxa" w:w="1020"/>
            <w:shd w:val="clear" w:color="auto" w:fill="E8EEF5"/>
          </w:tcPr>
          <w:p>
            <w:pPr>
              <w:spacing w:after="40" w:line="240" w:lineRule="auto"/>
            </w:pPr>
            <w:r/>
            <w:r>
              <w:rPr>
                <w:rFonts w:ascii="Cambria" w:hAnsi="Cambria"/>
                <w:sz w:val="20"/>
              </w:rPr>
              <w:t>3</w:t>
            </w:r>
          </w:p>
        </w:tc>
      </w:tr>
      <w:tr>
        <w:tc>
          <w:tcPr>
            <w:tcW w:type="dxa" w:w="850"/>
          </w:tcPr>
          <w:p>
            <w:pPr>
              <w:spacing w:after="40" w:line="240" w:lineRule="auto"/>
            </w:pPr>
            <w:r/>
            <w:r>
              <w:rPr>
                <w:rFonts w:ascii="Cambria" w:hAnsi="Cambria"/>
                <w:sz w:val="20"/>
              </w:rPr>
              <w:t>3</w:t>
            </w:r>
          </w:p>
        </w:tc>
        <w:tc>
          <w:tcPr>
            <w:tcW w:type="dxa" w:w="7540"/>
          </w:tcPr>
          <w:p>
            <w:pPr>
              <w:spacing w:after="40" w:line="240" w:lineRule="auto"/>
            </w:pPr>
            <w:r/>
            <w:r>
              <w:rPr>
                <w:rFonts w:ascii="Cambria" w:hAnsi="Cambria"/>
                <w:sz w:val="20"/>
              </w:rPr>
              <w:t>Multi-Level Roadmap and Implementation Steps</w:t>
            </w:r>
          </w:p>
        </w:tc>
        <w:tc>
          <w:tcPr>
            <w:tcW w:type="dxa" w:w="1020"/>
          </w:tcPr>
          <w:p>
            <w:pPr>
              <w:spacing w:after="40" w:line="240" w:lineRule="auto"/>
            </w:pPr>
            <w:r/>
            <w:r>
              <w:rPr>
                <w:rFonts w:ascii="Cambria" w:hAnsi="Cambria"/>
                <w:sz w:val="20"/>
              </w:rPr>
              <w:t>4</w:t>
            </w:r>
          </w:p>
        </w:tc>
      </w:tr>
      <w:tr>
        <w:tc>
          <w:tcPr>
            <w:tcW w:type="dxa" w:w="850"/>
            <w:shd w:val="clear" w:color="auto" w:fill="E8EEF5"/>
          </w:tcPr>
          <w:p>
            <w:pPr>
              <w:spacing w:after="40" w:line="240" w:lineRule="auto"/>
            </w:pPr>
            <w:r/>
            <w:r>
              <w:rPr>
                <w:rFonts w:ascii="Cambria" w:hAnsi="Cambria"/>
                <w:sz w:val="20"/>
              </w:rPr>
              <w:t>4</w:t>
            </w:r>
          </w:p>
        </w:tc>
        <w:tc>
          <w:tcPr>
            <w:tcW w:type="dxa" w:w="7540"/>
            <w:shd w:val="clear" w:color="auto" w:fill="E8EEF5"/>
          </w:tcPr>
          <w:p>
            <w:pPr>
              <w:spacing w:after="40" w:line="240" w:lineRule="auto"/>
            </w:pPr>
            <w:r/>
            <w:r>
              <w:rPr>
                <w:rFonts w:ascii="Cambria" w:hAnsi="Cambria"/>
                <w:sz w:val="20"/>
              </w:rPr>
              <w:t>Vision and Mission</w:t>
            </w:r>
          </w:p>
        </w:tc>
        <w:tc>
          <w:tcPr>
            <w:tcW w:type="dxa" w:w="1020"/>
            <w:shd w:val="clear" w:color="auto" w:fill="E8EEF5"/>
          </w:tcPr>
          <w:p>
            <w:pPr>
              <w:spacing w:after="40" w:line="240" w:lineRule="auto"/>
            </w:pPr>
            <w:r/>
            <w:r>
              <w:rPr>
                <w:rFonts w:ascii="Cambria" w:hAnsi="Cambria"/>
                <w:sz w:val="20"/>
              </w:rPr>
              <w:t>4</w:t>
            </w:r>
          </w:p>
        </w:tc>
      </w:tr>
      <w:tr>
        <w:tc>
          <w:tcPr>
            <w:tcW w:type="dxa" w:w="850"/>
          </w:tcPr>
          <w:p>
            <w:pPr>
              <w:spacing w:after="40" w:line="240" w:lineRule="auto"/>
            </w:pPr>
            <w:r/>
            <w:r>
              <w:rPr>
                <w:rFonts w:ascii="Cambria" w:hAnsi="Cambria"/>
                <w:sz w:val="20"/>
              </w:rPr>
              <w:t>5</w:t>
            </w:r>
          </w:p>
        </w:tc>
        <w:tc>
          <w:tcPr>
            <w:tcW w:type="dxa" w:w="7540"/>
          </w:tcPr>
          <w:p>
            <w:pPr>
              <w:spacing w:after="40" w:line="240" w:lineRule="auto"/>
            </w:pPr>
            <w:r/>
            <w:r>
              <w:rPr>
                <w:rFonts w:ascii="Cambria" w:hAnsi="Cambria"/>
                <w:sz w:val="20"/>
              </w:rPr>
              <w:t>20-Year Targets by Pillar</w:t>
            </w:r>
          </w:p>
        </w:tc>
        <w:tc>
          <w:tcPr>
            <w:tcW w:type="dxa" w:w="1020"/>
          </w:tcPr>
          <w:p>
            <w:pPr>
              <w:spacing w:after="40" w:line="240" w:lineRule="auto"/>
            </w:pPr>
            <w:r/>
            <w:r>
              <w:rPr>
                <w:rFonts w:ascii="Cambria" w:hAnsi="Cambria"/>
                <w:sz w:val="20"/>
              </w:rPr>
              <w:t>5</w:t>
            </w:r>
          </w:p>
        </w:tc>
      </w:tr>
      <w:tr>
        <w:tc>
          <w:tcPr>
            <w:tcW w:type="dxa" w:w="850"/>
            <w:shd w:val="clear" w:color="auto" w:fill="E8EEF5"/>
          </w:tcPr>
          <w:p>
            <w:pPr>
              <w:spacing w:after="40" w:line="240" w:lineRule="auto"/>
            </w:pPr>
            <w:r/>
            <w:r>
              <w:rPr>
                <w:rFonts w:ascii="Cambria" w:hAnsi="Cambria"/>
                <w:sz w:val="20"/>
              </w:rPr>
              <w:t>6</w:t>
            </w:r>
          </w:p>
        </w:tc>
        <w:tc>
          <w:tcPr>
            <w:tcW w:type="dxa" w:w="7540"/>
            <w:shd w:val="clear" w:color="auto" w:fill="E8EEF5"/>
          </w:tcPr>
          <w:p>
            <w:pPr>
              <w:spacing w:after="40" w:line="240" w:lineRule="auto"/>
            </w:pPr>
            <w:r/>
            <w:r>
              <w:rPr>
                <w:rFonts w:ascii="Cambria" w:hAnsi="Cambria"/>
                <w:sz w:val="20"/>
              </w:rPr>
              <w:t>Situational Analysis: SWOT and TOWS</w:t>
            </w:r>
          </w:p>
        </w:tc>
        <w:tc>
          <w:tcPr>
            <w:tcW w:type="dxa" w:w="1020"/>
            <w:shd w:val="clear" w:color="auto" w:fill="E8EEF5"/>
          </w:tcPr>
          <w:p>
            <w:pPr>
              <w:spacing w:after="40" w:line="240" w:lineRule="auto"/>
            </w:pPr>
            <w:r/>
            <w:r>
              <w:rPr>
                <w:rFonts w:ascii="Cambria" w:hAnsi="Cambria"/>
                <w:sz w:val="20"/>
              </w:rPr>
              <w:t>6</w:t>
            </w:r>
          </w:p>
        </w:tc>
      </w:tr>
      <w:tr>
        <w:tc>
          <w:tcPr>
            <w:tcW w:type="dxa" w:w="850"/>
          </w:tcPr>
          <w:p>
            <w:pPr>
              <w:spacing w:after="40" w:line="240" w:lineRule="auto"/>
            </w:pPr>
            <w:r/>
            <w:r>
              <w:rPr>
                <w:rFonts w:ascii="Cambria" w:hAnsi="Cambria"/>
                <w:sz w:val="20"/>
              </w:rPr>
              <w:t>7</w:t>
            </w:r>
          </w:p>
        </w:tc>
        <w:tc>
          <w:tcPr>
            <w:tcW w:type="dxa" w:w="7540"/>
          </w:tcPr>
          <w:p>
            <w:pPr>
              <w:spacing w:after="40" w:line="240" w:lineRule="auto"/>
            </w:pPr>
            <w:r/>
            <w:r>
              <w:rPr>
                <w:rFonts w:ascii="Cambria" w:hAnsi="Cambria"/>
                <w:sz w:val="20"/>
              </w:rPr>
              <w:t>Situational Analysis: PESTLE</w:t>
            </w:r>
          </w:p>
        </w:tc>
        <w:tc>
          <w:tcPr>
            <w:tcW w:type="dxa" w:w="1020"/>
          </w:tcPr>
          <w:p>
            <w:pPr>
              <w:spacing w:after="40" w:line="240" w:lineRule="auto"/>
            </w:pPr>
            <w:r/>
            <w:r>
              <w:rPr>
                <w:rFonts w:ascii="Cambria" w:hAnsi="Cambria"/>
                <w:sz w:val="20"/>
              </w:rPr>
              <w:t>6</w:t>
            </w:r>
          </w:p>
        </w:tc>
      </w:tr>
      <w:tr>
        <w:tc>
          <w:tcPr>
            <w:tcW w:type="dxa" w:w="850"/>
            <w:shd w:val="clear" w:color="auto" w:fill="E8EEF5"/>
          </w:tcPr>
          <w:p>
            <w:pPr>
              <w:spacing w:after="40" w:line="240" w:lineRule="auto"/>
            </w:pPr>
            <w:r/>
            <w:r>
              <w:rPr>
                <w:rFonts w:ascii="Cambria" w:hAnsi="Cambria"/>
                <w:sz w:val="20"/>
              </w:rPr>
              <w:t>8</w:t>
            </w:r>
          </w:p>
        </w:tc>
        <w:tc>
          <w:tcPr>
            <w:tcW w:type="dxa" w:w="7540"/>
            <w:shd w:val="clear" w:color="auto" w:fill="E8EEF5"/>
          </w:tcPr>
          <w:p>
            <w:pPr>
              <w:spacing w:after="40" w:line="240" w:lineRule="auto"/>
            </w:pPr>
            <w:r/>
            <w:r>
              <w:rPr>
                <w:rFonts w:ascii="Cambria" w:hAnsi="Cambria"/>
                <w:sz w:val="20"/>
              </w:rPr>
              <w:t>Objectives, Goals, Action Plans and Resources</w:t>
            </w:r>
          </w:p>
        </w:tc>
        <w:tc>
          <w:tcPr>
            <w:tcW w:type="dxa" w:w="1020"/>
            <w:shd w:val="clear" w:color="auto" w:fill="E8EEF5"/>
          </w:tcPr>
          <w:p>
            <w:pPr>
              <w:spacing w:after="40" w:line="240" w:lineRule="auto"/>
            </w:pPr>
            <w:r/>
            <w:r>
              <w:rPr>
                <w:rFonts w:ascii="Cambria" w:hAnsi="Cambria"/>
                <w:sz w:val="20"/>
              </w:rPr>
              <w:t>7</w:t>
            </w:r>
          </w:p>
        </w:tc>
      </w:tr>
      <w:tr>
        <w:tc>
          <w:tcPr>
            <w:tcW w:type="dxa" w:w="850"/>
          </w:tcPr>
          <w:p>
            <w:pPr>
              <w:spacing w:after="40" w:line="240" w:lineRule="auto"/>
            </w:pPr>
            <w:r/>
            <w:r>
              <w:rPr>
                <w:rFonts w:ascii="Cambria" w:hAnsi="Cambria"/>
                <w:sz w:val="20"/>
              </w:rPr>
              <w:t>9</w:t>
            </w:r>
          </w:p>
        </w:tc>
        <w:tc>
          <w:tcPr>
            <w:tcW w:type="dxa" w:w="7540"/>
          </w:tcPr>
          <w:p>
            <w:pPr>
              <w:spacing w:after="40" w:line="240" w:lineRule="auto"/>
            </w:pPr>
            <w:r/>
            <w:r>
              <w:rPr>
                <w:rFonts w:ascii="Cambria" w:hAnsi="Cambria"/>
                <w:sz w:val="20"/>
              </w:rPr>
              <w:t>Monitoring, Evaluation and Balanced Scorecard</w:t>
            </w:r>
          </w:p>
        </w:tc>
        <w:tc>
          <w:tcPr>
            <w:tcW w:type="dxa" w:w="1020"/>
          </w:tcPr>
          <w:p>
            <w:pPr>
              <w:spacing w:after="40" w:line="240" w:lineRule="auto"/>
            </w:pPr>
            <w:r/>
            <w:r>
              <w:rPr>
                <w:rFonts w:ascii="Cambria" w:hAnsi="Cambria"/>
                <w:sz w:val="20"/>
              </w:rPr>
              <w:t>7</w:t>
            </w:r>
          </w:p>
        </w:tc>
      </w:tr>
      <w:tr>
        <w:tc>
          <w:tcPr>
            <w:tcW w:type="dxa" w:w="850"/>
            <w:shd w:val="clear" w:color="auto" w:fill="E8EEF5"/>
          </w:tcPr>
          <w:p>
            <w:pPr>
              <w:spacing w:after="40" w:line="240" w:lineRule="auto"/>
            </w:pPr>
            <w:r/>
            <w:r>
              <w:rPr>
                <w:rFonts w:ascii="Cambria" w:hAnsi="Cambria"/>
                <w:sz w:val="20"/>
              </w:rPr>
              <w:t>10</w:t>
            </w:r>
          </w:p>
        </w:tc>
        <w:tc>
          <w:tcPr>
            <w:tcW w:type="dxa" w:w="7540"/>
            <w:shd w:val="clear" w:color="auto" w:fill="E8EEF5"/>
          </w:tcPr>
          <w:p>
            <w:pPr>
              <w:spacing w:after="40" w:line="240" w:lineRule="auto"/>
            </w:pPr>
            <w:r/>
            <w:r>
              <w:rPr>
                <w:rFonts w:ascii="Cambria" w:hAnsi="Cambria"/>
                <w:sz w:val="20"/>
              </w:rPr>
              <w:t>The Six Phases</w:t>
            </w:r>
          </w:p>
        </w:tc>
        <w:tc>
          <w:tcPr>
            <w:tcW w:type="dxa" w:w="1020"/>
            <w:shd w:val="clear" w:color="auto" w:fill="E8EEF5"/>
          </w:tcPr>
          <w:p>
            <w:pPr>
              <w:spacing w:after="40" w:line="240" w:lineRule="auto"/>
            </w:pPr>
            <w:r/>
            <w:r>
              <w:rPr>
                <w:rFonts w:ascii="Cambria" w:hAnsi="Cambria"/>
                <w:sz w:val="20"/>
              </w:rPr>
              <w:t>8</w:t>
            </w:r>
          </w:p>
        </w:tc>
      </w:tr>
      <w:tr>
        <w:tc>
          <w:tcPr>
            <w:tcW w:type="dxa" w:w="850"/>
          </w:tcPr>
          <w:p>
            <w:pPr>
              <w:spacing w:after="40" w:line="240" w:lineRule="auto"/>
            </w:pPr>
            <w:r/>
            <w:r>
              <w:rPr>
                <w:rFonts w:ascii="Cambria" w:hAnsi="Cambria"/>
                <w:sz w:val="20"/>
              </w:rPr>
              <w:t>11</w:t>
            </w:r>
          </w:p>
        </w:tc>
        <w:tc>
          <w:tcPr>
            <w:tcW w:type="dxa" w:w="7540"/>
          </w:tcPr>
          <w:p>
            <w:pPr>
              <w:spacing w:after="40" w:line="240" w:lineRule="auto"/>
            </w:pPr>
            <w:r/>
            <w:r>
              <w:rPr>
                <w:rFonts w:ascii="Cambria" w:hAnsi="Cambria"/>
                <w:sz w:val="20"/>
              </w:rPr>
              <w:t>Strategic Pillars</w:t>
            </w:r>
          </w:p>
        </w:tc>
        <w:tc>
          <w:tcPr>
            <w:tcW w:type="dxa" w:w="1020"/>
          </w:tcPr>
          <w:p>
            <w:pPr>
              <w:spacing w:after="40" w:line="240" w:lineRule="auto"/>
            </w:pPr>
            <w:r/>
            <w:r>
              <w:rPr>
                <w:rFonts w:ascii="Cambria" w:hAnsi="Cambria"/>
                <w:sz w:val="20"/>
              </w:rPr>
              <w:t>8</w:t>
            </w:r>
          </w:p>
        </w:tc>
      </w:tr>
      <w:tr>
        <w:tc>
          <w:tcPr>
            <w:tcW w:type="dxa" w:w="850"/>
            <w:shd w:val="clear" w:color="auto" w:fill="E8EEF5"/>
          </w:tcPr>
          <w:p>
            <w:pPr>
              <w:spacing w:after="40" w:line="240" w:lineRule="auto"/>
            </w:pPr>
            <w:r/>
            <w:r>
              <w:rPr>
                <w:rFonts w:ascii="Cambria" w:hAnsi="Cambria"/>
                <w:sz w:val="20"/>
              </w:rPr>
              <w:t>12</w:t>
            </w:r>
          </w:p>
        </w:tc>
        <w:tc>
          <w:tcPr>
            <w:tcW w:type="dxa" w:w="7540"/>
            <w:shd w:val="clear" w:color="auto" w:fill="E8EEF5"/>
          </w:tcPr>
          <w:p>
            <w:pPr>
              <w:spacing w:after="40" w:line="240" w:lineRule="auto"/>
            </w:pPr>
            <w:r/>
            <w:r>
              <w:rPr>
                <w:rFonts w:ascii="Cambria" w:hAnsi="Cambria"/>
                <w:sz w:val="20"/>
              </w:rPr>
              <w:t>Key Takeaways</w:t>
            </w:r>
          </w:p>
        </w:tc>
        <w:tc>
          <w:tcPr>
            <w:tcW w:type="dxa" w:w="1020"/>
            <w:shd w:val="clear" w:color="auto" w:fill="E8EEF5"/>
          </w:tcPr>
          <w:p>
            <w:pPr>
              <w:spacing w:after="40" w:line="240" w:lineRule="auto"/>
            </w:pPr>
            <w:r/>
            <w:r>
              <w:rPr>
                <w:rFonts w:ascii="Cambria" w:hAnsi="Cambria"/>
                <w:sz w:val="20"/>
              </w:rPr>
              <w:t>9</w:t>
            </w:r>
          </w:p>
        </w:tc>
      </w:tr>
    </w:tbl>
    <w:p>
      <w:pPr>
        <w:spacing w:after="40"/>
      </w:pPr>
    </w:p>
    <w:p>
      <w:r>
        <w:br w:type="page"/>
      </w:r>
    </w:p>
    <w:p>
      <w:pPr>
        <w:pStyle w:val="Heading1"/>
      </w:pPr>
      <w:r>
        <w:t>1. Overview and Purpose</w:t>
      </w:r>
    </w:p>
    <w:p>
      <w:pPr>
        <w:jc w:val="both"/>
      </w:pPr>
      <w:r>
        <w:t>The book sets out a ready-to-adapt Strategic Development Plan (SDP) for a Higher Education Institution (HEI), covering roughly the next two decades. It ties institutional planning to India's National Education Policy 2020, the UN Sustainable Development Goals, the accreditation and ranking systems (NAAC, NBA, NIRF) and global benchmarks (QS, THE, QS I-GAUGE).</w:t>
      </w:r>
    </w:p>
    <w:p>
      <w:pPr>
        <w:pStyle w:val="Heading2"/>
      </w:pPr>
      <w:r>
        <w:t>A. Why such a plan is needed</w:t>
      </w:r>
    </w:p>
    <w:p>
      <w:pPr>
        <w:pStyle w:val="ListBullet"/>
        <w:jc w:val="both"/>
      </w:pPr>
      <w:r>
        <w:rPr>
          <w:b/>
        </w:rPr>
        <w:t>Pressures:</w:t>
      </w:r>
      <w:r>
        <w:t xml:space="preserve"> globalisation, disruptive technology, changing student demographics, funding limits and climate concerns are reshaping what HEIs must deliver.</w:t>
      </w:r>
    </w:p>
    <w:p>
      <w:pPr>
        <w:pStyle w:val="ListBullet"/>
        <w:jc w:val="both"/>
      </w:pPr>
      <w:r>
        <w:rPr>
          <w:b/>
        </w:rPr>
        <w:t>Scope of the role:</w:t>
      </w:r>
      <w:r>
        <w:t xml:space="preserve"> institutions are expected to go beyond teaching to research, innovation, sustainability, outreach and global engagement.</w:t>
      </w:r>
    </w:p>
    <w:p>
      <w:pPr>
        <w:pStyle w:val="ListBullet"/>
        <w:jc w:val="both"/>
      </w:pPr>
      <w:r>
        <w:rPr>
          <w:b/>
        </w:rPr>
        <w:t>Role of the SDP:</w:t>
      </w:r>
      <w:r>
        <w:t xml:space="preserve"> a working roadmap, not just a document, that turns long-term aspirations into measurable goals and a repeating improvement cycle.</w:t>
      </w:r>
    </w:p>
    <w:p>
      <w:pPr>
        <w:pStyle w:val="Heading2"/>
      </w:pPr>
      <w:r>
        <w:t>B. Structure of the plan</w:t>
      </w:r>
    </w:p>
    <w:p>
      <w:pPr>
        <w:jc w:val="both"/>
      </w:pPr>
      <w:r>
        <w:t>The plan moves through assessment, strategy formulation, implementation planning, execution, monitoring and continuous improvement, with six strategic pillars acting as the organising framework: academic excellence, infrastructure and technology, governance and leadership, financial sustainability, community engagement and internationalisation.</w:t>
      </w:r>
    </w:p>
    <w:p>
      <w:pPr>
        <w:pStyle w:val="Heading1"/>
      </w:pPr>
      <w:r>
        <w:t>2. What an SDP Is and How It Is Built</w:t>
      </w:r>
    </w:p>
    <w:p>
      <w:pPr>
        <w:pStyle w:val="Heading2"/>
      </w:pPr>
      <w:r>
        <w:t>A. Definition and core components</w:t>
      </w:r>
    </w:p>
    <w:p>
      <w:pPr>
        <w:jc w:val="both"/>
      </w:pPr>
      <w:r>
        <w:t>An SDP is a long-term framework stating where an institution wants to go and how it will get there. Its components are:</w:t>
      </w:r>
    </w:p>
    <w:p>
      <w:pPr>
        <w:pStyle w:val="ListBullet"/>
        <w:jc w:val="both"/>
      </w:pPr>
      <w:r>
        <w:t>Vision and mission statements</w:t>
      </w:r>
    </w:p>
    <w:p>
      <w:pPr>
        <w:pStyle w:val="ListBullet"/>
        <w:jc w:val="both"/>
      </w:pPr>
      <w:r>
        <w:t>SWOT and PESTLE analyses</w:t>
      </w:r>
    </w:p>
    <w:p>
      <w:pPr>
        <w:pStyle w:val="ListBullet"/>
        <w:jc w:val="both"/>
      </w:pPr>
      <w:r>
        <w:t>Strategic objectives aligned with national and global priorities</w:t>
      </w:r>
    </w:p>
    <w:p>
      <w:pPr>
        <w:pStyle w:val="ListBullet"/>
        <w:jc w:val="both"/>
      </w:pPr>
      <w:r>
        <w:t>Operational goals that are specific and measurable</w:t>
      </w:r>
    </w:p>
    <w:p>
      <w:pPr>
        <w:pStyle w:val="ListBullet"/>
        <w:jc w:val="both"/>
      </w:pPr>
      <w:r>
        <w:t>Action plans and phased roadmaps</w:t>
      </w:r>
    </w:p>
    <w:p>
      <w:pPr>
        <w:pStyle w:val="ListBullet"/>
        <w:jc w:val="both"/>
      </w:pPr>
      <w:r>
        <w:t>Resource allocation (budget, people, infrastructure)</w:t>
      </w:r>
    </w:p>
    <w:p>
      <w:pPr>
        <w:pStyle w:val="ListBullet"/>
        <w:jc w:val="both"/>
      </w:pPr>
      <w:r>
        <w:t>A monitoring and evaluation framework with KPIs and feedback loops</w:t>
      </w:r>
    </w:p>
    <w:p>
      <w:pPr>
        <w:pStyle w:val="Heading2"/>
      </w:pPr>
      <w:r>
        <w:t>B. Benefits and challenges</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1F3A5F"/>
          </w:tcPr>
          <w:p>
            <w:pPr>
              <w:spacing w:after="40" w:line="240" w:lineRule="auto"/>
            </w:pPr>
            <w:r/>
            <w:r>
              <w:rPr>
                <w:rFonts w:ascii="Cambria" w:hAnsi="Cambria"/>
                <w:b/>
                <w:color w:val="FFFFFF"/>
                <w:sz w:val="20"/>
              </w:rPr>
              <w:t>Benefits</w:t>
            </w:r>
          </w:p>
        </w:tc>
        <w:tc>
          <w:tcPr>
            <w:tcW w:type="dxa" w:w="4706"/>
            <w:shd w:val="clear" w:color="auto" w:fill="1F3A5F"/>
          </w:tcPr>
          <w:p>
            <w:pPr>
              <w:spacing w:after="40" w:line="240" w:lineRule="auto"/>
            </w:pPr>
            <w:r/>
            <w:r>
              <w:rPr>
                <w:rFonts w:ascii="Cambria" w:hAnsi="Cambria"/>
                <w:b/>
                <w:color w:val="FFFFFF"/>
                <w:sz w:val="20"/>
              </w:rPr>
              <w:t>Challenges</w:t>
            </w:r>
          </w:p>
        </w:tc>
      </w:tr>
      <w:tr>
        <w:tc>
          <w:tcPr>
            <w:tcW w:type="dxa" w:w="4706"/>
          </w:tcPr>
          <w:p>
            <w:pPr>
              <w:spacing w:after="40" w:line="240" w:lineRule="auto"/>
            </w:pPr>
            <w:r/>
            <w:r>
              <w:rPr>
                <w:rFonts w:ascii="Cambria" w:hAnsi="Cambria"/>
                <w:sz w:val="20"/>
              </w:rPr>
              <w:t>Clear direction and fewer ad-hoc decisions</w:t>
            </w:r>
          </w:p>
        </w:tc>
        <w:tc>
          <w:tcPr>
            <w:tcW w:type="dxa" w:w="4706"/>
          </w:tcPr>
          <w:p>
            <w:pPr>
              <w:spacing w:after="40" w:line="240" w:lineRule="auto"/>
            </w:pPr>
            <w:r/>
            <w:r>
              <w:rPr>
                <w:rFonts w:ascii="Cambria" w:hAnsi="Cambria"/>
                <w:sz w:val="20"/>
              </w:rPr>
              <w:t>Limited funding and staff</w:t>
            </w:r>
          </w:p>
        </w:tc>
      </w:tr>
      <w:tr>
        <w:tc>
          <w:tcPr>
            <w:tcW w:type="dxa" w:w="4706"/>
            <w:shd w:val="clear" w:color="auto" w:fill="E8EEF5"/>
          </w:tcPr>
          <w:p>
            <w:pPr>
              <w:spacing w:after="40" w:line="240" w:lineRule="auto"/>
            </w:pPr>
            <w:r/>
            <w:r>
              <w:rPr>
                <w:rFonts w:ascii="Cambria" w:hAnsi="Cambria"/>
                <w:sz w:val="20"/>
              </w:rPr>
              <w:t>Stronger rankings and accreditation position</w:t>
            </w:r>
          </w:p>
        </w:tc>
        <w:tc>
          <w:tcPr>
            <w:tcW w:type="dxa" w:w="4706"/>
            <w:shd w:val="clear" w:color="auto" w:fill="E8EEF5"/>
          </w:tcPr>
          <w:p>
            <w:pPr>
              <w:spacing w:after="40" w:line="240" w:lineRule="auto"/>
            </w:pPr>
            <w:r/>
            <w:r>
              <w:rPr>
                <w:rFonts w:ascii="Cambria" w:hAnsi="Cambria"/>
                <w:sz w:val="20"/>
              </w:rPr>
              <w:t>Resistance to change</w:t>
            </w:r>
          </w:p>
        </w:tc>
      </w:tr>
      <w:tr>
        <w:tc>
          <w:tcPr>
            <w:tcW w:type="dxa" w:w="4706"/>
          </w:tcPr>
          <w:p>
            <w:pPr>
              <w:spacing w:after="40" w:line="240" w:lineRule="auto"/>
            </w:pPr>
            <w:r/>
            <w:r>
              <w:rPr>
                <w:rFonts w:ascii="Cambria" w:hAnsi="Cambria"/>
                <w:sz w:val="20"/>
              </w:rPr>
              <w:t>Better long-term resource management</w:t>
            </w:r>
          </w:p>
        </w:tc>
        <w:tc>
          <w:tcPr>
            <w:tcW w:type="dxa" w:w="4706"/>
          </w:tcPr>
          <w:p>
            <w:pPr>
              <w:spacing w:after="40" w:line="240" w:lineRule="auto"/>
            </w:pPr>
            <w:r/>
            <w:r>
              <w:rPr>
                <w:rFonts w:ascii="Cambria" w:hAnsi="Cambria"/>
                <w:sz w:val="20"/>
              </w:rPr>
              <w:t>Frequently shifting regulations</w:t>
            </w:r>
          </w:p>
        </w:tc>
      </w:tr>
      <w:tr>
        <w:tc>
          <w:tcPr>
            <w:tcW w:type="dxa" w:w="4706"/>
            <w:shd w:val="clear" w:color="auto" w:fill="E8EEF5"/>
          </w:tcPr>
          <w:p>
            <w:pPr>
              <w:spacing w:after="40" w:line="240" w:lineRule="auto"/>
            </w:pPr>
            <w:r/>
            <w:r>
              <w:rPr>
                <w:rFonts w:ascii="Cambria" w:hAnsi="Cambria"/>
                <w:sz w:val="20"/>
              </w:rPr>
              <w:t>Higher stakeholder confidence</w:t>
            </w:r>
          </w:p>
        </w:tc>
        <w:tc>
          <w:tcPr>
            <w:tcW w:type="dxa" w:w="4706"/>
            <w:shd w:val="clear" w:color="auto" w:fill="E8EEF5"/>
          </w:tcPr>
          <w:p>
            <w:pPr>
              <w:spacing w:after="40" w:line="240" w:lineRule="auto"/>
            </w:pPr>
            <w:r/>
            <w:r>
              <w:rPr>
                <w:rFonts w:ascii="Cambria" w:hAnsi="Cambria"/>
                <w:sz w:val="20"/>
              </w:rPr>
              <w:t>Lack of reliable, timely data</w:t>
            </w:r>
          </w:p>
        </w:tc>
      </w:tr>
      <w:tr>
        <w:tc>
          <w:tcPr>
            <w:tcW w:type="dxa" w:w="4706"/>
          </w:tcPr>
          <w:p>
            <w:pPr>
              <w:spacing w:after="40" w:line="240" w:lineRule="auto"/>
            </w:pPr>
            <w:r/>
            <w:r>
              <w:rPr>
                <w:rFonts w:ascii="Cambria" w:hAnsi="Cambria"/>
                <w:sz w:val="20"/>
              </w:rPr>
              <w:t>Capacity to innovate and adapt</w:t>
            </w:r>
          </w:p>
        </w:tc>
        <w:tc>
          <w:tcPr>
            <w:tcW w:type="dxa" w:w="4706"/>
          </w:tcPr>
          <w:p>
            <w:pPr>
              <w:spacing w:after="40" w:line="240" w:lineRule="auto"/>
            </w:pPr>
            <w:r/>
            <w:r>
              <w:rPr>
                <w:rFonts w:ascii="Cambria" w:hAnsi="Cambria"/>
                <w:sz w:val="20"/>
              </w:rPr>
              <w:t>Difficulty tracking multi-level outcomes</w:t>
            </w:r>
          </w:p>
        </w:tc>
      </w:tr>
    </w:tbl>
    <w:p>
      <w:pPr>
        <w:spacing w:after="40"/>
      </w:pPr>
    </w:p>
    <w:p>
      <w:pPr>
        <w:pStyle w:val="Heading2"/>
      </w:pPr>
      <w:r>
        <w:t>C. Policy–Action–Outcome logic</w:t>
      </w:r>
    </w:p>
    <w:p>
      <w:pPr>
        <w:jc w:val="both"/>
      </w:pPr>
      <w:r>
        <w:t>Each policy area is expanded into action steps and expected outcomes, then given KPIs. The areas covered are: vision and mission alignment; situational analysis; academic and research excellence; infrastructure and technology; governance and quality assurance; financial sustainability; community engagement; internationalisation; and monitoring and continuous improvement.</w:t>
      </w:r>
    </w:p>
    <w:p>
      <w:pPr>
        <w:pStyle w:val="Heading1"/>
      </w:pPr>
      <w:r>
        <w:t>3. Multi-Level Roadmap and Implementation Steps</w:t>
      </w:r>
    </w:p>
    <w:p>
      <w:pPr>
        <w:pStyle w:val="Heading2"/>
      </w:pPr>
      <w:r>
        <w:t>A. Three time horizons</w:t>
      </w:r>
    </w:p>
    <w:tbl>
      <w:tblPr>
        <w:tblStyle w:val="TableGrid"/>
        <w:tblW w:type="auto" w:w="0"/>
        <w:jc w:val="center"/>
        <w:tblLayout w:type="fixed"/>
        <w:tblLook w:firstColumn="1" w:firstRow="1" w:lastColumn="0" w:lastRow="0" w:noHBand="0" w:noVBand="1" w:val="04A0"/>
      </w:tblPr>
      <w:tblGrid>
        <w:gridCol w:w="1701"/>
        <w:gridCol w:w="2494"/>
        <w:gridCol w:w="2608"/>
        <w:gridCol w:w="2608"/>
      </w:tblGrid>
      <w:tr>
        <w:tc>
          <w:tcPr>
            <w:tcW w:type="dxa" w:w="1701"/>
            <w:shd w:val="clear" w:color="auto" w:fill="1F3A5F"/>
          </w:tcPr>
          <w:p>
            <w:pPr>
              <w:spacing w:after="40" w:line="240" w:lineRule="auto"/>
            </w:pPr>
            <w:r/>
            <w:r>
              <w:rPr>
                <w:rFonts w:ascii="Cambria" w:hAnsi="Cambria"/>
                <w:b/>
                <w:color w:val="FFFFFF"/>
                <w:sz w:val="20"/>
              </w:rPr>
              <w:t>Area</w:t>
            </w:r>
          </w:p>
        </w:tc>
        <w:tc>
          <w:tcPr>
            <w:tcW w:type="dxa" w:w="2494"/>
            <w:shd w:val="clear" w:color="auto" w:fill="1F3A5F"/>
          </w:tcPr>
          <w:p>
            <w:pPr>
              <w:spacing w:after="40" w:line="240" w:lineRule="auto"/>
            </w:pPr>
            <w:r/>
            <w:r>
              <w:rPr>
                <w:rFonts w:ascii="Cambria" w:hAnsi="Cambria"/>
                <w:b/>
                <w:color w:val="FFFFFF"/>
                <w:sz w:val="20"/>
              </w:rPr>
              <w:t>Short-term (0–1 yr)</w:t>
            </w:r>
          </w:p>
        </w:tc>
        <w:tc>
          <w:tcPr>
            <w:tcW w:type="dxa" w:w="2608"/>
            <w:shd w:val="clear" w:color="auto" w:fill="1F3A5F"/>
          </w:tcPr>
          <w:p>
            <w:pPr>
              <w:spacing w:after="40" w:line="240" w:lineRule="auto"/>
            </w:pPr>
            <w:r/>
            <w:r>
              <w:rPr>
                <w:rFonts w:ascii="Cambria" w:hAnsi="Cambria"/>
                <w:b/>
                <w:color w:val="FFFFFF"/>
                <w:sz w:val="20"/>
              </w:rPr>
              <w:t>Medium-term (2–3 yrs)</w:t>
            </w:r>
          </w:p>
        </w:tc>
        <w:tc>
          <w:tcPr>
            <w:tcW w:type="dxa" w:w="2608"/>
            <w:shd w:val="clear" w:color="auto" w:fill="1F3A5F"/>
          </w:tcPr>
          <w:p>
            <w:pPr>
              <w:spacing w:after="40" w:line="240" w:lineRule="auto"/>
            </w:pPr>
            <w:r/>
            <w:r>
              <w:rPr>
                <w:rFonts w:ascii="Cambria" w:hAnsi="Cambria"/>
                <w:b/>
                <w:color w:val="FFFFFF"/>
                <w:sz w:val="20"/>
              </w:rPr>
              <w:t>Long-term (4–7 yrs)</w:t>
            </w:r>
          </w:p>
        </w:tc>
      </w:tr>
      <w:tr>
        <w:tc>
          <w:tcPr>
            <w:tcW w:type="dxa" w:w="1701"/>
          </w:tcPr>
          <w:p>
            <w:pPr>
              <w:spacing w:after="40" w:line="240" w:lineRule="auto"/>
            </w:pPr>
            <w:r/>
            <w:r>
              <w:rPr>
                <w:rFonts w:ascii="Cambria" w:hAnsi="Cambria"/>
                <w:sz w:val="20"/>
              </w:rPr>
              <w:t>Vision and mission</w:t>
            </w:r>
          </w:p>
        </w:tc>
        <w:tc>
          <w:tcPr>
            <w:tcW w:type="dxa" w:w="2494"/>
          </w:tcPr>
          <w:p>
            <w:pPr>
              <w:spacing w:after="40" w:line="240" w:lineRule="auto"/>
            </w:pPr>
            <w:r/>
            <w:r>
              <w:rPr>
                <w:rFonts w:ascii="Cambria" w:hAnsi="Cambria"/>
                <w:sz w:val="20"/>
              </w:rPr>
              <w:t>Consult stakeholders; restate vision and mission</w:t>
            </w:r>
          </w:p>
        </w:tc>
        <w:tc>
          <w:tcPr>
            <w:tcW w:type="dxa" w:w="2608"/>
          </w:tcPr>
          <w:p>
            <w:pPr>
              <w:spacing w:after="40" w:line="240" w:lineRule="auto"/>
            </w:pPr>
            <w:r/>
            <w:r>
              <w:rPr>
                <w:rFonts w:ascii="Cambria" w:hAnsi="Cambria"/>
                <w:sz w:val="20"/>
              </w:rPr>
              <w:t>Embed in curriculum and departmental goals</w:t>
            </w:r>
          </w:p>
        </w:tc>
        <w:tc>
          <w:tcPr>
            <w:tcW w:type="dxa" w:w="2608"/>
          </w:tcPr>
          <w:p>
            <w:pPr>
              <w:spacing w:after="40" w:line="240" w:lineRule="auto"/>
            </w:pPr>
            <w:r/>
            <w:r>
              <w:rPr>
                <w:rFonts w:ascii="Cambria" w:hAnsi="Cambria"/>
                <w:sz w:val="20"/>
              </w:rPr>
              <w:t>Global recognition for mission-led work</w:t>
            </w:r>
          </w:p>
        </w:tc>
      </w:tr>
      <w:tr>
        <w:tc>
          <w:tcPr>
            <w:tcW w:type="dxa" w:w="1701"/>
            <w:shd w:val="clear" w:color="auto" w:fill="E8EEF5"/>
          </w:tcPr>
          <w:p>
            <w:pPr>
              <w:spacing w:after="40" w:line="240" w:lineRule="auto"/>
            </w:pPr>
            <w:r/>
            <w:r>
              <w:rPr>
                <w:rFonts w:ascii="Cambria" w:hAnsi="Cambria"/>
                <w:sz w:val="20"/>
              </w:rPr>
              <w:t>Research and analysis</w:t>
            </w:r>
          </w:p>
        </w:tc>
        <w:tc>
          <w:tcPr>
            <w:tcW w:type="dxa" w:w="2494"/>
            <w:shd w:val="clear" w:color="auto" w:fill="E8EEF5"/>
          </w:tcPr>
          <w:p>
            <w:pPr>
              <w:spacing w:after="40" w:line="240" w:lineRule="auto"/>
            </w:pPr>
            <w:r/>
            <w:r>
              <w:rPr>
                <w:rFonts w:ascii="Cambria" w:hAnsi="Cambria"/>
                <w:sz w:val="20"/>
              </w:rPr>
              <w:t>SWOT, PESTLE, baseline data</w:t>
            </w:r>
          </w:p>
        </w:tc>
        <w:tc>
          <w:tcPr>
            <w:tcW w:type="dxa" w:w="2608"/>
            <w:shd w:val="clear" w:color="auto" w:fill="E8EEF5"/>
          </w:tcPr>
          <w:p>
            <w:pPr>
              <w:spacing w:after="40" w:line="240" w:lineRule="auto"/>
            </w:pPr>
            <w:r/>
            <w:r>
              <w:rPr>
                <w:rFonts w:ascii="Cambria" w:hAnsi="Cambria"/>
                <w:sz w:val="20"/>
              </w:rPr>
              <w:t>Research observatory; benchmarking</w:t>
            </w:r>
          </w:p>
        </w:tc>
        <w:tc>
          <w:tcPr>
            <w:tcW w:type="dxa" w:w="2608"/>
            <w:shd w:val="clear" w:color="auto" w:fill="E8EEF5"/>
          </w:tcPr>
          <w:p>
            <w:pPr>
              <w:spacing w:after="40" w:line="240" w:lineRule="auto"/>
            </w:pPr>
            <w:r/>
            <w:r>
              <w:rPr>
                <w:rFonts w:ascii="Cambria" w:hAnsi="Cambria"/>
                <w:sz w:val="20"/>
              </w:rPr>
              <w:t>Data-driven governance; predictive analytics</w:t>
            </w:r>
          </w:p>
        </w:tc>
      </w:tr>
      <w:tr>
        <w:tc>
          <w:tcPr>
            <w:tcW w:type="dxa" w:w="1701"/>
          </w:tcPr>
          <w:p>
            <w:pPr>
              <w:spacing w:after="40" w:line="240" w:lineRule="auto"/>
            </w:pPr>
            <w:r/>
            <w:r>
              <w:rPr>
                <w:rFonts w:ascii="Cambria" w:hAnsi="Cambria"/>
                <w:sz w:val="20"/>
              </w:rPr>
              <w:t>Academics and research</w:t>
            </w:r>
          </w:p>
        </w:tc>
        <w:tc>
          <w:tcPr>
            <w:tcW w:type="dxa" w:w="2494"/>
          </w:tcPr>
          <w:p>
            <w:pPr>
              <w:spacing w:after="40" w:line="240" w:lineRule="auto"/>
            </w:pPr>
            <w:r/>
            <w:r>
              <w:rPr>
                <w:rFonts w:ascii="Cambria" w:hAnsi="Cambria"/>
                <w:sz w:val="20"/>
              </w:rPr>
              <w:t>Modernise curricula; faculty training; seed grants</w:t>
            </w:r>
          </w:p>
        </w:tc>
        <w:tc>
          <w:tcPr>
            <w:tcW w:type="dxa" w:w="2608"/>
          </w:tcPr>
          <w:p>
            <w:pPr>
              <w:spacing w:after="40" w:line="240" w:lineRule="auto"/>
            </w:pPr>
            <w:r/>
            <w:r>
              <w:rPr>
                <w:rFonts w:ascii="Cambria" w:hAnsi="Cambria"/>
                <w:sz w:val="20"/>
              </w:rPr>
              <w:t>Centres of Excellence; interdisciplinary programmes</w:t>
            </w:r>
          </w:p>
        </w:tc>
        <w:tc>
          <w:tcPr>
            <w:tcW w:type="dxa" w:w="2608"/>
          </w:tcPr>
          <w:p>
            <w:pPr>
              <w:spacing w:after="40" w:line="240" w:lineRule="auto"/>
            </w:pPr>
            <w:r/>
            <w:r>
              <w:rPr>
                <w:rFonts w:ascii="Cambria" w:hAnsi="Cambria"/>
                <w:sz w:val="20"/>
              </w:rPr>
              <w:t>Patents, global standing, industry ecosystems</w:t>
            </w:r>
          </w:p>
        </w:tc>
      </w:tr>
      <w:tr>
        <w:tc>
          <w:tcPr>
            <w:tcW w:type="dxa" w:w="1701"/>
            <w:shd w:val="clear" w:color="auto" w:fill="E8EEF5"/>
          </w:tcPr>
          <w:p>
            <w:pPr>
              <w:spacing w:after="40" w:line="240" w:lineRule="auto"/>
            </w:pPr>
            <w:r/>
            <w:r>
              <w:rPr>
                <w:rFonts w:ascii="Cambria" w:hAnsi="Cambria"/>
                <w:sz w:val="20"/>
              </w:rPr>
              <w:t>Infrastructure</w:t>
            </w:r>
          </w:p>
        </w:tc>
        <w:tc>
          <w:tcPr>
            <w:tcW w:type="dxa" w:w="2494"/>
            <w:shd w:val="clear" w:color="auto" w:fill="E8EEF5"/>
          </w:tcPr>
          <w:p>
            <w:pPr>
              <w:spacing w:after="40" w:line="240" w:lineRule="auto"/>
            </w:pPr>
            <w:r/>
            <w:r>
              <w:rPr>
                <w:rFonts w:ascii="Cambria" w:hAnsi="Cambria"/>
                <w:sz w:val="20"/>
              </w:rPr>
              <w:t>Upgrade ICT; small renewable projects</w:t>
            </w:r>
          </w:p>
        </w:tc>
        <w:tc>
          <w:tcPr>
            <w:tcW w:type="dxa" w:w="2608"/>
            <w:shd w:val="clear" w:color="auto" w:fill="E8EEF5"/>
          </w:tcPr>
          <w:p>
            <w:pPr>
              <w:spacing w:after="40" w:line="240" w:lineRule="auto"/>
            </w:pPr>
            <w:r/>
            <w:r>
              <w:rPr>
                <w:rFonts w:ascii="Cambria" w:hAnsi="Cambria"/>
                <w:sz w:val="20"/>
              </w:rPr>
              <w:t>Green-certified campus; digital labs</w:t>
            </w:r>
          </w:p>
        </w:tc>
        <w:tc>
          <w:tcPr>
            <w:tcW w:type="dxa" w:w="2608"/>
            <w:shd w:val="clear" w:color="auto" w:fill="E8EEF5"/>
          </w:tcPr>
          <w:p>
            <w:pPr>
              <w:spacing w:after="40" w:line="240" w:lineRule="auto"/>
            </w:pPr>
            <w:r/>
            <w:r>
              <w:rPr>
                <w:rFonts w:ascii="Cambria" w:hAnsi="Cambria"/>
                <w:sz w:val="20"/>
              </w:rPr>
              <w:t>Carbon-neutral campus; research parks</w:t>
            </w:r>
          </w:p>
        </w:tc>
      </w:tr>
      <w:tr>
        <w:tc>
          <w:tcPr>
            <w:tcW w:type="dxa" w:w="1701"/>
          </w:tcPr>
          <w:p>
            <w:pPr>
              <w:spacing w:after="40" w:line="240" w:lineRule="auto"/>
            </w:pPr>
            <w:r/>
            <w:r>
              <w:rPr>
                <w:rFonts w:ascii="Cambria" w:hAnsi="Cambria"/>
                <w:sz w:val="20"/>
              </w:rPr>
              <w:t>Governance and QA</w:t>
            </w:r>
          </w:p>
        </w:tc>
        <w:tc>
          <w:tcPr>
            <w:tcW w:type="dxa" w:w="2494"/>
          </w:tcPr>
          <w:p>
            <w:pPr>
              <w:spacing w:after="40" w:line="240" w:lineRule="auto"/>
            </w:pPr>
            <w:r/>
            <w:r>
              <w:rPr>
                <w:rFonts w:ascii="Cambria" w:hAnsi="Cambria"/>
                <w:sz w:val="20"/>
              </w:rPr>
              <w:t>Form IQAC; train staff on NAAC/NBA/QS</w:t>
            </w:r>
          </w:p>
        </w:tc>
        <w:tc>
          <w:tcPr>
            <w:tcW w:type="dxa" w:w="2608"/>
          </w:tcPr>
          <w:p>
            <w:pPr>
              <w:spacing w:after="40" w:line="240" w:lineRule="auto"/>
            </w:pPr>
            <w:r/>
            <w:r>
              <w:rPr>
                <w:rFonts w:ascii="Cambria" w:hAnsi="Cambria"/>
                <w:sz w:val="20"/>
              </w:rPr>
              <w:t>Achieve NAAC/NBA; transparent reforms</w:t>
            </w:r>
          </w:p>
        </w:tc>
        <w:tc>
          <w:tcPr>
            <w:tcW w:type="dxa" w:w="2608"/>
          </w:tcPr>
          <w:p>
            <w:pPr>
              <w:spacing w:after="40" w:line="240" w:lineRule="auto"/>
            </w:pPr>
            <w:r/>
            <w:r>
              <w:rPr>
                <w:rFonts w:ascii="Cambria" w:hAnsi="Cambria"/>
                <w:sz w:val="20"/>
              </w:rPr>
              <w:t>Global rankings; institutional autonomy</w:t>
            </w:r>
          </w:p>
        </w:tc>
      </w:tr>
      <w:tr>
        <w:tc>
          <w:tcPr>
            <w:tcW w:type="dxa" w:w="1701"/>
            <w:shd w:val="clear" w:color="auto" w:fill="E8EEF5"/>
          </w:tcPr>
          <w:p>
            <w:pPr>
              <w:spacing w:after="40" w:line="240" w:lineRule="auto"/>
            </w:pPr>
            <w:r/>
            <w:r>
              <w:rPr>
                <w:rFonts w:ascii="Cambria" w:hAnsi="Cambria"/>
                <w:sz w:val="20"/>
              </w:rPr>
              <w:t>Finance</w:t>
            </w:r>
          </w:p>
        </w:tc>
        <w:tc>
          <w:tcPr>
            <w:tcW w:type="dxa" w:w="2494"/>
            <w:shd w:val="clear" w:color="auto" w:fill="E8EEF5"/>
          </w:tcPr>
          <w:p>
            <w:pPr>
              <w:spacing w:after="40" w:line="240" w:lineRule="auto"/>
            </w:pPr>
            <w:r/>
            <w:r>
              <w:rPr>
                <w:rFonts w:ascii="Cambria" w:hAnsi="Cambria"/>
                <w:sz w:val="20"/>
              </w:rPr>
              <w:t>Budget discipline; alumni campaigns</w:t>
            </w:r>
          </w:p>
        </w:tc>
        <w:tc>
          <w:tcPr>
            <w:tcW w:type="dxa" w:w="2608"/>
            <w:shd w:val="clear" w:color="auto" w:fill="E8EEF5"/>
          </w:tcPr>
          <w:p>
            <w:pPr>
              <w:spacing w:after="40" w:line="240" w:lineRule="auto"/>
            </w:pPr>
            <w:r/>
            <w:r>
              <w:rPr>
                <w:rFonts w:ascii="Cambria" w:hAnsi="Cambria"/>
                <w:sz w:val="20"/>
              </w:rPr>
              <w:t>Industry partnerships; endowments</w:t>
            </w:r>
          </w:p>
        </w:tc>
        <w:tc>
          <w:tcPr>
            <w:tcW w:type="dxa" w:w="2608"/>
            <w:shd w:val="clear" w:color="auto" w:fill="E8EEF5"/>
          </w:tcPr>
          <w:p>
            <w:pPr>
              <w:spacing w:after="40" w:line="240" w:lineRule="auto"/>
            </w:pPr>
            <w:r/>
            <w:r>
              <w:rPr>
                <w:rFonts w:ascii="Cambria" w:hAnsi="Cambria"/>
                <w:sz w:val="20"/>
              </w:rPr>
              <w:t>Diversified income; investment portfolio</w:t>
            </w:r>
          </w:p>
        </w:tc>
      </w:tr>
      <w:tr>
        <w:tc>
          <w:tcPr>
            <w:tcW w:type="dxa" w:w="1701"/>
          </w:tcPr>
          <w:p>
            <w:pPr>
              <w:spacing w:after="40" w:line="240" w:lineRule="auto"/>
            </w:pPr>
            <w:r/>
            <w:r>
              <w:rPr>
                <w:rFonts w:ascii="Cambria" w:hAnsi="Cambria"/>
                <w:sz w:val="20"/>
              </w:rPr>
              <w:t>Community</w:t>
            </w:r>
          </w:p>
        </w:tc>
        <w:tc>
          <w:tcPr>
            <w:tcW w:type="dxa" w:w="2494"/>
          </w:tcPr>
          <w:p>
            <w:pPr>
              <w:spacing w:after="40" w:line="240" w:lineRule="auto"/>
            </w:pPr>
            <w:r/>
            <w:r>
              <w:rPr>
                <w:rFonts w:ascii="Cambria" w:hAnsi="Cambria"/>
                <w:sz w:val="20"/>
              </w:rPr>
              <w:t>Health camps, literacy drives; service-learning</w:t>
            </w:r>
          </w:p>
        </w:tc>
        <w:tc>
          <w:tcPr>
            <w:tcW w:type="dxa" w:w="2608"/>
          </w:tcPr>
          <w:p>
            <w:pPr>
              <w:spacing w:after="40" w:line="240" w:lineRule="auto"/>
            </w:pPr>
            <w:r/>
            <w:r>
              <w:rPr>
                <w:rFonts w:ascii="Cambria" w:hAnsi="Cambria"/>
                <w:sz w:val="20"/>
              </w:rPr>
              <w:t>Long-term partnerships; ISR projects</w:t>
            </w:r>
          </w:p>
        </w:tc>
        <w:tc>
          <w:tcPr>
            <w:tcW w:type="dxa" w:w="2608"/>
          </w:tcPr>
          <w:p>
            <w:pPr>
              <w:spacing w:after="40" w:line="240" w:lineRule="auto"/>
            </w:pPr>
            <w:r/>
            <w:r>
              <w:rPr>
                <w:rFonts w:ascii="Cambria" w:hAnsi="Cambria"/>
                <w:sz w:val="20"/>
              </w:rPr>
              <w:t>National leadership in community impact</w:t>
            </w:r>
          </w:p>
        </w:tc>
      </w:tr>
      <w:tr>
        <w:tc>
          <w:tcPr>
            <w:tcW w:type="dxa" w:w="1701"/>
            <w:shd w:val="clear" w:color="auto" w:fill="E8EEF5"/>
          </w:tcPr>
          <w:p>
            <w:pPr>
              <w:spacing w:after="40" w:line="240" w:lineRule="auto"/>
            </w:pPr>
            <w:r/>
            <w:r>
              <w:rPr>
                <w:rFonts w:ascii="Cambria" w:hAnsi="Cambria"/>
                <w:sz w:val="20"/>
              </w:rPr>
              <w:t>Global</w:t>
            </w:r>
          </w:p>
        </w:tc>
        <w:tc>
          <w:tcPr>
            <w:tcW w:type="dxa" w:w="2494"/>
            <w:shd w:val="clear" w:color="auto" w:fill="E8EEF5"/>
          </w:tcPr>
          <w:p>
            <w:pPr>
              <w:spacing w:after="40" w:line="240" w:lineRule="auto"/>
            </w:pPr>
            <w:r/>
            <w:r>
              <w:rPr>
                <w:rFonts w:ascii="Cambria" w:hAnsi="Cambria"/>
                <w:sz w:val="20"/>
              </w:rPr>
              <w:t>First international MoUs</w:t>
            </w:r>
          </w:p>
        </w:tc>
        <w:tc>
          <w:tcPr>
            <w:tcW w:type="dxa" w:w="2608"/>
            <w:shd w:val="clear" w:color="auto" w:fill="E8EEF5"/>
          </w:tcPr>
          <w:p>
            <w:pPr>
              <w:spacing w:after="40" w:line="240" w:lineRule="auto"/>
            </w:pPr>
            <w:r/>
            <w:r>
              <w:rPr>
                <w:rFonts w:ascii="Cambria" w:hAnsi="Cambria"/>
                <w:sz w:val="20"/>
              </w:rPr>
              <w:t>Dual degrees; conferences</w:t>
            </w:r>
          </w:p>
        </w:tc>
        <w:tc>
          <w:tcPr>
            <w:tcW w:type="dxa" w:w="2608"/>
            <w:shd w:val="clear" w:color="auto" w:fill="E8EEF5"/>
          </w:tcPr>
          <w:p>
            <w:pPr>
              <w:spacing w:after="40" w:line="240" w:lineRule="auto"/>
            </w:pPr>
            <w:r/>
            <w:r>
              <w:rPr>
                <w:rFonts w:ascii="Cambria" w:hAnsi="Cambria"/>
                <w:sz w:val="20"/>
              </w:rPr>
              <w:t>Top-100 partnerships</w:t>
            </w:r>
          </w:p>
        </w:tc>
      </w:tr>
      <w:tr>
        <w:tc>
          <w:tcPr>
            <w:tcW w:type="dxa" w:w="1701"/>
          </w:tcPr>
          <w:p>
            <w:pPr>
              <w:spacing w:after="40" w:line="240" w:lineRule="auto"/>
            </w:pPr>
            <w:r/>
            <w:r>
              <w:rPr>
                <w:rFonts w:ascii="Cambria" w:hAnsi="Cambria"/>
                <w:sz w:val="20"/>
              </w:rPr>
              <w:t>Monitoring</w:t>
            </w:r>
          </w:p>
        </w:tc>
        <w:tc>
          <w:tcPr>
            <w:tcW w:type="dxa" w:w="2494"/>
          </w:tcPr>
          <w:p>
            <w:pPr>
              <w:spacing w:after="40" w:line="240" w:lineRule="auto"/>
            </w:pPr>
            <w:r/>
            <w:r>
              <w:rPr>
                <w:rFonts w:ascii="Cambria" w:hAnsi="Cambria"/>
                <w:sz w:val="20"/>
              </w:rPr>
              <w:t>Define KPIs; dashboards</w:t>
            </w:r>
          </w:p>
        </w:tc>
        <w:tc>
          <w:tcPr>
            <w:tcW w:type="dxa" w:w="2608"/>
          </w:tcPr>
          <w:p>
            <w:pPr>
              <w:spacing w:after="40" w:line="240" w:lineRule="auto"/>
            </w:pPr>
            <w:r/>
            <w:r>
              <w:rPr>
                <w:rFonts w:ascii="Cambria" w:hAnsi="Cambria"/>
                <w:sz w:val="20"/>
              </w:rPr>
              <w:t>Mid-term review and corrections</w:t>
            </w:r>
          </w:p>
        </w:tc>
        <w:tc>
          <w:tcPr>
            <w:tcW w:type="dxa" w:w="2608"/>
          </w:tcPr>
          <w:p>
            <w:pPr>
              <w:spacing w:after="40" w:line="240" w:lineRule="auto"/>
            </w:pPr>
            <w:r/>
            <w:r>
              <w:rPr>
                <w:rFonts w:ascii="Cambria" w:hAnsi="Cambria"/>
                <w:sz w:val="20"/>
              </w:rPr>
              <w:t>Culture of continuous improvement; AI-driven monitoring</w:t>
            </w:r>
          </w:p>
        </w:tc>
      </w:tr>
    </w:tbl>
    <w:p>
      <w:pPr>
        <w:spacing w:after="40"/>
      </w:pPr>
    </w:p>
    <w:p>
      <w:pPr>
        <w:pStyle w:val="Heading2"/>
      </w:pPr>
      <w:r>
        <w:t>B. Ten-step practical guide</w:t>
      </w:r>
    </w:p>
    <w:p>
      <w:pPr>
        <w:pStyle w:val="ListNumber"/>
        <w:jc w:val="both"/>
      </w:pPr>
      <w:r>
        <w:t>Set up a Strategic Planning Committee (faculty, administrators, students, community) and fix the vision and mission.</w:t>
      </w:r>
    </w:p>
    <w:p>
      <w:pPr>
        <w:pStyle w:val="ListNumber"/>
        <w:jc w:val="both"/>
      </w:pPr>
      <w:r>
        <w:t>Carry out SWOT and PESTLE analysis, gather baseline data and benchmark against peers.</w:t>
      </w:r>
    </w:p>
    <w:p>
      <w:pPr>
        <w:pStyle w:val="ListNumber"/>
        <w:jc w:val="both"/>
      </w:pPr>
      <w:r>
        <w:t>Define strategic objectives as SMART goals, prioritised by feasibility, urgency and impact.</w:t>
      </w:r>
    </w:p>
    <w:p>
      <w:pPr>
        <w:pStyle w:val="ListNumber"/>
        <w:jc w:val="both"/>
      </w:pPr>
      <w:r>
        <w:t>Break objectives into activities with owners, budgets and timelines.</w:t>
      </w:r>
    </w:p>
    <w:p>
      <w:pPr>
        <w:pStyle w:val="ListNumber"/>
        <w:jc w:val="both"/>
      </w:pPr>
      <w:r>
        <w:t>Build infrastructure and capacity: ICT, green campus, faculty training, incubation.</w:t>
      </w:r>
    </w:p>
    <w:p>
      <w:pPr>
        <w:pStyle w:val="ListNumber"/>
        <w:jc w:val="both"/>
      </w:pPr>
      <w:r>
        <w:t>Strengthen governance and quality assurance through IQAC and digital dashboards.</w:t>
      </w:r>
    </w:p>
    <w:p>
      <w:pPr>
        <w:pStyle w:val="ListNumber"/>
        <w:jc w:val="both"/>
      </w:pPr>
      <w:r>
        <w:t>Secure finances through grants, consultancy, alumni giving, PPPs and endowments.</w:t>
      </w:r>
    </w:p>
    <w:p>
      <w:pPr>
        <w:pStyle w:val="ListNumber"/>
        <w:jc w:val="both"/>
      </w:pPr>
      <w:r>
        <w:t>Engage the community and global partners through outreach, MoUs and conferences.</w:t>
      </w:r>
    </w:p>
    <w:p>
      <w:pPr>
        <w:pStyle w:val="ListNumber"/>
        <w:jc w:val="both"/>
      </w:pPr>
      <w:r>
        <w:t>Monitor with KPIs, quarterly and annual reviews, and feedback loops.</w:t>
      </w:r>
    </w:p>
    <w:p>
      <w:pPr>
        <w:pStyle w:val="ListNumber"/>
        <w:jc w:val="both"/>
      </w:pPr>
      <w:r>
        <w:t>Sustain improvement through innovation, annual reports and a revision of the SDP every 5–7 years.</w:t>
      </w:r>
    </w:p>
    <w:p>
      <w:pPr>
        <w:pStyle w:val="Heading1"/>
      </w:pPr>
      <w:r>
        <w:t>4. Vision and Mission</w:t>
      </w:r>
    </w:p>
    <w:p>
      <w:pPr>
        <w:pStyle w:val="Heading2"/>
      </w:pPr>
      <w:r>
        <w:t>A. Vision statement</w:t>
      </w:r>
    </w:p>
    <w:p>
      <w:pPr>
        <w:jc w:val="both"/>
      </w:pPr>
      <w:r>
        <w:t>A vision should be clear, future-oriented (10–20 years), inspiring, aligned with NEP 2020 and the SDGs, and specific to the institution. The book offers sample and draft visions built around four emphases:</w:t>
      </w:r>
    </w:p>
    <w:tbl>
      <w:tblPr>
        <w:tblStyle w:val="TableGrid"/>
        <w:tblW w:type="auto" w:w="0"/>
        <w:jc w:val="center"/>
        <w:tblLayout w:type="fixed"/>
        <w:tblLook w:firstColumn="1" w:firstRow="1" w:lastColumn="0" w:lastRow="0" w:noHBand="0" w:noVBand="1" w:val="04A0"/>
      </w:tblPr>
      <w:tblGrid>
        <w:gridCol w:w="3175"/>
        <w:gridCol w:w="6236"/>
      </w:tblGrid>
      <w:tr>
        <w:tc>
          <w:tcPr>
            <w:tcW w:type="dxa" w:w="3175"/>
            <w:shd w:val="clear" w:color="auto" w:fill="1F3A5F"/>
          </w:tcPr>
          <w:p>
            <w:pPr>
              <w:spacing w:after="40" w:line="240" w:lineRule="auto"/>
            </w:pPr>
            <w:r/>
            <w:r>
              <w:rPr>
                <w:rFonts w:ascii="Cambria" w:hAnsi="Cambria"/>
                <w:b/>
                <w:color w:val="FFFFFF"/>
                <w:sz w:val="20"/>
              </w:rPr>
              <w:t>Emphasis</w:t>
            </w:r>
          </w:p>
        </w:tc>
        <w:tc>
          <w:tcPr>
            <w:tcW w:type="dxa" w:w="6236"/>
            <w:shd w:val="clear" w:color="auto" w:fill="1F3A5F"/>
          </w:tcPr>
          <w:p>
            <w:pPr>
              <w:spacing w:after="40" w:line="240" w:lineRule="auto"/>
            </w:pPr>
            <w:r/>
            <w:r>
              <w:rPr>
                <w:rFonts w:ascii="Cambria" w:hAnsi="Cambria"/>
                <w:b/>
                <w:color w:val="FFFFFF"/>
                <w:sz w:val="20"/>
              </w:rPr>
              <w:t>Core idea</w:t>
            </w:r>
          </w:p>
        </w:tc>
      </w:tr>
      <w:tr>
        <w:tc>
          <w:tcPr>
            <w:tcW w:type="dxa" w:w="3175"/>
          </w:tcPr>
          <w:p>
            <w:pPr>
              <w:spacing w:after="40" w:line="240" w:lineRule="auto"/>
            </w:pPr>
            <w:r/>
            <w:r>
              <w:rPr>
                <w:rFonts w:ascii="Cambria" w:hAnsi="Cambria"/>
                <w:sz w:val="20"/>
              </w:rPr>
              <w:t>Academic excellence and lifelong learning</w:t>
            </w:r>
          </w:p>
        </w:tc>
        <w:tc>
          <w:tcPr>
            <w:tcW w:type="dxa" w:w="6236"/>
          </w:tcPr>
          <w:p>
            <w:pPr>
              <w:spacing w:after="40" w:line="240" w:lineRule="auto"/>
            </w:pPr>
            <w:r/>
            <w:r>
              <w:rPr>
                <w:rFonts w:ascii="Cambria" w:hAnsi="Cambria"/>
                <w:sz w:val="20"/>
              </w:rPr>
              <w:t>World-class teaching, interdisciplinary and inclusive education</w:t>
            </w:r>
          </w:p>
        </w:tc>
      </w:tr>
      <w:tr>
        <w:tc>
          <w:tcPr>
            <w:tcW w:type="dxa" w:w="3175"/>
            <w:shd w:val="clear" w:color="auto" w:fill="E8EEF5"/>
          </w:tcPr>
          <w:p>
            <w:pPr>
              <w:spacing w:after="40" w:line="240" w:lineRule="auto"/>
            </w:pPr>
            <w:r/>
            <w:r>
              <w:rPr>
                <w:rFonts w:ascii="Cambria" w:hAnsi="Cambria"/>
                <w:sz w:val="20"/>
              </w:rPr>
              <w:t>Research and global leadership</w:t>
            </w:r>
          </w:p>
        </w:tc>
        <w:tc>
          <w:tcPr>
            <w:tcW w:type="dxa" w:w="6236"/>
            <w:shd w:val="clear" w:color="auto" w:fill="E8EEF5"/>
          </w:tcPr>
          <w:p>
            <w:pPr>
              <w:spacing w:after="40" w:line="240" w:lineRule="auto"/>
            </w:pPr>
            <w:r/>
            <w:r>
              <w:rPr>
                <w:rFonts w:ascii="Cambria" w:hAnsi="Cambria"/>
                <w:sz w:val="20"/>
              </w:rPr>
              <w:t>Multidisciplinary research and solutions to global challenges</w:t>
            </w:r>
          </w:p>
        </w:tc>
      </w:tr>
      <w:tr>
        <w:tc>
          <w:tcPr>
            <w:tcW w:type="dxa" w:w="3175"/>
          </w:tcPr>
          <w:p>
            <w:pPr>
              <w:spacing w:after="40" w:line="240" w:lineRule="auto"/>
            </w:pPr>
            <w:r/>
            <w:r>
              <w:rPr>
                <w:rFonts w:ascii="Cambria" w:hAnsi="Cambria"/>
                <w:sz w:val="20"/>
              </w:rPr>
              <w:t>Sustainability and social impact</w:t>
            </w:r>
          </w:p>
        </w:tc>
        <w:tc>
          <w:tcPr>
            <w:tcW w:type="dxa" w:w="6236"/>
          </w:tcPr>
          <w:p>
            <w:pPr>
              <w:spacing w:after="40" w:line="240" w:lineRule="auto"/>
            </w:pPr>
            <w:r/>
            <w:r>
              <w:rPr>
                <w:rFonts w:ascii="Cambria" w:hAnsi="Cambria"/>
                <w:sz w:val="20"/>
              </w:rPr>
              <w:t>Green innovation, community empowerment, SDG alignment</w:t>
            </w:r>
          </w:p>
        </w:tc>
      </w:tr>
      <w:tr>
        <w:tc>
          <w:tcPr>
            <w:tcW w:type="dxa" w:w="3175"/>
            <w:shd w:val="clear" w:color="auto" w:fill="E8EEF5"/>
          </w:tcPr>
          <w:p>
            <w:pPr>
              <w:spacing w:after="40" w:line="240" w:lineRule="auto"/>
            </w:pPr>
            <w:r/>
            <w:r>
              <w:rPr>
                <w:rFonts w:ascii="Cambria" w:hAnsi="Cambria"/>
                <w:sz w:val="20"/>
              </w:rPr>
              <w:t>Comprehensive growth (integrated)</w:t>
            </w:r>
          </w:p>
        </w:tc>
        <w:tc>
          <w:tcPr>
            <w:tcW w:type="dxa" w:w="6236"/>
            <w:shd w:val="clear" w:color="auto" w:fill="E8EEF5"/>
          </w:tcPr>
          <w:p>
            <w:pPr>
              <w:spacing w:after="40" w:line="240" w:lineRule="auto"/>
            </w:pPr>
            <w:r/>
            <w:r>
              <w:rPr>
                <w:rFonts w:ascii="Cambria" w:hAnsi="Cambria"/>
                <w:sz w:val="20"/>
              </w:rPr>
              <w:t>Excellence in teaching, research, inclusivity, sustainability and innovation, bridging local and global goals</w:t>
            </w:r>
          </w:p>
        </w:tc>
      </w:tr>
    </w:tbl>
    <w:p>
      <w:pPr>
        <w:spacing w:after="40"/>
      </w:pPr>
    </w:p>
    <w:p>
      <w:pPr>
        <w:jc w:val="both"/>
      </w:pPr>
      <w:r>
        <w:t>The integrated draft vision describes a transformative institution that combines teaching and research excellence, multidisciplinary learning, global competence, equity and sustainable development. Each vision option is mapped to the strategic pillars that deliver it.</w:t>
      </w:r>
    </w:p>
    <w:p>
      <w:pPr>
        <w:pStyle w:val="Heading2"/>
      </w:pPr>
      <w:r>
        <w:t>B. Mission statement</w:t>
      </w:r>
    </w:p>
    <w:p>
      <w:pPr>
        <w:jc w:val="both"/>
      </w:pPr>
      <w:r>
        <w:t>A mission explains why the institution exists and how the vision will be achieved. It should be purposeful, value-driven, action-oriented, aligned with NEP and the SDGs, and kept to a few sentences. Four options mirror the vision emphases (academic and student development; research and innovation; sustainability and inclusivity; integrated model).</w:t>
      </w:r>
    </w:p>
    <w:p>
      <w:pPr>
        <w:pStyle w:val="Heading2"/>
      </w:pPr>
      <w:r>
        <w:t>C. Core values</w:t>
      </w:r>
    </w:p>
    <w:p>
      <w:pPr>
        <w:jc w:val="both"/>
      </w:pPr>
      <w:r>
        <w:t>Values named include excellence, innovation, sustainability, equity and inclusion, integrity and accountability, and community service. Each is mapped to a pillar and to example actions, for instance OBE revision and faculty training for excellence, Centres of Excellence and patents for innovation, dashboards and audits for integrity, and ISR projects for community service.</w:t>
      </w:r>
    </w:p>
    <w:p>
      <w:pPr>
        <w:pStyle w:val="Heading1"/>
      </w:pPr>
      <w:r>
        <w:t>5. 20-Year Targets by Pillar</w:t>
      </w:r>
    </w:p>
    <w:p>
      <w:pPr>
        <w:jc w:val="both"/>
      </w:pPr>
      <w:r>
        <w:t>The plan splits the horizon into foundation (0–5 years), expansion (6–10 years) and leadership (11–20 years). Targets are indicative and meant to be adapted.</w:t>
      </w:r>
    </w:p>
    <w:tbl>
      <w:tblPr>
        <w:tblStyle w:val="TableGrid"/>
        <w:tblW w:type="auto" w:w="0"/>
        <w:jc w:val="center"/>
        <w:tblLayout w:type="fixed"/>
        <w:tblLook w:firstColumn="1" w:firstRow="1" w:lastColumn="0" w:lastRow="0" w:noHBand="0" w:noVBand="1" w:val="04A0"/>
      </w:tblPr>
      <w:tblGrid>
        <w:gridCol w:w="1701"/>
        <w:gridCol w:w="2608"/>
        <w:gridCol w:w="2608"/>
        <w:gridCol w:w="2494"/>
      </w:tblGrid>
      <w:tr>
        <w:tc>
          <w:tcPr>
            <w:tcW w:type="dxa" w:w="1701"/>
            <w:shd w:val="clear" w:color="auto" w:fill="1F3A5F"/>
          </w:tcPr>
          <w:p>
            <w:pPr>
              <w:spacing w:after="40" w:line="240" w:lineRule="auto"/>
            </w:pPr>
            <w:r/>
            <w:r>
              <w:rPr>
                <w:rFonts w:ascii="Cambria" w:hAnsi="Cambria"/>
                <w:b/>
                <w:color w:val="FFFFFF"/>
                <w:sz w:val="20"/>
              </w:rPr>
              <w:t>Pillar</w:t>
            </w:r>
          </w:p>
        </w:tc>
        <w:tc>
          <w:tcPr>
            <w:tcW w:type="dxa" w:w="2608"/>
            <w:shd w:val="clear" w:color="auto" w:fill="1F3A5F"/>
          </w:tcPr>
          <w:p>
            <w:pPr>
              <w:spacing w:after="40" w:line="240" w:lineRule="auto"/>
            </w:pPr>
            <w:r/>
            <w:r>
              <w:rPr>
                <w:rFonts w:ascii="Cambria" w:hAnsi="Cambria"/>
                <w:b/>
                <w:color w:val="FFFFFF"/>
                <w:sz w:val="20"/>
              </w:rPr>
              <w:t>0–5 years</w:t>
            </w:r>
          </w:p>
        </w:tc>
        <w:tc>
          <w:tcPr>
            <w:tcW w:type="dxa" w:w="2608"/>
            <w:shd w:val="clear" w:color="auto" w:fill="1F3A5F"/>
          </w:tcPr>
          <w:p>
            <w:pPr>
              <w:spacing w:after="40" w:line="240" w:lineRule="auto"/>
            </w:pPr>
            <w:r/>
            <w:r>
              <w:rPr>
                <w:rFonts w:ascii="Cambria" w:hAnsi="Cambria"/>
                <w:b/>
                <w:color w:val="FFFFFF"/>
                <w:sz w:val="20"/>
              </w:rPr>
              <w:t>6–10 years</w:t>
            </w:r>
          </w:p>
        </w:tc>
        <w:tc>
          <w:tcPr>
            <w:tcW w:type="dxa" w:w="2494"/>
            <w:shd w:val="clear" w:color="auto" w:fill="1F3A5F"/>
          </w:tcPr>
          <w:p>
            <w:pPr>
              <w:spacing w:after="40" w:line="240" w:lineRule="auto"/>
            </w:pPr>
            <w:r/>
            <w:r>
              <w:rPr>
                <w:rFonts w:ascii="Cambria" w:hAnsi="Cambria"/>
                <w:b/>
                <w:color w:val="FFFFFF"/>
                <w:sz w:val="20"/>
              </w:rPr>
              <w:t>11–20 years</w:t>
            </w:r>
          </w:p>
        </w:tc>
      </w:tr>
      <w:tr>
        <w:tc>
          <w:tcPr>
            <w:tcW w:type="dxa" w:w="1701"/>
          </w:tcPr>
          <w:p>
            <w:pPr>
              <w:spacing w:after="40" w:line="240" w:lineRule="auto"/>
            </w:pPr>
            <w:r/>
            <w:r>
              <w:rPr>
                <w:rFonts w:ascii="Cambria" w:hAnsi="Cambria"/>
                <w:sz w:val="20"/>
              </w:rPr>
              <w:t>Academic excellence</w:t>
            </w:r>
          </w:p>
        </w:tc>
        <w:tc>
          <w:tcPr>
            <w:tcW w:type="dxa" w:w="2608"/>
          </w:tcPr>
          <w:p>
            <w:pPr>
              <w:spacing w:after="40" w:line="240" w:lineRule="auto"/>
            </w:pPr>
            <w:r/>
            <w:r>
              <w:rPr>
                <w:rFonts w:ascii="Cambria" w:hAnsi="Cambria"/>
                <w:sz w:val="20"/>
              </w:rPr>
              <w:t>Revise all curricula to NEP/OBE; ~70% smart classrooms; digital-pedagogy training</w:t>
            </w:r>
          </w:p>
        </w:tc>
        <w:tc>
          <w:tcPr>
            <w:tcW w:type="dxa" w:w="2608"/>
          </w:tcPr>
          <w:p>
            <w:pPr>
              <w:spacing w:after="40" w:line="240" w:lineRule="auto"/>
            </w:pPr>
            <w:r/>
            <w:r>
              <w:rPr>
                <w:rFonts w:ascii="Cambria" w:hAnsi="Cambria"/>
                <w:sz w:val="20"/>
              </w:rPr>
              <w:t>Lifelong-learning hubs; credit bank; ≥90% student satisfaction</w:t>
            </w:r>
          </w:p>
        </w:tc>
        <w:tc>
          <w:tcPr>
            <w:tcW w:type="dxa" w:w="2494"/>
          </w:tcPr>
          <w:p>
            <w:pPr>
              <w:spacing w:after="40" w:line="240" w:lineRule="auto"/>
            </w:pPr>
            <w:r/>
            <w:r>
              <w:rPr>
                <w:rFonts w:ascii="Cambria" w:hAnsi="Cambria"/>
                <w:sz w:val="20"/>
              </w:rPr>
              <w:t>World-class teaching; ≥95% employability</w:t>
            </w:r>
          </w:p>
        </w:tc>
      </w:tr>
      <w:tr>
        <w:tc>
          <w:tcPr>
            <w:tcW w:type="dxa" w:w="1701"/>
            <w:shd w:val="clear" w:color="auto" w:fill="E8EEF5"/>
          </w:tcPr>
          <w:p>
            <w:pPr>
              <w:spacing w:after="40" w:line="240" w:lineRule="auto"/>
            </w:pPr>
            <w:r/>
            <w:r>
              <w:rPr>
                <w:rFonts w:ascii="Cambria" w:hAnsi="Cambria"/>
                <w:sz w:val="20"/>
              </w:rPr>
              <w:t>Research and innovation</w:t>
            </w:r>
          </w:p>
        </w:tc>
        <w:tc>
          <w:tcPr>
            <w:tcW w:type="dxa" w:w="2608"/>
            <w:shd w:val="clear" w:color="auto" w:fill="E8EEF5"/>
          </w:tcPr>
          <w:p>
            <w:pPr>
              <w:spacing w:after="40" w:line="240" w:lineRule="auto"/>
            </w:pPr>
            <w:r/>
            <w:r>
              <w:rPr>
                <w:rFonts w:ascii="Cambria" w:hAnsi="Cambria"/>
                <w:sz w:val="20"/>
              </w:rPr>
              <w:t>2–3 Centres of Excellence; ≥10 patents a year; incubation hub</w:t>
            </w:r>
          </w:p>
        </w:tc>
        <w:tc>
          <w:tcPr>
            <w:tcW w:type="dxa" w:w="2608"/>
            <w:shd w:val="clear" w:color="auto" w:fill="E8EEF5"/>
          </w:tcPr>
          <w:p>
            <w:pPr>
              <w:spacing w:after="40" w:line="240" w:lineRule="auto"/>
            </w:pPr>
            <w:r/>
            <w:r>
              <w:rPr>
                <w:rFonts w:ascii="Cambria" w:hAnsi="Cambria"/>
                <w:sz w:val="20"/>
              </w:rPr>
              <w:t>Larger research funding; joint labs; industry-funded projects</w:t>
            </w:r>
          </w:p>
        </w:tc>
        <w:tc>
          <w:tcPr>
            <w:tcW w:type="dxa" w:w="2494"/>
            <w:shd w:val="clear" w:color="auto" w:fill="E8EEF5"/>
          </w:tcPr>
          <w:p>
            <w:pPr>
              <w:spacing w:after="40" w:line="240" w:lineRule="auto"/>
            </w:pPr>
            <w:r/>
            <w:r>
              <w:rPr>
                <w:rFonts w:ascii="Cambria" w:hAnsi="Cambria"/>
                <w:sz w:val="20"/>
              </w:rPr>
              <w:t>Global research leader; 50+ patents a year</w:t>
            </w:r>
          </w:p>
        </w:tc>
      </w:tr>
      <w:tr>
        <w:tc>
          <w:tcPr>
            <w:tcW w:type="dxa" w:w="1701"/>
          </w:tcPr>
          <w:p>
            <w:pPr>
              <w:spacing w:after="40" w:line="240" w:lineRule="auto"/>
            </w:pPr>
            <w:r/>
            <w:r>
              <w:rPr>
                <w:rFonts w:ascii="Cambria" w:hAnsi="Cambria"/>
                <w:sz w:val="20"/>
              </w:rPr>
              <w:t>Sustainability</w:t>
            </w:r>
          </w:p>
        </w:tc>
        <w:tc>
          <w:tcPr>
            <w:tcW w:type="dxa" w:w="2608"/>
          </w:tcPr>
          <w:p>
            <w:pPr>
              <w:spacing w:after="40" w:line="240" w:lineRule="auto"/>
            </w:pPr>
            <w:r/>
            <w:r>
              <w:rPr>
                <w:rFonts w:ascii="Cambria" w:hAnsi="Cambria"/>
                <w:sz w:val="20"/>
              </w:rPr>
              <w:t>40% renewable energy; green-certified buildings</w:t>
            </w:r>
          </w:p>
        </w:tc>
        <w:tc>
          <w:tcPr>
            <w:tcW w:type="dxa" w:w="2608"/>
          </w:tcPr>
          <w:p>
            <w:pPr>
              <w:spacing w:after="40" w:line="240" w:lineRule="auto"/>
            </w:pPr>
            <w:r/>
            <w:r>
              <w:rPr>
                <w:rFonts w:ascii="Cambria" w:hAnsi="Cambria"/>
                <w:sz w:val="20"/>
              </w:rPr>
              <w:t>70% renewable; sustainability degrees; green audits</w:t>
            </w:r>
          </w:p>
        </w:tc>
        <w:tc>
          <w:tcPr>
            <w:tcW w:type="dxa" w:w="2494"/>
          </w:tcPr>
          <w:p>
            <w:pPr>
              <w:spacing w:after="40" w:line="240" w:lineRule="auto"/>
            </w:pPr>
            <w:r/>
            <w:r>
              <w:rPr>
                <w:rFonts w:ascii="Cambria" w:hAnsi="Cambria"/>
                <w:sz w:val="20"/>
              </w:rPr>
              <w:t>Carbon-neutral campus; national green model</w:t>
            </w:r>
          </w:p>
        </w:tc>
      </w:tr>
      <w:tr>
        <w:tc>
          <w:tcPr>
            <w:tcW w:type="dxa" w:w="1701"/>
            <w:shd w:val="clear" w:color="auto" w:fill="E8EEF5"/>
          </w:tcPr>
          <w:p>
            <w:pPr>
              <w:spacing w:after="40" w:line="240" w:lineRule="auto"/>
            </w:pPr>
            <w:r/>
            <w:r>
              <w:rPr>
                <w:rFonts w:ascii="Cambria" w:hAnsi="Cambria"/>
                <w:sz w:val="20"/>
              </w:rPr>
              <w:t>Globalisation</w:t>
            </w:r>
          </w:p>
        </w:tc>
        <w:tc>
          <w:tcPr>
            <w:tcW w:type="dxa" w:w="2608"/>
            <w:shd w:val="clear" w:color="auto" w:fill="E8EEF5"/>
          </w:tcPr>
          <w:p>
            <w:pPr>
              <w:spacing w:after="40" w:line="240" w:lineRule="auto"/>
            </w:pPr>
            <w:r/>
            <w:r>
              <w:rPr>
                <w:rFonts w:ascii="Cambria" w:hAnsi="Cambria"/>
                <w:sz w:val="20"/>
              </w:rPr>
              <w:t>~20 MoUs; 3 international conferences a year; exchanges</w:t>
            </w:r>
          </w:p>
        </w:tc>
        <w:tc>
          <w:tcPr>
            <w:tcW w:type="dxa" w:w="2608"/>
            <w:shd w:val="clear" w:color="auto" w:fill="E8EEF5"/>
          </w:tcPr>
          <w:p>
            <w:pPr>
              <w:spacing w:after="40" w:line="240" w:lineRule="auto"/>
            </w:pPr>
            <w:r/>
            <w:r>
              <w:rPr>
                <w:rFonts w:ascii="Cambria" w:hAnsi="Cambria"/>
                <w:sz w:val="20"/>
              </w:rPr>
              <w:t>Dual degrees; ~10% international students; Top-100 Asian rank</w:t>
            </w:r>
          </w:p>
        </w:tc>
        <w:tc>
          <w:tcPr>
            <w:tcW w:type="dxa" w:w="2494"/>
            <w:shd w:val="clear" w:color="auto" w:fill="E8EEF5"/>
          </w:tcPr>
          <w:p>
            <w:pPr>
              <w:spacing w:after="40" w:line="240" w:lineRule="auto"/>
            </w:pPr>
            <w:r/>
            <w:r>
              <w:rPr>
                <w:rFonts w:ascii="Cambria" w:hAnsi="Cambria"/>
                <w:sz w:val="20"/>
              </w:rPr>
              <w:t>Top-500 global rank; 200+ exchanges a year</w:t>
            </w:r>
          </w:p>
        </w:tc>
      </w:tr>
      <w:tr>
        <w:tc>
          <w:tcPr>
            <w:tcW w:type="dxa" w:w="1701"/>
          </w:tcPr>
          <w:p>
            <w:pPr>
              <w:spacing w:after="40" w:line="240" w:lineRule="auto"/>
            </w:pPr>
            <w:r/>
            <w:r>
              <w:rPr>
                <w:rFonts w:ascii="Cambria" w:hAnsi="Cambria"/>
                <w:sz w:val="20"/>
              </w:rPr>
              <w:t>Community and ISR</w:t>
            </w:r>
          </w:p>
        </w:tc>
        <w:tc>
          <w:tcPr>
            <w:tcW w:type="dxa" w:w="2608"/>
          </w:tcPr>
          <w:p>
            <w:pPr>
              <w:spacing w:after="40" w:line="240" w:lineRule="auto"/>
            </w:pPr>
            <w:r/>
            <w:r>
              <w:rPr>
                <w:rFonts w:ascii="Cambria" w:hAnsi="Cambria"/>
                <w:sz w:val="20"/>
              </w:rPr>
              <w:t>80% of students in ISR; ~5,000 beneficiaries a year</w:t>
            </w:r>
          </w:p>
        </w:tc>
        <w:tc>
          <w:tcPr>
            <w:tcW w:type="dxa" w:w="2608"/>
          </w:tcPr>
          <w:p>
            <w:pPr>
              <w:spacing w:after="40" w:line="240" w:lineRule="auto"/>
            </w:pPr>
            <w:r/>
            <w:r>
              <w:rPr>
                <w:rFonts w:ascii="Cambria" w:hAnsi="Cambria"/>
                <w:sz w:val="20"/>
              </w:rPr>
              <w:t>~50,000 beneficiaries; service-learning in all programmes</w:t>
            </w:r>
          </w:p>
        </w:tc>
        <w:tc>
          <w:tcPr>
            <w:tcW w:type="dxa" w:w="2494"/>
          </w:tcPr>
          <w:p>
            <w:pPr>
              <w:spacing w:after="40" w:line="240" w:lineRule="auto"/>
            </w:pPr>
            <w:r/>
            <w:r>
              <w:rPr>
                <w:rFonts w:ascii="Cambria" w:hAnsi="Cambria"/>
                <w:sz w:val="20"/>
              </w:rPr>
              <w:t>National leader; ~100,000 beneficiaries a year</w:t>
            </w:r>
          </w:p>
        </w:tc>
      </w:tr>
      <w:tr>
        <w:tc>
          <w:tcPr>
            <w:tcW w:type="dxa" w:w="1701"/>
            <w:shd w:val="clear" w:color="auto" w:fill="E8EEF5"/>
          </w:tcPr>
          <w:p>
            <w:pPr>
              <w:spacing w:after="40" w:line="240" w:lineRule="auto"/>
            </w:pPr>
            <w:r/>
            <w:r>
              <w:rPr>
                <w:rFonts w:ascii="Cambria" w:hAnsi="Cambria"/>
                <w:sz w:val="20"/>
              </w:rPr>
              <w:t>Governance and QA</w:t>
            </w:r>
          </w:p>
        </w:tc>
        <w:tc>
          <w:tcPr>
            <w:tcW w:type="dxa" w:w="2608"/>
            <w:shd w:val="clear" w:color="auto" w:fill="E8EEF5"/>
          </w:tcPr>
          <w:p>
            <w:pPr>
              <w:spacing w:after="40" w:line="240" w:lineRule="auto"/>
            </w:pPr>
            <w:r/>
            <w:r>
              <w:rPr>
                <w:rFonts w:ascii="Cambria" w:hAnsi="Cambria"/>
                <w:sz w:val="20"/>
              </w:rPr>
              <w:t>Strong IQAC; digital dashboards; NAAC top grade</w:t>
            </w:r>
          </w:p>
        </w:tc>
        <w:tc>
          <w:tcPr>
            <w:tcW w:type="dxa" w:w="2608"/>
            <w:shd w:val="clear" w:color="auto" w:fill="E8EEF5"/>
          </w:tcPr>
          <w:p>
            <w:pPr>
              <w:spacing w:after="40" w:line="240" w:lineRule="auto"/>
            </w:pPr>
            <w:r/>
            <w:r>
              <w:rPr>
                <w:rFonts w:ascii="Cambria" w:hAnsi="Cambria"/>
                <w:sz w:val="20"/>
              </w:rPr>
              <w:t>NBA Tier-1; Top-50 NIRF; data-driven governance</w:t>
            </w:r>
          </w:p>
        </w:tc>
        <w:tc>
          <w:tcPr>
            <w:tcW w:type="dxa" w:w="2494"/>
            <w:shd w:val="clear" w:color="auto" w:fill="E8EEF5"/>
          </w:tcPr>
          <w:p>
            <w:pPr>
              <w:spacing w:after="40" w:line="240" w:lineRule="auto"/>
            </w:pPr>
            <w:r/>
            <w:r>
              <w:rPr>
                <w:rFonts w:ascii="Cambria" w:hAnsi="Cambria"/>
                <w:sz w:val="20"/>
              </w:rPr>
              <w:t>QS 5-star / top THE; global QA benchmark</w:t>
            </w:r>
          </w:p>
        </w:tc>
      </w:tr>
      <w:tr>
        <w:tc>
          <w:tcPr>
            <w:tcW w:type="dxa" w:w="1701"/>
          </w:tcPr>
          <w:p>
            <w:pPr>
              <w:spacing w:after="40" w:line="240" w:lineRule="auto"/>
            </w:pPr>
            <w:r/>
            <w:r>
              <w:rPr>
                <w:rFonts w:ascii="Cambria" w:hAnsi="Cambria"/>
                <w:sz w:val="20"/>
              </w:rPr>
              <w:t>Equity and inclusion</w:t>
            </w:r>
          </w:p>
        </w:tc>
        <w:tc>
          <w:tcPr>
            <w:tcW w:type="dxa" w:w="2608"/>
          </w:tcPr>
          <w:p>
            <w:pPr>
              <w:spacing w:after="40" w:line="240" w:lineRule="auto"/>
            </w:pPr>
            <w:r/>
            <w:r>
              <w:rPr>
                <w:rFonts w:ascii="Cambria" w:hAnsi="Cambria"/>
                <w:sz w:val="20"/>
              </w:rPr>
              <w:t>Scholarships for ~25% of students; career and counselling centres</w:t>
            </w:r>
          </w:p>
        </w:tc>
        <w:tc>
          <w:tcPr>
            <w:tcW w:type="dxa" w:w="2608"/>
          </w:tcPr>
          <w:p>
            <w:pPr>
              <w:spacing w:after="40" w:line="240" w:lineRule="auto"/>
            </w:pPr>
            <w:r/>
            <w:r>
              <w:rPr>
                <w:rFonts w:ascii="Cambria" w:hAnsi="Cambria"/>
                <w:sz w:val="20"/>
              </w:rPr>
              <w:t>Retention ~95%; 90% placement support</w:t>
            </w:r>
          </w:p>
        </w:tc>
        <w:tc>
          <w:tcPr>
            <w:tcW w:type="dxa" w:w="2494"/>
          </w:tcPr>
          <w:p>
            <w:pPr>
              <w:spacing w:after="40" w:line="240" w:lineRule="auto"/>
            </w:pPr>
            <w:r/>
            <w:r>
              <w:rPr>
                <w:rFonts w:ascii="Cambria" w:hAnsi="Cambria"/>
                <w:sz w:val="20"/>
              </w:rPr>
              <w:t>Global inclusive model; 50% diversity index</w:t>
            </w:r>
          </w:p>
        </w:tc>
      </w:tr>
    </w:tbl>
    <w:p>
      <w:pPr>
        <w:spacing w:after="40"/>
      </w:pPr>
    </w:p>
    <w:p>
      <w:pPr>
        <w:pStyle w:val="Heading2"/>
      </w:pPr>
      <w:r>
        <w:t>A. Alignment with NEP 2020 and the SDGs</w:t>
      </w:r>
    </w:p>
    <w:tbl>
      <w:tblPr>
        <w:tblStyle w:val="TableGrid"/>
        <w:tblW w:type="auto" w:w="0"/>
        <w:jc w:val="center"/>
        <w:tblLayout w:type="fixed"/>
        <w:tblLook w:firstColumn="1" w:firstRow="1" w:lastColumn="0" w:lastRow="0" w:noHBand="0" w:noVBand="1" w:val="04A0"/>
      </w:tblPr>
      <w:tblGrid>
        <w:gridCol w:w="3005"/>
        <w:gridCol w:w="1871"/>
        <w:gridCol w:w="4535"/>
      </w:tblGrid>
      <w:tr>
        <w:tc>
          <w:tcPr>
            <w:tcW w:type="dxa" w:w="3005"/>
            <w:shd w:val="clear" w:color="auto" w:fill="1F3A5F"/>
          </w:tcPr>
          <w:p>
            <w:pPr>
              <w:spacing w:after="40" w:line="240" w:lineRule="auto"/>
            </w:pPr>
            <w:r/>
            <w:r>
              <w:rPr>
                <w:rFonts w:ascii="Cambria" w:hAnsi="Cambria"/>
                <w:b/>
                <w:color w:val="FFFFFF"/>
                <w:sz w:val="20"/>
              </w:rPr>
              <w:t>Theme</w:t>
            </w:r>
          </w:p>
        </w:tc>
        <w:tc>
          <w:tcPr>
            <w:tcW w:type="dxa" w:w="1871"/>
            <w:shd w:val="clear" w:color="auto" w:fill="1F3A5F"/>
          </w:tcPr>
          <w:p>
            <w:pPr>
              <w:spacing w:after="40" w:line="240" w:lineRule="auto"/>
            </w:pPr>
            <w:r/>
            <w:r>
              <w:rPr>
                <w:rFonts w:ascii="Cambria" w:hAnsi="Cambria"/>
                <w:b/>
                <w:color w:val="FFFFFF"/>
                <w:sz w:val="20"/>
              </w:rPr>
              <w:t>Linked SDGs</w:t>
            </w:r>
          </w:p>
        </w:tc>
        <w:tc>
          <w:tcPr>
            <w:tcW w:type="dxa" w:w="4535"/>
            <w:shd w:val="clear" w:color="auto" w:fill="1F3A5F"/>
          </w:tcPr>
          <w:p>
            <w:pPr>
              <w:spacing w:after="40" w:line="240" w:lineRule="auto"/>
            </w:pPr>
            <w:r/>
            <w:r>
              <w:rPr>
                <w:rFonts w:ascii="Cambria" w:hAnsi="Cambria"/>
                <w:b/>
                <w:color w:val="FFFFFF"/>
                <w:sz w:val="20"/>
              </w:rPr>
              <w:t>NEP 2020 link</w:t>
            </w:r>
          </w:p>
        </w:tc>
      </w:tr>
      <w:tr>
        <w:tc>
          <w:tcPr>
            <w:tcW w:type="dxa" w:w="3005"/>
          </w:tcPr>
          <w:p>
            <w:pPr>
              <w:spacing w:after="40" w:line="240" w:lineRule="auto"/>
            </w:pPr>
            <w:r/>
            <w:r>
              <w:rPr>
                <w:rFonts w:ascii="Cambria" w:hAnsi="Cambria"/>
                <w:sz w:val="20"/>
              </w:rPr>
              <w:t>Academic excellence</w:t>
            </w:r>
          </w:p>
        </w:tc>
        <w:tc>
          <w:tcPr>
            <w:tcW w:type="dxa" w:w="1871"/>
          </w:tcPr>
          <w:p>
            <w:pPr>
              <w:spacing w:after="40" w:line="240" w:lineRule="auto"/>
            </w:pPr>
            <w:r/>
            <w:r>
              <w:rPr>
                <w:rFonts w:ascii="Cambria" w:hAnsi="Cambria"/>
                <w:sz w:val="20"/>
              </w:rPr>
              <w:t>SDG-4</w:t>
            </w:r>
          </w:p>
        </w:tc>
        <w:tc>
          <w:tcPr>
            <w:tcW w:type="dxa" w:w="4535"/>
          </w:tcPr>
          <w:p>
            <w:pPr>
              <w:spacing w:after="40" w:line="240" w:lineRule="auto"/>
            </w:pPr>
            <w:r/>
            <w:r>
              <w:rPr>
                <w:rFonts w:ascii="Cambria" w:hAnsi="Cambria"/>
                <w:sz w:val="20"/>
              </w:rPr>
              <w:t>Multidisciplinary, flexible, outcome-based learning</w:t>
            </w:r>
          </w:p>
        </w:tc>
      </w:tr>
      <w:tr>
        <w:tc>
          <w:tcPr>
            <w:tcW w:type="dxa" w:w="3005"/>
            <w:shd w:val="clear" w:color="auto" w:fill="E8EEF5"/>
          </w:tcPr>
          <w:p>
            <w:pPr>
              <w:spacing w:after="40" w:line="240" w:lineRule="auto"/>
            </w:pPr>
            <w:r/>
            <w:r>
              <w:rPr>
                <w:rFonts w:ascii="Cambria" w:hAnsi="Cambria"/>
                <w:sz w:val="20"/>
              </w:rPr>
              <w:t>Innovation and knowledge creation</w:t>
            </w:r>
          </w:p>
        </w:tc>
        <w:tc>
          <w:tcPr>
            <w:tcW w:type="dxa" w:w="1871"/>
            <w:shd w:val="clear" w:color="auto" w:fill="E8EEF5"/>
          </w:tcPr>
          <w:p>
            <w:pPr>
              <w:spacing w:after="40" w:line="240" w:lineRule="auto"/>
            </w:pPr>
            <w:r/>
            <w:r>
              <w:rPr>
                <w:rFonts w:ascii="Cambria" w:hAnsi="Cambria"/>
                <w:sz w:val="20"/>
              </w:rPr>
              <w:t>SDG-9</w:t>
            </w:r>
          </w:p>
        </w:tc>
        <w:tc>
          <w:tcPr>
            <w:tcW w:type="dxa" w:w="4535"/>
            <w:shd w:val="clear" w:color="auto" w:fill="E8EEF5"/>
          </w:tcPr>
          <w:p>
            <w:pPr>
              <w:spacing w:after="40" w:line="240" w:lineRule="auto"/>
            </w:pPr>
            <w:r/>
            <w:r>
              <w:rPr>
                <w:rFonts w:ascii="Cambria" w:hAnsi="Cambria"/>
                <w:sz w:val="20"/>
              </w:rPr>
              <w:t>Research, startups, industry linkage</w:t>
            </w:r>
          </w:p>
        </w:tc>
      </w:tr>
      <w:tr>
        <w:tc>
          <w:tcPr>
            <w:tcW w:type="dxa" w:w="3005"/>
          </w:tcPr>
          <w:p>
            <w:pPr>
              <w:spacing w:after="40" w:line="240" w:lineRule="auto"/>
            </w:pPr>
            <w:r/>
            <w:r>
              <w:rPr>
                <w:rFonts w:ascii="Cambria" w:hAnsi="Cambria"/>
                <w:sz w:val="20"/>
              </w:rPr>
              <w:t>Sustainability and green development</w:t>
            </w:r>
          </w:p>
        </w:tc>
        <w:tc>
          <w:tcPr>
            <w:tcW w:type="dxa" w:w="1871"/>
          </w:tcPr>
          <w:p>
            <w:pPr>
              <w:spacing w:after="40" w:line="240" w:lineRule="auto"/>
            </w:pPr>
            <w:r/>
            <w:r>
              <w:rPr>
                <w:rFonts w:ascii="Cambria" w:hAnsi="Cambria"/>
                <w:sz w:val="20"/>
              </w:rPr>
              <w:t>SDG-7, 11, 13</w:t>
            </w:r>
          </w:p>
        </w:tc>
        <w:tc>
          <w:tcPr>
            <w:tcW w:type="dxa" w:w="4535"/>
          </w:tcPr>
          <w:p>
            <w:pPr>
              <w:spacing w:after="40" w:line="240" w:lineRule="auto"/>
            </w:pPr>
            <w:r/>
            <w:r>
              <w:rPr>
                <w:rFonts w:ascii="Cambria" w:hAnsi="Cambria"/>
                <w:sz w:val="20"/>
              </w:rPr>
              <w:t>Environment-conscious campuses and research</w:t>
            </w:r>
          </w:p>
        </w:tc>
      </w:tr>
      <w:tr>
        <w:tc>
          <w:tcPr>
            <w:tcW w:type="dxa" w:w="3005"/>
            <w:shd w:val="clear" w:color="auto" w:fill="E8EEF5"/>
          </w:tcPr>
          <w:p>
            <w:pPr>
              <w:spacing w:after="40" w:line="240" w:lineRule="auto"/>
            </w:pPr>
            <w:r/>
            <w:r>
              <w:rPr>
                <w:rFonts w:ascii="Cambria" w:hAnsi="Cambria"/>
                <w:sz w:val="20"/>
              </w:rPr>
              <w:t>Inclusivity and equity</w:t>
            </w:r>
          </w:p>
        </w:tc>
        <w:tc>
          <w:tcPr>
            <w:tcW w:type="dxa" w:w="1871"/>
            <w:shd w:val="clear" w:color="auto" w:fill="E8EEF5"/>
          </w:tcPr>
          <w:p>
            <w:pPr>
              <w:spacing w:after="40" w:line="240" w:lineRule="auto"/>
            </w:pPr>
            <w:r/>
            <w:r>
              <w:rPr>
                <w:rFonts w:ascii="Cambria" w:hAnsi="Cambria"/>
                <w:sz w:val="20"/>
              </w:rPr>
              <w:t>SDG-5, 10</w:t>
            </w:r>
          </w:p>
        </w:tc>
        <w:tc>
          <w:tcPr>
            <w:tcW w:type="dxa" w:w="4535"/>
            <w:shd w:val="clear" w:color="auto" w:fill="E8EEF5"/>
          </w:tcPr>
          <w:p>
            <w:pPr>
              <w:spacing w:after="40" w:line="240" w:lineRule="auto"/>
            </w:pPr>
            <w:r/>
            <w:r>
              <w:rPr>
                <w:rFonts w:ascii="Cambria" w:hAnsi="Cambria"/>
                <w:sz w:val="20"/>
              </w:rPr>
              <w:t>Access, scholarships, gender and disability inclusion</w:t>
            </w:r>
          </w:p>
        </w:tc>
      </w:tr>
      <w:tr>
        <w:tc>
          <w:tcPr>
            <w:tcW w:type="dxa" w:w="3005"/>
          </w:tcPr>
          <w:p>
            <w:pPr>
              <w:spacing w:after="40" w:line="240" w:lineRule="auto"/>
            </w:pPr>
            <w:r/>
            <w:r>
              <w:rPr>
                <w:rFonts w:ascii="Cambria" w:hAnsi="Cambria"/>
                <w:sz w:val="20"/>
              </w:rPr>
              <w:t>Global impact</w:t>
            </w:r>
          </w:p>
        </w:tc>
        <w:tc>
          <w:tcPr>
            <w:tcW w:type="dxa" w:w="1871"/>
          </w:tcPr>
          <w:p>
            <w:pPr>
              <w:spacing w:after="40" w:line="240" w:lineRule="auto"/>
            </w:pPr>
            <w:r/>
            <w:r>
              <w:rPr>
                <w:rFonts w:ascii="Cambria" w:hAnsi="Cambria"/>
                <w:sz w:val="20"/>
              </w:rPr>
              <w:t>SDG-17, 4</w:t>
            </w:r>
          </w:p>
        </w:tc>
        <w:tc>
          <w:tcPr>
            <w:tcW w:type="dxa" w:w="4535"/>
          </w:tcPr>
          <w:p>
            <w:pPr>
              <w:spacing w:after="40" w:line="240" w:lineRule="auto"/>
            </w:pPr>
            <w:r/>
            <w:r>
              <w:rPr>
                <w:rFonts w:ascii="Cambria" w:hAnsi="Cambria"/>
                <w:sz w:val="20"/>
              </w:rPr>
              <w:t>Internationalisation, credit transfer, dual degrees</w:t>
            </w:r>
          </w:p>
        </w:tc>
      </w:tr>
      <w:tr>
        <w:tc>
          <w:tcPr>
            <w:tcW w:type="dxa" w:w="3005"/>
            <w:shd w:val="clear" w:color="auto" w:fill="E8EEF5"/>
          </w:tcPr>
          <w:p>
            <w:pPr>
              <w:spacing w:after="40" w:line="240" w:lineRule="auto"/>
            </w:pPr>
            <w:r/>
            <w:r>
              <w:rPr>
                <w:rFonts w:ascii="Cambria" w:hAnsi="Cambria"/>
                <w:sz w:val="20"/>
              </w:rPr>
              <w:t>Governance and QA</w:t>
            </w:r>
          </w:p>
        </w:tc>
        <w:tc>
          <w:tcPr>
            <w:tcW w:type="dxa" w:w="1871"/>
            <w:shd w:val="clear" w:color="auto" w:fill="E8EEF5"/>
          </w:tcPr>
          <w:p>
            <w:pPr>
              <w:spacing w:after="40" w:line="240" w:lineRule="auto"/>
            </w:pPr>
            <w:r/>
            <w:r>
              <w:rPr>
                <w:rFonts w:ascii="Cambria" w:hAnsi="Cambria"/>
                <w:sz w:val="20"/>
              </w:rPr>
              <w:t>SDG-16, 17</w:t>
            </w:r>
          </w:p>
        </w:tc>
        <w:tc>
          <w:tcPr>
            <w:tcW w:type="dxa" w:w="4535"/>
            <w:shd w:val="clear" w:color="auto" w:fill="E8EEF5"/>
          </w:tcPr>
          <w:p>
            <w:pPr>
              <w:spacing w:after="40" w:line="240" w:lineRule="auto"/>
            </w:pPr>
            <w:r/>
            <w:r>
              <w:rPr>
                <w:rFonts w:ascii="Cambria" w:hAnsi="Cambria"/>
                <w:sz w:val="20"/>
              </w:rPr>
              <w:t>Autonomy, accountability, accreditation reform</w:t>
            </w:r>
          </w:p>
        </w:tc>
      </w:tr>
    </w:tbl>
    <w:p>
      <w:pPr>
        <w:spacing w:after="40"/>
      </w:pPr>
    </w:p>
    <w:p>
      <w:pPr>
        <w:pStyle w:val="Heading1"/>
      </w:pPr>
      <w:r>
        <w:t>6. Situational Analysis: SWOT and TOWS</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1F3A5F"/>
          </w:tcPr>
          <w:p>
            <w:pPr>
              <w:spacing w:after="40" w:line="240" w:lineRule="auto"/>
            </w:pPr>
            <w:r/>
            <w:r>
              <w:rPr>
                <w:rFonts w:ascii="Cambria" w:hAnsi="Cambria"/>
                <w:b/>
                <w:color w:val="FFFFFF"/>
                <w:sz w:val="20"/>
              </w:rPr>
              <w:t>Strengths</w:t>
            </w:r>
          </w:p>
        </w:tc>
        <w:tc>
          <w:tcPr>
            <w:tcW w:type="dxa" w:w="4706"/>
            <w:shd w:val="clear" w:color="auto" w:fill="1F3A5F"/>
          </w:tcPr>
          <w:p>
            <w:pPr>
              <w:spacing w:after="40" w:line="240" w:lineRule="auto"/>
            </w:pPr>
            <w:r/>
            <w:r>
              <w:rPr>
                <w:rFonts w:ascii="Cambria" w:hAnsi="Cambria"/>
                <w:b/>
                <w:color w:val="FFFFFF"/>
                <w:sz w:val="20"/>
              </w:rPr>
              <w:t>Weaknesses</w:t>
            </w:r>
          </w:p>
        </w:tc>
      </w:tr>
      <w:tr>
        <w:tc>
          <w:tcPr>
            <w:tcW w:type="dxa" w:w="4706"/>
          </w:tcPr>
          <w:p>
            <w:pPr>
              <w:spacing w:after="40" w:line="240" w:lineRule="auto"/>
            </w:pPr>
            <w:r/>
            <w:r>
              <w:rPr>
                <w:rFonts w:ascii="Cambria" w:hAnsi="Cambria"/>
                <w:sz w:val="20"/>
              </w:rPr>
              <w:t>Strong vision and leadership; skilled faculty</w:t>
            </w:r>
          </w:p>
        </w:tc>
        <w:tc>
          <w:tcPr>
            <w:tcW w:type="dxa" w:w="4706"/>
          </w:tcPr>
          <w:p>
            <w:pPr>
              <w:spacing w:after="40" w:line="240" w:lineRule="auto"/>
            </w:pPr>
            <w:r/>
            <w:r>
              <w:rPr>
                <w:rFonts w:ascii="Cambria" w:hAnsi="Cambria"/>
                <w:sz w:val="20"/>
              </w:rPr>
              <w:t>Limited funding; reliance on government grants</w:t>
            </w:r>
          </w:p>
        </w:tc>
      </w:tr>
      <w:tr>
        <w:tc>
          <w:tcPr>
            <w:tcW w:type="dxa" w:w="4706"/>
            <w:shd w:val="clear" w:color="auto" w:fill="E8EEF5"/>
          </w:tcPr>
          <w:p>
            <w:pPr>
              <w:spacing w:after="40" w:line="240" w:lineRule="auto"/>
            </w:pPr>
            <w:r/>
            <w:r>
              <w:rPr>
                <w:rFonts w:ascii="Cambria" w:hAnsi="Cambria"/>
                <w:sz w:val="20"/>
              </w:rPr>
              <w:t>Diverse and growing student base</w:t>
            </w:r>
          </w:p>
        </w:tc>
        <w:tc>
          <w:tcPr>
            <w:tcW w:type="dxa" w:w="4706"/>
            <w:shd w:val="clear" w:color="auto" w:fill="E8EEF5"/>
          </w:tcPr>
          <w:p>
            <w:pPr>
              <w:spacing w:after="40" w:line="240" w:lineRule="auto"/>
            </w:pPr>
            <w:r/>
            <w:r>
              <w:rPr>
                <w:rFonts w:ascii="Cambria" w:hAnsi="Cambria"/>
                <w:sz w:val="20"/>
              </w:rPr>
              <w:t>Faculty–student ratio gaps in places</w:t>
            </w:r>
          </w:p>
        </w:tc>
      </w:tr>
      <w:tr>
        <w:tc>
          <w:tcPr>
            <w:tcW w:type="dxa" w:w="4706"/>
          </w:tcPr>
          <w:p>
            <w:pPr>
              <w:spacing w:after="40" w:line="240" w:lineRule="auto"/>
            </w:pPr>
            <w:r/>
            <w:r>
              <w:rPr>
                <w:rFonts w:ascii="Cambria" w:hAnsi="Cambria"/>
                <w:sz w:val="20"/>
              </w:rPr>
              <w:t>Digital labs, libraries, classrooms</w:t>
            </w:r>
          </w:p>
        </w:tc>
        <w:tc>
          <w:tcPr>
            <w:tcW w:type="dxa" w:w="4706"/>
          </w:tcPr>
          <w:p>
            <w:pPr>
              <w:spacing w:after="40" w:line="240" w:lineRule="auto"/>
            </w:pPr>
            <w:r/>
            <w:r>
              <w:rPr>
                <w:rFonts w:ascii="Cambria" w:hAnsi="Cambria"/>
                <w:sz w:val="20"/>
              </w:rPr>
              <w:t>Little global exposure and few partnerships</w:t>
            </w:r>
          </w:p>
        </w:tc>
      </w:tr>
      <w:tr>
        <w:tc>
          <w:tcPr>
            <w:tcW w:type="dxa" w:w="4706"/>
            <w:shd w:val="clear" w:color="auto" w:fill="E8EEF5"/>
          </w:tcPr>
          <w:p>
            <w:pPr>
              <w:spacing w:after="40" w:line="240" w:lineRule="auto"/>
            </w:pPr>
            <w:r/>
            <w:r>
              <w:rPr>
                <w:rFonts w:ascii="Cambria" w:hAnsi="Cambria"/>
                <w:sz w:val="20"/>
              </w:rPr>
              <w:t>Community links and ISR</w:t>
            </w:r>
          </w:p>
        </w:tc>
        <w:tc>
          <w:tcPr>
            <w:tcW w:type="dxa" w:w="4706"/>
            <w:shd w:val="clear" w:color="auto" w:fill="E8EEF5"/>
          </w:tcPr>
          <w:p>
            <w:pPr>
              <w:spacing w:after="40" w:line="240" w:lineRule="auto"/>
            </w:pPr>
            <w:r/>
            <w:r>
              <w:rPr>
                <w:rFonts w:ascii="Cambria" w:hAnsi="Cambria"/>
                <w:sz w:val="20"/>
              </w:rPr>
              <w:t>Weak research infrastructure in niche areas</w:t>
            </w:r>
          </w:p>
        </w:tc>
      </w:tr>
      <w:tr>
        <w:tc>
          <w:tcPr>
            <w:tcW w:type="dxa" w:w="4706"/>
          </w:tcPr>
          <w:p>
            <w:pPr>
              <w:spacing w:after="40" w:line="240" w:lineRule="auto"/>
            </w:pPr>
            <w:r/>
            <w:r>
              <w:rPr>
                <w:rFonts w:ascii="Cambria" w:hAnsi="Cambria"/>
                <w:sz w:val="20"/>
              </w:rPr>
              <w:t>Accreditation readiness (NAAC/NBA/ISO)</w:t>
            </w:r>
          </w:p>
        </w:tc>
        <w:tc>
          <w:tcPr>
            <w:tcW w:type="dxa" w:w="4706"/>
          </w:tcPr>
          <w:p>
            <w:pPr>
              <w:spacing w:after="40" w:line="240" w:lineRule="auto"/>
            </w:pPr>
            <w:r/>
            <w:r>
              <w:rPr>
                <w:rFonts w:ascii="Cambria" w:hAnsi="Cambria"/>
                <w:sz w:val="20"/>
              </w:rPr>
              <w:t>Limited data-driven decision systems; slow governance; thin industry ties</w:t>
            </w:r>
          </w:p>
        </w:tc>
      </w:tr>
      <w:tr>
        <w:tc>
          <w:tcPr>
            <w:tcW w:type="dxa" w:w="4706"/>
            <w:shd w:val="clear" w:color="auto" w:fill="E8EEF5"/>
          </w:tcPr>
          <w:p>
            <w:pPr>
              <w:spacing w:after="40" w:line="240" w:lineRule="auto"/>
            </w:pPr>
            <w:r/>
            <w:r>
              <w:rPr>
                <w:rFonts w:ascii="Cambria" w:hAnsi="Cambria"/>
                <w:sz w:val="20"/>
              </w:rPr>
              <w:t>Research potential in AI, sustainability, health</w:t>
            </w:r>
          </w:p>
        </w:tc>
        <w:tc>
          <w:tcPr>
            <w:tcW w:type="dxa" w:w="4706"/>
            <w:shd w:val="clear" w:color="auto" w:fill="E8EEF5"/>
          </w:tcPr>
          <w:p>
            <w:pPr>
              <w:spacing w:after="40" w:line="240" w:lineRule="auto"/>
            </w:pPr>
            <w:r/>
            <w:r>
              <w:rPr>
                <w:rFonts w:ascii="Cambria" w:hAnsi="Cambria"/>
                <w:sz w:val="20"/>
              </w:rPr>
            </w:r>
          </w:p>
        </w:tc>
      </w:tr>
    </w:tbl>
    <w:p>
      <w:pPr>
        <w:spacing w:after="40"/>
      </w:pP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1F3A5F"/>
          </w:tcPr>
          <w:p>
            <w:pPr>
              <w:spacing w:after="40" w:line="240" w:lineRule="auto"/>
            </w:pPr>
            <w:r/>
            <w:r>
              <w:rPr>
                <w:rFonts w:ascii="Cambria" w:hAnsi="Cambria"/>
                <w:b/>
                <w:color w:val="FFFFFF"/>
                <w:sz w:val="20"/>
              </w:rPr>
              <w:t>Opportunities</w:t>
            </w:r>
          </w:p>
        </w:tc>
        <w:tc>
          <w:tcPr>
            <w:tcW w:type="dxa" w:w="4706"/>
            <w:shd w:val="clear" w:color="auto" w:fill="1F3A5F"/>
          </w:tcPr>
          <w:p>
            <w:pPr>
              <w:spacing w:after="40" w:line="240" w:lineRule="auto"/>
            </w:pPr>
            <w:r/>
            <w:r>
              <w:rPr>
                <w:rFonts w:ascii="Cambria" w:hAnsi="Cambria"/>
                <w:b/>
                <w:color w:val="FFFFFF"/>
                <w:sz w:val="20"/>
              </w:rPr>
              <w:t>Threats</w:t>
            </w:r>
          </w:p>
        </w:tc>
      </w:tr>
      <w:tr>
        <w:tc>
          <w:tcPr>
            <w:tcW w:type="dxa" w:w="4706"/>
          </w:tcPr>
          <w:p>
            <w:pPr>
              <w:spacing w:after="40" w:line="240" w:lineRule="auto"/>
            </w:pPr>
            <w:r/>
            <w:r>
              <w:rPr>
                <w:rFonts w:ascii="Cambria" w:hAnsi="Cambria"/>
                <w:sz w:val="20"/>
              </w:rPr>
              <w:t>NEP 2020 reforms; global SDG focus</w:t>
            </w:r>
          </w:p>
        </w:tc>
        <w:tc>
          <w:tcPr>
            <w:tcW w:type="dxa" w:w="4706"/>
          </w:tcPr>
          <w:p>
            <w:pPr>
              <w:spacing w:after="40" w:line="240" w:lineRule="auto"/>
            </w:pPr>
            <w:r/>
            <w:r>
              <w:rPr>
                <w:rFonts w:ascii="Cambria" w:hAnsi="Cambria"/>
                <w:sz w:val="20"/>
              </w:rPr>
              <w:t>Rapid policy and regulatory change</w:t>
            </w:r>
          </w:p>
        </w:tc>
      </w:tr>
      <w:tr>
        <w:tc>
          <w:tcPr>
            <w:tcW w:type="dxa" w:w="4706"/>
            <w:shd w:val="clear" w:color="auto" w:fill="E8EEF5"/>
          </w:tcPr>
          <w:p>
            <w:pPr>
              <w:spacing w:after="40" w:line="240" w:lineRule="auto"/>
            </w:pPr>
            <w:r/>
            <w:r>
              <w:rPr>
                <w:rFonts w:ascii="Cambria" w:hAnsi="Cambria"/>
                <w:sz w:val="20"/>
              </w:rPr>
              <w:t>EdTech and digital learning growth</w:t>
            </w:r>
          </w:p>
        </w:tc>
        <w:tc>
          <w:tcPr>
            <w:tcW w:type="dxa" w:w="4706"/>
            <w:shd w:val="clear" w:color="auto" w:fill="E8EEF5"/>
          </w:tcPr>
          <w:p>
            <w:pPr>
              <w:spacing w:after="40" w:line="240" w:lineRule="auto"/>
            </w:pPr>
            <w:r/>
            <w:r>
              <w:rPr>
                <w:rFonts w:ascii="Cambria" w:hAnsi="Cambria"/>
                <w:sz w:val="20"/>
              </w:rPr>
              <w:t>Competition from global institutions</w:t>
            </w:r>
          </w:p>
        </w:tc>
      </w:tr>
      <w:tr>
        <w:tc>
          <w:tcPr>
            <w:tcW w:type="dxa" w:w="4706"/>
          </w:tcPr>
          <w:p>
            <w:pPr>
              <w:spacing w:after="40" w:line="240" w:lineRule="auto"/>
            </w:pPr>
            <w:r/>
            <w:r>
              <w:rPr>
                <w:rFonts w:ascii="Cambria" w:hAnsi="Cambria"/>
                <w:sz w:val="20"/>
              </w:rPr>
              <w:t>International collaboration and exchange</w:t>
            </w:r>
          </w:p>
        </w:tc>
        <w:tc>
          <w:tcPr>
            <w:tcW w:type="dxa" w:w="4706"/>
          </w:tcPr>
          <w:p>
            <w:pPr>
              <w:spacing w:after="40" w:line="240" w:lineRule="auto"/>
            </w:pPr>
            <w:r/>
            <w:r>
              <w:rPr>
                <w:rFonts w:ascii="Cambria" w:hAnsi="Cambria"/>
                <w:sz w:val="20"/>
              </w:rPr>
              <w:t>Technology making curricula obsolete</w:t>
            </w:r>
          </w:p>
        </w:tc>
      </w:tr>
      <w:tr>
        <w:tc>
          <w:tcPr>
            <w:tcW w:type="dxa" w:w="4706"/>
            <w:shd w:val="clear" w:color="auto" w:fill="E8EEF5"/>
          </w:tcPr>
          <w:p>
            <w:pPr>
              <w:spacing w:after="40" w:line="240" w:lineRule="auto"/>
            </w:pPr>
            <w:r/>
            <w:r>
              <w:rPr>
                <w:rFonts w:ascii="Cambria" w:hAnsi="Cambria"/>
                <w:sz w:val="20"/>
              </w:rPr>
              <w:t>Industry, CSR and PPP funding</w:t>
            </w:r>
          </w:p>
        </w:tc>
        <w:tc>
          <w:tcPr>
            <w:tcW w:type="dxa" w:w="4706"/>
            <w:shd w:val="clear" w:color="auto" w:fill="E8EEF5"/>
          </w:tcPr>
          <w:p>
            <w:pPr>
              <w:spacing w:after="40" w:line="240" w:lineRule="auto"/>
            </w:pPr>
            <w:r/>
            <w:r>
              <w:rPr>
                <w:rFonts w:ascii="Cambria" w:hAnsi="Cambria"/>
                <w:sz w:val="20"/>
              </w:rPr>
              <w:t>Brain drain of students and faculty</w:t>
            </w:r>
          </w:p>
        </w:tc>
      </w:tr>
      <w:tr>
        <w:tc>
          <w:tcPr>
            <w:tcW w:type="dxa" w:w="4706"/>
          </w:tcPr>
          <w:p>
            <w:pPr>
              <w:spacing w:after="40" w:line="240" w:lineRule="auto"/>
            </w:pPr>
            <w:r/>
            <w:r>
              <w:rPr>
                <w:rFonts w:ascii="Cambria" w:hAnsi="Cambria"/>
                <w:sz w:val="20"/>
              </w:rPr>
              <w:t>Green campus and sustainability funding</w:t>
            </w:r>
          </w:p>
        </w:tc>
        <w:tc>
          <w:tcPr>
            <w:tcW w:type="dxa" w:w="4706"/>
          </w:tcPr>
          <w:p>
            <w:pPr>
              <w:spacing w:after="40" w:line="240" w:lineRule="auto"/>
            </w:pPr>
            <w:r/>
            <w:r>
              <w:rPr>
                <w:rFonts w:ascii="Cambria" w:hAnsi="Cambria"/>
                <w:sz w:val="20"/>
              </w:rPr>
              <w:t>Economic instability affecting funding and enrolment</w:t>
            </w:r>
          </w:p>
        </w:tc>
      </w:tr>
      <w:tr>
        <w:tc>
          <w:tcPr>
            <w:tcW w:type="dxa" w:w="4706"/>
            <w:shd w:val="clear" w:color="auto" w:fill="E8EEF5"/>
          </w:tcPr>
          <w:p>
            <w:pPr>
              <w:spacing w:after="40" w:line="240" w:lineRule="auto"/>
            </w:pPr>
            <w:r/>
            <w:r>
              <w:rPr>
                <w:rFonts w:ascii="Cambria" w:hAnsi="Cambria"/>
                <w:sz w:val="20"/>
              </w:rPr>
              <w:t>Demand for job-oriented, interdisciplinary programmes</w:t>
            </w:r>
          </w:p>
        </w:tc>
        <w:tc>
          <w:tcPr>
            <w:tcW w:type="dxa" w:w="4706"/>
            <w:shd w:val="clear" w:color="auto" w:fill="E8EEF5"/>
          </w:tcPr>
          <w:p>
            <w:pPr>
              <w:spacing w:after="40" w:line="240" w:lineRule="auto"/>
            </w:pPr>
            <w:r/>
            <w:r>
              <w:rPr>
                <w:rFonts w:ascii="Cambria" w:hAnsi="Cambria"/>
                <w:sz w:val="20"/>
              </w:rPr>
              <w:t>Cybersecurity and climate risks</w:t>
            </w:r>
          </w:p>
        </w:tc>
      </w:tr>
    </w:tbl>
    <w:p>
      <w:pPr>
        <w:spacing w:after="40"/>
      </w:pPr>
    </w:p>
    <w:p>
      <w:pPr>
        <w:pStyle w:val="Heading2"/>
      </w:pPr>
      <w:r>
        <w:t>A. TOWS strategy types</w:t>
      </w:r>
    </w:p>
    <w:tbl>
      <w:tblPr>
        <w:tblStyle w:val="TableGrid"/>
        <w:tblW w:type="auto" w:w="0"/>
        <w:jc w:val="center"/>
        <w:tblLayout w:type="fixed"/>
        <w:tblLook w:firstColumn="1" w:firstRow="1" w:lastColumn="0" w:lastRow="0" w:noHBand="0" w:noVBand="1" w:val="04A0"/>
      </w:tblPr>
      <w:tblGrid>
        <w:gridCol w:w="1020"/>
        <w:gridCol w:w="2835"/>
        <w:gridCol w:w="5556"/>
      </w:tblGrid>
      <w:tr>
        <w:tc>
          <w:tcPr>
            <w:tcW w:type="dxa" w:w="1020"/>
            <w:shd w:val="clear" w:color="auto" w:fill="1F3A5F"/>
          </w:tcPr>
          <w:p>
            <w:pPr>
              <w:spacing w:after="40" w:line="240" w:lineRule="auto"/>
            </w:pPr>
            <w:r/>
            <w:r>
              <w:rPr>
                <w:rFonts w:ascii="Cambria" w:hAnsi="Cambria"/>
                <w:b/>
                <w:color w:val="FFFFFF"/>
                <w:sz w:val="20"/>
              </w:rPr>
              <w:t>Type</w:t>
            </w:r>
          </w:p>
        </w:tc>
        <w:tc>
          <w:tcPr>
            <w:tcW w:type="dxa" w:w="2835"/>
            <w:shd w:val="clear" w:color="auto" w:fill="1F3A5F"/>
          </w:tcPr>
          <w:p>
            <w:pPr>
              <w:spacing w:after="40" w:line="240" w:lineRule="auto"/>
            </w:pPr>
            <w:r/>
            <w:r>
              <w:rPr>
                <w:rFonts w:ascii="Cambria" w:hAnsi="Cambria"/>
                <w:b/>
                <w:color w:val="FFFFFF"/>
                <w:sz w:val="20"/>
              </w:rPr>
              <w:t>Approach</w:t>
            </w:r>
          </w:p>
        </w:tc>
        <w:tc>
          <w:tcPr>
            <w:tcW w:type="dxa" w:w="5556"/>
            <w:shd w:val="clear" w:color="auto" w:fill="1F3A5F"/>
          </w:tcPr>
          <w:p>
            <w:pPr>
              <w:spacing w:after="40" w:line="240" w:lineRule="auto"/>
            </w:pPr>
            <w:r/>
            <w:r>
              <w:rPr>
                <w:rFonts w:ascii="Cambria" w:hAnsi="Cambria"/>
                <w:b/>
                <w:color w:val="FFFFFF"/>
                <w:sz w:val="20"/>
              </w:rPr>
              <w:t>Example</w:t>
            </w:r>
          </w:p>
        </w:tc>
      </w:tr>
      <w:tr>
        <w:tc>
          <w:tcPr>
            <w:tcW w:type="dxa" w:w="1020"/>
          </w:tcPr>
          <w:p>
            <w:pPr>
              <w:spacing w:after="40" w:line="240" w:lineRule="auto"/>
            </w:pPr>
            <w:r/>
            <w:r>
              <w:rPr>
                <w:rFonts w:ascii="Cambria" w:hAnsi="Cambria"/>
                <w:sz w:val="20"/>
              </w:rPr>
              <w:t>SO</w:t>
            </w:r>
          </w:p>
        </w:tc>
        <w:tc>
          <w:tcPr>
            <w:tcW w:type="dxa" w:w="2835"/>
          </w:tcPr>
          <w:p>
            <w:pPr>
              <w:spacing w:after="40" w:line="240" w:lineRule="auto"/>
            </w:pPr>
            <w:r/>
            <w:r>
              <w:rPr>
                <w:rFonts w:ascii="Cambria" w:hAnsi="Cambria"/>
                <w:sz w:val="20"/>
              </w:rPr>
              <w:t>Use strengths to seize opportunities</w:t>
            </w:r>
          </w:p>
        </w:tc>
        <w:tc>
          <w:tcPr>
            <w:tcW w:type="dxa" w:w="5556"/>
          </w:tcPr>
          <w:p>
            <w:pPr>
              <w:spacing w:after="40" w:line="240" w:lineRule="auto"/>
            </w:pPr>
            <w:r/>
            <w:r>
              <w:rPr>
                <w:rFonts w:ascii="Cambria" w:hAnsi="Cambria"/>
                <w:sz w:val="20"/>
              </w:rPr>
              <w:t>Position as a national model by embedding NEP and SDG priorities; launch AI, sustainability and health programmes</w:t>
            </w:r>
          </w:p>
        </w:tc>
      </w:tr>
      <w:tr>
        <w:tc>
          <w:tcPr>
            <w:tcW w:type="dxa" w:w="1020"/>
            <w:shd w:val="clear" w:color="auto" w:fill="E8EEF5"/>
          </w:tcPr>
          <w:p>
            <w:pPr>
              <w:spacing w:after="40" w:line="240" w:lineRule="auto"/>
            </w:pPr>
            <w:r/>
            <w:r>
              <w:rPr>
                <w:rFonts w:ascii="Cambria" w:hAnsi="Cambria"/>
                <w:sz w:val="20"/>
              </w:rPr>
              <w:t>WO</w:t>
            </w:r>
          </w:p>
        </w:tc>
        <w:tc>
          <w:tcPr>
            <w:tcW w:type="dxa" w:w="2835"/>
            <w:shd w:val="clear" w:color="auto" w:fill="E8EEF5"/>
          </w:tcPr>
          <w:p>
            <w:pPr>
              <w:spacing w:after="40" w:line="240" w:lineRule="auto"/>
            </w:pPr>
            <w:r/>
            <w:r>
              <w:rPr>
                <w:rFonts w:ascii="Cambria" w:hAnsi="Cambria"/>
                <w:sz w:val="20"/>
              </w:rPr>
              <w:t>Fix weaknesses using opportunities</w:t>
            </w:r>
          </w:p>
        </w:tc>
        <w:tc>
          <w:tcPr>
            <w:tcW w:type="dxa" w:w="5556"/>
            <w:shd w:val="clear" w:color="auto" w:fill="E8EEF5"/>
          </w:tcPr>
          <w:p>
            <w:pPr>
              <w:spacing w:after="40" w:line="240" w:lineRule="auto"/>
            </w:pPr>
            <w:r/>
            <w:r>
              <w:rPr>
                <w:rFonts w:ascii="Cambria" w:hAnsi="Cambria"/>
                <w:sz w:val="20"/>
              </w:rPr>
              <w:t>Diversify funding through CSR, alumni and PPP; build global partnerships; use NEP flexibility for staffing</w:t>
            </w:r>
          </w:p>
        </w:tc>
      </w:tr>
      <w:tr>
        <w:tc>
          <w:tcPr>
            <w:tcW w:type="dxa" w:w="1020"/>
          </w:tcPr>
          <w:p>
            <w:pPr>
              <w:spacing w:after="40" w:line="240" w:lineRule="auto"/>
            </w:pPr>
            <w:r/>
            <w:r>
              <w:rPr>
                <w:rFonts w:ascii="Cambria" w:hAnsi="Cambria"/>
                <w:sz w:val="20"/>
              </w:rPr>
              <w:t>ST</w:t>
            </w:r>
          </w:p>
        </w:tc>
        <w:tc>
          <w:tcPr>
            <w:tcW w:type="dxa" w:w="2835"/>
          </w:tcPr>
          <w:p>
            <w:pPr>
              <w:spacing w:after="40" w:line="240" w:lineRule="auto"/>
            </w:pPr>
            <w:r/>
            <w:r>
              <w:rPr>
                <w:rFonts w:ascii="Cambria" w:hAnsi="Cambria"/>
                <w:sz w:val="20"/>
              </w:rPr>
              <w:t>Use strengths to counter threats</w:t>
            </w:r>
          </w:p>
        </w:tc>
        <w:tc>
          <w:tcPr>
            <w:tcW w:type="dxa" w:w="5556"/>
          </w:tcPr>
          <w:p>
            <w:pPr>
              <w:spacing w:after="40" w:line="240" w:lineRule="auto"/>
            </w:pPr>
            <w:r/>
            <w:r>
              <w:rPr>
                <w:rFonts w:ascii="Cambria" w:hAnsi="Cambria"/>
                <w:sz w:val="20"/>
              </w:rPr>
              <w:t>Policy-monitoring cell; faculty retention incentives; global benchmarking through accreditation</w:t>
            </w:r>
          </w:p>
        </w:tc>
      </w:tr>
      <w:tr>
        <w:tc>
          <w:tcPr>
            <w:tcW w:type="dxa" w:w="1020"/>
            <w:shd w:val="clear" w:color="auto" w:fill="E8EEF5"/>
          </w:tcPr>
          <w:p>
            <w:pPr>
              <w:spacing w:after="40" w:line="240" w:lineRule="auto"/>
            </w:pPr>
            <w:r/>
            <w:r>
              <w:rPr>
                <w:rFonts w:ascii="Cambria" w:hAnsi="Cambria"/>
                <w:sz w:val="20"/>
              </w:rPr>
              <w:t>WT</w:t>
            </w:r>
          </w:p>
        </w:tc>
        <w:tc>
          <w:tcPr>
            <w:tcW w:type="dxa" w:w="2835"/>
            <w:shd w:val="clear" w:color="auto" w:fill="E8EEF5"/>
          </w:tcPr>
          <w:p>
            <w:pPr>
              <w:spacing w:after="40" w:line="240" w:lineRule="auto"/>
            </w:pPr>
            <w:r/>
            <w:r>
              <w:rPr>
                <w:rFonts w:ascii="Cambria" w:hAnsi="Cambria"/>
                <w:sz w:val="20"/>
              </w:rPr>
              <w:t>Reduce weaknesses and avoid threats</w:t>
            </w:r>
          </w:p>
        </w:tc>
        <w:tc>
          <w:tcPr>
            <w:tcW w:type="dxa" w:w="5556"/>
            <w:shd w:val="clear" w:color="auto" w:fill="E8EEF5"/>
          </w:tcPr>
          <w:p>
            <w:pPr>
              <w:spacing w:after="40" w:line="240" w:lineRule="auto"/>
            </w:pPr>
            <w:r/>
            <w:r>
              <w:rPr>
                <w:rFonts w:ascii="Cambria" w:hAnsi="Cambria"/>
                <w:sz w:val="20"/>
              </w:rPr>
              <w:t>Lean, ERP-based governance; cybersecurity; regular curriculum updates; strong industry pipelines</w:t>
            </w:r>
          </w:p>
        </w:tc>
      </w:tr>
    </w:tbl>
    <w:p>
      <w:pPr>
        <w:spacing w:after="40"/>
      </w:pPr>
    </w:p>
    <w:p>
      <w:pPr>
        <w:pStyle w:val="Heading1"/>
      </w:pPr>
      <w:r>
        <w:t>7. Situational Analysis: PESTLE</w:t>
      </w:r>
    </w:p>
    <w:tbl>
      <w:tblPr>
        <w:tblStyle w:val="TableGrid"/>
        <w:tblW w:type="auto" w:w="0"/>
        <w:jc w:val="center"/>
        <w:tblLayout w:type="fixed"/>
        <w:tblLook w:firstColumn="1" w:firstRow="1" w:lastColumn="0" w:lastRow="0" w:noHBand="0" w:noVBand="1" w:val="04A0"/>
      </w:tblPr>
      <w:tblGrid>
        <w:gridCol w:w="1474"/>
        <w:gridCol w:w="3685"/>
        <w:gridCol w:w="4252"/>
      </w:tblGrid>
      <w:tr>
        <w:tc>
          <w:tcPr>
            <w:tcW w:type="dxa" w:w="1474"/>
            <w:shd w:val="clear" w:color="auto" w:fill="1F3A5F"/>
          </w:tcPr>
          <w:p>
            <w:pPr>
              <w:spacing w:after="40" w:line="240" w:lineRule="auto"/>
            </w:pPr>
            <w:r/>
            <w:r>
              <w:rPr>
                <w:rFonts w:ascii="Cambria" w:hAnsi="Cambria"/>
                <w:b/>
                <w:color w:val="FFFFFF"/>
                <w:sz w:val="20"/>
              </w:rPr>
              <w:t>Factor</w:t>
            </w:r>
          </w:p>
        </w:tc>
        <w:tc>
          <w:tcPr>
            <w:tcW w:type="dxa" w:w="3685"/>
            <w:shd w:val="clear" w:color="auto" w:fill="1F3A5F"/>
          </w:tcPr>
          <w:p>
            <w:pPr>
              <w:spacing w:after="40" w:line="240" w:lineRule="auto"/>
            </w:pPr>
            <w:r/>
            <w:r>
              <w:rPr>
                <w:rFonts w:ascii="Cambria" w:hAnsi="Cambria"/>
                <w:b/>
                <w:color w:val="FFFFFF"/>
                <w:sz w:val="20"/>
              </w:rPr>
              <w:t>Main considerations</w:t>
            </w:r>
          </w:p>
        </w:tc>
        <w:tc>
          <w:tcPr>
            <w:tcW w:type="dxa" w:w="4252"/>
            <w:shd w:val="clear" w:color="auto" w:fill="1F3A5F"/>
          </w:tcPr>
          <w:p>
            <w:pPr>
              <w:spacing w:after="40" w:line="240" w:lineRule="auto"/>
            </w:pPr>
            <w:r/>
            <w:r>
              <w:rPr>
                <w:rFonts w:ascii="Cambria" w:hAnsi="Cambria"/>
                <w:b/>
                <w:color w:val="FFFFFF"/>
                <w:sz w:val="20"/>
              </w:rPr>
              <w:t>Strategic response</w:t>
            </w:r>
          </w:p>
        </w:tc>
      </w:tr>
      <w:tr>
        <w:tc>
          <w:tcPr>
            <w:tcW w:type="dxa" w:w="1474"/>
          </w:tcPr>
          <w:p>
            <w:pPr>
              <w:spacing w:after="40" w:line="240" w:lineRule="auto"/>
            </w:pPr>
            <w:r/>
            <w:r>
              <w:rPr>
                <w:rFonts w:ascii="Cambria" w:hAnsi="Cambria"/>
                <w:sz w:val="20"/>
              </w:rPr>
              <w:t>Political</w:t>
            </w:r>
          </w:p>
        </w:tc>
        <w:tc>
          <w:tcPr>
            <w:tcW w:type="dxa" w:w="3685"/>
          </w:tcPr>
          <w:p>
            <w:pPr>
              <w:spacing w:after="40" w:line="240" w:lineRule="auto"/>
            </w:pPr>
            <w:r/>
            <w:r>
              <w:rPr>
                <w:rFonts w:ascii="Cambria" w:hAnsi="Cambria"/>
                <w:sz w:val="20"/>
              </w:rPr>
              <w:t>NEP 2020, accreditation rules, funding schemes, PPP policy, political stability</w:t>
            </w:r>
          </w:p>
        </w:tc>
        <w:tc>
          <w:tcPr>
            <w:tcW w:type="dxa" w:w="4252"/>
          </w:tcPr>
          <w:p>
            <w:pPr>
              <w:spacing w:after="40" w:line="240" w:lineRule="auto"/>
            </w:pPr>
            <w:r/>
            <w:r>
              <w:rPr>
                <w:rFonts w:ascii="Cambria" w:hAnsi="Cambria"/>
                <w:sz w:val="20"/>
              </w:rPr>
              <w:t>Stay agile on policy; engage government; embed SDGs; keep IQAC-led readiness</w:t>
            </w:r>
          </w:p>
        </w:tc>
      </w:tr>
      <w:tr>
        <w:tc>
          <w:tcPr>
            <w:tcW w:type="dxa" w:w="1474"/>
            <w:shd w:val="clear" w:color="auto" w:fill="E8EEF5"/>
          </w:tcPr>
          <w:p>
            <w:pPr>
              <w:spacing w:after="40" w:line="240" w:lineRule="auto"/>
            </w:pPr>
            <w:r/>
            <w:r>
              <w:rPr>
                <w:rFonts w:ascii="Cambria" w:hAnsi="Cambria"/>
                <w:sz w:val="20"/>
              </w:rPr>
              <w:t>Economic</w:t>
            </w:r>
          </w:p>
        </w:tc>
        <w:tc>
          <w:tcPr>
            <w:tcW w:type="dxa" w:w="3685"/>
            <w:shd w:val="clear" w:color="auto" w:fill="E8EEF5"/>
          </w:tcPr>
          <w:p>
            <w:pPr>
              <w:spacing w:after="40" w:line="240" w:lineRule="auto"/>
            </w:pPr>
            <w:r/>
            <w:r>
              <w:rPr>
                <w:rFonts w:ascii="Cambria" w:hAnsi="Cambria"/>
                <w:sz w:val="20"/>
              </w:rPr>
              <w:t>R&amp;D budgets, CSR/alumni funding, inflation, graduate demand, venture capital</w:t>
            </w:r>
          </w:p>
        </w:tc>
        <w:tc>
          <w:tcPr>
            <w:tcW w:type="dxa" w:w="4252"/>
            <w:shd w:val="clear" w:color="auto" w:fill="E8EEF5"/>
          </w:tcPr>
          <w:p>
            <w:pPr>
              <w:spacing w:after="40" w:line="240" w:lineRule="auto"/>
            </w:pPr>
            <w:r/>
            <w:r>
              <w:rPr>
                <w:rFonts w:ascii="Cambria" w:hAnsi="Cambria"/>
                <w:sz w:val="20"/>
              </w:rPr>
              <w:t>Reserve budget for R&amp;D; diversify revenue; incubators linked to VC networks</w:t>
            </w:r>
          </w:p>
        </w:tc>
      </w:tr>
      <w:tr>
        <w:tc>
          <w:tcPr>
            <w:tcW w:type="dxa" w:w="1474"/>
          </w:tcPr>
          <w:p>
            <w:pPr>
              <w:spacing w:after="40" w:line="240" w:lineRule="auto"/>
            </w:pPr>
            <w:r/>
            <w:r>
              <w:rPr>
                <w:rFonts w:ascii="Cambria" w:hAnsi="Cambria"/>
                <w:sz w:val="20"/>
              </w:rPr>
              <w:t>Social</w:t>
            </w:r>
          </w:p>
        </w:tc>
        <w:tc>
          <w:tcPr>
            <w:tcW w:type="dxa" w:w="3685"/>
          </w:tcPr>
          <w:p>
            <w:pPr>
              <w:spacing w:after="40" w:line="240" w:lineRule="auto"/>
            </w:pPr>
            <w:r/>
            <w:r>
              <w:rPr>
                <w:rFonts w:ascii="Cambria" w:hAnsi="Cambria"/>
                <w:sz w:val="20"/>
              </w:rPr>
              <w:t>Gen Z/Alpha expectations, inclusion, lifelong learning, community needs</w:t>
            </w:r>
          </w:p>
        </w:tc>
        <w:tc>
          <w:tcPr>
            <w:tcW w:type="dxa" w:w="4252"/>
          </w:tcPr>
          <w:p>
            <w:pPr>
              <w:spacing w:after="40" w:line="240" w:lineRule="auto"/>
            </w:pPr>
            <w:r/>
            <w:r>
              <w:rPr>
                <w:rFonts w:ascii="Cambria" w:hAnsi="Cambria"/>
                <w:sz w:val="20"/>
              </w:rPr>
              <w:t>Learner-centric design, micro-credentials, inclusion policies</w:t>
            </w:r>
          </w:p>
        </w:tc>
      </w:tr>
      <w:tr>
        <w:tc>
          <w:tcPr>
            <w:tcW w:type="dxa" w:w="1474"/>
            <w:shd w:val="clear" w:color="auto" w:fill="E8EEF5"/>
          </w:tcPr>
          <w:p>
            <w:pPr>
              <w:spacing w:after="40" w:line="240" w:lineRule="auto"/>
            </w:pPr>
            <w:r/>
            <w:r>
              <w:rPr>
                <w:rFonts w:ascii="Cambria" w:hAnsi="Cambria"/>
                <w:sz w:val="20"/>
              </w:rPr>
              <w:t>Technological</w:t>
            </w:r>
          </w:p>
        </w:tc>
        <w:tc>
          <w:tcPr>
            <w:tcW w:type="dxa" w:w="3685"/>
            <w:shd w:val="clear" w:color="auto" w:fill="E8EEF5"/>
          </w:tcPr>
          <w:p>
            <w:pPr>
              <w:spacing w:after="40" w:line="240" w:lineRule="auto"/>
            </w:pPr>
            <w:r/>
            <w:r>
              <w:rPr>
                <w:rFonts w:ascii="Cambria" w:hAnsi="Cambria"/>
                <w:sz w:val="20"/>
              </w:rPr>
              <w:t>AI, IoT, big data, AR/VR, EdTech, cybersecurity</w:t>
            </w:r>
          </w:p>
        </w:tc>
        <w:tc>
          <w:tcPr>
            <w:tcW w:type="dxa" w:w="4252"/>
            <w:shd w:val="clear" w:color="auto" w:fill="E8EEF5"/>
          </w:tcPr>
          <w:p>
            <w:pPr>
              <w:spacing w:after="40" w:line="240" w:lineRule="auto"/>
            </w:pPr>
            <w:r/>
            <w:r>
              <w:rPr>
                <w:rFonts w:ascii="Cambria" w:hAnsi="Cambria"/>
                <w:sz w:val="20"/>
              </w:rPr>
              <w:t>Smart infrastructure, tech-driven programmes, security systems</w:t>
            </w:r>
          </w:p>
        </w:tc>
      </w:tr>
      <w:tr>
        <w:tc>
          <w:tcPr>
            <w:tcW w:type="dxa" w:w="1474"/>
          </w:tcPr>
          <w:p>
            <w:pPr>
              <w:spacing w:after="40" w:line="240" w:lineRule="auto"/>
            </w:pPr>
            <w:r/>
            <w:r>
              <w:rPr>
                <w:rFonts w:ascii="Cambria" w:hAnsi="Cambria"/>
                <w:sz w:val="20"/>
              </w:rPr>
              <w:t>Legal</w:t>
            </w:r>
          </w:p>
        </w:tc>
        <w:tc>
          <w:tcPr>
            <w:tcW w:type="dxa" w:w="3685"/>
          </w:tcPr>
          <w:p>
            <w:pPr>
              <w:spacing w:after="40" w:line="240" w:lineRule="auto"/>
            </w:pPr>
            <w:r/>
            <w:r>
              <w:rPr>
                <w:rFonts w:ascii="Cambria" w:hAnsi="Cambria"/>
                <w:sz w:val="20"/>
              </w:rPr>
              <w:t>Regulatory compliance, data protection, IP, labour and environmental law</w:t>
            </w:r>
          </w:p>
        </w:tc>
        <w:tc>
          <w:tcPr>
            <w:tcW w:type="dxa" w:w="4252"/>
          </w:tcPr>
          <w:p>
            <w:pPr>
              <w:spacing w:after="40" w:line="240" w:lineRule="auto"/>
            </w:pPr>
            <w:r/>
            <w:r>
              <w:rPr>
                <w:rFonts w:ascii="Cambria" w:hAnsi="Cambria"/>
                <w:sz w:val="20"/>
              </w:rPr>
              <w:t>Compliance cell; IPR support; periodic legal audits</w:t>
            </w:r>
          </w:p>
        </w:tc>
      </w:tr>
      <w:tr>
        <w:tc>
          <w:tcPr>
            <w:tcW w:type="dxa" w:w="1474"/>
            <w:shd w:val="clear" w:color="auto" w:fill="E8EEF5"/>
          </w:tcPr>
          <w:p>
            <w:pPr>
              <w:spacing w:after="40" w:line="240" w:lineRule="auto"/>
            </w:pPr>
            <w:r/>
            <w:r>
              <w:rPr>
                <w:rFonts w:ascii="Cambria" w:hAnsi="Cambria"/>
                <w:sz w:val="20"/>
              </w:rPr>
              <w:t>Environmental</w:t>
            </w:r>
          </w:p>
        </w:tc>
        <w:tc>
          <w:tcPr>
            <w:tcW w:type="dxa" w:w="3685"/>
            <w:shd w:val="clear" w:color="auto" w:fill="E8EEF5"/>
          </w:tcPr>
          <w:p>
            <w:pPr>
              <w:spacing w:after="40" w:line="240" w:lineRule="auto"/>
            </w:pPr>
            <w:r/>
            <w:r>
              <w:rPr>
                <w:rFonts w:ascii="Cambria" w:hAnsi="Cambria"/>
                <w:sz w:val="20"/>
              </w:rPr>
              <w:t>Climate commitments, green rankings, energy and waste management</w:t>
            </w:r>
          </w:p>
        </w:tc>
        <w:tc>
          <w:tcPr>
            <w:tcW w:type="dxa" w:w="4252"/>
            <w:shd w:val="clear" w:color="auto" w:fill="E8EEF5"/>
          </w:tcPr>
          <w:p>
            <w:pPr>
              <w:spacing w:after="40" w:line="240" w:lineRule="auto"/>
            </w:pPr>
            <w:r/>
            <w:r>
              <w:rPr>
                <w:rFonts w:ascii="Cambria" w:hAnsi="Cambria"/>
                <w:sz w:val="20"/>
              </w:rPr>
              <w:t>Renewables, green audits, sustainability research, GreenMetric participation</w:t>
            </w:r>
          </w:p>
        </w:tc>
      </w:tr>
    </w:tbl>
    <w:p>
      <w:pPr>
        <w:spacing w:after="40"/>
      </w:pPr>
    </w:p>
    <w:p>
      <w:pPr>
        <w:jc w:val="both"/>
      </w:pPr>
      <w:r>
        <w:t>The book then cross-tabulates SWOT with PESTLE and gives, for each factor, a policy direction, actions, expected outcomes and KPIs. A short roadmap is also given for each PESTLE dimension across the three time horizons.</w:t>
      </w:r>
    </w:p>
    <w:p>
      <w:pPr>
        <w:pStyle w:val="Heading1"/>
      </w:pPr>
      <w:r>
        <w:t>8. Objectives, Goals, Action Plans and Resources</w:t>
      </w:r>
    </w:p>
    <w:p>
      <w:pPr>
        <w:pStyle w:val="Heading2"/>
      </w:pPr>
      <w:r>
        <w:t>A. Strategic objectives</w:t>
      </w:r>
    </w:p>
    <w:p>
      <w:pPr>
        <w:jc w:val="both"/>
      </w:pPr>
      <w:r>
        <w:t>Objectives cover academic and curriculum reform, research and innovation, infrastructure and technology, governance and quality assurance, financial sustainability, community engagement, internationalisation, and equity and student development. Each is linked to a policy direction, actions, outcomes and KPIs.</w:t>
      </w:r>
    </w:p>
    <w:p>
      <w:pPr>
        <w:pStyle w:val="Heading2"/>
      </w:pPr>
      <w:r>
        <w:t>B. Operational goals (examples)</w:t>
      </w:r>
    </w:p>
    <w:p>
      <w:pPr>
        <w:pStyle w:val="ListBullet"/>
        <w:jc w:val="both"/>
      </w:pPr>
      <w:r>
        <w:t>Revise all curricula to OBE standards by 2027; 85% or higher student satisfaction annually.</w:t>
      </w:r>
    </w:p>
    <w:p>
      <w:pPr>
        <w:pStyle w:val="ListBullet"/>
        <w:jc w:val="both"/>
      </w:pPr>
      <w:r>
        <w:t>Create two Centres of Excellence by 2026; file at least 10 patents a year; raise about ₹50 crore in research funding over five years.</w:t>
      </w:r>
    </w:p>
    <w:p>
      <w:pPr>
        <w:pStyle w:val="ListBullet"/>
        <w:jc w:val="both"/>
      </w:pPr>
      <w:r>
        <w:t>Generate about 30% of revenue from non-government sources by 2027.</w:t>
      </w:r>
    </w:p>
    <w:p>
      <w:pPr>
        <w:pStyle w:val="ListBullet"/>
        <w:jc w:val="both"/>
      </w:pPr>
      <w:r>
        <w:t>Each goal is tied to action steps, a KPI, a responsible unit and a timeline in a performance monitoring table.</w:t>
      </w:r>
    </w:p>
    <w:p>
      <w:pPr>
        <w:pStyle w:val="Heading2"/>
      </w:pPr>
      <w:r>
        <w:t>C. Phased action plan</w:t>
      </w:r>
    </w:p>
    <w:p>
      <w:pPr>
        <w:jc w:val="both"/>
      </w:pPr>
      <w:r>
        <w:t>Phase 1 (0–1 year) builds foundations such as curriculum review, OBE workshops, innovation cells and seed grants. Later phases expand smart classrooms to the whole campus, secure NAAC and international accreditations, scale community impact above 10,000 beneficiaries a year and build 20+ active MoUs.</w:t>
      </w:r>
    </w:p>
    <w:p>
      <w:pPr>
        <w:pStyle w:val="Heading2"/>
      </w:pPr>
      <w:r>
        <w:t>D. Resource allocation</w:t>
      </w:r>
    </w:p>
    <w:p>
      <w:pPr>
        <w:jc w:val="both"/>
      </w:pPr>
      <w:r>
        <w:t>Budget is planned by strategic area as a share of the total budget, alongside manpower and infrastructure needs. Indicative shares quoted include 10–15% for academic excellence and 20–25% for research and innovation (including grants, endowment and CSR). Other areas, such as ICT and cybersecurity, sustainability infrastructure, student facilities and community engagement, receive their own allocations and staffing plans (for example an ISR office, outreach coordinators and extension staff).</w:t>
      </w:r>
    </w:p>
    <w:p>
      <w:pPr>
        <w:pStyle w:val="Heading1"/>
      </w:pPr>
      <w:r>
        <w:t>9. Monitoring, Evaluation and Balanced Scorecard</w:t>
      </w:r>
    </w:p>
    <w:p>
      <w:pPr>
        <w:pStyle w:val="Heading2"/>
      </w:pPr>
      <w:r>
        <w:t>A. Monitoring framework</w:t>
      </w:r>
    </w:p>
    <w:p>
      <w:pPr>
        <w:pStyle w:val="ListBullet"/>
        <w:jc w:val="both"/>
      </w:pPr>
      <w:r>
        <w:rPr>
          <w:b/>
        </w:rPr>
        <w:t>Components:</w:t>
      </w:r>
      <w:r>
        <w:t xml:space="preserve"> KPIs, broader performance indicators and a feedback loop.</w:t>
      </w:r>
    </w:p>
    <w:p>
      <w:pPr>
        <w:pStyle w:val="ListBullet"/>
        <w:jc w:val="both"/>
      </w:pPr>
      <w:r>
        <w:rPr>
          <w:b/>
        </w:rPr>
        <w:t>Mechanisms:</w:t>
      </w:r>
      <w:r>
        <w:t xml:space="preserve"> quarterly progress reviews, annual reviews, internal and external audits, stakeholder surveys.</w:t>
      </w:r>
    </w:p>
    <w:p>
      <w:pPr>
        <w:pStyle w:val="ListBullet"/>
        <w:jc w:val="both"/>
      </w:pPr>
      <w:r>
        <w:rPr>
          <w:b/>
        </w:rPr>
        <w:t>External feedback:</w:t>
      </w:r>
      <w:r>
        <w:t xml:space="preserve"> alumni and employer surveys, community feedback on ISR.</w:t>
      </w:r>
    </w:p>
    <w:p>
      <w:pPr>
        <w:pStyle w:val="ListBullet"/>
        <w:jc w:val="both"/>
      </w:pPr>
      <w:r>
        <w:rPr>
          <w:b/>
        </w:rPr>
        <w:t>Corrective action:</w:t>
      </w:r>
      <w:r>
        <w:t xml:space="preserve"> red–yellow–green flags in dashboards, mid-course corrections, and a Plan–Do–Check–Act cycle.</w:t>
      </w:r>
    </w:p>
    <w:p>
      <w:pPr>
        <w:pStyle w:val="Heading2"/>
      </w:pPr>
      <w:r>
        <w:t>B. Balanced Scorecard perspectives</w:t>
      </w:r>
    </w:p>
    <w:tbl>
      <w:tblPr>
        <w:tblStyle w:val="TableGrid"/>
        <w:tblW w:type="auto" w:w="0"/>
        <w:jc w:val="center"/>
        <w:tblLayout w:type="fixed"/>
        <w:tblLook w:firstColumn="1" w:firstRow="1" w:lastColumn="0" w:lastRow="0" w:noHBand="0" w:noVBand="1" w:val="04A0"/>
      </w:tblPr>
      <w:tblGrid>
        <w:gridCol w:w="2268"/>
        <w:gridCol w:w="2608"/>
        <w:gridCol w:w="4535"/>
      </w:tblGrid>
      <w:tr>
        <w:tc>
          <w:tcPr>
            <w:tcW w:type="dxa" w:w="2268"/>
            <w:shd w:val="clear" w:color="auto" w:fill="1F3A5F"/>
          </w:tcPr>
          <w:p>
            <w:pPr>
              <w:spacing w:after="40" w:line="240" w:lineRule="auto"/>
            </w:pPr>
            <w:r/>
            <w:r>
              <w:rPr>
                <w:rFonts w:ascii="Cambria" w:hAnsi="Cambria"/>
                <w:b/>
                <w:color w:val="FFFFFF"/>
                <w:sz w:val="20"/>
              </w:rPr>
              <w:t>Perspective</w:t>
            </w:r>
          </w:p>
        </w:tc>
        <w:tc>
          <w:tcPr>
            <w:tcW w:type="dxa" w:w="2608"/>
            <w:shd w:val="clear" w:color="auto" w:fill="1F3A5F"/>
          </w:tcPr>
          <w:p>
            <w:pPr>
              <w:spacing w:after="40" w:line="240" w:lineRule="auto"/>
            </w:pPr>
            <w:r/>
            <w:r>
              <w:rPr>
                <w:rFonts w:ascii="Cambria" w:hAnsi="Cambria"/>
                <w:b/>
                <w:color w:val="FFFFFF"/>
                <w:sz w:val="20"/>
              </w:rPr>
              <w:t>Policy focus</w:t>
            </w:r>
          </w:p>
        </w:tc>
        <w:tc>
          <w:tcPr>
            <w:tcW w:type="dxa" w:w="4535"/>
            <w:shd w:val="clear" w:color="auto" w:fill="1F3A5F"/>
          </w:tcPr>
          <w:p>
            <w:pPr>
              <w:spacing w:after="40" w:line="240" w:lineRule="auto"/>
            </w:pPr>
            <w:r/>
            <w:r>
              <w:rPr>
                <w:rFonts w:ascii="Cambria" w:hAnsi="Cambria"/>
                <w:b/>
                <w:color w:val="FFFFFF"/>
                <w:sz w:val="20"/>
              </w:rPr>
              <w:t>Sample KPIs</w:t>
            </w:r>
          </w:p>
        </w:tc>
      </w:tr>
      <w:tr>
        <w:tc>
          <w:tcPr>
            <w:tcW w:type="dxa" w:w="2268"/>
          </w:tcPr>
          <w:p>
            <w:pPr>
              <w:spacing w:after="40" w:line="240" w:lineRule="auto"/>
            </w:pPr>
            <w:r/>
            <w:r>
              <w:rPr>
                <w:rFonts w:ascii="Cambria" w:hAnsi="Cambria"/>
                <w:sz w:val="20"/>
              </w:rPr>
              <w:t>Academic and learning</w:t>
            </w:r>
          </w:p>
        </w:tc>
        <w:tc>
          <w:tcPr>
            <w:tcW w:type="dxa" w:w="2608"/>
          </w:tcPr>
          <w:p>
            <w:pPr>
              <w:spacing w:after="40" w:line="240" w:lineRule="auto"/>
            </w:pPr>
            <w:r/>
            <w:r>
              <w:rPr>
                <w:rFonts w:ascii="Cambria" w:hAnsi="Cambria"/>
                <w:sz w:val="20"/>
              </w:rPr>
              <w:t>Curriculum reform, student success</w:t>
            </w:r>
          </w:p>
        </w:tc>
        <w:tc>
          <w:tcPr>
            <w:tcW w:type="dxa" w:w="4535"/>
          </w:tcPr>
          <w:p>
            <w:pPr>
              <w:spacing w:after="40" w:line="240" w:lineRule="auto"/>
            </w:pPr>
            <w:r/>
            <w:r>
              <w:rPr>
                <w:rFonts w:ascii="Cambria" w:hAnsi="Cambria"/>
                <w:sz w:val="20"/>
              </w:rPr>
              <w:t>% curricula revised; satisfaction index; employability; faculty–student ratio</w:t>
            </w:r>
          </w:p>
        </w:tc>
      </w:tr>
      <w:tr>
        <w:tc>
          <w:tcPr>
            <w:tcW w:type="dxa" w:w="2268"/>
            <w:shd w:val="clear" w:color="auto" w:fill="E8EEF5"/>
          </w:tcPr>
          <w:p>
            <w:pPr>
              <w:spacing w:after="40" w:line="240" w:lineRule="auto"/>
            </w:pPr>
            <w:r/>
            <w:r>
              <w:rPr>
                <w:rFonts w:ascii="Cambria" w:hAnsi="Cambria"/>
                <w:sz w:val="20"/>
              </w:rPr>
              <w:t>Research and innovation</w:t>
            </w:r>
          </w:p>
        </w:tc>
        <w:tc>
          <w:tcPr>
            <w:tcW w:type="dxa" w:w="2608"/>
            <w:shd w:val="clear" w:color="auto" w:fill="E8EEF5"/>
          </w:tcPr>
          <w:p>
            <w:pPr>
              <w:spacing w:after="40" w:line="240" w:lineRule="auto"/>
            </w:pPr>
            <w:r/>
            <w:r>
              <w:rPr>
                <w:rFonts w:ascii="Cambria" w:hAnsi="Cambria"/>
                <w:sz w:val="20"/>
              </w:rPr>
              <w:t>Research output and impact</w:t>
            </w:r>
          </w:p>
        </w:tc>
        <w:tc>
          <w:tcPr>
            <w:tcW w:type="dxa" w:w="4535"/>
            <w:shd w:val="clear" w:color="auto" w:fill="E8EEF5"/>
          </w:tcPr>
          <w:p>
            <w:pPr>
              <w:spacing w:after="40" w:line="240" w:lineRule="auto"/>
            </w:pPr>
            <w:r/>
            <w:r>
              <w:rPr>
                <w:rFonts w:ascii="Cambria" w:hAnsi="Cambria"/>
                <w:sz w:val="20"/>
              </w:rPr>
              <w:t>Funding secured; patents; publications; CoEs</w:t>
            </w:r>
          </w:p>
        </w:tc>
      </w:tr>
      <w:tr>
        <w:tc>
          <w:tcPr>
            <w:tcW w:type="dxa" w:w="2268"/>
          </w:tcPr>
          <w:p>
            <w:pPr>
              <w:spacing w:after="40" w:line="240" w:lineRule="auto"/>
            </w:pPr>
            <w:r/>
            <w:r>
              <w:rPr>
                <w:rFonts w:ascii="Cambria" w:hAnsi="Cambria"/>
                <w:sz w:val="20"/>
              </w:rPr>
              <w:t>Financial</w:t>
            </w:r>
          </w:p>
        </w:tc>
        <w:tc>
          <w:tcPr>
            <w:tcW w:type="dxa" w:w="2608"/>
          </w:tcPr>
          <w:p>
            <w:pPr>
              <w:spacing w:after="40" w:line="240" w:lineRule="auto"/>
            </w:pPr>
            <w:r/>
            <w:r>
              <w:rPr>
                <w:rFonts w:ascii="Cambria" w:hAnsi="Cambria"/>
                <w:sz w:val="20"/>
              </w:rPr>
              <w:t>Sustainability and diversification</w:t>
            </w:r>
          </w:p>
        </w:tc>
        <w:tc>
          <w:tcPr>
            <w:tcW w:type="dxa" w:w="4535"/>
          </w:tcPr>
          <w:p>
            <w:pPr>
              <w:spacing w:after="40" w:line="240" w:lineRule="auto"/>
            </w:pPr>
            <w:r/>
            <w:r>
              <w:rPr>
                <w:rFonts w:ascii="Cambria" w:hAnsi="Cambria"/>
                <w:sz w:val="20"/>
              </w:rPr>
              <w:t>Share of non-government revenue; endowment growth</w:t>
            </w:r>
          </w:p>
        </w:tc>
      </w:tr>
      <w:tr>
        <w:tc>
          <w:tcPr>
            <w:tcW w:type="dxa" w:w="2268"/>
            <w:shd w:val="clear" w:color="auto" w:fill="E8EEF5"/>
          </w:tcPr>
          <w:p>
            <w:pPr>
              <w:spacing w:after="40" w:line="240" w:lineRule="auto"/>
            </w:pPr>
            <w:r/>
            <w:r>
              <w:rPr>
                <w:rFonts w:ascii="Cambria" w:hAnsi="Cambria"/>
                <w:sz w:val="20"/>
              </w:rPr>
              <w:t>Internal processes / governance</w:t>
            </w:r>
          </w:p>
        </w:tc>
        <w:tc>
          <w:tcPr>
            <w:tcW w:type="dxa" w:w="2608"/>
            <w:shd w:val="clear" w:color="auto" w:fill="E8EEF5"/>
          </w:tcPr>
          <w:p>
            <w:pPr>
              <w:spacing w:after="40" w:line="240" w:lineRule="auto"/>
            </w:pPr>
            <w:r/>
            <w:r>
              <w:rPr>
                <w:rFonts w:ascii="Cambria" w:hAnsi="Cambria"/>
                <w:sz w:val="20"/>
              </w:rPr>
              <w:t>Efficiency and compliance</w:t>
            </w:r>
          </w:p>
        </w:tc>
        <w:tc>
          <w:tcPr>
            <w:tcW w:type="dxa" w:w="4535"/>
            <w:shd w:val="clear" w:color="auto" w:fill="E8EEF5"/>
          </w:tcPr>
          <w:p>
            <w:pPr>
              <w:spacing w:after="40" w:line="240" w:lineRule="auto"/>
            </w:pPr>
            <w:r/>
            <w:r>
              <w:rPr>
                <w:rFonts w:ascii="Cambria" w:hAnsi="Cambria"/>
                <w:sz w:val="20"/>
              </w:rPr>
              <w:t>% processes digitised; approval turnaround</w:t>
            </w:r>
          </w:p>
        </w:tc>
      </w:tr>
      <w:tr>
        <w:tc>
          <w:tcPr>
            <w:tcW w:type="dxa" w:w="2268"/>
          </w:tcPr>
          <w:p>
            <w:pPr>
              <w:spacing w:after="40" w:line="240" w:lineRule="auto"/>
            </w:pPr>
            <w:r/>
            <w:r>
              <w:rPr>
                <w:rFonts w:ascii="Cambria" w:hAnsi="Cambria"/>
                <w:sz w:val="20"/>
              </w:rPr>
              <w:t>Community</w:t>
            </w:r>
          </w:p>
        </w:tc>
        <w:tc>
          <w:tcPr>
            <w:tcW w:type="dxa" w:w="2608"/>
          </w:tcPr>
          <w:p>
            <w:pPr>
              <w:spacing w:after="40" w:line="240" w:lineRule="auto"/>
            </w:pPr>
            <w:r/>
            <w:r>
              <w:rPr>
                <w:rFonts w:ascii="Cambria" w:hAnsi="Cambria"/>
                <w:sz w:val="20"/>
              </w:rPr>
              <w:t>Social responsibility</w:t>
            </w:r>
          </w:p>
        </w:tc>
        <w:tc>
          <w:tcPr>
            <w:tcW w:type="dxa" w:w="4535"/>
          </w:tcPr>
          <w:p>
            <w:pPr>
              <w:spacing w:after="40" w:line="240" w:lineRule="auto"/>
            </w:pPr>
            <w:r/>
            <w:r>
              <w:rPr>
                <w:rFonts w:ascii="Cambria" w:hAnsi="Cambria"/>
                <w:sz w:val="20"/>
              </w:rPr>
              <w:t>Students in ISR; beneficiaries reached</w:t>
            </w:r>
          </w:p>
        </w:tc>
      </w:tr>
      <w:tr>
        <w:tc>
          <w:tcPr>
            <w:tcW w:type="dxa" w:w="2268"/>
            <w:shd w:val="clear" w:color="auto" w:fill="E8EEF5"/>
          </w:tcPr>
          <w:p>
            <w:pPr>
              <w:spacing w:after="40" w:line="240" w:lineRule="auto"/>
            </w:pPr>
            <w:r/>
            <w:r>
              <w:rPr>
                <w:rFonts w:ascii="Cambria" w:hAnsi="Cambria"/>
                <w:sz w:val="20"/>
              </w:rPr>
              <w:t>Global</w:t>
            </w:r>
          </w:p>
        </w:tc>
        <w:tc>
          <w:tcPr>
            <w:tcW w:type="dxa" w:w="2608"/>
            <w:shd w:val="clear" w:color="auto" w:fill="E8EEF5"/>
          </w:tcPr>
          <w:p>
            <w:pPr>
              <w:spacing w:after="40" w:line="240" w:lineRule="auto"/>
            </w:pPr>
            <w:r/>
            <w:r>
              <w:rPr>
                <w:rFonts w:ascii="Cambria" w:hAnsi="Cambria"/>
                <w:sz w:val="20"/>
              </w:rPr>
              <w:t>Partnerships and standing</w:t>
            </w:r>
          </w:p>
        </w:tc>
        <w:tc>
          <w:tcPr>
            <w:tcW w:type="dxa" w:w="4535"/>
            <w:shd w:val="clear" w:color="auto" w:fill="E8EEF5"/>
          </w:tcPr>
          <w:p>
            <w:pPr>
              <w:spacing w:after="40" w:line="240" w:lineRule="auto"/>
            </w:pPr>
            <w:r/>
            <w:r>
              <w:rPr>
                <w:rFonts w:ascii="Cambria" w:hAnsi="Cambria"/>
                <w:sz w:val="20"/>
              </w:rPr>
              <w:t>Active MoUs; exchanges; ranking progress</w:t>
            </w:r>
          </w:p>
        </w:tc>
      </w:tr>
    </w:tbl>
    <w:p>
      <w:pPr>
        <w:spacing w:after="40"/>
      </w:pPr>
    </w:p>
    <w:p>
      <w:pPr>
        <w:pStyle w:val="Heading1"/>
      </w:pPr>
      <w:r>
        <w:t>10. The Six Phases</w:t>
      </w:r>
    </w:p>
    <w:p>
      <w:pPr>
        <w:jc w:val="both"/>
      </w:pPr>
      <w:r>
        <w:t>Each phase is presented with its purpose, key activities, a step-by-step checklist (task, responsible unit, tools, deliverable, timeline, status), a RACI matrix and a phase-specific Balanced Scorecard.</w:t>
      </w:r>
    </w:p>
    <w:tbl>
      <w:tblPr>
        <w:tblStyle w:val="TableGrid"/>
        <w:tblW w:type="auto" w:w="0"/>
        <w:jc w:val="center"/>
        <w:tblLayout w:type="fixed"/>
        <w:tblLook w:firstColumn="1" w:firstRow="1" w:lastColumn="0" w:lastRow="0" w:noHBand="0" w:noVBand="1" w:val="04A0"/>
      </w:tblPr>
      <w:tblGrid>
        <w:gridCol w:w="2268"/>
        <w:gridCol w:w="3742"/>
        <w:gridCol w:w="3402"/>
      </w:tblGrid>
      <w:tr>
        <w:tc>
          <w:tcPr>
            <w:tcW w:type="dxa" w:w="2268"/>
            <w:shd w:val="clear" w:color="auto" w:fill="1F3A5F"/>
          </w:tcPr>
          <w:p>
            <w:pPr>
              <w:spacing w:after="40" w:line="240" w:lineRule="auto"/>
            </w:pPr>
            <w:r/>
            <w:r>
              <w:rPr>
                <w:rFonts w:ascii="Cambria" w:hAnsi="Cambria"/>
                <w:b/>
                <w:color w:val="FFFFFF"/>
                <w:sz w:val="20"/>
              </w:rPr>
              <w:t>Phase</w:t>
            </w:r>
          </w:p>
        </w:tc>
        <w:tc>
          <w:tcPr>
            <w:tcW w:type="dxa" w:w="3742"/>
            <w:shd w:val="clear" w:color="auto" w:fill="1F3A5F"/>
          </w:tcPr>
          <w:p>
            <w:pPr>
              <w:spacing w:after="40" w:line="240" w:lineRule="auto"/>
            </w:pPr>
            <w:r/>
            <w:r>
              <w:rPr>
                <w:rFonts w:ascii="Cambria" w:hAnsi="Cambria"/>
                <w:b/>
                <w:color w:val="FFFFFF"/>
                <w:sz w:val="20"/>
              </w:rPr>
              <w:t>Purpose</w:t>
            </w:r>
          </w:p>
        </w:tc>
        <w:tc>
          <w:tcPr>
            <w:tcW w:type="dxa" w:w="3402"/>
            <w:shd w:val="clear" w:color="auto" w:fill="1F3A5F"/>
          </w:tcPr>
          <w:p>
            <w:pPr>
              <w:spacing w:after="40" w:line="240" w:lineRule="auto"/>
            </w:pPr>
            <w:r/>
            <w:r>
              <w:rPr>
                <w:rFonts w:ascii="Cambria" w:hAnsi="Cambria"/>
                <w:b/>
                <w:color w:val="FFFFFF"/>
                <w:sz w:val="20"/>
              </w:rPr>
              <w:t>Typical outputs</w:t>
            </w:r>
          </w:p>
        </w:tc>
      </w:tr>
      <w:tr>
        <w:tc>
          <w:tcPr>
            <w:tcW w:type="dxa" w:w="2268"/>
          </w:tcPr>
          <w:p>
            <w:pPr>
              <w:spacing w:after="40" w:line="240" w:lineRule="auto"/>
            </w:pPr>
            <w:r/>
            <w:r>
              <w:rPr>
                <w:rFonts w:ascii="Cambria" w:hAnsi="Cambria"/>
                <w:sz w:val="20"/>
              </w:rPr>
              <w:t>1. Assessment and Diagnosis</w:t>
            </w:r>
          </w:p>
        </w:tc>
        <w:tc>
          <w:tcPr>
            <w:tcW w:type="dxa" w:w="3742"/>
          </w:tcPr>
          <w:p>
            <w:pPr>
              <w:spacing w:after="40" w:line="240" w:lineRule="auto"/>
            </w:pPr>
            <w:r/>
            <w:r>
              <w:rPr>
                <w:rFonts w:ascii="Cambria" w:hAnsi="Cambria"/>
                <w:sz w:val="20"/>
              </w:rPr>
              <w:t>Establish the baseline; run SWOT, PESTLE, stakeholder consultation and accreditation readiness checks</w:t>
            </w:r>
          </w:p>
        </w:tc>
        <w:tc>
          <w:tcPr>
            <w:tcW w:type="dxa" w:w="3402"/>
          </w:tcPr>
          <w:p>
            <w:pPr>
              <w:spacing w:after="40" w:line="240" w:lineRule="auto"/>
            </w:pPr>
            <w:r/>
            <w:r>
              <w:rPr>
                <w:rFonts w:ascii="Cambria" w:hAnsi="Cambria"/>
                <w:sz w:val="20"/>
              </w:rPr>
              <w:t>Diagnostic report, gap analysis, risk register, readiness index</w:t>
            </w:r>
          </w:p>
        </w:tc>
      </w:tr>
      <w:tr>
        <w:tc>
          <w:tcPr>
            <w:tcW w:type="dxa" w:w="2268"/>
            <w:shd w:val="clear" w:color="auto" w:fill="E8EEF5"/>
          </w:tcPr>
          <w:p>
            <w:pPr>
              <w:spacing w:after="40" w:line="240" w:lineRule="auto"/>
            </w:pPr>
            <w:r/>
            <w:r>
              <w:rPr>
                <w:rFonts w:ascii="Cambria" w:hAnsi="Cambria"/>
                <w:sz w:val="20"/>
              </w:rPr>
              <w:t>2. Strategy Formulation</w:t>
            </w:r>
          </w:p>
        </w:tc>
        <w:tc>
          <w:tcPr>
            <w:tcW w:type="dxa" w:w="3742"/>
            <w:shd w:val="clear" w:color="auto" w:fill="E8EEF5"/>
          </w:tcPr>
          <w:p>
            <w:pPr>
              <w:spacing w:after="40" w:line="240" w:lineRule="auto"/>
            </w:pPr>
            <w:r/>
            <w:r>
              <w:rPr>
                <w:rFonts w:ascii="Cambria" w:hAnsi="Cambria"/>
                <w:sz w:val="20"/>
              </w:rPr>
              <w:t>Turn findings into vision, mission, values, pillars and objectives; align with NEP, SDGs and accreditation</w:t>
            </w:r>
          </w:p>
        </w:tc>
        <w:tc>
          <w:tcPr>
            <w:tcW w:type="dxa" w:w="3402"/>
            <w:shd w:val="clear" w:color="auto" w:fill="E8EEF5"/>
          </w:tcPr>
          <w:p>
            <w:pPr>
              <w:spacing w:after="40" w:line="240" w:lineRule="auto"/>
            </w:pPr>
            <w:r/>
            <w:r>
              <w:rPr>
                <w:rFonts w:ascii="Cambria" w:hAnsi="Cambria"/>
                <w:sz w:val="20"/>
              </w:rPr>
              <w:t>Approved strategy document, alignment matrix, policy–action–outcome–KPI tables</w:t>
            </w:r>
          </w:p>
        </w:tc>
      </w:tr>
      <w:tr>
        <w:tc>
          <w:tcPr>
            <w:tcW w:type="dxa" w:w="2268"/>
          </w:tcPr>
          <w:p>
            <w:pPr>
              <w:spacing w:after="40" w:line="240" w:lineRule="auto"/>
            </w:pPr>
            <w:r/>
            <w:r>
              <w:rPr>
                <w:rFonts w:ascii="Cambria" w:hAnsi="Cambria"/>
                <w:sz w:val="20"/>
              </w:rPr>
              <w:t>3. Implementation Planning</w:t>
            </w:r>
          </w:p>
        </w:tc>
        <w:tc>
          <w:tcPr>
            <w:tcW w:type="dxa" w:w="3742"/>
          </w:tcPr>
          <w:p>
            <w:pPr>
              <w:spacing w:after="40" w:line="240" w:lineRule="auto"/>
            </w:pPr>
            <w:r/>
            <w:r>
              <w:rPr>
                <w:rFonts w:ascii="Cambria" w:hAnsi="Cambria"/>
                <w:sz w:val="20"/>
              </w:rPr>
              <w:t>Convert objectives into programmes with owners, budgets and timelines</w:t>
            </w:r>
          </w:p>
        </w:tc>
        <w:tc>
          <w:tcPr>
            <w:tcW w:type="dxa" w:w="3402"/>
          </w:tcPr>
          <w:p>
            <w:pPr>
              <w:spacing w:after="40" w:line="240" w:lineRule="auto"/>
            </w:pPr>
            <w:r/>
            <w:r>
              <w:rPr>
                <w:rFonts w:ascii="Cambria" w:hAnsi="Cambria"/>
                <w:sz w:val="20"/>
              </w:rPr>
              <w:t>Action plans, resource allocation, RACI matrices, scorecard</w:t>
            </w:r>
          </w:p>
        </w:tc>
      </w:tr>
      <w:tr>
        <w:tc>
          <w:tcPr>
            <w:tcW w:type="dxa" w:w="2268"/>
            <w:shd w:val="clear" w:color="auto" w:fill="E8EEF5"/>
          </w:tcPr>
          <w:p>
            <w:pPr>
              <w:spacing w:after="40" w:line="240" w:lineRule="auto"/>
            </w:pPr>
            <w:r/>
            <w:r>
              <w:rPr>
                <w:rFonts w:ascii="Cambria" w:hAnsi="Cambria"/>
                <w:sz w:val="20"/>
              </w:rPr>
              <w:t>4. Execution</w:t>
            </w:r>
          </w:p>
        </w:tc>
        <w:tc>
          <w:tcPr>
            <w:tcW w:type="dxa" w:w="3742"/>
            <w:shd w:val="clear" w:color="auto" w:fill="E8EEF5"/>
          </w:tcPr>
          <w:p>
            <w:pPr>
              <w:spacing w:after="40" w:line="240" w:lineRule="auto"/>
            </w:pPr>
            <w:r/>
            <w:r>
              <w:rPr>
                <w:rFonts w:ascii="Cambria" w:hAnsi="Cambria"/>
                <w:sz w:val="20"/>
              </w:rPr>
              <w:t>Launch projects; deploy funds; run academic, research, ISR and global initiatives</w:t>
            </w:r>
          </w:p>
        </w:tc>
        <w:tc>
          <w:tcPr>
            <w:tcW w:type="dxa" w:w="3402"/>
            <w:shd w:val="clear" w:color="auto" w:fill="E8EEF5"/>
          </w:tcPr>
          <w:p>
            <w:pPr>
              <w:spacing w:after="40" w:line="240" w:lineRule="auto"/>
            </w:pPr>
            <w:r/>
            <w:r>
              <w:rPr>
                <w:rFonts w:ascii="Cambria" w:hAnsi="Cambria"/>
                <w:sz w:val="20"/>
              </w:rPr>
              <w:t>Rollout reports, execution scorecard, ERP dashboards</w:t>
            </w:r>
          </w:p>
        </w:tc>
      </w:tr>
      <w:tr>
        <w:tc>
          <w:tcPr>
            <w:tcW w:type="dxa" w:w="2268"/>
          </w:tcPr>
          <w:p>
            <w:pPr>
              <w:spacing w:after="40" w:line="240" w:lineRule="auto"/>
            </w:pPr>
            <w:r/>
            <w:r>
              <w:rPr>
                <w:rFonts w:ascii="Cambria" w:hAnsi="Cambria"/>
                <w:sz w:val="20"/>
              </w:rPr>
              <w:t>5. Monitoring and Control</w:t>
            </w:r>
          </w:p>
        </w:tc>
        <w:tc>
          <w:tcPr>
            <w:tcW w:type="dxa" w:w="3742"/>
          </w:tcPr>
          <w:p>
            <w:pPr>
              <w:spacing w:after="40" w:line="240" w:lineRule="auto"/>
            </w:pPr>
            <w:r/>
            <w:r>
              <w:rPr>
                <w:rFonts w:ascii="Cambria" w:hAnsi="Cambria"/>
                <w:sz w:val="20"/>
              </w:rPr>
              <w:t>Track KPIs, audit, manage risks, apply corrective actions</w:t>
            </w:r>
          </w:p>
        </w:tc>
        <w:tc>
          <w:tcPr>
            <w:tcW w:type="dxa" w:w="3402"/>
          </w:tcPr>
          <w:p>
            <w:pPr>
              <w:spacing w:after="40" w:line="240" w:lineRule="auto"/>
            </w:pPr>
            <w:r/>
            <w:r>
              <w:rPr>
                <w:rFonts w:ascii="Cambria" w:hAnsi="Cambria"/>
                <w:sz w:val="20"/>
              </w:rPr>
              <w:t>Progress and audit reports, risk registers, review minutes</w:t>
            </w:r>
          </w:p>
        </w:tc>
      </w:tr>
      <w:tr>
        <w:tc>
          <w:tcPr>
            <w:tcW w:type="dxa" w:w="2268"/>
            <w:shd w:val="clear" w:color="auto" w:fill="E8EEF5"/>
          </w:tcPr>
          <w:p>
            <w:pPr>
              <w:spacing w:after="40" w:line="240" w:lineRule="auto"/>
            </w:pPr>
            <w:r/>
            <w:r>
              <w:rPr>
                <w:rFonts w:ascii="Cambria" w:hAnsi="Cambria"/>
                <w:sz w:val="20"/>
              </w:rPr>
              <w:t>6. Feedback and Continuous Improvement</w:t>
            </w:r>
          </w:p>
        </w:tc>
        <w:tc>
          <w:tcPr>
            <w:tcW w:type="dxa" w:w="3742"/>
            <w:shd w:val="clear" w:color="auto" w:fill="E8EEF5"/>
          </w:tcPr>
          <w:p>
            <w:pPr>
              <w:spacing w:after="40" w:line="240" w:lineRule="auto"/>
            </w:pPr>
            <w:r/>
            <w:r>
              <w:rPr>
                <w:rFonts w:ascii="Cambria" w:hAnsi="Cambria"/>
                <w:sz w:val="20"/>
              </w:rPr>
              <w:t>Capture lessons, update curricula and processes, prepare the next cycle</w:t>
            </w:r>
          </w:p>
        </w:tc>
        <w:tc>
          <w:tcPr>
            <w:tcW w:type="dxa" w:w="3402"/>
            <w:shd w:val="clear" w:color="auto" w:fill="E8EEF5"/>
          </w:tcPr>
          <w:p>
            <w:pPr>
              <w:spacing w:after="40" w:line="240" w:lineRule="auto"/>
            </w:pPr>
            <w:r/>
            <w:r>
              <w:rPr>
                <w:rFonts w:ascii="Cambria" w:hAnsi="Cambria"/>
                <w:sz w:val="20"/>
              </w:rPr>
              <w:t>Best-practice records, corrective and preventive actions, next-cycle draft (about every five years)</w:t>
            </w:r>
          </w:p>
        </w:tc>
      </w:tr>
    </w:tbl>
    <w:p>
      <w:pPr>
        <w:spacing w:after="40"/>
      </w:pPr>
    </w:p>
    <w:p>
      <w:pPr>
        <w:jc w:val="both"/>
      </w:pPr>
      <w:r>
        <w:t>Phase 1 is scheduled over roughly the first six to seven months, with Phase 2 completing in about twelve months. The Governing Body approves the strategy before implementation planning starts.</w:t>
      </w:r>
    </w:p>
    <w:p>
      <w:pPr>
        <w:pStyle w:val="Heading1"/>
      </w:pPr>
      <w:r>
        <w:t>11. Strategic Pillars</w:t>
      </w:r>
    </w:p>
    <w:tbl>
      <w:tblPr>
        <w:tblStyle w:val="TableGrid"/>
        <w:tblW w:type="auto" w:w="0"/>
        <w:jc w:val="center"/>
        <w:tblLayout w:type="fixed"/>
        <w:tblLook w:firstColumn="1" w:firstRow="1" w:lastColumn="0" w:lastRow="0" w:noHBand="0" w:noVBand="1" w:val="04A0"/>
      </w:tblPr>
      <w:tblGrid>
        <w:gridCol w:w="2381"/>
        <w:gridCol w:w="3969"/>
        <w:gridCol w:w="3061"/>
      </w:tblGrid>
      <w:tr>
        <w:tc>
          <w:tcPr>
            <w:tcW w:type="dxa" w:w="2381"/>
            <w:shd w:val="clear" w:color="auto" w:fill="1F3A5F"/>
          </w:tcPr>
          <w:p>
            <w:pPr>
              <w:spacing w:after="40" w:line="240" w:lineRule="auto"/>
            </w:pPr>
            <w:r/>
            <w:r>
              <w:rPr>
                <w:rFonts w:ascii="Cambria" w:hAnsi="Cambria"/>
                <w:b/>
                <w:color w:val="FFFFFF"/>
                <w:sz w:val="20"/>
              </w:rPr>
              <w:t>Pillar</w:t>
            </w:r>
          </w:p>
        </w:tc>
        <w:tc>
          <w:tcPr>
            <w:tcW w:type="dxa" w:w="3969"/>
            <w:shd w:val="clear" w:color="auto" w:fill="1F3A5F"/>
          </w:tcPr>
          <w:p>
            <w:pPr>
              <w:spacing w:after="40" w:line="240" w:lineRule="auto"/>
            </w:pPr>
            <w:r/>
            <w:r>
              <w:rPr>
                <w:rFonts w:ascii="Cambria" w:hAnsi="Cambria"/>
                <w:b/>
                <w:color w:val="FFFFFF"/>
                <w:sz w:val="20"/>
              </w:rPr>
              <w:t>Focus</w:t>
            </w:r>
          </w:p>
        </w:tc>
        <w:tc>
          <w:tcPr>
            <w:tcW w:type="dxa" w:w="3061"/>
            <w:shd w:val="clear" w:color="auto" w:fill="1F3A5F"/>
          </w:tcPr>
          <w:p>
            <w:pPr>
              <w:spacing w:after="40" w:line="240" w:lineRule="auto"/>
            </w:pPr>
            <w:r/>
            <w:r>
              <w:rPr>
                <w:rFonts w:ascii="Cambria" w:hAnsi="Cambria"/>
                <w:b/>
                <w:color w:val="FFFFFF"/>
                <w:sz w:val="20"/>
              </w:rPr>
              <w:t>Example KPIs</w:t>
            </w:r>
          </w:p>
        </w:tc>
      </w:tr>
      <w:tr>
        <w:tc>
          <w:tcPr>
            <w:tcW w:type="dxa" w:w="2381"/>
          </w:tcPr>
          <w:p>
            <w:pPr>
              <w:spacing w:after="40" w:line="240" w:lineRule="auto"/>
            </w:pPr>
            <w:r/>
            <w:r>
              <w:rPr>
                <w:rFonts w:ascii="Cambria" w:hAnsi="Cambria"/>
                <w:sz w:val="20"/>
              </w:rPr>
              <w:t>Academic excellence</w:t>
            </w:r>
          </w:p>
        </w:tc>
        <w:tc>
          <w:tcPr>
            <w:tcW w:type="dxa" w:w="3969"/>
          </w:tcPr>
          <w:p>
            <w:pPr>
              <w:spacing w:after="40" w:line="240" w:lineRule="auto"/>
            </w:pPr>
            <w:r/>
            <w:r>
              <w:rPr>
                <w:rFonts w:ascii="Cambria" w:hAnsi="Cambria"/>
                <w:sz w:val="20"/>
              </w:rPr>
              <w:t>Curriculum reform, faculty development, research and innovation</w:t>
            </w:r>
          </w:p>
        </w:tc>
        <w:tc>
          <w:tcPr>
            <w:tcW w:type="dxa" w:w="3061"/>
          </w:tcPr>
          <w:p>
            <w:pPr>
              <w:spacing w:after="40" w:line="240" w:lineRule="auto"/>
            </w:pPr>
            <w:r/>
            <w:r>
              <w:rPr>
                <w:rFonts w:ascii="Cambria" w:hAnsi="Cambria"/>
                <w:sz w:val="20"/>
              </w:rPr>
              <w:t>OBE adoption; satisfaction; employability</w:t>
            </w:r>
          </w:p>
        </w:tc>
      </w:tr>
      <w:tr>
        <w:tc>
          <w:tcPr>
            <w:tcW w:type="dxa" w:w="2381"/>
            <w:shd w:val="clear" w:color="auto" w:fill="E8EEF5"/>
          </w:tcPr>
          <w:p>
            <w:pPr>
              <w:spacing w:after="40" w:line="240" w:lineRule="auto"/>
            </w:pPr>
            <w:r/>
            <w:r>
              <w:rPr>
                <w:rFonts w:ascii="Cambria" w:hAnsi="Cambria"/>
                <w:sz w:val="20"/>
              </w:rPr>
              <w:t>Infrastructure and technology</w:t>
            </w:r>
          </w:p>
        </w:tc>
        <w:tc>
          <w:tcPr>
            <w:tcW w:type="dxa" w:w="3969"/>
            <w:shd w:val="clear" w:color="auto" w:fill="E8EEF5"/>
          </w:tcPr>
          <w:p>
            <w:pPr>
              <w:spacing w:after="40" w:line="240" w:lineRule="auto"/>
            </w:pPr>
            <w:r/>
            <w:r>
              <w:rPr>
                <w:rFonts w:ascii="Cambria" w:hAnsi="Cambria"/>
                <w:sz w:val="20"/>
              </w:rPr>
              <w:t>Smart classrooms, ICT, green and sustainable facilities</w:t>
            </w:r>
          </w:p>
        </w:tc>
        <w:tc>
          <w:tcPr>
            <w:tcW w:type="dxa" w:w="3061"/>
            <w:shd w:val="clear" w:color="auto" w:fill="E8EEF5"/>
          </w:tcPr>
          <w:p>
            <w:pPr>
              <w:spacing w:after="40" w:line="240" w:lineRule="auto"/>
            </w:pPr>
            <w:r/>
            <w:r>
              <w:rPr>
                <w:rFonts w:ascii="Cambria" w:hAnsi="Cambria"/>
                <w:sz w:val="20"/>
              </w:rPr>
              <w:t>% ICT-enabled classrooms; e-resources</w:t>
            </w:r>
          </w:p>
        </w:tc>
      </w:tr>
      <w:tr>
        <w:tc>
          <w:tcPr>
            <w:tcW w:type="dxa" w:w="2381"/>
          </w:tcPr>
          <w:p>
            <w:pPr>
              <w:spacing w:after="40" w:line="240" w:lineRule="auto"/>
            </w:pPr>
            <w:r/>
            <w:r>
              <w:rPr>
                <w:rFonts w:ascii="Cambria" w:hAnsi="Cambria"/>
                <w:sz w:val="20"/>
              </w:rPr>
              <w:t>Governance and leadership</w:t>
            </w:r>
          </w:p>
        </w:tc>
        <w:tc>
          <w:tcPr>
            <w:tcW w:type="dxa" w:w="3969"/>
          </w:tcPr>
          <w:p>
            <w:pPr>
              <w:spacing w:after="40" w:line="240" w:lineRule="auto"/>
            </w:pPr>
            <w:r/>
            <w:r>
              <w:rPr>
                <w:rFonts w:ascii="Cambria" w:hAnsi="Cambria"/>
                <w:sz w:val="20"/>
              </w:rPr>
              <w:t>Transparency, accreditation readiness, quality assurance</w:t>
            </w:r>
          </w:p>
        </w:tc>
        <w:tc>
          <w:tcPr>
            <w:tcW w:type="dxa" w:w="3061"/>
          </w:tcPr>
          <w:p>
            <w:pPr>
              <w:spacing w:after="40" w:line="240" w:lineRule="auto"/>
            </w:pPr>
            <w:r/>
            <w:r>
              <w:rPr>
                <w:rFonts w:ascii="Cambria" w:hAnsi="Cambria"/>
                <w:sz w:val="20"/>
              </w:rPr>
              <w:t>Accreditation grades; ranking progress; process digitisation</w:t>
            </w:r>
          </w:p>
        </w:tc>
      </w:tr>
      <w:tr>
        <w:tc>
          <w:tcPr>
            <w:tcW w:type="dxa" w:w="2381"/>
            <w:shd w:val="clear" w:color="auto" w:fill="E8EEF5"/>
          </w:tcPr>
          <w:p>
            <w:pPr>
              <w:spacing w:after="40" w:line="240" w:lineRule="auto"/>
            </w:pPr>
            <w:r/>
            <w:r>
              <w:rPr>
                <w:rFonts w:ascii="Cambria" w:hAnsi="Cambria"/>
                <w:sz w:val="20"/>
              </w:rPr>
              <w:t>Financial sustainability</w:t>
            </w:r>
          </w:p>
        </w:tc>
        <w:tc>
          <w:tcPr>
            <w:tcW w:type="dxa" w:w="3969"/>
            <w:shd w:val="clear" w:color="auto" w:fill="E8EEF5"/>
          </w:tcPr>
          <w:p>
            <w:pPr>
              <w:spacing w:after="40" w:line="240" w:lineRule="auto"/>
            </w:pPr>
            <w:r/>
            <w:r>
              <w:rPr>
                <w:rFonts w:ascii="Cambria" w:hAnsi="Cambria"/>
                <w:sz w:val="20"/>
              </w:rPr>
              <w:t>Resource mobilisation, alumni engagement, diversified funding</w:t>
            </w:r>
          </w:p>
        </w:tc>
        <w:tc>
          <w:tcPr>
            <w:tcW w:type="dxa" w:w="3061"/>
            <w:shd w:val="clear" w:color="auto" w:fill="E8EEF5"/>
          </w:tcPr>
          <w:p>
            <w:pPr>
              <w:spacing w:after="40" w:line="240" w:lineRule="auto"/>
            </w:pPr>
            <w:r/>
            <w:r>
              <w:rPr>
                <w:rFonts w:ascii="Cambria" w:hAnsi="Cambria"/>
                <w:sz w:val="20"/>
              </w:rPr>
              <w:t>Non-government revenue share; endowment growth (about 10% a year)</w:t>
            </w:r>
          </w:p>
        </w:tc>
      </w:tr>
      <w:tr>
        <w:tc>
          <w:tcPr>
            <w:tcW w:type="dxa" w:w="2381"/>
          </w:tcPr>
          <w:p>
            <w:pPr>
              <w:spacing w:after="40" w:line="240" w:lineRule="auto"/>
            </w:pPr>
            <w:r/>
            <w:r>
              <w:rPr>
                <w:rFonts w:ascii="Cambria" w:hAnsi="Cambria"/>
                <w:sz w:val="20"/>
              </w:rPr>
              <w:t>Community engagement</w:t>
            </w:r>
          </w:p>
        </w:tc>
        <w:tc>
          <w:tcPr>
            <w:tcW w:type="dxa" w:w="3969"/>
          </w:tcPr>
          <w:p>
            <w:pPr>
              <w:spacing w:after="40" w:line="240" w:lineRule="auto"/>
            </w:pPr>
            <w:r/>
            <w:r>
              <w:rPr>
                <w:rFonts w:ascii="Cambria" w:hAnsi="Cambria"/>
                <w:sz w:val="20"/>
              </w:rPr>
              <w:t>ISR and SDG-linked outreach</w:t>
            </w:r>
          </w:p>
        </w:tc>
        <w:tc>
          <w:tcPr>
            <w:tcW w:type="dxa" w:w="3061"/>
          </w:tcPr>
          <w:p>
            <w:pPr>
              <w:spacing w:after="40" w:line="240" w:lineRule="auto"/>
            </w:pPr>
            <w:r/>
            <w:r>
              <w:rPr>
                <w:rFonts w:ascii="Cambria" w:hAnsi="Cambria"/>
                <w:sz w:val="20"/>
              </w:rPr>
              <w:t>Beneficiaries; student participation</w:t>
            </w:r>
          </w:p>
        </w:tc>
      </w:tr>
      <w:tr>
        <w:tc>
          <w:tcPr>
            <w:tcW w:type="dxa" w:w="2381"/>
            <w:shd w:val="clear" w:color="auto" w:fill="E8EEF5"/>
          </w:tcPr>
          <w:p>
            <w:pPr>
              <w:spacing w:after="40" w:line="240" w:lineRule="auto"/>
            </w:pPr>
            <w:r/>
            <w:r>
              <w:rPr>
                <w:rFonts w:ascii="Cambria" w:hAnsi="Cambria"/>
                <w:sz w:val="20"/>
              </w:rPr>
              <w:t>Internationalisation</w:t>
            </w:r>
          </w:p>
        </w:tc>
        <w:tc>
          <w:tcPr>
            <w:tcW w:type="dxa" w:w="3969"/>
            <w:shd w:val="clear" w:color="auto" w:fill="E8EEF5"/>
          </w:tcPr>
          <w:p>
            <w:pPr>
              <w:spacing w:after="40" w:line="240" w:lineRule="auto"/>
            </w:pPr>
            <w:r/>
            <w:r>
              <w:rPr>
                <w:rFonts w:ascii="Cambria" w:hAnsi="Cambria"/>
                <w:sz w:val="20"/>
              </w:rPr>
              <w:t>Partnerships, exchanges, joint research</w:t>
            </w:r>
          </w:p>
        </w:tc>
        <w:tc>
          <w:tcPr>
            <w:tcW w:type="dxa" w:w="3061"/>
            <w:shd w:val="clear" w:color="auto" w:fill="E8EEF5"/>
          </w:tcPr>
          <w:p>
            <w:pPr>
              <w:spacing w:after="40" w:line="240" w:lineRule="auto"/>
            </w:pPr>
            <w:r/>
            <w:r>
              <w:rPr>
                <w:rFonts w:ascii="Cambria" w:hAnsi="Cambria"/>
                <w:sz w:val="20"/>
              </w:rPr>
              <w:t>Active MoUs; exchanges; global rank</w:t>
            </w:r>
          </w:p>
        </w:tc>
      </w:tr>
    </w:tbl>
    <w:p>
      <w:pPr>
        <w:spacing w:after="40"/>
      </w:pPr>
    </w:p>
    <w:p>
      <w:pPr>
        <w:pStyle w:val="Heading1"/>
      </w:pPr>
      <w:r>
        <w:t>12. Key Takeaways</w:t>
      </w:r>
    </w:p>
    <w:p>
      <w:pPr>
        <w:pStyle w:val="ListBullet"/>
        <w:jc w:val="both"/>
      </w:pPr>
      <w:r>
        <w:rPr>
          <w:b/>
        </w:rPr>
        <w:t>Plan from evidence:</w:t>
      </w:r>
      <w:r>
        <w:t xml:space="preserve"> SWOT, PESTLE and baseline audits come before objectives.</w:t>
      </w:r>
    </w:p>
    <w:p>
      <w:pPr>
        <w:pStyle w:val="ListBullet"/>
        <w:jc w:val="both"/>
      </w:pPr>
      <w:r>
        <w:t>Anchor everything to six pillars and map each to NEP 2020 and relevant SDGs.</w:t>
      </w:r>
    </w:p>
    <w:p>
      <w:pPr>
        <w:pStyle w:val="ListBullet"/>
        <w:jc w:val="both"/>
      </w:pPr>
      <w:r>
        <w:rPr>
          <w:b/>
        </w:rPr>
        <w:t>Make goals measurable:</w:t>
      </w:r>
      <w:r>
        <w:t xml:space="preserve"> every objective carries KPIs, owners, budgets and timelines.</w:t>
      </w:r>
    </w:p>
    <w:p>
      <w:pPr>
        <w:pStyle w:val="ListBullet"/>
        <w:jc w:val="both"/>
      </w:pPr>
      <w:r>
        <w:t>Use RACI matrices and Balanced Scorecards to fix accountability.</w:t>
      </w:r>
    </w:p>
    <w:p>
      <w:pPr>
        <w:pStyle w:val="ListBullet"/>
        <w:jc w:val="both"/>
      </w:pPr>
      <w:r>
        <w:rPr>
          <w:b/>
        </w:rPr>
        <w:t>Treat the SDP as a cycle:</w:t>
      </w:r>
      <w:r>
        <w:t xml:space="preserve"> review regularly and revise it every five to seven years.</w:t>
      </w:r>
    </w:p>
    <w:p>
      <w:r>
        <w:t>Note: this document is a summary in original wording; targets and figures are indicative values quoted from the source work and should be adapted to the institution's own baseline.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eastAsia="Cambria" w:cs="Cambria"/>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cs="Cambria"/>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eastAsia="Cambria" w:cs="Cambria"/>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cs="Cambria"/>
      <w:sz w:val="22"/>
    </w:rPr>
  </w:style>
  <w:style w:type="paragraph" w:styleId="ListBullet2">
    <w:name w:val="List Bullet 2"/>
    <w:basedOn w:val="Normal"/>
    <w:uiPriority w:val="99"/>
    <w:unhideWhenUsed/>
    <w:rsid w:val="00326F90"/>
    <w:pPr>
      <w:numPr>
        <w:numId w:val="2"/>
      </w:numPr>
      <w:contextualSpacing/>
    </w:pPr>
    <w:rPr>
      <w:rFonts w:ascii="Cambria" w:hAnsi="Cambria" w:eastAsia="Cambria" w:cs="Cambria"/>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