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0" w:line="276" w:lineRule="auto"/>
      </w:pPr>
    </w:p>
    <w:p>
      <w:pPr>
        <w:spacing w:after="40" w:line="276" w:lineRule="auto"/>
        <w:jc w:val="center"/>
      </w:pPr>
      <w:r>
        <w:rPr>
          <w:rFonts w:ascii="Cambria" w:hAnsi="Cambria"/>
          <w:b/>
          <w:i w:val="0"/>
          <w:color w:val="FF0000"/>
          <w:sz w:val="48"/>
        </w:rPr>
        <w:t>Dean – Research &amp;</w:t>
      </w:r>
    </w:p>
    <w:p>
      <w:pPr>
        <w:spacing w:after="40" w:line="276" w:lineRule="auto"/>
        <w:jc w:val="center"/>
      </w:pPr>
      <w:r>
        <w:rPr>
          <w:rFonts w:ascii="Cambria" w:hAnsi="Cambria"/>
          <w:b/>
          <w:i w:val="0"/>
          <w:color w:val="FF0000"/>
          <w:sz w:val="48"/>
        </w:rPr>
        <w:t>Development (R&amp;D):</w:t>
      </w:r>
    </w:p>
    <w:p>
      <w:pPr>
        <w:spacing w:after="40" w:line="276" w:lineRule="auto"/>
        <w:jc w:val="center"/>
      </w:pPr>
      <w:r>
        <w:rPr>
          <w:rFonts w:ascii="Cambria" w:hAnsi="Cambria"/>
          <w:b/>
          <w:i w:val="0"/>
          <w:color w:val="FF0000"/>
          <w:sz w:val="48"/>
        </w:rPr>
        <w:t>Leadership in Knowledge</w:t>
      </w:r>
    </w:p>
    <w:p>
      <w:pPr>
        <w:spacing w:after="40" w:line="276" w:lineRule="auto"/>
        <w:jc w:val="center"/>
      </w:pPr>
      <w:r>
        <w:rPr>
          <w:rFonts w:ascii="Cambria" w:hAnsi="Cambria"/>
          <w:b/>
          <w:i w:val="0"/>
          <w:color w:val="FF0000"/>
          <w:sz w:val="48"/>
        </w:rPr>
        <w:t>Creation and Innovation in</w:t>
      </w:r>
    </w:p>
    <w:p>
      <w:pPr>
        <w:spacing w:after="40" w:line="276" w:lineRule="auto"/>
        <w:jc w:val="center"/>
      </w:pPr>
      <w:r>
        <w:rPr>
          <w:rFonts w:ascii="Cambria" w:hAnsi="Cambria"/>
          <w:b/>
          <w:i w:val="0"/>
          <w:color w:val="FF0000"/>
          <w:sz w:val="48"/>
        </w:rPr>
        <w:t>Higher Education</w:t>
      </w:r>
    </w:p>
    <w:p>
      <w:pPr>
        <w:spacing w:after="200" w:line="276" w:lineRule="auto"/>
      </w:pPr>
    </w:p>
    <w:p>
      <w:pPr>
        <w:spacing w:after="480" w:line="276" w:lineRule="auto"/>
        <w:jc w:val="center"/>
      </w:pPr>
      <w:r>
        <w:rPr>
          <w:rFonts w:ascii="Cambria" w:hAnsi="Cambria"/>
          <w:b/>
          <w:i w:val="0"/>
          <w:color w:val="1F3A5F"/>
          <w:sz w:val="28"/>
        </w:rPr>
        <w:t>Mapping of R&amp;D Leadership to NBA, NAAC, NIRF, and QS I-GAUGE</w:t>
      </w:r>
    </w:p>
    <w:p>
      <w:pPr>
        <w:spacing w:after="200" w:line="276" w:lineRule="auto"/>
        <w:jc w:val="center"/>
      </w:pPr>
      <w:r>
        <w:rPr>
          <w:rFonts w:ascii="Cambria" w:hAnsi="Cambria"/>
          <w:b/>
          <w:i w:val="0"/>
          <w:sz w:val="22"/>
        </w:rPr>
        <w:t>Dr Venkata Rama Krishna Tottempudi</w:t>
      </w:r>
    </w:p>
    <w:p>
      <w:pPr>
        <w:spacing w:after="200" w:line="276" w:lineRule="auto"/>
        <w:jc w:val="center"/>
      </w:pPr>
      <w:r>
        <w:rPr>
          <w:rFonts w:ascii="Cambria" w:hAnsi="Cambria"/>
          <w:b/>
          <w:i w:val="0"/>
          <w:sz w:val="22"/>
        </w:rPr>
        <w:t>Sai Saran Tottempudi</w:t>
      </w:r>
    </w:p>
    <w:p>
      <w:r>
        <w:br w:type="page"/>
      </w:r>
    </w:p>
    <w:p>
      <w:pPr>
        <w:spacing w:after="240" w:line="276" w:lineRule="auto"/>
        <w:jc w:val="center"/>
      </w:pPr>
      <w:r>
        <w:rPr>
          <w:rFonts w:ascii="Cambria" w:hAnsi="Cambria"/>
          <w:b/>
          <w:i w:val="0"/>
          <w:color w:val="FF0000"/>
          <w:sz w:val="26"/>
        </w:rPr>
        <w:t>ACKNOWLEDGEMENT</w:t>
      </w:r>
    </w:p>
    <w:p>
      <w:pPr>
        <w:spacing w:after="160" w:line="276" w:lineRule="auto"/>
        <w:jc w:val="both"/>
      </w:pPr>
      <w:r>
        <w:rPr>
          <w:rFonts w:ascii="Cambria" w:hAnsi="Cambria"/>
          <w:b w:val="0"/>
          <w:i w:val="0"/>
          <w:sz w:val="22"/>
        </w:rPr>
        <w:t xml:space="preserve">I extend my sincere gratitude to all those whose guidance, support, and insights have contributed to the development of this work on Dean </w:t>
      </w:r>
      <w:r>
        <w:rPr>
          <w:rFonts w:ascii="Cambria" w:hAnsi="Cambria"/>
          <w:b w:val="0"/>
          <w:i w:val="0"/>
          <w:sz w:val="22"/>
        </w:rPr>
        <w:t>– Research &amp; Development (R&amp;D): Leadership in Knowledge Creation and Innovation in Higher Education.</w:t>
      </w:r>
    </w:p>
    <w:p>
      <w:pPr>
        <w:spacing w:after="160" w:line="276" w:lineRule="auto"/>
        <w:jc w:val="both"/>
      </w:pPr>
      <w:r>
        <w:rPr>
          <w:rFonts w:ascii="Cambria" w:hAnsi="Cambria"/>
          <w:b w:val="0"/>
          <w:i w:val="0"/>
          <w:sz w:val="22"/>
        </w:rPr>
        <w:t>First and foremost, I acknowledge the invaluable contributions of academic leaders, researchers, and policy-makers whose vision of integrating research and innovation into higher education has shaped the conceptual foundation of this study. Their commitment to advancing knowledge creation and fostering institutional excellence has been an inspiration throughout this endeavor.</w:t>
      </w:r>
    </w:p>
    <w:p>
      <w:pPr>
        <w:spacing w:after="160" w:line="276" w:lineRule="auto"/>
        <w:jc w:val="both"/>
      </w:pPr>
      <w:r>
        <w:rPr>
          <w:rFonts w:ascii="Cambria" w:hAnsi="Cambria"/>
          <w:b w:val="0"/>
          <w:i w:val="0"/>
          <w:sz w:val="22"/>
        </w:rPr>
        <w:t xml:space="preserve">I wish to express deep appreciation to the faculty members, research scholars, and administrators whose continuous engagement in the domains of research and development provided practical perspectives on the evolving role of the Dean </w:t>
      </w:r>
      <w:r>
        <w:rPr>
          <w:rFonts w:ascii="Cambria" w:hAnsi="Cambria"/>
          <w:b w:val="0"/>
          <w:i w:val="0"/>
          <w:sz w:val="22"/>
        </w:rPr>
        <w:t>– R&amp;D. Their experiences, shared openly, enriched this work with real-world relevance.</w:t>
      </w:r>
    </w:p>
    <w:p>
      <w:pPr>
        <w:spacing w:after="160" w:line="276" w:lineRule="auto"/>
        <w:jc w:val="both"/>
      </w:pPr>
      <w:r>
        <w:rPr>
          <w:rFonts w:ascii="Cambria" w:hAnsi="Cambria"/>
          <w:b w:val="0"/>
          <w:i w:val="0"/>
          <w:sz w:val="22"/>
        </w:rPr>
        <w:t>I am grateful to the national and international accreditation frameworks</w:t>
      </w:r>
      <w:r>
        <w:rPr>
          <w:rFonts w:ascii="Cambria" w:hAnsi="Cambria"/>
          <w:b w:val="0"/>
          <w:i w:val="0"/>
          <w:sz w:val="22"/>
        </w:rPr>
        <w:t>—NAAC, NBA, NIRF, QS I-GAUGE, and ABET—</w:t>
      </w:r>
      <w:r>
        <w:rPr>
          <w:rFonts w:ascii="Cambria" w:hAnsi="Cambria"/>
          <w:b w:val="0"/>
          <w:i w:val="0"/>
          <w:sz w:val="22"/>
        </w:rPr>
        <w:t>that emphasize research, innovation, and quality benchmarks in higher education. These standards not only guide institutional growth but also provide a structured lens through which the role of R&amp;D leadership can be analyzed and strengthened.</w:t>
      </w:r>
    </w:p>
    <w:p>
      <w:pPr>
        <w:spacing w:after="160" w:line="276" w:lineRule="auto"/>
        <w:jc w:val="both"/>
      </w:pPr>
      <w:r>
        <w:rPr>
          <w:rFonts w:ascii="Cambria" w:hAnsi="Cambria"/>
          <w:b w:val="0"/>
          <w:i w:val="0"/>
          <w:sz w:val="22"/>
        </w:rPr>
        <w:t>Special thanks are also due to colleagues and mentors who provided thoughtful feedback, constructive criticism, and constant encouragement. Their insights have been instrumental in refining the content and ensuring its academic depth.</w:t>
      </w:r>
    </w:p>
    <w:p>
      <w:pPr>
        <w:spacing w:after="160" w:line="276" w:lineRule="auto"/>
        <w:jc w:val="both"/>
      </w:pPr>
      <w:r>
        <w:rPr>
          <w:rFonts w:ascii="Cambria" w:hAnsi="Cambria"/>
          <w:b w:val="0"/>
          <w:i w:val="0"/>
          <w:sz w:val="22"/>
        </w:rPr>
        <w:t>Finally, I acknowledge the broader higher education community, whose ongoing commitment to building knowledge-driven, innovative, and globally competitive universities continues to inspire scholarly exploration.</w:t>
      </w:r>
    </w:p>
    <w:p>
      <w:pPr>
        <w:spacing w:after="160" w:line="276" w:lineRule="auto"/>
        <w:jc w:val="both"/>
      </w:pPr>
      <w:r>
        <w:rPr>
          <w:rFonts w:ascii="Cambria" w:hAnsi="Cambria"/>
          <w:b w:val="0"/>
          <w:i w:val="0"/>
          <w:sz w:val="22"/>
        </w:rPr>
        <w:t>This acknowledgement is a small token of appreciation for the many individuals and institutions who, directly or indirectly, contributed to the realization of this work.</w:t>
      </w:r>
    </w:p>
    <w:p>
      <w:pPr>
        <w:spacing w:after="160" w:line="276" w:lineRule="auto"/>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60" w:line="276" w:lineRule="auto"/>
        <w:jc w:val="both"/>
      </w:pPr>
      <w:r>
        <w:rPr>
          <w:rFonts w:ascii="Cambria" w:hAnsi="Cambria"/>
          <w:b w:val="0"/>
          <w:i w:val="0"/>
          <w:sz w:val="22"/>
        </w:rPr>
        <w:t>Finally, I express my deep gratitude to my family and well-wishers for their continuous encouragement and moral support throughout this endeavor.</w:t>
      </w:r>
    </w:p>
    <w:p>
      <w:pPr>
        <w:spacing w:after="160" w:line="276" w:lineRule="auto"/>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after="40" w:line="276" w:lineRule="auto"/>
      </w:pPr>
      <w:r>
        <w:rPr>
          <w:rFonts w:ascii="Cambria" w:hAnsi="Cambria"/>
          <w:b/>
          <w:i w:val="0"/>
          <w:sz w:val="22"/>
        </w:rPr>
        <w:t>Dr. V. Rama Krishna Tottempudi</w:t>
      </w:r>
    </w:p>
    <w:p>
      <w:pPr>
        <w:spacing w:after="200" w:line="276" w:lineRule="auto"/>
      </w:pPr>
      <w:r>
        <w:rPr>
          <w:rFonts w:ascii="Cambria" w:hAnsi="Cambria"/>
          <w:b/>
          <w:i w:val="0"/>
          <w:sz w:val="22"/>
        </w:rPr>
        <w:t>Sai Saran Tottempudi</w:t>
      </w:r>
    </w:p>
    <w:p>
      <w:pPr>
        <w:pStyle w:val="Heading2"/>
      </w:pPr>
      <w:r>
        <w:rPr>
          <w:rFonts w:ascii="Cambria" w:hAnsi="Cambria"/>
          <w:b/>
          <w:color w:val="1F3A5F"/>
          <w:sz w:val="30"/>
        </w:rPr>
        <w:t>About Dr. T. V. Rama Krishna</w:t>
      </w:r>
    </w:p>
    <w:p>
      <w:pPr>
        <w:spacing w:after="160" w:line="276" w:lineRule="auto"/>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60" w:line="276" w:lineRule="auto"/>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after="160" w:line="276" w:lineRule="auto"/>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xml:space="preserve">. His research expertise is widely recognized, and his profile can be accessed here: </w:t>
      </w:r>
      <w:r>
        <w:rPr>
          <w:rFonts w:ascii="Cambria" w:hAnsi="Cambria"/>
          <w:b w:val="0"/>
          <w:i w:val="0"/>
          <w:sz w:val="22"/>
        </w:rPr>
        <w:t>Scopus Author ID – 56397099300.</w:t>
      </w:r>
    </w:p>
    <w:p>
      <w:pPr>
        <w:spacing w:after="160" w:line="276" w:lineRule="auto"/>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after="160" w:line="276" w:lineRule="auto"/>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after="160" w:line="276" w:lineRule="auto"/>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after="160" w:line="276" w:lineRule="auto"/>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after="160" w:line="276" w:lineRule="auto"/>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200" w:line="276" w:lineRule="auto"/>
        <w:jc w:val="both"/>
      </w:pPr>
      <w:r>
        <w:rPr>
          <w:rFonts w:ascii="Cambria" w:hAnsi="Cambria"/>
          <w:b w:val="0"/>
          <w:i w:val="0"/>
          <w:sz w:val="22"/>
        </w:rPr>
        <w:t>LinkedIn Profile: Dr. Tottempudi Venkata Rama Krishna</w:t>
      </w:r>
    </w:p>
    <w:p>
      <w:r>
        <w:br w:type="page"/>
      </w:r>
    </w:p>
    <w:p>
      <w:pPr>
        <w:spacing w:after="240" w:line="276" w:lineRule="auto"/>
        <w:jc w:val="center"/>
      </w:pPr>
      <w:r>
        <w:rPr>
          <w:rFonts w:ascii="Cambria" w:hAnsi="Cambria"/>
          <w:b/>
          <w:i w:val="0"/>
          <w:color w:val="FF0000"/>
          <w:sz w:val="26"/>
        </w:rPr>
        <w:t>Abstract</w:t>
      </w:r>
    </w:p>
    <w:p>
      <w:pPr>
        <w:spacing w:after="160" w:line="276" w:lineRule="auto"/>
        <w:jc w:val="both"/>
      </w:pPr>
      <w:r>
        <w:rPr>
          <w:rFonts w:ascii="Cambria" w:hAnsi="Cambria"/>
          <w:b w:val="0"/>
          <w:i w:val="0"/>
          <w:sz w:val="22"/>
        </w:rPr>
        <w:t xml:space="preserve">The role of the Dean </w:t>
      </w:r>
      <w:r>
        <w:rPr>
          <w:rFonts w:ascii="Cambria" w:hAnsi="Cambria"/>
          <w:b w:val="0"/>
          <w:i w:val="0"/>
          <w:sz w:val="22"/>
        </w:rPr>
        <w:t xml:space="preserve">– Research &amp; Development (R&amp;D) in higher education has evolved into a position of strategic leadership, bridging academic inquiry, institutional growth, and societal transformation. As universities move beyond their traditional teaching mission, the R&amp;D portfolio assumes responsibility for knowledge creation, innovation, intellectual property management, and industry collaboration, thereby shaping the institution's global competitiveness. This work explores the multifaceted responsibilities of the Dean </w:t>
      </w:r>
      <w:r>
        <w:rPr>
          <w:rFonts w:ascii="Cambria" w:hAnsi="Cambria"/>
          <w:b w:val="0"/>
          <w:i w:val="0"/>
          <w:sz w:val="22"/>
        </w:rPr>
        <w:t>– R&amp;D and emphasizes how leadership in research governance contributes directly to institutional excellence and reputation. Positioned at the intersection of policy, practice, and innovation, the Dean provides vision, strategic direction, and operational oversight to ensure that research activities are not only compliant with regulatory standards but also aligned with emerging global benchmarks such as NAAC, NBA, NIRF, QS I-GAUGE, ABET, and ISO certifications.</w:t>
      </w:r>
    </w:p>
    <w:p>
      <w:pPr>
        <w:spacing w:after="160" w:line="276" w:lineRule="auto"/>
        <w:jc w:val="both"/>
      </w:pPr>
      <w:r>
        <w:rPr>
          <w:rFonts w:ascii="Cambria" w:hAnsi="Cambria"/>
          <w:b w:val="0"/>
          <w:i w:val="0"/>
          <w:sz w:val="22"/>
        </w:rPr>
        <w:t xml:space="preserve">The Dean </w:t>
      </w:r>
      <w:r>
        <w:rPr>
          <w:rFonts w:ascii="Cambria" w:hAnsi="Cambria"/>
          <w:b w:val="0"/>
          <w:i w:val="0"/>
          <w:sz w:val="22"/>
        </w:rPr>
        <w:t>– R&amp;D operates within a distributed custodianship model, supported by Associate Deans specializing in publications and citations, intellectual property rights, consultancy and industry liaison, sponsored research, R&amp;D centres, and doctoral and post-doctoral training. Together, they create a framework of accountability and specialization that drives both research output and quality. This structure ensures that institutions can simultaneously pursue high-quality publications, patent generation, funded projects, and knowledge transfer, while also building capacity for future scholars through advanced training programs. Moreover, the Dean's role extends beyond research management to fostering innovation ecosystems and Centres of Excellence, which anchor collaborations with industry, government, and international partners. By strengthening these links, the Dean ensures that research outcomes are not limited to academic prestige but are translated into tangible contributions to economic development and societal well-being.</w:t>
      </w:r>
    </w:p>
    <w:p>
      <w:pPr>
        <w:spacing w:after="160" w:line="276" w:lineRule="auto"/>
        <w:jc w:val="both"/>
      </w:pPr>
      <w:r>
        <w:rPr>
          <w:rFonts w:ascii="Cambria" w:hAnsi="Cambria"/>
          <w:b w:val="0"/>
          <w:i w:val="0"/>
          <w:sz w:val="22"/>
        </w:rPr>
        <w:t xml:space="preserve">A critical dimension of the Dean </w:t>
      </w:r>
      <w:r>
        <w:rPr>
          <w:rFonts w:ascii="Cambria" w:hAnsi="Cambria"/>
          <w:b w:val="0"/>
          <w:i w:val="0"/>
          <w:sz w:val="22"/>
        </w:rPr>
        <w:t>– R&amp;D's leadership is the integration of Outcome-Based Education (OBE), continuous improvement, and global benchmarking into institutional strategy. This aligns research and innovation activities with broader academic policies, ensuring that universities remain competitive both nationally and internationally. Furthermore, the Dean plays a pivotal role in resource mobilization, securing external funding, managing research infrastructure, and ensuring financial accountability through rigorous oversight. These responsibilities underscore the Dean's dual role as both an academic leader and a strategic manager of institutional growth.</w:t>
      </w:r>
    </w:p>
    <w:p>
      <w:pPr>
        <w:spacing w:after="200" w:line="276" w:lineRule="auto"/>
        <w:jc w:val="both"/>
      </w:pPr>
      <w:r>
        <w:rPr>
          <w:rFonts w:ascii="Cambria" w:hAnsi="Cambria"/>
          <w:b w:val="0"/>
          <w:i w:val="0"/>
          <w:sz w:val="22"/>
        </w:rPr>
        <w:t xml:space="preserve">In conclusion, the Dean </w:t>
      </w:r>
      <w:r>
        <w:rPr>
          <w:rFonts w:ascii="Cambria" w:hAnsi="Cambria"/>
          <w:b w:val="0"/>
          <w:i w:val="0"/>
          <w:sz w:val="22"/>
        </w:rPr>
        <w:t xml:space="preserve">– Research &amp; Development (R&amp;D) is central to positioning higher education institutions as innovation-driven, globally competitive, and socially responsive. By embedding research excellence into institutional culture and aligning it with accreditation frameworks and global quality benchmarks, the Dean </w:t>
      </w:r>
      <w:r>
        <w:rPr>
          <w:rFonts w:ascii="Cambria" w:hAnsi="Cambria"/>
          <w:b w:val="0"/>
          <w:i w:val="0"/>
          <w:sz w:val="22"/>
        </w:rPr>
        <w:t>– R&amp;D transforms research from a peripheral function into the core identity of a modern university.</w:t>
      </w:r>
    </w:p>
    <w:p>
      <w:r>
        <w:br w:type="page"/>
      </w:r>
    </w:p>
    <w:p>
      <w:pPr>
        <w:spacing w:after="240" w:line="276" w:lineRule="auto"/>
        <w:jc w:val="center"/>
      </w:pPr>
      <w:r>
        <w:rPr>
          <w:rFonts w:ascii="Cambria" w:hAnsi="Cambria"/>
          <w:b/>
          <w:i w:val="0"/>
          <w:color w:val="FF0000"/>
          <w:sz w:val="26"/>
        </w:rPr>
        <w:t>Table of Contents</w:t>
      </w:r>
    </w:p>
    <w:tbl>
      <w:tblPr>
        <w:tblStyle w:val="TableGrid"/>
        <w:tblW w:type="auto" w:w="0"/>
        <w:jc w:val="center"/>
        <w:tblLayout w:type="fixed"/>
        <w:tblLook w:firstColumn="1" w:firstRow="1" w:lastColumn="0" w:lastRow="0" w:noHBand="0" w:noVBand="1" w:val="04A0"/>
        <w:tblLayout w:type="fixed"/>
      </w:tblPr>
      <w:tblGrid>
        <w:gridCol w:w="850"/>
        <w:gridCol w:w="7540"/>
        <w:gridCol w:w="1020"/>
      </w:tblGrid>
      <w:tr>
        <w:tc>
          <w:tcPr>
            <w:tcW w:type="dxa" w:w="850"/>
          </w:tcPr>
          <w:p>
            <w:pPr>
              <w:spacing w:after="40" w:line="240" w:lineRule="auto"/>
              <w:jc w:val="left"/>
            </w:pPr>
            <w:r/>
            <w:r>
              <w:rPr>
                <w:rFonts w:ascii="Cambria" w:hAnsi="Cambria"/>
                <w:b/>
                <w:sz w:val="21"/>
              </w:rPr>
              <w:t>S. No</w:t>
            </w:r>
          </w:p>
        </w:tc>
        <w:tc>
          <w:tcPr>
            <w:tcW w:type="dxa" w:w="7540"/>
          </w:tcPr>
          <w:p>
            <w:pPr>
              <w:spacing w:after="40" w:line="240" w:lineRule="auto"/>
              <w:jc w:val="left"/>
            </w:pPr>
            <w:r/>
            <w:r>
              <w:rPr>
                <w:rFonts w:ascii="Cambria" w:hAnsi="Cambria"/>
                <w:b/>
                <w:sz w:val="21"/>
              </w:rPr>
              <w:t>Name of the Content</w:t>
            </w:r>
          </w:p>
        </w:tc>
        <w:tc>
          <w:tcPr>
            <w:tcW w:type="dxa" w:w="1020"/>
          </w:tcPr>
          <w:p>
            <w:pPr>
              <w:spacing w:after="40" w:line="240" w:lineRule="auto"/>
              <w:jc w:val="left"/>
            </w:pPr>
            <w:r/>
            <w:r>
              <w:rPr>
                <w:rFonts w:ascii="Cambria" w:hAnsi="Cambria"/>
                <w:b/>
                <w:sz w:val="21"/>
              </w:rPr>
              <w:t>Pg.No</w:t>
            </w:r>
          </w:p>
        </w:tc>
      </w:tr>
      <w:tr>
        <w:tc>
          <w:tcPr>
            <w:tcW w:type="dxa" w:w="850"/>
          </w:tcPr>
          <w:p>
            <w:pPr>
              <w:spacing w:after="40" w:line="240" w:lineRule="auto"/>
              <w:jc w:val="left"/>
            </w:pPr>
            <w:r/>
            <w:r>
              <w:rPr>
                <w:rFonts w:ascii="Cambria" w:hAnsi="Cambria"/>
                <w:b/>
                <w:sz w:val="21"/>
              </w:rPr>
              <w:t>1</w:t>
            </w:r>
          </w:p>
        </w:tc>
        <w:tc>
          <w:tcPr>
            <w:tcW w:type="dxa" w:w="7540"/>
          </w:tcPr>
          <w:p>
            <w:pPr>
              <w:spacing w:after="40" w:line="240" w:lineRule="auto"/>
              <w:jc w:val="left"/>
            </w:pPr>
            <w:r/>
            <w:r>
              <w:rPr>
                <w:rFonts w:ascii="Cambria" w:hAnsi="Cambria"/>
                <w:b/>
                <w:sz w:val="21"/>
              </w:rPr>
              <w:t>Introduction</w:t>
            </w:r>
          </w:p>
        </w:tc>
        <w:tc>
          <w:tcPr>
            <w:tcW w:type="dxa" w:w="1020"/>
          </w:tcPr>
          <w:p>
            <w:pPr>
              <w:spacing w:after="40" w:line="240" w:lineRule="auto"/>
              <w:jc w:val="left"/>
            </w:pPr>
            <w:r/>
            <w:r>
              <w:rPr>
                <w:rFonts w:ascii="Cambria" w:hAnsi="Cambria"/>
                <w:b/>
                <w:sz w:val="21"/>
              </w:rPr>
              <w:t>01</w:t>
            </w:r>
          </w:p>
        </w:tc>
      </w:tr>
      <w:tr>
        <w:tc>
          <w:tcPr>
            <w:tcW w:type="dxa" w:w="850"/>
          </w:tcPr>
          <w:p>
            <w:pPr>
              <w:spacing w:after="40" w:line="240" w:lineRule="auto"/>
              <w:jc w:val="left"/>
            </w:pPr>
            <w:r/>
            <w:r>
              <w:rPr>
                <w:rFonts w:ascii="Cambria" w:hAnsi="Cambria"/>
                <w:b/>
                <w:sz w:val="21"/>
              </w:rPr>
              <w:t>2</w:t>
            </w:r>
          </w:p>
        </w:tc>
        <w:tc>
          <w:tcPr>
            <w:tcW w:type="dxa" w:w="7540"/>
          </w:tcPr>
          <w:p>
            <w:pPr>
              <w:spacing w:after="40" w:line="240" w:lineRule="auto"/>
              <w:jc w:val="left"/>
            </w:pPr>
            <w:r/>
            <w:r>
              <w:rPr>
                <w:rFonts w:ascii="Cambria" w:hAnsi="Cambria"/>
                <w:b/>
                <w:sz w:val="21"/>
              </w:rPr>
              <w:t>Dean – Research &amp; Development (R&amp;D)</w:t>
            </w:r>
          </w:p>
        </w:tc>
        <w:tc>
          <w:tcPr>
            <w:tcW w:type="dxa" w:w="1020"/>
          </w:tcPr>
          <w:p>
            <w:pPr>
              <w:spacing w:after="40" w:line="240" w:lineRule="auto"/>
              <w:jc w:val="left"/>
            </w:pPr>
            <w:r/>
            <w:r>
              <w:rPr>
                <w:rFonts w:ascii="Cambria" w:hAnsi="Cambria"/>
                <w:b/>
                <w:sz w:val="21"/>
              </w:rPr>
              <w:t>04</w:t>
            </w:r>
          </w:p>
        </w:tc>
      </w:tr>
      <w:tr>
        <w:tc>
          <w:tcPr>
            <w:tcW w:type="dxa" w:w="850"/>
          </w:tcPr>
          <w:p>
            <w:pPr>
              <w:spacing w:after="40" w:line="240" w:lineRule="auto"/>
              <w:jc w:val="left"/>
            </w:pPr>
            <w:r/>
            <w:r>
              <w:rPr>
                <w:rFonts w:ascii="Cambria" w:hAnsi="Cambria"/>
                <w:b/>
                <w:sz w:val="21"/>
              </w:rPr>
              <w:t>3</w:t>
            </w:r>
          </w:p>
        </w:tc>
        <w:tc>
          <w:tcPr>
            <w:tcW w:type="dxa" w:w="7540"/>
          </w:tcPr>
          <w:p>
            <w:pPr>
              <w:spacing w:after="40" w:line="240" w:lineRule="auto"/>
              <w:jc w:val="left"/>
            </w:pPr>
            <w:r/>
            <w:r>
              <w:rPr>
                <w:rFonts w:ascii="Cambria" w:hAnsi="Cambria"/>
                <w:b/>
                <w:sz w:val="21"/>
              </w:rPr>
              <w:t>Responsibilities of the Dean of Research &amp; Development (R&amp;D)</w:t>
            </w:r>
          </w:p>
        </w:tc>
        <w:tc>
          <w:tcPr>
            <w:tcW w:type="dxa" w:w="1020"/>
          </w:tcPr>
          <w:p>
            <w:pPr>
              <w:spacing w:after="40" w:line="240" w:lineRule="auto"/>
              <w:jc w:val="left"/>
            </w:pPr>
            <w:r/>
            <w:r>
              <w:rPr>
                <w:rFonts w:ascii="Cambria" w:hAnsi="Cambria"/>
                <w:b/>
                <w:sz w:val="21"/>
              </w:rPr>
              <w:t>08</w:t>
            </w:r>
          </w:p>
        </w:tc>
      </w:tr>
      <w:tr>
        <w:tc>
          <w:tcPr>
            <w:tcW w:type="dxa" w:w="850"/>
          </w:tcPr>
          <w:p>
            <w:pPr>
              <w:spacing w:after="40" w:line="240" w:lineRule="auto"/>
              <w:jc w:val="left"/>
            </w:pPr>
            <w:r/>
            <w:r>
              <w:rPr>
                <w:rFonts w:ascii="Cambria" w:hAnsi="Cambria"/>
                <w:b/>
                <w:sz w:val="21"/>
              </w:rPr>
              <w:t>4</w:t>
            </w:r>
          </w:p>
        </w:tc>
        <w:tc>
          <w:tcPr>
            <w:tcW w:type="dxa" w:w="7540"/>
          </w:tcPr>
          <w:p>
            <w:pPr>
              <w:spacing w:after="40" w:line="240" w:lineRule="auto"/>
              <w:jc w:val="left"/>
            </w:pPr>
            <w:r/>
            <w:r>
              <w:rPr>
                <w:rFonts w:ascii="Cambria" w:hAnsi="Cambria"/>
                <w:b/>
                <w:sz w:val="21"/>
              </w:rPr>
              <w:t>Core Competencies of the Dean – Research &amp; Development</w:t>
            </w:r>
          </w:p>
        </w:tc>
        <w:tc>
          <w:tcPr>
            <w:tcW w:type="dxa" w:w="1020"/>
          </w:tcPr>
          <w:p>
            <w:pPr>
              <w:spacing w:after="40" w:line="240" w:lineRule="auto"/>
              <w:jc w:val="left"/>
            </w:pPr>
            <w:r/>
            <w:r>
              <w:rPr>
                <w:rFonts w:ascii="Cambria" w:hAnsi="Cambria"/>
                <w:b/>
                <w:sz w:val="21"/>
              </w:rPr>
              <w:t>12</w:t>
            </w:r>
          </w:p>
        </w:tc>
      </w:tr>
      <w:tr>
        <w:tc>
          <w:tcPr>
            <w:tcW w:type="dxa" w:w="850"/>
          </w:tcPr>
          <w:p>
            <w:pPr>
              <w:spacing w:after="40" w:line="240" w:lineRule="auto"/>
              <w:jc w:val="left"/>
            </w:pPr>
            <w:r/>
            <w:r>
              <w:rPr>
                <w:rFonts w:ascii="Cambria" w:hAnsi="Cambria"/>
                <w:b/>
                <w:sz w:val="21"/>
              </w:rPr>
              <w:t>5</w:t>
            </w:r>
          </w:p>
        </w:tc>
        <w:tc>
          <w:tcPr>
            <w:tcW w:type="dxa" w:w="7540"/>
          </w:tcPr>
          <w:p>
            <w:pPr>
              <w:spacing w:after="40" w:line="240" w:lineRule="auto"/>
              <w:jc w:val="left"/>
            </w:pPr>
            <w:r/>
            <w:r>
              <w:rPr>
                <w:rFonts w:ascii="Cambria" w:hAnsi="Cambria"/>
                <w:b/>
                <w:sz w:val="21"/>
              </w:rPr>
              <w:t>Duties and Functions of the Dean – Research &amp; Development (R&amp;D)</w:t>
            </w:r>
          </w:p>
        </w:tc>
        <w:tc>
          <w:tcPr>
            <w:tcW w:type="dxa" w:w="1020"/>
          </w:tcPr>
          <w:p>
            <w:pPr>
              <w:spacing w:after="40" w:line="240" w:lineRule="auto"/>
              <w:jc w:val="left"/>
            </w:pPr>
            <w:r/>
            <w:r>
              <w:rPr>
                <w:rFonts w:ascii="Cambria" w:hAnsi="Cambria"/>
                <w:b/>
                <w:sz w:val="21"/>
              </w:rPr>
              <w:t>13</w:t>
            </w:r>
          </w:p>
        </w:tc>
      </w:tr>
      <w:tr>
        <w:tc>
          <w:tcPr>
            <w:tcW w:type="dxa" w:w="850"/>
          </w:tcPr>
          <w:p>
            <w:pPr>
              <w:spacing w:after="40" w:line="240" w:lineRule="auto"/>
              <w:jc w:val="left"/>
            </w:pPr>
            <w:r/>
            <w:r>
              <w:rPr>
                <w:rFonts w:ascii="Cambria" w:hAnsi="Cambria"/>
                <w:b/>
                <w:sz w:val="21"/>
              </w:rPr>
              <w:t>6</w:t>
            </w:r>
          </w:p>
        </w:tc>
        <w:tc>
          <w:tcPr>
            <w:tcW w:type="dxa" w:w="7540"/>
          </w:tcPr>
          <w:p>
            <w:pPr>
              <w:spacing w:after="40" w:line="240" w:lineRule="auto"/>
              <w:jc w:val="left"/>
            </w:pPr>
            <w:r/>
            <w:r>
              <w:rPr>
                <w:rFonts w:ascii="Cambria" w:hAnsi="Cambria"/>
                <w:b/>
                <w:sz w:val="21"/>
              </w:rPr>
              <w:t>Associate Dean – Publications, Citations, Impact Factor, and Books</w:t>
            </w:r>
          </w:p>
        </w:tc>
        <w:tc>
          <w:tcPr>
            <w:tcW w:type="dxa" w:w="1020"/>
          </w:tcPr>
          <w:p>
            <w:pPr>
              <w:spacing w:after="40" w:line="240" w:lineRule="auto"/>
              <w:jc w:val="left"/>
            </w:pPr>
            <w:r/>
            <w:r>
              <w:rPr>
                <w:rFonts w:ascii="Cambria" w:hAnsi="Cambria"/>
                <w:b/>
                <w:sz w:val="21"/>
              </w:rPr>
              <w:t>17</w:t>
            </w:r>
          </w:p>
        </w:tc>
      </w:tr>
      <w:tr>
        <w:tc>
          <w:tcPr>
            <w:tcW w:type="dxa" w:w="850"/>
          </w:tcPr>
          <w:p>
            <w:pPr>
              <w:spacing w:after="40" w:line="240" w:lineRule="auto"/>
              <w:jc w:val="left"/>
            </w:pPr>
            <w:r/>
            <w:r>
              <w:rPr>
                <w:rFonts w:ascii="Cambria" w:hAnsi="Cambria"/>
                <w:b/>
                <w:sz w:val="21"/>
              </w:rPr>
              <w:t>7</w:t>
            </w:r>
          </w:p>
        </w:tc>
        <w:tc>
          <w:tcPr>
            <w:tcW w:type="dxa" w:w="7540"/>
          </w:tcPr>
          <w:p>
            <w:pPr>
              <w:spacing w:after="40" w:line="240" w:lineRule="auto"/>
              <w:jc w:val="left"/>
            </w:pPr>
            <w:r/>
            <w:r>
              <w:rPr>
                <w:rFonts w:ascii="Cambria" w:hAnsi="Cambria"/>
                <w:b/>
                <w:sz w:val="21"/>
              </w:rPr>
              <w:t>Associate Dean – IPR, Patents, Copyrights, and Trademarks</w:t>
            </w:r>
          </w:p>
        </w:tc>
        <w:tc>
          <w:tcPr>
            <w:tcW w:type="dxa" w:w="1020"/>
          </w:tcPr>
          <w:p>
            <w:pPr>
              <w:spacing w:after="40" w:line="240" w:lineRule="auto"/>
              <w:jc w:val="left"/>
            </w:pPr>
            <w:r/>
            <w:r>
              <w:rPr>
                <w:rFonts w:ascii="Cambria" w:hAnsi="Cambria"/>
                <w:b/>
                <w:sz w:val="21"/>
              </w:rPr>
              <w:t>21</w:t>
            </w:r>
          </w:p>
        </w:tc>
      </w:tr>
      <w:tr>
        <w:tc>
          <w:tcPr>
            <w:tcW w:type="dxa" w:w="850"/>
          </w:tcPr>
          <w:p>
            <w:pPr>
              <w:spacing w:after="40" w:line="240" w:lineRule="auto"/>
              <w:jc w:val="left"/>
            </w:pPr>
            <w:r/>
            <w:r>
              <w:rPr>
                <w:rFonts w:ascii="Cambria" w:hAnsi="Cambria"/>
                <w:b/>
                <w:sz w:val="21"/>
              </w:rPr>
              <w:t>8</w:t>
            </w:r>
          </w:p>
        </w:tc>
        <w:tc>
          <w:tcPr>
            <w:tcW w:type="dxa" w:w="7540"/>
          </w:tcPr>
          <w:p>
            <w:pPr>
              <w:spacing w:after="40" w:line="240" w:lineRule="auto"/>
              <w:jc w:val="left"/>
            </w:pPr>
            <w:r/>
            <w:r>
              <w:rPr>
                <w:rFonts w:ascii="Cambria" w:hAnsi="Cambria"/>
                <w:b/>
                <w:sz w:val="21"/>
              </w:rPr>
              <w:t>Associate Dean – Consultancy and Industry Liaison</w:t>
            </w:r>
          </w:p>
        </w:tc>
        <w:tc>
          <w:tcPr>
            <w:tcW w:type="dxa" w:w="1020"/>
          </w:tcPr>
          <w:p>
            <w:pPr>
              <w:spacing w:after="40" w:line="240" w:lineRule="auto"/>
              <w:jc w:val="left"/>
            </w:pPr>
            <w:r/>
            <w:r>
              <w:rPr>
                <w:rFonts w:ascii="Cambria" w:hAnsi="Cambria"/>
                <w:b/>
                <w:sz w:val="21"/>
              </w:rPr>
              <w:t>25</w:t>
            </w:r>
          </w:p>
        </w:tc>
      </w:tr>
      <w:tr>
        <w:tc>
          <w:tcPr>
            <w:tcW w:type="dxa" w:w="850"/>
          </w:tcPr>
          <w:p>
            <w:pPr>
              <w:spacing w:after="40" w:line="240" w:lineRule="auto"/>
              <w:jc w:val="left"/>
            </w:pPr>
            <w:r/>
            <w:r>
              <w:rPr>
                <w:rFonts w:ascii="Cambria" w:hAnsi="Cambria"/>
                <w:b/>
                <w:sz w:val="21"/>
              </w:rPr>
              <w:t>9</w:t>
            </w:r>
          </w:p>
        </w:tc>
        <w:tc>
          <w:tcPr>
            <w:tcW w:type="dxa" w:w="7540"/>
          </w:tcPr>
          <w:p>
            <w:pPr>
              <w:spacing w:after="40" w:line="240" w:lineRule="auto"/>
              <w:jc w:val="left"/>
            </w:pPr>
            <w:r/>
            <w:r>
              <w:rPr>
                <w:rFonts w:ascii="Cambria" w:hAnsi="Cambria"/>
                <w:b/>
                <w:sz w:val="21"/>
              </w:rPr>
              <w:t>Associate Dean – Sponsored Research</w:t>
            </w:r>
          </w:p>
        </w:tc>
        <w:tc>
          <w:tcPr>
            <w:tcW w:type="dxa" w:w="1020"/>
          </w:tcPr>
          <w:p>
            <w:pPr>
              <w:spacing w:after="40" w:line="240" w:lineRule="auto"/>
              <w:jc w:val="left"/>
            </w:pPr>
            <w:r/>
            <w:r>
              <w:rPr>
                <w:rFonts w:ascii="Cambria" w:hAnsi="Cambria"/>
                <w:b/>
                <w:sz w:val="21"/>
              </w:rPr>
              <w:t>29</w:t>
            </w:r>
          </w:p>
        </w:tc>
      </w:tr>
      <w:tr>
        <w:tc>
          <w:tcPr>
            <w:tcW w:type="dxa" w:w="850"/>
          </w:tcPr>
          <w:p>
            <w:pPr>
              <w:spacing w:after="40" w:line="240" w:lineRule="auto"/>
              <w:jc w:val="left"/>
            </w:pPr>
            <w:r/>
            <w:r>
              <w:rPr>
                <w:rFonts w:ascii="Cambria" w:hAnsi="Cambria"/>
                <w:b/>
                <w:sz w:val="21"/>
              </w:rPr>
              <w:t>10</w:t>
            </w:r>
          </w:p>
        </w:tc>
        <w:tc>
          <w:tcPr>
            <w:tcW w:type="dxa" w:w="7540"/>
          </w:tcPr>
          <w:p>
            <w:pPr>
              <w:spacing w:after="40" w:line="240" w:lineRule="auto"/>
              <w:jc w:val="left"/>
            </w:pPr>
            <w:r/>
            <w:r>
              <w:rPr>
                <w:rFonts w:ascii="Cambria" w:hAnsi="Cambria"/>
                <w:b/>
                <w:sz w:val="21"/>
              </w:rPr>
              <w:t>Associate Dean – R&amp;D Centres</w:t>
            </w:r>
          </w:p>
        </w:tc>
        <w:tc>
          <w:tcPr>
            <w:tcW w:type="dxa" w:w="1020"/>
          </w:tcPr>
          <w:p>
            <w:pPr>
              <w:spacing w:after="40" w:line="240" w:lineRule="auto"/>
              <w:jc w:val="left"/>
            </w:pPr>
            <w:r/>
            <w:r>
              <w:rPr>
                <w:rFonts w:ascii="Cambria" w:hAnsi="Cambria"/>
                <w:b/>
                <w:sz w:val="21"/>
              </w:rPr>
              <w:t>33</w:t>
            </w:r>
          </w:p>
        </w:tc>
      </w:tr>
      <w:tr>
        <w:tc>
          <w:tcPr>
            <w:tcW w:type="dxa" w:w="850"/>
          </w:tcPr>
          <w:p>
            <w:pPr>
              <w:spacing w:after="40" w:line="240" w:lineRule="auto"/>
              <w:jc w:val="left"/>
            </w:pPr>
            <w:r/>
            <w:r>
              <w:rPr>
                <w:rFonts w:ascii="Cambria" w:hAnsi="Cambria"/>
                <w:b/>
                <w:sz w:val="21"/>
              </w:rPr>
              <w:t>11</w:t>
            </w:r>
          </w:p>
        </w:tc>
        <w:tc>
          <w:tcPr>
            <w:tcW w:type="dxa" w:w="7540"/>
          </w:tcPr>
          <w:p>
            <w:pPr>
              <w:spacing w:after="40" w:line="240" w:lineRule="auto"/>
              <w:jc w:val="left"/>
            </w:pPr>
            <w:r/>
            <w:r>
              <w:rPr>
                <w:rFonts w:ascii="Cambria" w:hAnsi="Cambria"/>
                <w:b/>
                <w:sz w:val="21"/>
              </w:rPr>
              <w:t>Associate Dean – Ph.D. and Post-Doctoral Fellowship</w:t>
            </w:r>
          </w:p>
        </w:tc>
        <w:tc>
          <w:tcPr>
            <w:tcW w:type="dxa" w:w="1020"/>
          </w:tcPr>
          <w:p>
            <w:pPr>
              <w:spacing w:after="40" w:line="240" w:lineRule="auto"/>
              <w:jc w:val="left"/>
            </w:pPr>
            <w:r/>
            <w:r>
              <w:rPr>
                <w:rFonts w:ascii="Cambria" w:hAnsi="Cambria"/>
                <w:b/>
                <w:sz w:val="21"/>
              </w:rPr>
              <w:t>37</w:t>
            </w:r>
          </w:p>
        </w:tc>
      </w:tr>
      <w:tr>
        <w:tc>
          <w:tcPr>
            <w:tcW w:type="dxa" w:w="850"/>
          </w:tcPr>
          <w:p>
            <w:pPr>
              <w:spacing w:after="40" w:line="240" w:lineRule="auto"/>
              <w:jc w:val="left"/>
            </w:pPr>
            <w:r/>
            <w:r>
              <w:rPr>
                <w:rFonts w:ascii="Cambria" w:hAnsi="Cambria"/>
                <w:b/>
                <w:sz w:val="21"/>
              </w:rPr>
              <w:t>12</w:t>
            </w:r>
          </w:p>
        </w:tc>
        <w:tc>
          <w:tcPr>
            <w:tcW w:type="dxa" w:w="7540"/>
          </w:tcPr>
          <w:p>
            <w:pPr>
              <w:spacing w:after="40" w:line="240" w:lineRule="auto"/>
              <w:jc w:val="left"/>
            </w:pPr>
            <w:r/>
            <w:r>
              <w:rPr>
                <w:rFonts w:ascii="Cambria" w:hAnsi="Cambria"/>
                <w:b/>
                <w:sz w:val="21"/>
              </w:rPr>
              <w:t>Duties of the Associate Dean – Ph.D. and Post-Doctoral Fellowship</w:t>
            </w:r>
          </w:p>
        </w:tc>
        <w:tc>
          <w:tcPr>
            <w:tcW w:type="dxa" w:w="1020"/>
          </w:tcPr>
          <w:p>
            <w:pPr>
              <w:spacing w:after="40" w:line="240" w:lineRule="auto"/>
              <w:jc w:val="left"/>
            </w:pPr>
            <w:r/>
            <w:r>
              <w:rPr>
                <w:rFonts w:ascii="Cambria" w:hAnsi="Cambria"/>
                <w:b/>
                <w:sz w:val="21"/>
              </w:rPr>
              <w:t>42</w:t>
            </w:r>
          </w:p>
        </w:tc>
      </w:tr>
      <w:tr>
        <w:tc>
          <w:tcPr>
            <w:tcW w:type="dxa" w:w="850"/>
          </w:tcPr>
          <w:p>
            <w:pPr>
              <w:spacing w:after="40" w:line="240" w:lineRule="auto"/>
              <w:jc w:val="left"/>
            </w:pPr>
            <w:r/>
            <w:r>
              <w:rPr>
                <w:rFonts w:ascii="Cambria" w:hAnsi="Cambria"/>
                <w:b/>
                <w:sz w:val="21"/>
              </w:rPr>
              <w:t>13</w:t>
            </w:r>
          </w:p>
        </w:tc>
        <w:tc>
          <w:tcPr>
            <w:tcW w:type="dxa" w:w="7540"/>
          </w:tcPr>
          <w:p>
            <w:pPr>
              <w:spacing w:after="40" w:line="240" w:lineRule="auto"/>
              <w:jc w:val="left"/>
            </w:pPr>
            <w:r/>
            <w:r>
              <w:rPr>
                <w:rFonts w:ascii="Cambria" w:hAnsi="Cambria"/>
                <w:b/>
                <w:sz w:val="21"/>
              </w:rPr>
              <w:t>Custodians: Dean – Research &amp; Development (R&amp;D) and Associate Deans</w:t>
            </w:r>
          </w:p>
        </w:tc>
        <w:tc>
          <w:tcPr>
            <w:tcW w:type="dxa" w:w="1020"/>
          </w:tcPr>
          <w:p>
            <w:pPr>
              <w:spacing w:after="40" w:line="240" w:lineRule="auto"/>
              <w:jc w:val="left"/>
            </w:pPr>
            <w:r/>
            <w:r>
              <w:rPr>
                <w:rFonts w:ascii="Cambria" w:hAnsi="Cambria"/>
                <w:b/>
                <w:sz w:val="21"/>
              </w:rPr>
              <w:t>45</w:t>
            </w:r>
          </w:p>
        </w:tc>
      </w:tr>
      <w:tr>
        <w:tc>
          <w:tcPr>
            <w:tcW w:type="dxa" w:w="850"/>
          </w:tcPr>
          <w:p>
            <w:pPr>
              <w:spacing w:after="40" w:line="240" w:lineRule="auto"/>
              <w:jc w:val="left"/>
            </w:pPr>
            <w:r/>
            <w:r>
              <w:rPr>
                <w:rFonts w:ascii="Cambria" w:hAnsi="Cambria"/>
                <w:b/>
                <w:sz w:val="21"/>
              </w:rPr>
              <w:t>14</w:t>
            </w:r>
          </w:p>
        </w:tc>
        <w:tc>
          <w:tcPr>
            <w:tcW w:type="dxa" w:w="7540"/>
          </w:tcPr>
          <w:p>
            <w:pPr>
              <w:spacing w:after="40" w:line="240" w:lineRule="auto"/>
              <w:jc w:val="left"/>
            </w:pPr>
            <w:r/>
            <w:r>
              <w:rPr>
                <w:rFonts w:ascii="Cambria" w:hAnsi="Cambria"/>
                <w:b/>
                <w:sz w:val="21"/>
              </w:rPr>
              <w:t>Dean – Research &amp; Development (R&amp;D) and Associate Deans: Custodians of Accreditation and Quality Benchmarks</w:t>
            </w:r>
          </w:p>
        </w:tc>
        <w:tc>
          <w:tcPr>
            <w:tcW w:type="dxa" w:w="1020"/>
          </w:tcPr>
          <w:p>
            <w:pPr>
              <w:spacing w:after="40" w:line="240" w:lineRule="auto"/>
              <w:jc w:val="left"/>
            </w:pPr>
            <w:r/>
            <w:r>
              <w:rPr>
                <w:rFonts w:ascii="Cambria" w:hAnsi="Cambria"/>
                <w:b/>
                <w:sz w:val="21"/>
              </w:rPr>
              <w:t>46</w:t>
            </w:r>
          </w:p>
        </w:tc>
      </w:tr>
      <w:tr>
        <w:tc>
          <w:tcPr>
            <w:tcW w:type="dxa" w:w="850"/>
          </w:tcPr>
          <w:p>
            <w:pPr>
              <w:spacing w:after="40" w:line="240" w:lineRule="auto"/>
              <w:jc w:val="left"/>
            </w:pPr>
            <w:r/>
            <w:r>
              <w:rPr>
                <w:rFonts w:ascii="Cambria" w:hAnsi="Cambria"/>
                <w:b/>
                <w:sz w:val="21"/>
              </w:rPr>
              <w:t>15</w:t>
            </w:r>
          </w:p>
        </w:tc>
        <w:tc>
          <w:tcPr>
            <w:tcW w:type="dxa" w:w="7540"/>
          </w:tcPr>
          <w:p>
            <w:pPr>
              <w:spacing w:after="40" w:line="240" w:lineRule="auto"/>
              <w:jc w:val="left"/>
            </w:pPr>
            <w:r/>
            <w:r>
              <w:rPr>
                <w:rFonts w:ascii="Cambria" w:hAnsi="Cambria"/>
                <w:b/>
                <w:sz w:val="21"/>
              </w:rPr>
              <w:t>Mapping of Dean – R&amp;D &amp; Associate Deans to NBA, NAAC, NIRF, and QS I-GAUGE</w:t>
            </w:r>
          </w:p>
        </w:tc>
        <w:tc>
          <w:tcPr>
            <w:tcW w:type="dxa" w:w="1020"/>
          </w:tcPr>
          <w:p>
            <w:pPr>
              <w:spacing w:after="40" w:line="240" w:lineRule="auto"/>
              <w:jc w:val="left"/>
            </w:pPr>
            <w:r/>
            <w:r>
              <w:rPr>
                <w:rFonts w:ascii="Cambria" w:hAnsi="Cambria"/>
                <w:b/>
                <w:sz w:val="21"/>
              </w:rPr>
              <w:t>47</w:t>
            </w:r>
          </w:p>
        </w:tc>
      </w:tr>
      <w:tr>
        <w:tc>
          <w:tcPr>
            <w:tcW w:type="dxa" w:w="850"/>
          </w:tcPr>
          <w:p>
            <w:pPr>
              <w:spacing w:after="40" w:line="240" w:lineRule="auto"/>
              <w:jc w:val="left"/>
            </w:pPr>
            <w:r/>
            <w:r>
              <w:rPr>
                <w:rFonts w:ascii="Cambria" w:hAnsi="Cambria"/>
                <w:b/>
                <w:sz w:val="21"/>
              </w:rPr>
              <w:t>16</w:t>
            </w:r>
          </w:p>
        </w:tc>
        <w:tc>
          <w:tcPr>
            <w:tcW w:type="dxa" w:w="7540"/>
          </w:tcPr>
          <w:p>
            <w:pPr>
              <w:spacing w:after="40" w:line="240" w:lineRule="auto"/>
              <w:jc w:val="left"/>
            </w:pPr>
            <w:r/>
            <w:r>
              <w:rPr>
                <w:rFonts w:ascii="Cambria" w:hAnsi="Cambria"/>
                <w:b/>
                <w:sz w:val="21"/>
              </w:rPr>
              <w:t>References</w:t>
            </w:r>
          </w:p>
        </w:tc>
        <w:tc>
          <w:tcPr>
            <w:tcW w:type="dxa" w:w="1020"/>
          </w:tcPr>
          <w:p>
            <w:pPr>
              <w:spacing w:after="40" w:line="240" w:lineRule="auto"/>
              <w:jc w:val="left"/>
            </w:pPr>
            <w:r/>
            <w:r>
              <w:rPr>
                <w:rFonts w:ascii="Cambria" w:hAnsi="Cambria"/>
                <w:b/>
                <w:sz w:val="21"/>
              </w:rPr>
              <w:t>49</w:t>
            </w:r>
          </w:p>
        </w:tc>
      </w:tr>
    </w:tbl>
    <w:p>
      <w:pPr>
        <w:spacing w:after="40"/>
      </w:pPr>
    </w:p>
    <w:p>
      <w:r>
        <w:br w:type="page"/>
      </w:r>
    </w:p>
    <w:p>
      <w:pPr>
        <w:pStyle w:val="Heading1"/>
      </w:pPr>
      <w:r>
        <w:rPr>
          <w:rFonts w:ascii="Cambria" w:hAnsi="Cambria"/>
          <w:b/>
          <w:color w:val="1F3A5F"/>
          <w:sz w:val="36"/>
        </w:rPr>
        <w:t>1. Introduction</w:t>
      </w:r>
    </w:p>
    <w:p>
      <w:pPr>
        <w:spacing w:after="160" w:line="276" w:lineRule="auto"/>
        <w:jc w:val="both"/>
      </w:pPr>
      <w:r>
        <w:rPr>
          <w:rFonts w:ascii="Cambria" w:hAnsi="Cambria"/>
          <w:b w:val="0"/>
          <w:i w:val="0"/>
          <w:sz w:val="22"/>
        </w:rPr>
        <w:t xml:space="preserve">The landscape of higher education has undergone a profound transformation in recent decades, with universities no longer confined to their traditional role of disseminating knowledge through teaching. The rapid pace of globalization, technological advancement, and the growing demands of knowledge-based economies have compelled institutions to embrace research and innovation as central to their mission. Within this context, the role of the Dean </w:t>
      </w:r>
      <w:r>
        <w:rPr>
          <w:rFonts w:ascii="Cambria" w:hAnsi="Cambria"/>
          <w:b w:val="0"/>
          <w:i w:val="0"/>
          <w:sz w:val="22"/>
        </w:rPr>
        <w:t xml:space="preserve">– Research &amp; Development (R&amp;D) has emerged as a critical leadership position, responsible for guiding institutions toward becoming centers of excellence in knowledge creation, innovation, and societal impact. The Dean </w:t>
      </w:r>
      <w:r>
        <w:rPr>
          <w:rFonts w:ascii="Cambria" w:hAnsi="Cambria"/>
          <w:b w:val="0"/>
          <w:i w:val="0"/>
          <w:sz w:val="22"/>
        </w:rPr>
        <w:t>– R&amp;D embodies a blend of academic leadership, strategic vision, and administrative oversight, ensuring that research is not merely an adjunct to teaching but the defining strength of the university's identity.</w:t>
      </w:r>
    </w:p>
    <w:p>
      <w:pPr>
        <w:spacing w:after="160" w:line="276" w:lineRule="auto"/>
        <w:jc w:val="both"/>
      </w:pPr>
      <w:r>
        <w:rPr>
          <w:rFonts w:ascii="Cambria" w:hAnsi="Cambria"/>
          <w:b w:val="0"/>
          <w:i w:val="0"/>
          <w:sz w:val="22"/>
        </w:rPr>
        <w:t xml:space="preserve">Research and innovation have become the lifeblood of globally competitive universities. Institutions are increasingly evaluated not only by the quality of their teaching but also by the quantity, quality, and impact of their research outputs. Global rankings, accreditation bodies, and funding agencies all emphasize research productivity, intellectual property generation, and industry collaborations as measures of institutional excellence. In this environment, the Dean </w:t>
      </w:r>
      <w:r>
        <w:rPr>
          <w:rFonts w:ascii="Cambria" w:hAnsi="Cambria"/>
          <w:b w:val="0"/>
          <w:i w:val="0"/>
          <w:sz w:val="22"/>
        </w:rPr>
        <w:t>– R&amp;D plays a pivotal role in designing frameworks, policies, and practices that strengthen the institution's research ecosystem. This includes establishing priorities, facilitating collaborations, ensuring compliance with ethical and regulatory standards, and fostering a culture of continuous improvement. The Dean is thus both a custodian of research integrity and a catalyst for innovation-driven growth.</w:t>
      </w:r>
    </w:p>
    <w:p>
      <w:pPr>
        <w:spacing w:after="160" w:line="276" w:lineRule="auto"/>
        <w:jc w:val="both"/>
      </w:pPr>
      <w:r>
        <w:rPr>
          <w:rFonts w:ascii="Cambria" w:hAnsi="Cambria"/>
          <w:b w:val="0"/>
          <w:i w:val="0"/>
          <w:sz w:val="22"/>
        </w:rPr>
        <w:t xml:space="preserve">The responsibilities of the Dean </w:t>
      </w:r>
      <w:r>
        <w:rPr>
          <w:rFonts w:ascii="Cambria" w:hAnsi="Cambria"/>
          <w:b w:val="0"/>
          <w:i w:val="0"/>
          <w:sz w:val="22"/>
        </w:rPr>
        <w:t>– R&amp;D are wide-ranging and strategically vital. At the policy level, the Dean shapes the institution's research agenda, ensuring alignment with national priorities such as NAAC, NBA, NIRF, and UGC frameworks, while also engaging with international benchmarks like QS I-GAUGE, ABET, and ISO certifications. By situating the institution within these frameworks, the Dean enhances credibility, visibility, and competitiveness at both national and global levels. At the operational level, the Dean oversees grant applications, monitors research performance, manages research centers, and ensures that faculty and students receive the necessary support to pursue ambitious projects. This dual focus on strategic alignment and operational delivery highlights the Dean's role as both visionary leader and pragmatic administrator.</w:t>
      </w:r>
    </w:p>
    <w:p>
      <w:pPr>
        <w:spacing w:after="160" w:line="276" w:lineRule="auto"/>
        <w:jc w:val="both"/>
      </w:pPr>
      <w:r>
        <w:rPr>
          <w:rFonts w:ascii="Cambria" w:hAnsi="Cambria"/>
          <w:b w:val="0"/>
          <w:i w:val="0"/>
          <w:sz w:val="22"/>
        </w:rPr>
        <w:t xml:space="preserve">The organizational structure supporting the Dean </w:t>
      </w:r>
      <w:r>
        <w:rPr>
          <w:rFonts w:ascii="Cambria" w:hAnsi="Cambria"/>
          <w:b w:val="0"/>
          <w:i w:val="0"/>
          <w:sz w:val="22"/>
        </w:rPr>
        <w:t>– R&amp;D typically includes Associate Deans specializing in key domains such as publications and citations, intellectual property rights (IPR), consultancy and industry liaison, sponsored research, R&amp;D centers, and doctoral and post-doctoral programs. Each of these portfolios addresses a vital dimension of research and innovation. For example, the Associate Dean for Publications and Citations ensures that the institution's scholarly output is recognized globally, thereby enhancing its citation metrics and impact factor performance. The Associate Dean for IPR focuses on protecting and commercializing intellectual property, creating pathways for patents, copyrights, and trademarks to translate into tangible innovations. Similarly, the Associate Dean for Consultancy and Industry Liaison builds bridges between academia and industry, facilitating applied research and generating consultancy revenue. Collectively, these roles form a distributed custodianship model that ensures no aspect of research governance is neglected.</w:t>
      </w:r>
    </w:p>
    <w:p>
      <w:pPr>
        <w:spacing w:after="160" w:line="276" w:lineRule="auto"/>
        <w:jc w:val="both"/>
      </w:pPr>
      <w:r>
        <w:rPr>
          <w:rFonts w:ascii="Cambria" w:hAnsi="Cambria"/>
          <w:b w:val="0"/>
          <w:i w:val="0"/>
          <w:sz w:val="22"/>
        </w:rPr>
        <w:t xml:space="preserve">One of the key challenges for universities today is balancing academic research with industry-relevant innovation. The Dean </w:t>
      </w:r>
      <w:r>
        <w:rPr>
          <w:rFonts w:ascii="Cambria" w:hAnsi="Cambria"/>
          <w:b w:val="0"/>
          <w:i w:val="0"/>
          <w:sz w:val="22"/>
        </w:rPr>
        <w:t>– R&amp;D plays a central role in reconciling these dual demands. By fostering Centres of Excellence and R&amp;D hubs, the Dean ensures that universities become incubators of cutting-edge research while also addressing real-world challenges. These centers often serve as focal points for interdisciplinary collaboration, bringing together faculty, students, industry experts, and policymakers. The outcomes are multi-dimensional: new knowledge creation, patentable technologies, collaborative projects with societal impact, and enhanced employability for students. The Dean's leadership ensures that these initiatives are not sporadic but systematically integrated into the institution's long-term development strategy.</w:t>
      </w:r>
    </w:p>
    <w:p>
      <w:pPr>
        <w:spacing w:after="160" w:line="276" w:lineRule="auto"/>
        <w:jc w:val="both"/>
      </w:pPr>
      <w:r>
        <w:rPr>
          <w:rFonts w:ascii="Cambria" w:hAnsi="Cambria"/>
          <w:b w:val="0"/>
          <w:i w:val="0"/>
          <w:sz w:val="22"/>
        </w:rPr>
        <w:t xml:space="preserve">A defining feature of the Dean </w:t>
      </w:r>
      <w:r>
        <w:rPr>
          <w:rFonts w:ascii="Cambria" w:hAnsi="Cambria"/>
          <w:b w:val="0"/>
          <w:i w:val="0"/>
          <w:sz w:val="22"/>
        </w:rPr>
        <w:t>– R&amp;D's role is the emphasis on Outcome-Based Education (OBE) and continuous improvement. Accreditation bodies such as the NBA and NAAC increasingly require institutions to demonstrate not only compliance with standards but also measurable outcomes in terms of student learning, research outputs, and societal contributions. The Dean ensures that research is integrated with teaching outcomes, fostering an environment where student learning is enriched through exposure to cutting-edge research and innovation. Continuous improvement mechanisms, such as internal audits, peer reviews, and feedback systems, allow the institution to evolve dynamically in response to changing academic and industry landscapes.</w:t>
      </w:r>
    </w:p>
    <w:p>
      <w:pPr>
        <w:spacing w:after="160" w:line="276" w:lineRule="auto"/>
        <w:jc w:val="both"/>
      </w:pPr>
      <w:r>
        <w:rPr>
          <w:rFonts w:ascii="Cambria" w:hAnsi="Cambria"/>
          <w:b w:val="0"/>
          <w:i w:val="0"/>
          <w:sz w:val="22"/>
        </w:rPr>
        <w:t xml:space="preserve">Resource mobilization and financial stewardship are also critical aspects of the Dean's portfolio. Research, while essential, is resource-intensive, requiring substantial funding for laboratories, equipment, fellowships, and publications. The Dean </w:t>
      </w:r>
      <w:r>
        <w:rPr>
          <w:rFonts w:ascii="Cambria" w:hAnsi="Cambria"/>
          <w:b w:val="0"/>
          <w:i w:val="0"/>
          <w:sz w:val="22"/>
        </w:rPr>
        <w:t>– R&amp;D is responsible for securing external funding through government agencies, international grants, and industry partnerships. At the same time, the Dean must ensure financial accountability by monitoring the utilization of funds, signing utilization certificates, and aligning spending with sanctioned project guidelines. This dual role of fundraising and fiscal oversight underscores the Dean's importance in ensuring the sustainability of the research enterprise.</w:t>
      </w:r>
    </w:p>
    <w:p>
      <w:pPr>
        <w:spacing w:after="160" w:line="276" w:lineRule="auto"/>
        <w:jc w:val="both"/>
      </w:pPr>
      <w:r>
        <w:rPr>
          <w:rFonts w:ascii="Cambria" w:hAnsi="Cambria"/>
          <w:b w:val="0"/>
          <w:i w:val="0"/>
          <w:sz w:val="22"/>
        </w:rPr>
        <w:t xml:space="preserve">The Dean </w:t>
      </w:r>
      <w:r>
        <w:rPr>
          <w:rFonts w:ascii="Cambria" w:hAnsi="Cambria"/>
          <w:b w:val="0"/>
          <w:i w:val="0"/>
          <w:sz w:val="22"/>
        </w:rPr>
        <w:t>– R&amp;D also plays a pivotal role in talent development, particularly in strengthening doctoral and post-doctoral programs. By ensuring robust admissions processes, effective supervision, and timely completion of degrees, the Dean helps build the next generation of researchers and innovators. The Associate Dean for Ph.D. and Post-Doctoral Fellowships complements this effort by creating structured pathways for advanced scholars to thrive. Together, they foster an environment where research training is rigorous, ethical, and globally competitive, thereby contributing to the institution's long-term intellectual capital.</w:t>
      </w:r>
    </w:p>
    <w:p>
      <w:pPr>
        <w:spacing w:after="160" w:line="276" w:lineRule="auto"/>
        <w:jc w:val="both"/>
      </w:pPr>
      <w:r>
        <w:rPr>
          <w:rFonts w:ascii="Cambria" w:hAnsi="Cambria"/>
          <w:b w:val="0"/>
          <w:i w:val="0"/>
          <w:sz w:val="22"/>
        </w:rPr>
        <w:t xml:space="preserve">Another critical dimension of the Dean </w:t>
      </w:r>
      <w:r>
        <w:rPr>
          <w:rFonts w:ascii="Cambria" w:hAnsi="Cambria"/>
          <w:b w:val="0"/>
          <w:i w:val="0"/>
          <w:sz w:val="22"/>
        </w:rPr>
        <w:t>– R&amp;D's leadership lies in external engagement and global partnerships. In today's interconnected world, no university can operate in isolation. Collaborations with international universities, research organizations, and industry consortia are essential for achieving global relevance. The Dean spearheads these initiatives, negotiating partnerships, facilitating faculty exchanges, and creating opportunities for collaborative research. By positioning the university as an active participant in the global research community, the Dean enhances both institutional reputation and student opportunities for mobility and employability.</w:t>
      </w:r>
    </w:p>
    <w:p>
      <w:pPr>
        <w:spacing w:after="160" w:line="276" w:lineRule="auto"/>
        <w:jc w:val="both"/>
      </w:pPr>
      <w:r>
        <w:rPr>
          <w:rFonts w:ascii="Cambria" w:hAnsi="Cambria"/>
          <w:b w:val="0"/>
          <w:i w:val="0"/>
          <w:sz w:val="22"/>
        </w:rPr>
        <w:t xml:space="preserve">At the heart of the Dean </w:t>
      </w:r>
      <w:r>
        <w:rPr>
          <w:rFonts w:ascii="Cambria" w:hAnsi="Cambria"/>
          <w:b w:val="0"/>
          <w:i w:val="0"/>
          <w:sz w:val="22"/>
        </w:rPr>
        <w:t>– R&amp;D's mandate is the idea of transforming research into a driver of institutional identity and societal contribution. While publications and patents enhance academic prestige, the real measure of success lies in the extent to which research addresses societal needs and contributes to sustainable development. The Dean ensures that the university's research agenda aligns with global priorities such as the Sustainable Development Goals (SDGs), national innovation policies, and regional development needs. By embedding societal relevance into research, the Dean helps the university fulfill its social contract as a public-serving institution.</w:t>
      </w:r>
    </w:p>
    <w:p>
      <w:pPr>
        <w:spacing w:after="200" w:line="276" w:lineRule="auto"/>
        <w:jc w:val="both"/>
      </w:pPr>
      <w:r>
        <w:rPr>
          <w:rFonts w:ascii="Cambria" w:hAnsi="Cambria"/>
          <w:b w:val="0"/>
          <w:i w:val="0"/>
          <w:sz w:val="22"/>
        </w:rPr>
        <w:t xml:space="preserve">In conclusion, the Dean </w:t>
      </w:r>
      <w:r>
        <w:rPr>
          <w:rFonts w:ascii="Cambria" w:hAnsi="Cambria"/>
          <w:b w:val="0"/>
          <w:i w:val="0"/>
          <w:sz w:val="22"/>
        </w:rPr>
        <w:t xml:space="preserve">– Research &amp; Development (R&amp;D) stands at the nexus of academic excellence, strategic management, and societal responsibility. This role is indispensable in guiding universities through the complex terrain of research governance, innovation ecosystems, accreditation compliance, and global competitiveness. By fostering a culture of excellence, accountability, and collaboration, the Dean </w:t>
      </w:r>
      <w:r>
        <w:rPr>
          <w:rFonts w:ascii="Cambria" w:hAnsi="Cambria"/>
          <w:b w:val="0"/>
          <w:i w:val="0"/>
          <w:sz w:val="22"/>
        </w:rPr>
        <w:t>– R&amp;D ensures that research is not peripheral but central to the university's mission. Supported by Associate Deans and aligned with national and international quality frameworks, the Dean transforms research into the core identity of modern higher education, ensuring that institutions are not only repositories of knowledge but also engines of innovation and societal transformation.</w:t>
      </w:r>
    </w:p>
    <w:p>
      <w:r>
        <w:br w:type="page"/>
      </w:r>
    </w:p>
    <w:p>
      <w:pPr>
        <w:pStyle w:val="Heading1"/>
      </w:pPr>
      <w:r>
        <w:rPr>
          <w:rFonts w:ascii="Cambria" w:hAnsi="Cambria"/>
          <w:b/>
          <w:color w:val="1F3A5F"/>
          <w:sz w:val="36"/>
        </w:rPr>
        <w:t>2. Dean – Research &amp; Development (R&amp;D)</w:t>
      </w:r>
    </w:p>
    <w:p>
      <w:pPr>
        <w:spacing w:after="160" w:line="276" w:lineRule="auto"/>
        <w:jc w:val="both"/>
      </w:pPr>
      <w:r>
        <w:rPr>
          <w:rFonts w:ascii="Cambria" w:hAnsi="Cambria"/>
          <w:b w:val="0"/>
          <w:i w:val="0"/>
          <w:sz w:val="22"/>
        </w:rPr>
        <w:t>A Dean of Research and Development (R&amp;D) is a senior academic leader entrusted with the responsibility of overseeing, promoting, and advancing the research and innovation ecosystem of a university or college. This role extends beyond administration to encompass strategic planning, policy formulation, and research governance, ensuring that the institution establishes itself as a hub of knowledge creation, intellectual property, and societal impact. The Dean provides vision and leadership to enhance the quality and visibility of research outputs, encourage interdisciplinary collaborations, and align institutional research priorities with national missions, global challenges, and accreditation frameworks. By fostering a culture of research excellence, innovation, and scholarly integrity, the Dean motivates faculty, researchers, and students to actively engage in cutting-edge investigations that contribute to academic advancement and real-world problem-solving.</w:t>
      </w:r>
    </w:p>
    <w:p>
      <w:pPr>
        <w:spacing w:after="160" w:line="276" w:lineRule="auto"/>
        <w:jc w:val="both"/>
      </w:pPr>
      <w:r>
        <w:rPr>
          <w:rFonts w:ascii="Cambria" w:hAnsi="Cambria"/>
          <w:b w:val="0"/>
          <w:i w:val="0"/>
          <w:sz w:val="22"/>
        </w:rPr>
        <w:t>The role also involves creating mechanisms for resource mobilization and external engagement, including securing sponsored research grants, building partnerships with industries, collaborating with government bodies, and facilitating international academic exchanges. Equally important is the Dean's role in research capacity building, which includes strengthening doctoral and post-doctoral programs, mentoring young researchers, and providing training in research ethics, proposal writing, and intellectual property management. By integrating infrastructure development, research policies, and talent development, the Dean ensures that universities are equipped with state-of-the-art R&amp;D centres, Centres of Excellence, and innovation clusters.</w:t>
      </w:r>
    </w:p>
    <w:p>
      <w:pPr>
        <w:spacing w:after="160" w:line="276" w:lineRule="auto"/>
        <w:jc w:val="both"/>
      </w:pPr>
      <w:r>
        <w:rPr>
          <w:rFonts w:ascii="Cambria" w:hAnsi="Cambria"/>
          <w:b w:val="0"/>
          <w:i w:val="0"/>
          <w:sz w:val="22"/>
        </w:rPr>
        <w:t>Ultimately, the Dean of R&amp;D acts as the custodian of research and innovation, balancing institutional growth with societal responsibility. By embedding sustainability, inclusivity, and global competitiveness into the research agenda, the Dean ensures that the institution contributes not only to academic rankings and accreditations such as NAAC, NBA, NIRF, and QS I-GAUGE, but also to the broader goals of the United Nations Sustainable Development Goals (SDGs). This custodial role transforms the university into a research-driven, innovation-oriented, and socially responsible institution of higher learning.</w:t>
      </w:r>
    </w:p>
    <w:p>
      <w:pPr>
        <w:pStyle w:val="Heading3"/>
      </w:pPr>
      <w:r>
        <w:rPr>
          <w:rFonts w:ascii="Cambria" w:hAnsi="Cambria"/>
          <w:b/>
          <w:color w:val="1F3A5F"/>
          <w:sz w:val="26"/>
        </w:rPr>
        <w:t>1. Position and Purpose</w:t>
      </w:r>
    </w:p>
    <w:p>
      <w:pPr>
        <w:spacing w:after="160" w:line="276" w:lineRule="auto"/>
        <w:jc w:val="both"/>
      </w:pPr>
      <w:r>
        <w:rPr>
          <w:rFonts w:ascii="Cambria" w:hAnsi="Cambria"/>
          <w:b w:val="0"/>
          <w:i w:val="0"/>
          <w:sz w:val="22"/>
        </w:rPr>
        <w:t xml:space="preserve">The Dean </w:t>
      </w:r>
      <w:r>
        <w:rPr>
          <w:rFonts w:ascii="Cambria" w:hAnsi="Cambria"/>
          <w:b w:val="0"/>
          <w:i w:val="0"/>
          <w:sz w:val="22"/>
        </w:rPr>
        <w:t>– Research &amp; Development (R&amp;D) is a senior academic and administrative leader within a university responsible for steering the institution's research ecosystem. This role serves as the custodian of innovation, discovery, and scholarly impact, ensuring that research activities are strategically aligned with the university's mission, national priorities, and global benchmarks.</w:t>
      </w:r>
    </w:p>
    <w:p>
      <w:pPr>
        <w:spacing w:after="160" w:line="276" w:lineRule="auto"/>
        <w:jc w:val="both"/>
      </w:pPr>
      <w:r>
        <w:rPr>
          <w:rFonts w:ascii="Cambria" w:hAnsi="Cambria"/>
          <w:b w:val="0"/>
          <w:i w:val="0"/>
          <w:sz w:val="22"/>
        </w:rPr>
        <w:t xml:space="preserve">The Dean </w:t>
      </w:r>
      <w:r>
        <w:rPr>
          <w:rFonts w:ascii="Cambria" w:hAnsi="Cambria"/>
          <w:b w:val="0"/>
          <w:i w:val="0"/>
          <w:sz w:val="22"/>
        </w:rPr>
        <w:t>– R&amp;D is entrusted with enhancing research quality, securing funding, building partnerships, fostering intellectual property creation, and promoting knowledge dissemination. By working closely with faculty, researchers, industry partners, and government bodies, the Dean transforms the university into a research-intensive and innovation-driven institution.</w:t>
      </w:r>
    </w:p>
    <w:p>
      <w:pPr>
        <w:pStyle w:val="Heading3"/>
      </w:pPr>
      <w:r>
        <w:rPr>
          <w:rFonts w:ascii="Cambria" w:hAnsi="Cambria"/>
          <w:b/>
          <w:color w:val="1F3A5F"/>
          <w:sz w:val="26"/>
        </w:rPr>
        <w:t>2. Key Dimensions of the Role</w:t>
      </w:r>
    </w:p>
    <w:p>
      <w:pPr>
        <w:pStyle w:val="Heading3"/>
      </w:pPr>
      <w:r>
        <w:rPr>
          <w:rFonts w:ascii="Cambria" w:hAnsi="Cambria"/>
          <w:b/>
          <w:color w:val="1F3A5F"/>
          <w:sz w:val="26"/>
        </w:rPr>
        <w:t>A. Research Leadership and Strategy</w:t>
      </w:r>
    </w:p>
    <w:p>
      <w:pPr>
        <w:pStyle w:val="ListBullet"/>
        <w:spacing w:after="80" w:line="276" w:lineRule="auto"/>
      </w:pPr>
      <w:r>
        <w:rPr>
          <w:rFonts w:ascii="Cambria" w:hAnsi="Cambria"/>
          <w:b w:val="0"/>
          <w:i w:val="0"/>
          <w:sz w:val="22"/>
        </w:rPr>
        <w:t>Formulates the research vision and policies of the university.</w:t>
      </w:r>
    </w:p>
    <w:p>
      <w:pPr>
        <w:pStyle w:val="ListBullet"/>
        <w:spacing w:after="80" w:line="276" w:lineRule="auto"/>
      </w:pPr>
      <w:r>
        <w:rPr>
          <w:rFonts w:ascii="Cambria" w:hAnsi="Cambria"/>
          <w:b w:val="0"/>
          <w:i w:val="0"/>
          <w:sz w:val="22"/>
        </w:rPr>
        <w:t>Identifies priority research areas aligned with national missions (e.g., Digital India, Make in India, Atmanirbhar Bharat) and global challenges such as climate change, AI, sustainability, and healthcare.</w:t>
      </w:r>
    </w:p>
    <w:p>
      <w:pPr>
        <w:pStyle w:val="ListBullet"/>
        <w:spacing w:after="80" w:line="276" w:lineRule="auto"/>
      </w:pPr>
      <w:r>
        <w:rPr>
          <w:rFonts w:ascii="Cambria" w:hAnsi="Cambria"/>
          <w:b w:val="0"/>
          <w:i w:val="0"/>
          <w:sz w:val="22"/>
        </w:rPr>
        <w:t>Encourages interdisciplinary research and collaboration across schools, departments, and centres.</w:t>
      </w:r>
    </w:p>
    <w:p>
      <w:pPr>
        <w:pStyle w:val="Heading3"/>
      </w:pPr>
      <w:r>
        <w:rPr>
          <w:rFonts w:ascii="Cambria" w:hAnsi="Cambria"/>
          <w:b/>
          <w:color w:val="1F3A5F"/>
          <w:sz w:val="26"/>
        </w:rPr>
        <w:t>B. Publications, Citations, and Impact</w:t>
      </w:r>
    </w:p>
    <w:p>
      <w:pPr>
        <w:pStyle w:val="ListBullet"/>
        <w:spacing w:after="80" w:line="276" w:lineRule="auto"/>
      </w:pPr>
      <w:r>
        <w:rPr>
          <w:rFonts w:ascii="Cambria" w:hAnsi="Cambria"/>
          <w:b w:val="0"/>
          <w:i w:val="0"/>
          <w:sz w:val="22"/>
        </w:rPr>
        <w:t>Ensures the quality and visibility of research publications, books, and conference proceedings.</w:t>
      </w:r>
    </w:p>
    <w:p>
      <w:pPr>
        <w:pStyle w:val="ListBullet"/>
        <w:spacing w:after="80" w:line="276" w:lineRule="auto"/>
      </w:pPr>
      <w:r>
        <w:rPr>
          <w:rFonts w:ascii="Cambria" w:hAnsi="Cambria"/>
          <w:b w:val="0"/>
          <w:i w:val="0"/>
          <w:sz w:val="22"/>
        </w:rPr>
        <w:t>Monitors research performance using global metrics like Impact Factor, h-index, Scopus/ Web of Science citations.</w:t>
      </w:r>
    </w:p>
    <w:p>
      <w:pPr>
        <w:pStyle w:val="ListBullet"/>
        <w:spacing w:after="80" w:line="276" w:lineRule="auto"/>
      </w:pPr>
      <w:r>
        <w:rPr>
          <w:rFonts w:ascii="Cambria" w:hAnsi="Cambria"/>
          <w:b w:val="0"/>
          <w:i w:val="0"/>
          <w:sz w:val="22"/>
        </w:rPr>
        <w:t>Guides faculty and scholars to publish in indexed and high-impact journals.</w:t>
      </w:r>
    </w:p>
    <w:p>
      <w:pPr>
        <w:pStyle w:val="Heading3"/>
      </w:pPr>
      <w:r>
        <w:rPr>
          <w:rFonts w:ascii="Cambria" w:hAnsi="Cambria"/>
          <w:b/>
          <w:color w:val="1F3A5F"/>
          <w:sz w:val="26"/>
        </w:rPr>
        <w:t>C. Intellectual Property and Knowledge Protection</w:t>
      </w:r>
    </w:p>
    <w:p>
      <w:pPr>
        <w:pStyle w:val="ListBullet"/>
        <w:spacing w:after="80" w:line="276" w:lineRule="auto"/>
      </w:pPr>
      <w:r>
        <w:rPr>
          <w:rFonts w:ascii="Cambria" w:hAnsi="Cambria"/>
          <w:b w:val="0"/>
          <w:i w:val="0"/>
          <w:sz w:val="22"/>
        </w:rPr>
        <w:t>Promotes patent filing, copyrights, and trademarks.</w:t>
      </w:r>
    </w:p>
    <w:p>
      <w:pPr>
        <w:pStyle w:val="ListBullet"/>
        <w:spacing w:after="80" w:line="276" w:lineRule="auto"/>
      </w:pPr>
      <w:r>
        <w:rPr>
          <w:rFonts w:ascii="Cambria" w:hAnsi="Cambria"/>
          <w:b w:val="0"/>
          <w:i w:val="0"/>
          <w:sz w:val="22"/>
        </w:rPr>
        <w:t>Oversees the IPR Cell/Technology Transfer Office (TTO) for commercialization of research.</w:t>
      </w:r>
    </w:p>
    <w:p>
      <w:pPr>
        <w:pStyle w:val="ListBullet"/>
        <w:spacing w:after="80" w:line="276" w:lineRule="auto"/>
      </w:pPr>
      <w:r>
        <w:rPr>
          <w:rFonts w:ascii="Cambria" w:hAnsi="Cambria"/>
          <w:b w:val="0"/>
          <w:i w:val="0"/>
          <w:sz w:val="22"/>
        </w:rPr>
        <w:t>Builds awareness of research ethics and academic integrity.</w:t>
      </w:r>
    </w:p>
    <w:p>
      <w:pPr>
        <w:pStyle w:val="Heading3"/>
      </w:pPr>
      <w:r>
        <w:rPr>
          <w:rFonts w:ascii="Cambria" w:hAnsi="Cambria"/>
          <w:b/>
          <w:color w:val="1F3A5F"/>
          <w:sz w:val="26"/>
        </w:rPr>
        <w:t>D. Sponsored Research and Grants</w:t>
      </w:r>
    </w:p>
    <w:p>
      <w:pPr>
        <w:pStyle w:val="ListBullet"/>
        <w:spacing w:after="80" w:line="276" w:lineRule="auto"/>
      </w:pPr>
      <w:r>
        <w:rPr>
          <w:rFonts w:ascii="Cambria" w:hAnsi="Cambria"/>
          <w:b w:val="0"/>
          <w:i w:val="0"/>
          <w:sz w:val="22"/>
        </w:rPr>
        <w:t>Leads efforts to secure national and international funding from DST, DBT, AICTE, ICSSR, UGC, CSR funds, and global agencies.</w:t>
      </w:r>
    </w:p>
    <w:p>
      <w:pPr>
        <w:pStyle w:val="ListBullet"/>
        <w:spacing w:after="80" w:line="276" w:lineRule="auto"/>
      </w:pPr>
      <w:r>
        <w:rPr>
          <w:rFonts w:ascii="Cambria" w:hAnsi="Cambria"/>
          <w:b w:val="0"/>
          <w:i w:val="0"/>
          <w:sz w:val="22"/>
        </w:rPr>
        <w:t>Provides administrative and technical support for grant writing, compliance, and project reporting.</w:t>
      </w:r>
    </w:p>
    <w:p>
      <w:pPr>
        <w:pStyle w:val="ListBullet"/>
        <w:spacing w:after="80" w:line="276" w:lineRule="auto"/>
      </w:pPr>
      <w:r>
        <w:rPr>
          <w:rFonts w:ascii="Cambria" w:hAnsi="Cambria"/>
          <w:b w:val="0"/>
          <w:i w:val="0"/>
          <w:sz w:val="22"/>
        </w:rPr>
        <w:t>Tracks performance of sponsored projects and consultancy assignments.</w:t>
      </w:r>
    </w:p>
    <w:p>
      <w:pPr>
        <w:pStyle w:val="Heading3"/>
      </w:pPr>
      <w:r>
        <w:rPr>
          <w:rFonts w:ascii="Cambria" w:hAnsi="Cambria"/>
          <w:b/>
          <w:color w:val="1F3A5F"/>
          <w:sz w:val="26"/>
        </w:rPr>
        <w:t>E. Consultancy and Industry Collaboration</w:t>
      </w:r>
    </w:p>
    <w:p>
      <w:pPr>
        <w:pStyle w:val="ListBullet"/>
        <w:spacing w:after="80" w:line="276" w:lineRule="auto"/>
      </w:pPr>
      <w:r>
        <w:rPr>
          <w:rFonts w:ascii="Cambria" w:hAnsi="Cambria"/>
          <w:b w:val="0"/>
          <w:i w:val="0"/>
          <w:sz w:val="22"/>
        </w:rPr>
        <w:t>Strengthens university</w:t>
      </w:r>
      <w:r>
        <w:rPr>
          <w:rFonts w:ascii="Cambria" w:hAnsi="Cambria"/>
          <w:b w:val="0"/>
          <w:i w:val="0"/>
          <w:sz w:val="22"/>
        </w:rPr>
        <w:t>–industry partnerships through MoUs, joint projects, and consultancy contracts.</w:t>
      </w:r>
    </w:p>
    <w:p>
      <w:pPr>
        <w:pStyle w:val="ListBullet"/>
        <w:spacing w:after="80" w:line="276" w:lineRule="auto"/>
      </w:pPr>
      <w:r>
        <w:rPr>
          <w:rFonts w:ascii="Cambria" w:hAnsi="Cambria"/>
          <w:b w:val="0"/>
          <w:i w:val="0"/>
          <w:sz w:val="22"/>
        </w:rPr>
        <w:t>Promotes applied research, technology transfer, and incubation for startups.</w:t>
      </w:r>
    </w:p>
    <w:p>
      <w:pPr>
        <w:pStyle w:val="ListBullet"/>
        <w:spacing w:after="80" w:line="276" w:lineRule="auto"/>
      </w:pPr>
      <w:r>
        <w:rPr>
          <w:rFonts w:ascii="Cambria" w:hAnsi="Cambria"/>
          <w:b w:val="0"/>
          <w:i w:val="0"/>
          <w:sz w:val="22"/>
        </w:rPr>
        <w:t>Aligns industry collaboration with curriculum and student employability.</w:t>
      </w:r>
    </w:p>
    <w:p>
      <w:pPr>
        <w:pStyle w:val="Heading3"/>
      </w:pPr>
      <w:r>
        <w:rPr>
          <w:rFonts w:ascii="Cambria" w:hAnsi="Cambria"/>
          <w:b/>
          <w:color w:val="1F3A5F"/>
          <w:sz w:val="26"/>
        </w:rPr>
        <w:t>F. R&amp;D Infrastructure and Centres</w:t>
      </w:r>
    </w:p>
    <w:p>
      <w:pPr>
        <w:pStyle w:val="ListBullet"/>
        <w:spacing w:after="80" w:line="276" w:lineRule="auto"/>
      </w:pPr>
      <w:r>
        <w:rPr>
          <w:rFonts w:ascii="Cambria" w:hAnsi="Cambria"/>
          <w:b w:val="0"/>
          <w:i w:val="0"/>
          <w:sz w:val="22"/>
        </w:rPr>
        <w:t>Establishes and maintains state-of-the-art R&amp;D Centres and laboratories.</w:t>
      </w:r>
    </w:p>
    <w:p>
      <w:pPr>
        <w:pStyle w:val="ListBullet"/>
        <w:spacing w:after="80" w:line="276" w:lineRule="auto"/>
      </w:pPr>
      <w:r>
        <w:rPr>
          <w:rFonts w:ascii="Cambria" w:hAnsi="Cambria"/>
          <w:b w:val="0"/>
          <w:i w:val="0"/>
          <w:sz w:val="22"/>
        </w:rPr>
        <w:t>Promotes Centres of Excellence (CoEs) in frontier areas (AI, biotechnology, renewable energy, smart cities, healthcare).</w:t>
      </w:r>
    </w:p>
    <w:p>
      <w:pPr>
        <w:pStyle w:val="ListBullet"/>
        <w:spacing w:after="80" w:line="276" w:lineRule="auto"/>
      </w:pPr>
      <w:r>
        <w:rPr>
          <w:rFonts w:ascii="Cambria" w:hAnsi="Cambria"/>
          <w:b w:val="0"/>
          <w:i w:val="0"/>
          <w:sz w:val="22"/>
        </w:rPr>
        <w:t>Ensures access to high-end equipment, digital labs, and research facilities.</w:t>
      </w:r>
    </w:p>
    <w:p>
      <w:pPr>
        <w:pStyle w:val="Heading3"/>
      </w:pPr>
      <w:r>
        <w:rPr>
          <w:rFonts w:ascii="Cambria" w:hAnsi="Cambria"/>
          <w:b/>
          <w:color w:val="1F3A5F"/>
          <w:sz w:val="26"/>
        </w:rPr>
        <w:t>G. Global Benchmarking and Accreditation Alignment</w:t>
      </w:r>
    </w:p>
    <w:p>
      <w:pPr>
        <w:pStyle w:val="ListBullet"/>
        <w:spacing w:after="80" w:line="276" w:lineRule="auto"/>
      </w:pPr>
      <w:r>
        <w:rPr>
          <w:rFonts w:ascii="Cambria" w:hAnsi="Cambria"/>
          <w:b w:val="0"/>
          <w:i w:val="0"/>
          <w:sz w:val="22"/>
        </w:rPr>
        <w:t xml:space="preserve">Aligns research activities with NAAC (Criteria III </w:t>
      </w:r>
      <w:r>
        <w:rPr>
          <w:rFonts w:ascii="Cambria" w:hAnsi="Cambria"/>
          <w:b w:val="0"/>
          <w:i w:val="0"/>
          <w:sz w:val="22"/>
        </w:rPr>
        <w:t>– Research &amp; Extension), NBA (program outcomes), NIRF (Research &amp; Professional Practice), and QS I-GAUGE (Research Impact).</w:t>
      </w:r>
    </w:p>
    <w:p>
      <w:pPr>
        <w:pStyle w:val="ListBullet"/>
        <w:spacing w:after="80" w:line="276" w:lineRule="auto"/>
      </w:pPr>
      <w:r>
        <w:rPr>
          <w:rFonts w:ascii="Cambria" w:hAnsi="Cambria"/>
          <w:b w:val="0"/>
          <w:i w:val="0"/>
          <w:sz w:val="22"/>
        </w:rPr>
        <w:t>Positions the university in global rankings (QS, THE, ARWU) through strong research performance.</w:t>
      </w:r>
    </w:p>
    <w:p>
      <w:pPr>
        <w:pStyle w:val="ListBullet"/>
        <w:spacing w:after="80" w:line="276" w:lineRule="auto"/>
      </w:pPr>
      <w:r>
        <w:rPr>
          <w:rFonts w:ascii="Cambria" w:hAnsi="Cambria"/>
          <w:b w:val="0"/>
          <w:i w:val="0"/>
          <w:sz w:val="22"/>
        </w:rPr>
        <w:t>Ensures ethical compliance with research integrity, plagiarism checks, and data transparency.</w:t>
      </w:r>
    </w:p>
    <w:p>
      <w:pPr>
        <w:pStyle w:val="Heading3"/>
      </w:pPr>
      <w:r>
        <w:rPr>
          <w:rFonts w:ascii="Cambria" w:hAnsi="Cambria"/>
          <w:b/>
          <w:color w:val="1F3A5F"/>
          <w:sz w:val="26"/>
        </w:rPr>
        <w:t>H. Capacity Building and Talent Development</w:t>
      </w:r>
    </w:p>
    <w:p>
      <w:pPr>
        <w:pStyle w:val="ListBullet"/>
        <w:spacing w:after="80" w:line="276" w:lineRule="auto"/>
      </w:pPr>
      <w:r>
        <w:rPr>
          <w:rFonts w:ascii="Cambria" w:hAnsi="Cambria"/>
          <w:b w:val="0"/>
          <w:i w:val="0"/>
          <w:sz w:val="22"/>
        </w:rPr>
        <w:t>Develops faculty development programs in research methodology, proposal writing, and innovation management.</w:t>
      </w:r>
    </w:p>
    <w:p>
      <w:pPr>
        <w:pStyle w:val="ListBullet"/>
        <w:spacing w:after="80" w:line="276" w:lineRule="auto"/>
      </w:pPr>
      <w:r>
        <w:rPr>
          <w:rFonts w:ascii="Cambria" w:hAnsi="Cambria"/>
          <w:b w:val="0"/>
          <w:i w:val="0"/>
          <w:sz w:val="22"/>
        </w:rPr>
        <w:t>Encourages student research projects, internships, and doctoral programs.</w:t>
      </w:r>
    </w:p>
    <w:p>
      <w:pPr>
        <w:pStyle w:val="ListBullet"/>
        <w:spacing w:after="80" w:line="276" w:lineRule="auto"/>
      </w:pPr>
      <w:r>
        <w:rPr>
          <w:rFonts w:ascii="Cambria" w:hAnsi="Cambria"/>
          <w:b w:val="0"/>
          <w:i w:val="0"/>
          <w:sz w:val="22"/>
        </w:rPr>
        <w:t>Nurtures young innovators and entrepreneurs through incubation centres.</w:t>
      </w:r>
    </w:p>
    <w:p>
      <w:pPr>
        <w:pStyle w:val="Heading3"/>
      </w:pPr>
      <w:r>
        <w:rPr>
          <w:rFonts w:ascii="Cambria" w:hAnsi="Cambria"/>
          <w:b/>
          <w:color w:val="1F3A5F"/>
          <w:sz w:val="26"/>
        </w:rPr>
        <w:t>I. Community Engagement and Societal Impact</w:t>
      </w:r>
    </w:p>
    <w:p>
      <w:pPr>
        <w:pStyle w:val="ListBullet"/>
        <w:spacing w:after="80" w:line="276" w:lineRule="auto"/>
      </w:pPr>
      <w:r>
        <w:rPr>
          <w:rFonts w:ascii="Cambria" w:hAnsi="Cambria"/>
          <w:b w:val="0"/>
          <w:i w:val="0"/>
          <w:sz w:val="22"/>
        </w:rPr>
        <w:t>Directs research towards solving local, regional, and global challenges.</w:t>
      </w:r>
    </w:p>
    <w:p>
      <w:pPr>
        <w:pStyle w:val="ListBullet"/>
        <w:spacing w:after="80" w:line="276" w:lineRule="auto"/>
      </w:pPr>
      <w:r>
        <w:rPr>
          <w:rFonts w:ascii="Cambria" w:hAnsi="Cambria"/>
          <w:b w:val="0"/>
          <w:i w:val="0"/>
          <w:sz w:val="22"/>
        </w:rPr>
        <w:t>Promotes sustainable technologies, rural development models, and community-oriented research projects.</w:t>
      </w:r>
    </w:p>
    <w:p>
      <w:pPr>
        <w:pStyle w:val="ListBullet"/>
        <w:spacing w:after="80" w:line="276" w:lineRule="auto"/>
      </w:pPr>
      <w:r>
        <w:rPr>
          <w:rFonts w:ascii="Cambria" w:hAnsi="Cambria"/>
          <w:b w:val="0"/>
          <w:i w:val="0"/>
          <w:sz w:val="22"/>
        </w:rPr>
        <w:t>Strengthens the university's role as a knowledge partner for government and NGOs.</w:t>
      </w:r>
    </w:p>
    <w:p>
      <w:pPr>
        <w:pStyle w:val="Heading3"/>
      </w:pPr>
      <w:r>
        <w:rPr>
          <w:rFonts w:ascii="Cambria" w:hAnsi="Cambria"/>
          <w:b/>
          <w:color w:val="1F3A5F"/>
          <w:sz w:val="26"/>
        </w:rPr>
        <w:t>3. Associate Dean Portfolios under R&amp;D Division</w:t>
      </w:r>
    </w:p>
    <w:p>
      <w:pPr>
        <w:spacing w:after="160" w:line="276" w:lineRule="auto"/>
        <w:jc w:val="both"/>
      </w:pPr>
      <w:r>
        <w:rPr>
          <w:rFonts w:ascii="Cambria" w:hAnsi="Cambria"/>
          <w:b w:val="0"/>
          <w:i w:val="0"/>
          <w:sz w:val="22"/>
        </w:rPr>
        <w:t xml:space="preserve">To effectively manage the breadth of responsibilities, the Dean </w:t>
      </w:r>
      <w:r>
        <w:rPr>
          <w:rFonts w:ascii="Cambria" w:hAnsi="Cambria"/>
          <w:b w:val="0"/>
          <w:i w:val="0"/>
          <w:sz w:val="22"/>
        </w:rPr>
        <w:t>– R&amp;D is supported by five Associate Deans, each acting as custodians of specific domains:</w:t>
      </w:r>
    </w:p>
    <w:p>
      <w:pPr>
        <w:pStyle w:val="ListNumber"/>
        <w:spacing w:after="80" w:line="276" w:lineRule="auto"/>
      </w:pPr>
      <w:r>
        <w:rPr>
          <w:rFonts w:ascii="Cambria" w:hAnsi="Cambria"/>
          <w:b/>
          <w:i w:val="0"/>
          <w:sz w:val="22"/>
        </w:rPr>
        <w:t>Associate Dean – Publications, Citations, Impact Factor, and Books</w:t>
      </w:r>
    </w:p>
    <w:p>
      <w:pPr>
        <w:pStyle w:val="ListBullet2"/>
        <w:spacing w:after="80" w:line="276" w:lineRule="auto"/>
      </w:pPr>
      <w:r>
        <w:rPr>
          <w:rFonts w:ascii="Cambria" w:hAnsi="Cambria"/>
          <w:b w:val="0"/>
          <w:i w:val="0"/>
          <w:sz w:val="22"/>
        </w:rPr>
        <w:t>Custodian of scholarly publishing and research visibility.</w:t>
      </w:r>
    </w:p>
    <w:p>
      <w:pPr>
        <w:pStyle w:val="ListBullet2"/>
        <w:spacing w:after="80" w:line="276" w:lineRule="auto"/>
      </w:pPr>
      <w:r>
        <w:rPr>
          <w:rFonts w:ascii="Cambria" w:hAnsi="Cambria"/>
          <w:b w:val="0"/>
          <w:i w:val="0"/>
          <w:sz w:val="22"/>
        </w:rPr>
        <w:t>Oversees quality of publications, monitors citations, evaluates impact factors, and promotes books/monographs.</w:t>
      </w:r>
    </w:p>
    <w:p>
      <w:pPr>
        <w:pStyle w:val="ListNumber"/>
        <w:spacing w:after="80" w:line="276" w:lineRule="auto"/>
      </w:pPr>
      <w:r>
        <w:rPr>
          <w:rFonts w:ascii="Cambria" w:hAnsi="Cambria"/>
          <w:b/>
          <w:i w:val="0"/>
          <w:sz w:val="22"/>
        </w:rPr>
        <w:t>Associate Dean – IPR, Patents, Copyrights, and Trademarks</w:t>
      </w:r>
    </w:p>
    <w:p>
      <w:pPr>
        <w:pStyle w:val="ListBullet2"/>
        <w:spacing w:after="80" w:line="276" w:lineRule="auto"/>
      </w:pPr>
      <w:r>
        <w:rPr>
          <w:rFonts w:ascii="Cambria" w:hAnsi="Cambria"/>
          <w:b w:val="0"/>
          <w:i w:val="0"/>
          <w:sz w:val="22"/>
        </w:rPr>
        <w:t>Custodian of intellectual property rights.</w:t>
      </w:r>
    </w:p>
    <w:p>
      <w:pPr>
        <w:pStyle w:val="ListBullet2"/>
        <w:spacing w:after="80" w:line="276" w:lineRule="auto"/>
      </w:pPr>
      <w:r>
        <w:rPr>
          <w:rFonts w:ascii="Cambria" w:hAnsi="Cambria"/>
          <w:b w:val="0"/>
          <w:i w:val="0"/>
          <w:sz w:val="22"/>
        </w:rPr>
        <w:t>Facilitates patent filings, copyrights, and trademarks; promotes technology transfer and commercialization.</w:t>
      </w:r>
    </w:p>
    <w:p>
      <w:pPr>
        <w:pStyle w:val="ListNumber"/>
        <w:spacing w:after="80" w:line="276" w:lineRule="auto"/>
      </w:pPr>
      <w:r>
        <w:rPr>
          <w:rFonts w:ascii="Cambria" w:hAnsi="Cambria"/>
          <w:b/>
          <w:i w:val="0"/>
          <w:sz w:val="22"/>
        </w:rPr>
        <w:t>Associate Dean – Consultancy and Industry Liaison</w:t>
      </w:r>
    </w:p>
    <w:p>
      <w:pPr>
        <w:pStyle w:val="ListBullet2"/>
        <w:spacing w:after="80" w:line="276" w:lineRule="auto"/>
      </w:pPr>
      <w:r>
        <w:rPr>
          <w:rFonts w:ascii="Cambria" w:hAnsi="Cambria"/>
          <w:b w:val="0"/>
          <w:i w:val="0"/>
          <w:sz w:val="22"/>
        </w:rPr>
        <w:t>Custodian of industry linkages and applied research.</w:t>
      </w:r>
    </w:p>
    <w:p>
      <w:pPr>
        <w:pStyle w:val="ListBullet2"/>
        <w:spacing w:after="80" w:line="276" w:lineRule="auto"/>
      </w:pPr>
      <w:r>
        <w:rPr>
          <w:rFonts w:ascii="Cambria" w:hAnsi="Cambria"/>
          <w:b w:val="0"/>
          <w:i w:val="0"/>
          <w:sz w:val="22"/>
        </w:rPr>
        <w:t>Strengthens consultancy, MoUs, joint projects, and university</w:t>
      </w:r>
      <w:r>
        <w:rPr>
          <w:rFonts w:ascii="Cambria" w:hAnsi="Cambria"/>
          <w:b w:val="0"/>
          <w:i w:val="0"/>
          <w:sz w:val="22"/>
        </w:rPr>
        <w:t>–industry partnerships.</w:t>
      </w:r>
    </w:p>
    <w:p>
      <w:pPr>
        <w:pStyle w:val="ListNumber"/>
        <w:spacing w:after="80" w:line="276" w:lineRule="auto"/>
      </w:pPr>
      <w:r>
        <w:rPr>
          <w:rFonts w:ascii="Cambria" w:hAnsi="Cambria"/>
          <w:b/>
          <w:i w:val="0"/>
          <w:sz w:val="22"/>
        </w:rPr>
        <w:t>Associate Dean – Sponsored Research</w:t>
      </w:r>
    </w:p>
    <w:p>
      <w:pPr>
        <w:pStyle w:val="ListBullet2"/>
        <w:spacing w:after="80" w:line="276" w:lineRule="auto"/>
      </w:pPr>
      <w:r>
        <w:rPr>
          <w:rFonts w:ascii="Cambria" w:hAnsi="Cambria"/>
          <w:b w:val="0"/>
          <w:i w:val="0"/>
          <w:sz w:val="22"/>
        </w:rPr>
        <w:t>Custodian of research funding and sponsored projects.</w:t>
      </w:r>
    </w:p>
    <w:p>
      <w:pPr>
        <w:pStyle w:val="ListBullet2"/>
        <w:spacing w:after="80" w:line="276" w:lineRule="auto"/>
      </w:pPr>
      <w:r>
        <w:rPr>
          <w:rFonts w:ascii="Cambria" w:hAnsi="Cambria"/>
          <w:b w:val="0"/>
          <w:i w:val="0"/>
          <w:sz w:val="22"/>
        </w:rPr>
        <w:t>Manages grants from DST, UGC, AICTE, CSR funds, and international agencies; ensures compliance and reporting.</w:t>
      </w:r>
    </w:p>
    <w:p>
      <w:pPr>
        <w:pStyle w:val="ListNumber"/>
        <w:spacing w:after="80" w:line="276" w:lineRule="auto"/>
      </w:pPr>
      <w:r>
        <w:rPr>
          <w:rFonts w:ascii="Cambria" w:hAnsi="Cambria"/>
          <w:b/>
          <w:i w:val="0"/>
          <w:sz w:val="22"/>
        </w:rPr>
        <w:t>Associate Dean – R&amp;D Centres</w:t>
      </w:r>
    </w:p>
    <w:p>
      <w:pPr>
        <w:pStyle w:val="ListBullet2"/>
        <w:spacing w:after="80" w:line="276" w:lineRule="auto"/>
      </w:pPr>
      <w:r>
        <w:rPr>
          <w:rFonts w:ascii="Cambria" w:hAnsi="Cambria"/>
          <w:b w:val="0"/>
          <w:i w:val="0"/>
          <w:sz w:val="22"/>
        </w:rPr>
        <w:t>Custodian of research infrastructure and Centres of Excellence (CoEs).</w:t>
      </w:r>
    </w:p>
    <w:p>
      <w:pPr>
        <w:pStyle w:val="ListBullet2"/>
        <w:spacing w:after="80" w:line="276" w:lineRule="auto"/>
      </w:pPr>
      <w:r>
        <w:rPr>
          <w:rFonts w:ascii="Cambria" w:hAnsi="Cambria"/>
          <w:b w:val="0"/>
          <w:i w:val="0"/>
          <w:sz w:val="22"/>
        </w:rPr>
        <w:t>Oversees specialized labs, interdisciplinary hubs, and innovation clusters.</w:t>
      </w:r>
    </w:p>
    <w:p>
      <w:pPr>
        <w:pStyle w:val="ListNumber"/>
        <w:spacing w:after="80" w:line="276" w:lineRule="auto"/>
      </w:pPr>
      <w:r>
        <w:rPr>
          <w:rFonts w:ascii="Cambria" w:hAnsi="Cambria"/>
          <w:b/>
          <w:i w:val="0"/>
          <w:sz w:val="22"/>
        </w:rPr>
        <w:t>Associate Dean – Ph.D. and Post-Doctoral Fellowship</w:t>
      </w:r>
    </w:p>
    <w:p>
      <w:pPr>
        <w:pStyle w:val="ListBullet2"/>
        <w:spacing w:after="80" w:line="276" w:lineRule="auto"/>
      </w:pPr>
      <w:r>
        <w:rPr>
          <w:rFonts w:ascii="Cambria" w:hAnsi="Cambria"/>
          <w:b w:val="0"/>
          <w:i w:val="0"/>
          <w:sz w:val="22"/>
        </w:rPr>
        <w:t>Custodian of research talent development.</w:t>
      </w:r>
    </w:p>
    <w:p>
      <w:pPr>
        <w:pStyle w:val="ListBullet2"/>
        <w:spacing w:after="80" w:line="276" w:lineRule="auto"/>
      </w:pPr>
      <w:r>
        <w:rPr>
          <w:rFonts w:ascii="Cambria" w:hAnsi="Cambria"/>
          <w:b w:val="0"/>
          <w:i w:val="0"/>
          <w:sz w:val="22"/>
        </w:rPr>
        <w:t>Oversees doctoral and post-doctoral programs, ensures quality supervision, enhances research training, and supports scholar mobility through fellowships and exchange programs.</w:t>
      </w:r>
    </w:p>
    <w:p>
      <w:pPr>
        <w:spacing w:after="160" w:line="276" w:lineRule="auto"/>
        <w:jc w:val="both"/>
      </w:pPr>
      <w:r>
        <w:rPr>
          <w:rFonts w:ascii="Cambria" w:hAnsi="Cambria"/>
          <w:b w:val="0"/>
          <w:i w:val="0"/>
          <w:sz w:val="22"/>
        </w:rPr>
        <w:t>Together, these Associate Deans create a distributed custodianship model, ensuring operational excellence across all areas of research.</w:t>
      </w:r>
    </w:p>
    <w:p>
      <w:pPr>
        <w:pStyle w:val="Heading3"/>
      </w:pPr>
      <w:r>
        <w:rPr>
          <w:rFonts w:ascii="Cambria" w:hAnsi="Cambria"/>
          <w:b/>
          <w:color w:val="1F3A5F"/>
          <w:sz w:val="26"/>
        </w:rPr>
        <w:t>4. Impact and Contribution</w:t>
      </w:r>
    </w:p>
    <w:p>
      <w:pPr>
        <w:pStyle w:val="ListBullet"/>
        <w:spacing w:after="80" w:line="276" w:lineRule="auto"/>
      </w:pPr>
      <w:r>
        <w:rPr>
          <w:rFonts w:ascii="Cambria" w:hAnsi="Cambria"/>
          <w:b/>
          <w:i w:val="0"/>
          <w:sz w:val="22"/>
        </w:rPr>
        <w:t xml:space="preserve">For Students: </w:t>
      </w:r>
      <w:r>
        <w:rPr>
          <w:rFonts w:ascii="Cambria" w:hAnsi="Cambria"/>
          <w:b w:val="0"/>
          <w:i w:val="0"/>
          <w:sz w:val="22"/>
        </w:rPr>
        <w:t>Enhances exposure to cutting-edge research, funded projects, and industry internships.</w:t>
      </w:r>
    </w:p>
    <w:p>
      <w:pPr>
        <w:pStyle w:val="ListBullet"/>
        <w:spacing w:after="80" w:line="276" w:lineRule="auto"/>
      </w:pPr>
      <w:r>
        <w:rPr>
          <w:rFonts w:ascii="Cambria" w:hAnsi="Cambria"/>
          <w:b/>
          <w:i w:val="0"/>
          <w:sz w:val="22"/>
        </w:rPr>
        <w:t xml:space="preserve">For Faculty: </w:t>
      </w:r>
      <w:r>
        <w:rPr>
          <w:rFonts w:ascii="Cambria" w:hAnsi="Cambria"/>
          <w:b w:val="0"/>
          <w:i w:val="0"/>
          <w:sz w:val="22"/>
        </w:rPr>
        <w:t>Provides research support, grants, IP protection, and global collaboration opportunities.</w:t>
      </w:r>
    </w:p>
    <w:p>
      <w:pPr>
        <w:pStyle w:val="ListBullet"/>
        <w:spacing w:after="80" w:line="276" w:lineRule="auto"/>
      </w:pPr>
      <w:r>
        <w:rPr>
          <w:rFonts w:ascii="Cambria" w:hAnsi="Cambria"/>
          <w:b/>
          <w:i w:val="0"/>
          <w:sz w:val="22"/>
        </w:rPr>
        <w:t xml:space="preserve">For Institution: </w:t>
      </w:r>
      <w:r>
        <w:rPr>
          <w:rFonts w:ascii="Cambria" w:hAnsi="Cambria"/>
          <w:b w:val="0"/>
          <w:i w:val="0"/>
          <w:sz w:val="22"/>
        </w:rPr>
        <w:t>Positions the university as a research-intensive and globally competitive hub.</w:t>
      </w:r>
    </w:p>
    <w:p>
      <w:pPr>
        <w:pStyle w:val="ListBullet"/>
        <w:spacing w:after="80" w:line="276" w:lineRule="auto"/>
      </w:pPr>
      <w:r>
        <w:rPr>
          <w:rFonts w:ascii="Cambria" w:hAnsi="Cambria"/>
          <w:b/>
          <w:i w:val="0"/>
          <w:sz w:val="22"/>
        </w:rPr>
        <w:t xml:space="preserve">For Society: </w:t>
      </w:r>
      <w:r>
        <w:rPr>
          <w:rFonts w:ascii="Cambria" w:hAnsi="Cambria"/>
          <w:b w:val="0"/>
          <w:i w:val="0"/>
          <w:sz w:val="22"/>
        </w:rPr>
        <w:t>Contributes to solving societal challenges, sustainability goals, and innovation ecosystems.</w:t>
      </w:r>
    </w:p>
    <w:p>
      <w:pPr>
        <w:spacing w:after="120" w:line="276" w:lineRule="auto"/>
      </w:pPr>
      <w:r>
        <w:rPr>
          <w:rFonts w:ascii="Cambria" w:hAnsi="Cambria"/>
          <w:b/>
          <w:i w:val="0"/>
          <w:sz w:val="23"/>
        </w:rPr>
        <w:t>Dean – Research &amp; Development: Custodian of Knowledge Creation and Innovation</w:t>
      </w:r>
    </w:p>
    <w:p>
      <w:pPr>
        <w:spacing w:after="160" w:line="276" w:lineRule="auto"/>
        <w:jc w:val="both"/>
      </w:pPr>
      <w:r>
        <w:rPr>
          <w:rFonts w:ascii="Cambria" w:hAnsi="Cambria"/>
          <w:b w:val="0"/>
          <w:i w:val="0"/>
          <w:sz w:val="22"/>
        </w:rPr>
        <w:t xml:space="preserve">The Dean </w:t>
      </w:r>
      <w:r>
        <w:rPr>
          <w:rFonts w:ascii="Cambria" w:hAnsi="Cambria"/>
          <w:b w:val="0"/>
          <w:i w:val="0"/>
          <w:sz w:val="22"/>
        </w:rPr>
        <w:t xml:space="preserve">– Research &amp; Development (R&amp;D) is the custodian of knowledge creation and innovation, responsible for ensuring that universities move beyond the traditional role of instruction to evolve into centres of research, patents, publications, consultancy, and global impact. This custodianship reflects a shift in higher education where institutions are not only providers of instruction but also engines of discovery, creativity, and problem-solving. By shaping a strong research culture, the Dean </w:t>
      </w:r>
      <w:r>
        <w:rPr>
          <w:rFonts w:ascii="Cambria" w:hAnsi="Cambria"/>
          <w:b w:val="0"/>
          <w:i w:val="0"/>
          <w:sz w:val="22"/>
        </w:rPr>
        <w:t>– R&amp;D empowers faculty, researchers, and students to contribute meaningfully to both academic advancement and societal transformation.</w:t>
      </w:r>
    </w:p>
    <w:p>
      <w:pPr>
        <w:spacing w:after="160" w:line="276" w:lineRule="auto"/>
        <w:jc w:val="both"/>
      </w:pPr>
      <w:r>
        <w:rPr>
          <w:rFonts w:ascii="Cambria" w:hAnsi="Cambria"/>
          <w:b w:val="0"/>
          <w:i w:val="0"/>
          <w:sz w:val="22"/>
        </w:rPr>
        <w:t>As custodian of knowledge creation, the Dean ensures the development of high-quality research outputs</w:t>
      </w:r>
      <w:r>
        <w:rPr>
          <w:rFonts w:ascii="Cambria" w:hAnsi="Cambria"/>
          <w:b w:val="0"/>
          <w:i w:val="0"/>
          <w:sz w:val="22"/>
        </w:rPr>
        <w:t>—scholarly publications, citations, books, patents, and innovations</w:t>
      </w:r>
      <w:r>
        <w:rPr>
          <w:rFonts w:ascii="Cambria" w:hAnsi="Cambria"/>
          <w:b w:val="0"/>
          <w:i w:val="0"/>
          <w:sz w:val="22"/>
        </w:rPr>
        <w:t>—that enhance the university's academic visibility and reputation. This includes monitoring performance through impact factors, h-index scores, and global citation indices while also fostering a climate of academic integrity and research ethics.</w:t>
      </w:r>
    </w:p>
    <w:p>
      <w:pPr>
        <w:spacing w:after="160" w:line="276" w:lineRule="auto"/>
        <w:jc w:val="both"/>
      </w:pPr>
      <w:r>
        <w:rPr>
          <w:rFonts w:ascii="Cambria" w:hAnsi="Cambria"/>
          <w:b w:val="0"/>
          <w:i w:val="0"/>
          <w:sz w:val="22"/>
        </w:rPr>
        <w:t>As custodian of innovation, the Dean expands the scope of research from laboratories to industries and communities. By promoting technology transfer, consultancy, and industry collaborations, the Dean ensures that university research is translated into real-world applications that address contemporary challenges. Establishing Centres of Excellence and interdisciplinary R&amp;D hubs, the Dean nurtures ecosystems where innovation can flourish.</w:t>
      </w:r>
    </w:p>
    <w:p>
      <w:pPr>
        <w:spacing w:after="160" w:line="276" w:lineRule="auto"/>
        <w:jc w:val="both"/>
      </w:pPr>
      <w:r>
        <w:rPr>
          <w:rFonts w:ascii="Cambria" w:hAnsi="Cambria"/>
          <w:b w:val="0"/>
          <w:i w:val="0"/>
          <w:sz w:val="22"/>
        </w:rPr>
        <w:t xml:space="preserve">By integrating strategic planning with operational delivery, the Dean </w:t>
      </w:r>
      <w:r>
        <w:rPr>
          <w:rFonts w:ascii="Cambria" w:hAnsi="Cambria"/>
          <w:b w:val="0"/>
          <w:i w:val="0"/>
          <w:sz w:val="22"/>
        </w:rPr>
        <w:t>– R&amp;D not only secures research funding from national and international agencies but also mobilizes resources through industry partnerships, CSR initiatives, and philanthropic contributions. This guarantees financial sustainability for research programs while expanding opportunities for scholars at all levels, including Ph.D. and post-doctoral fellows.</w:t>
      </w:r>
    </w:p>
    <w:p>
      <w:pPr>
        <w:spacing w:after="160" w:line="276" w:lineRule="auto"/>
        <w:jc w:val="both"/>
      </w:pPr>
      <w:r>
        <w:rPr>
          <w:rFonts w:ascii="Cambria" w:hAnsi="Cambria"/>
          <w:b w:val="0"/>
          <w:i w:val="0"/>
          <w:sz w:val="22"/>
        </w:rPr>
        <w:t xml:space="preserve">The impact of this custodianship extends beyond academia into society at large, as the Dean aligns institutional research with global priorities such as the United Nations Sustainable Development Goals (SDGs), environmental sustainability, and inclusive growth. By fostering a research ecosystem that balances academic excellence with societal responsibility, the Dean </w:t>
      </w:r>
      <w:r>
        <w:rPr>
          <w:rFonts w:ascii="Cambria" w:hAnsi="Cambria"/>
          <w:b w:val="0"/>
          <w:i w:val="0"/>
          <w:sz w:val="22"/>
        </w:rPr>
        <w:t>– R&amp;D strengthens the university's academic identity, global competitiveness, and community engagement.</w:t>
      </w:r>
    </w:p>
    <w:p>
      <w:pPr>
        <w:spacing w:after="160" w:line="276" w:lineRule="auto"/>
        <w:jc w:val="both"/>
      </w:pPr>
      <w:r>
        <w:rPr>
          <w:rFonts w:ascii="Cambria" w:hAnsi="Cambria"/>
          <w:b w:val="0"/>
          <w:i w:val="0"/>
          <w:sz w:val="22"/>
        </w:rPr>
        <w:t xml:space="preserve">In essence, the Dean </w:t>
      </w:r>
      <w:r>
        <w:rPr>
          <w:rFonts w:ascii="Cambria" w:hAnsi="Cambria"/>
          <w:b w:val="0"/>
          <w:i w:val="0"/>
          <w:sz w:val="22"/>
        </w:rPr>
        <w:t>– R&amp;D serves as the guardian of a university's research mission, transforming it into a globally recognized centre of discovery, innovation, and impact.</w:t>
      </w:r>
    </w:p>
    <w:p>
      <w:pPr>
        <w:spacing w:after="120" w:line="276" w:lineRule="auto"/>
      </w:pPr>
      <w:r>
        <w:rPr>
          <w:rFonts w:ascii="Cambria" w:hAnsi="Cambria"/>
          <w:b/>
          <w:i w:val="0"/>
          <w:sz w:val="23"/>
        </w:rPr>
        <w:t>Dean – Research &amp; Development: Custodian of Research Governance</w:t>
      </w:r>
    </w:p>
    <w:p>
      <w:pPr>
        <w:spacing w:after="160" w:line="276" w:lineRule="auto"/>
        <w:jc w:val="both"/>
      </w:pPr>
      <w:r>
        <w:rPr>
          <w:rFonts w:ascii="Cambria" w:hAnsi="Cambria"/>
          <w:b w:val="0"/>
          <w:i w:val="0"/>
          <w:sz w:val="22"/>
        </w:rPr>
        <w:t xml:space="preserve">The Dean </w:t>
      </w:r>
      <w:r>
        <w:rPr>
          <w:rFonts w:ascii="Cambria" w:hAnsi="Cambria"/>
          <w:b w:val="0"/>
          <w:i w:val="0"/>
          <w:sz w:val="22"/>
        </w:rPr>
        <w:t>– Research &amp; Development (R&amp;D) serves as the central authority for research governance, entrusted with the responsibility of nurturing a culture of excellence, compliance, and innovation within the university. This role goes beyond administration to establish research as a defining strength of the institution, ensuring that it contributes not only to academic prestige but also to societal transformation.</w:t>
      </w:r>
    </w:p>
    <w:p>
      <w:pPr>
        <w:spacing w:after="160" w:line="276" w:lineRule="auto"/>
        <w:jc w:val="both"/>
      </w:pPr>
      <w:r>
        <w:rPr>
          <w:rFonts w:ascii="Cambria" w:hAnsi="Cambria"/>
          <w:b w:val="0"/>
          <w:i w:val="0"/>
          <w:sz w:val="22"/>
        </w:rPr>
        <w:t>By overseeing the admissions process for advanced research degrees, the Dean ensures transparency, merit-based selection, and alignment with statutory frameworks. Through the facilitation of research funding and sponsored projects, the Dean secures resources from government agencies, industry partners, and international bodies, thereby strengthening the financial base of research activities. Equally vital is the Dean's role in supporting researchers and faculty, offering mentorship, guidance, and incentives for project proposals, publications, patents, and interdisciplinary initiatives.</w:t>
      </w:r>
    </w:p>
    <w:p>
      <w:pPr>
        <w:spacing w:after="160" w:line="276" w:lineRule="auto"/>
        <w:jc w:val="both"/>
      </w:pPr>
      <w:r>
        <w:rPr>
          <w:rFonts w:ascii="Cambria" w:hAnsi="Cambria"/>
          <w:b w:val="0"/>
          <w:i w:val="0"/>
          <w:sz w:val="22"/>
        </w:rPr>
        <w:t>As the university's key liaison with external agencies and stakeholders, the Dean builds bridges with funding organizations, industries, and NGOs, fostering collaborations that extend the impact of research beyond campus boundaries. The responsibility of ensuring financial accountability further underscores the Dean's custodial role, encompassing the allocation of research grants, monitoring of expenditures, and submission of utilization certificates to funding agencies in a timely and transparent manner.</w:t>
      </w:r>
    </w:p>
    <w:p>
      <w:pPr>
        <w:spacing w:after="200" w:line="276" w:lineRule="auto"/>
        <w:jc w:val="both"/>
      </w:pPr>
      <w:r>
        <w:rPr>
          <w:rFonts w:ascii="Cambria" w:hAnsi="Cambria"/>
          <w:b w:val="0"/>
          <w:i w:val="0"/>
          <w:sz w:val="22"/>
        </w:rPr>
        <w:t xml:space="preserve">Ultimately, the Dean </w:t>
      </w:r>
      <w:r>
        <w:rPr>
          <w:rFonts w:ascii="Cambria" w:hAnsi="Cambria"/>
          <w:b w:val="0"/>
          <w:i w:val="0"/>
          <w:sz w:val="22"/>
        </w:rPr>
        <w:t>– R&amp;D transforms the university into a research-intensive institution, where knowledge creation, innovation, and societal engagement are seamlessly integrated. By combining strategic foresight, operational efficiency, and academic leadership, the Dean ensures that research not only elevates institutional reputation in rankings and accreditation frameworks but also contributes to solving regional, national, and global challenges.</w:t>
      </w:r>
    </w:p>
    <w:p>
      <w:r>
        <w:br w:type="page"/>
      </w:r>
    </w:p>
    <w:p>
      <w:pPr>
        <w:pStyle w:val="Heading1"/>
      </w:pPr>
      <w:r>
        <w:rPr>
          <w:rFonts w:ascii="Cambria" w:hAnsi="Cambria"/>
          <w:b/>
          <w:color w:val="1F3A5F"/>
          <w:sz w:val="36"/>
        </w:rPr>
        <w:t>3. Responsibilities of the Dean of Research &amp; Development (R&amp;D)</w:t>
      </w:r>
    </w:p>
    <w:p>
      <w:pPr>
        <w:spacing w:after="160" w:line="276" w:lineRule="auto"/>
        <w:jc w:val="both"/>
      </w:pPr>
      <w:r>
        <w:rPr>
          <w:rFonts w:ascii="Cambria" w:hAnsi="Cambria"/>
          <w:b w:val="0"/>
          <w:i w:val="0"/>
          <w:sz w:val="22"/>
        </w:rPr>
        <w:t>The Dean of Research &amp; Development (R&amp;D) serves as the custodian of knowledge creation, innovation, and research governance within a university. Their responsibilities span across policy formulation, research leadership, infrastructure development, funding mobilization, industry partnerships, and societal engagement. These responsibilities ensure that research in higher education institutions is strategically planned, ethically conducted, and globally impactful.</w:t>
      </w:r>
    </w:p>
    <w:p>
      <w:pPr>
        <w:pStyle w:val="Heading3"/>
      </w:pPr>
      <w:r>
        <w:rPr>
          <w:rFonts w:ascii="Cambria" w:hAnsi="Cambria"/>
          <w:b/>
          <w:color w:val="1F3A5F"/>
          <w:sz w:val="26"/>
        </w:rPr>
        <w:t>1. Strategic Research Leadership</w:t>
      </w:r>
    </w:p>
    <w:p>
      <w:pPr>
        <w:pStyle w:val="ListBullet"/>
        <w:spacing w:after="80" w:line="276" w:lineRule="auto"/>
      </w:pPr>
      <w:r>
        <w:rPr>
          <w:rFonts w:ascii="Cambria" w:hAnsi="Cambria"/>
          <w:b w:val="0"/>
          <w:i w:val="0"/>
          <w:sz w:val="22"/>
        </w:rPr>
        <w:t>Formulates the research vision and strategy for the institution, aligning it with the university's mission, national research priorities, and global challenges.</w:t>
      </w:r>
    </w:p>
    <w:p>
      <w:pPr>
        <w:pStyle w:val="ListBullet"/>
        <w:spacing w:after="80" w:line="276" w:lineRule="auto"/>
      </w:pPr>
      <w:r>
        <w:rPr>
          <w:rFonts w:ascii="Cambria" w:hAnsi="Cambria"/>
          <w:b w:val="0"/>
          <w:i w:val="0"/>
          <w:sz w:val="22"/>
        </w:rPr>
        <w:t>Encourages interdisciplinary and collaborative research across departments and with external institutions.</w:t>
      </w:r>
    </w:p>
    <w:p>
      <w:pPr>
        <w:pStyle w:val="ListBullet"/>
        <w:spacing w:after="80" w:line="276" w:lineRule="auto"/>
      </w:pPr>
      <w:r>
        <w:rPr>
          <w:rFonts w:ascii="Cambria" w:hAnsi="Cambria"/>
          <w:b w:val="0"/>
          <w:i w:val="0"/>
          <w:sz w:val="22"/>
        </w:rPr>
        <w:t>Develops policies on research ethics, academic integrity, and plagiarism prevention.</w:t>
      </w:r>
    </w:p>
    <w:p>
      <w:pPr>
        <w:pStyle w:val="Heading3"/>
      </w:pPr>
      <w:r>
        <w:rPr>
          <w:rFonts w:ascii="Cambria" w:hAnsi="Cambria"/>
          <w:b/>
          <w:color w:val="1F3A5F"/>
          <w:sz w:val="26"/>
        </w:rPr>
        <w:t>2. Enhancing Research Output and Visibility</w:t>
      </w:r>
    </w:p>
    <w:p>
      <w:pPr>
        <w:pStyle w:val="ListBullet"/>
        <w:spacing w:after="80" w:line="276" w:lineRule="auto"/>
      </w:pPr>
      <w:r>
        <w:rPr>
          <w:rFonts w:ascii="Cambria" w:hAnsi="Cambria"/>
          <w:b w:val="0"/>
          <w:i w:val="0"/>
          <w:sz w:val="22"/>
        </w:rPr>
        <w:t>Oversees quality publications, citations, impact factor performance, and research rankings.</w:t>
      </w:r>
    </w:p>
    <w:p>
      <w:pPr>
        <w:pStyle w:val="ListBullet"/>
        <w:spacing w:after="80" w:line="276" w:lineRule="auto"/>
      </w:pPr>
      <w:r>
        <w:rPr>
          <w:rFonts w:ascii="Cambria" w:hAnsi="Cambria"/>
          <w:b w:val="0"/>
          <w:i w:val="0"/>
          <w:sz w:val="22"/>
        </w:rPr>
        <w:t>Encourages faculty and scholars to publish in high-impact, indexed journals (Scopus, Web of Science, PubMed, etc.).</w:t>
      </w:r>
    </w:p>
    <w:p>
      <w:pPr>
        <w:pStyle w:val="ListBullet"/>
        <w:spacing w:after="80" w:line="276" w:lineRule="auto"/>
      </w:pPr>
      <w:r>
        <w:rPr>
          <w:rFonts w:ascii="Cambria" w:hAnsi="Cambria"/>
          <w:b w:val="0"/>
          <w:i w:val="0"/>
          <w:sz w:val="22"/>
        </w:rPr>
        <w:t>Promotes the publication of books, monographs, and edited volumes, enhancing institutional visibility in global academia.</w:t>
      </w:r>
    </w:p>
    <w:p>
      <w:pPr>
        <w:pStyle w:val="Heading3"/>
      </w:pPr>
      <w:r>
        <w:rPr>
          <w:rFonts w:ascii="Cambria" w:hAnsi="Cambria"/>
          <w:b/>
          <w:color w:val="1F3A5F"/>
          <w:sz w:val="26"/>
        </w:rPr>
        <w:t>3. Intellectual Property and Technology Transfer</w:t>
      </w:r>
    </w:p>
    <w:p>
      <w:pPr>
        <w:pStyle w:val="ListBullet"/>
        <w:spacing w:after="80" w:line="276" w:lineRule="auto"/>
      </w:pPr>
      <w:r>
        <w:rPr>
          <w:rFonts w:ascii="Cambria" w:hAnsi="Cambria"/>
          <w:b w:val="0"/>
          <w:i w:val="0"/>
          <w:sz w:val="22"/>
        </w:rPr>
        <w:t>Promotes awareness and training on Intellectual Property Rights (IPR).</w:t>
      </w:r>
    </w:p>
    <w:p>
      <w:pPr>
        <w:pStyle w:val="ListBullet"/>
        <w:spacing w:after="80" w:line="276" w:lineRule="auto"/>
      </w:pPr>
      <w:r>
        <w:rPr>
          <w:rFonts w:ascii="Cambria" w:hAnsi="Cambria"/>
          <w:b w:val="0"/>
          <w:i w:val="0"/>
          <w:sz w:val="22"/>
        </w:rPr>
        <w:t>Facilitates the filing of patents, copyrights, and trademarks, and ensures their commercialization.</w:t>
      </w:r>
    </w:p>
    <w:p>
      <w:pPr>
        <w:pStyle w:val="ListBullet"/>
        <w:spacing w:after="80" w:line="276" w:lineRule="auto"/>
      </w:pPr>
      <w:r>
        <w:rPr>
          <w:rFonts w:ascii="Cambria" w:hAnsi="Cambria"/>
          <w:b w:val="0"/>
          <w:i w:val="0"/>
          <w:sz w:val="22"/>
        </w:rPr>
        <w:t>Establishes a Technology Transfer Office (TTO) or Innovation &amp; Incubation Cell to manage licensing and commercialization of research outputs.</w:t>
      </w:r>
    </w:p>
    <w:p>
      <w:pPr>
        <w:pStyle w:val="Heading3"/>
      </w:pPr>
      <w:r>
        <w:rPr>
          <w:rFonts w:ascii="Cambria" w:hAnsi="Cambria"/>
          <w:b/>
          <w:color w:val="1F3A5F"/>
          <w:sz w:val="26"/>
        </w:rPr>
        <w:t>4. Sponsored Research and Grants Management</w:t>
      </w:r>
    </w:p>
    <w:p>
      <w:pPr>
        <w:pStyle w:val="ListBullet"/>
        <w:spacing w:after="80" w:line="276" w:lineRule="auto"/>
      </w:pPr>
      <w:r>
        <w:rPr>
          <w:rFonts w:ascii="Cambria" w:hAnsi="Cambria"/>
          <w:b w:val="0"/>
          <w:i w:val="0"/>
          <w:sz w:val="22"/>
        </w:rPr>
        <w:t>Leads initiatives to secure funding from government bodies (DST, DBT, UGC, AICTE, ICSSR), corporate CSR funds, and international agencies.</w:t>
      </w:r>
    </w:p>
    <w:p>
      <w:pPr>
        <w:pStyle w:val="ListBullet"/>
        <w:spacing w:after="80" w:line="276" w:lineRule="auto"/>
      </w:pPr>
      <w:r>
        <w:rPr>
          <w:rFonts w:ascii="Cambria" w:hAnsi="Cambria"/>
          <w:b w:val="0"/>
          <w:i w:val="0"/>
          <w:sz w:val="22"/>
        </w:rPr>
        <w:t>Guides faculty and researchers in preparing grant proposals, budgeting, and project compliance reports.</w:t>
      </w:r>
    </w:p>
    <w:p>
      <w:pPr>
        <w:pStyle w:val="ListBullet"/>
        <w:spacing w:after="80" w:line="276" w:lineRule="auto"/>
      </w:pPr>
      <w:r>
        <w:rPr>
          <w:rFonts w:ascii="Cambria" w:hAnsi="Cambria"/>
          <w:b w:val="0"/>
          <w:i w:val="0"/>
          <w:sz w:val="22"/>
        </w:rPr>
        <w:t>Monitors and evaluates progress of sponsored research projects and ensures accountability in fund utilization.</w:t>
      </w:r>
    </w:p>
    <w:p>
      <w:pPr>
        <w:pStyle w:val="Heading3"/>
      </w:pPr>
      <w:r>
        <w:rPr>
          <w:rFonts w:ascii="Cambria" w:hAnsi="Cambria"/>
          <w:b/>
          <w:color w:val="1F3A5F"/>
          <w:sz w:val="26"/>
        </w:rPr>
        <w:t>5. Consultancy and Industry Collaboration</w:t>
      </w:r>
    </w:p>
    <w:p>
      <w:pPr>
        <w:pStyle w:val="ListBullet"/>
        <w:spacing w:after="80" w:line="276" w:lineRule="auto"/>
      </w:pPr>
      <w:r>
        <w:rPr>
          <w:rFonts w:ascii="Cambria" w:hAnsi="Cambria"/>
          <w:b w:val="0"/>
          <w:i w:val="0"/>
          <w:sz w:val="22"/>
        </w:rPr>
        <w:t>Strengthens university</w:t>
      </w:r>
      <w:r>
        <w:rPr>
          <w:rFonts w:ascii="Cambria" w:hAnsi="Cambria"/>
          <w:b w:val="0"/>
          <w:i w:val="0"/>
          <w:sz w:val="22"/>
        </w:rPr>
        <w:t>–industry partnerships through consultancy assignments, joint projects, and collaborative R&amp;D.</w:t>
      </w:r>
    </w:p>
    <w:p>
      <w:pPr>
        <w:pStyle w:val="ListBullet"/>
        <w:spacing w:after="80" w:line="276" w:lineRule="auto"/>
      </w:pPr>
      <w:r>
        <w:rPr>
          <w:rFonts w:ascii="Cambria" w:hAnsi="Cambria"/>
          <w:b w:val="0"/>
          <w:i w:val="0"/>
          <w:sz w:val="22"/>
        </w:rPr>
        <w:t>Facilitates Memoranda of Understanding (MoUs) with industries, research labs, and global universities.</w:t>
      </w:r>
    </w:p>
    <w:p>
      <w:pPr>
        <w:pStyle w:val="ListBullet"/>
        <w:spacing w:after="80" w:line="276" w:lineRule="auto"/>
      </w:pPr>
      <w:r>
        <w:rPr>
          <w:rFonts w:ascii="Cambria" w:hAnsi="Cambria"/>
          <w:b w:val="0"/>
          <w:i w:val="0"/>
          <w:sz w:val="22"/>
        </w:rPr>
        <w:t>Promotes technology incubation, start-up ecosystems, and entrepreneurship development within the campus.</w:t>
      </w:r>
    </w:p>
    <w:p>
      <w:pPr>
        <w:pStyle w:val="Heading3"/>
      </w:pPr>
      <w:r>
        <w:rPr>
          <w:rFonts w:ascii="Cambria" w:hAnsi="Cambria"/>
          <w:b/>
          <w:color w:val="1F3A5F"/>
          <w:sz w:val="26"/>
        </w:rPr>
        <w:t>6. Establishment and Management of R&amp;D Centres</w:t>
      </w:r>
    </w:p>
    <w:p>
      <w:pPr>
        <w:pStyle w:val="ListBullet"/>
        <w:spacing w:after="80" w:line="276" w:lineRule="auto"/>
      </w:pPr>
      <w:r>
        <w:rPr>
          <w:rFonts w:ascii="Cambria" w:hAnsi="Cambria"/>
          <w:b w:val="0"/>
          <w:i w:val="0"/>
          <w:sz w:val="22"/>
        </w:rPr>
        <w:t>Develops Centres of Excellence (CoEs) and specialized research laboratories in frontier areas (AI, renewable energy, biotechnology, data science, sustainable development).</w:t>
      </w:r>
    </w:p>
    <w:p>
      <w:pPr>
        <w:pStyle w:val="ListBullet"/>
        <w:spacing w:after="80" w:line="276" w:lineRule="auto"/>
      </w:pPr>
      <w:r>
        <w:rPr>
          <w:rFonts w:ascii="Cambria" w:hAnsi="Cambria"/>
          <w:b w:val="0"/>
          <w:i w:val="0"/>
          <w:sz w:val="22"/>
        </w:rPr>
        <w:t>Ensures that infrastructure and equipment meet international standards.</w:t>
      </w:r>
    </w:p>
    <w:p>
      <w:pPr>
        <w:pStyle w:val="ListBullet"/>
        <w:spacing w:after="80" w:line="276" w:lineRule="auto"/>
      </w:pPr>
      <w:r>
        <w:rPr>
          <w:rFonts w:ascii="Cambria" w:hAnsi="Cambria"/>
          <w:b w:val="0"/>
          <w:i w:val="0"/>
          <w:sz w:val="22"/>
        </w:rPr>
        <w:t>Provides access to advanced research facilities for students, faculty, and external collaborators.</w:t>
      </w:r>
    </w:p>
    <w:p>
      <w:pPr>
        <w:pStyle w:val="Heading3"/>
      </w:pPr>
      <w:r>
        <w:rPr>
          <w:rFonts w:ascii="Cambria" w:hAnsi="Cambria"/>
          <w:b/>
          <w:color w:val="1F3A5F"/>
          <w:sz w:val="26"/>
        </w:rPr>
        <w:t>7. Strengthening Doctoral and Post-Doctoral Programs</w:t>
      </w:r>
    </w:p>
    <w:p>
      <w:pPr>
        <w:pStyle w:val="ListBullet"/>
        <w:spacing w:after="80" w:line="276" w:lineRule="auto"/>
      </w:pPr>
      <w:r>
        <w:rPr>
          <w:rFonts w:ascii="Cambria" w:hAnsi="Cambria"/>
          <w:b w:val="0"/>
          <w:i w:val="0"/>
          <w:sz w:val="22"/>
        </w:rPr>
        <w:t>Oversees the quality and governance of Ph.D. and post-doctoral fellowships.</w:t>
      </w:r>
    </w:p>
    <w:p>
      <w:pPr>
        <w:pStyle w:val="ListBullet"/>
        <w:spacing w:after="80" w:line="276" w:lineRule="auto"/>
      </w:pPr>
      <w:r>
        <w:rPr>
          <w:rFonts w:ascii="Cambria" w:hAnsi="Cambria"/>
          <w:b w:val="0"/>
          <w:i w:val="0"/>
          <w:sz w:val="22"/>
        </w:rPr>
        <w:t>Ensures robust mechanisms for supervision, evaluation, and training of research scholars.</w:t>
      </w:r>
    </w:p>
    <w:p>
      <w:pPr>
        <w:pStyle w:val="ListBullet"/>
        <w:spacing w:after="80" w:line="276" w:lineRule="auto"/>
      </w:pPr>
      <w:r>
        <w:rPr>
          <w:rFonts w:ascii="Cambria" w:hAnsi="Cambria"/>
          <w:b w:val="0"/>
          <w:i w:val="0"/>
          <w:sz w:val="22"/>
        </w:rPr>
        <w:t>Promotes scholar exchanges, fellowships, and mobility programs with international universities.</w:t>
      </w:r>
    </w:p>
    <w:p>
      <w:pPr>
        <w:pStyle w:val="Heading3"/>
      </w:pPr>
      <w:r>
        <w:rPr>
          <w:rFonts w:ascii="Cambria" w:hAnsi="Cambria"/>
          <w:b/>
          <w:color w:val="1F3A5F"/>
          <w:sz w:val="26"/>
        </w:rPr>
        <w:t>8. Monitoring, Quality Assurance, and Accreditation Alignment</w:t>
      </w:r>
    </w:p>
    <w:p>
      <w:pPr>
        <w:pStyle w:val="ListBullet"/>
        <w:spacing w:after="80" w:line="276" w:lineRule="auto"/>
      </w:pPr>
      <w:r>
        <w:rPr>
          <w:rFonts w:ascii="Cambria" w:hAnsi="Cambria"/>
          <w:b w:val="0"/>
          <w:i w:val="0"/>
          <w:sz w:val="22"/>
        </w:rPr>
        <w:t>Monitors institutional research performance using Key Performance Indicators (KPIs) such as publication count, citation index, patents filed, and funded projects.</w:t>
      </w:r>
    </w:p>
    <w:p>
      <w:pPr>
        <w:pStyle w:val="ListBullet"/>
        <w:spacing w:after="80" w:line="276" w:lineRule="auto"/>
      </w:pPr>
      <w:r>
        <w:rPr>
          <w:rFonts w:ascii="Cambria" w:hAnsi="Cambria"/>
          <w:b w:val="0"/>
          <w:i w:val="0"/>
          <w:sz w:val="22"/>
        </w:rPr>
        <w:t xml:space="preserve">Aligns research outcomes with NAAC (Criteria III </w:t>
      </w:r>
      <w:r>
        <w:rPr>
          <w:rFonts w:ascii="Cambria" w:hAnsi="Cambria"/>
          <w:b w:val="0"/>
          <w:i w:val="0"/>
          <w:sz w:val="22"/>
        </w:rPr>
        <w:t>– Research, Innovation &amp; Extension), NBA (program outcomes), NIRF (Research &amp; Professional Practice), and QS I-GAUGE (Research Impact).</w:t>
      </w:r>
    </w:p>
    <w:p>
      <w:pPr>
        <w:pStyle w:val="ListBullet"/>
        <w:spacing w:after="80" w:line="276" w:lineRule="auto"/>
      </w:pPr>
      <w:r>
        <w:rPr>
          <w:rFonts w:ascii="Cambria" w:hAnsi="Cambria"/>
          <w:b w:val="0"/>
          <w:i w:val="0"/>
          <w:sz w:val="22"/>
        </w:rPr>
        <w:t>Prepares periodic research reports and audits for governing councils and accreditation agencies.</w:t>
      </w:r>
    </w:p>
    <w:p>
      <w:pPr>
        <w:pStyle w:val="Heading3"/>
      </w:pPr>
      <w:r>
        <w:rPr>
          <w:rFonts w:ascii="Cambria" w:hAnsi="Cambria"/>
          <w:b/>
          <w:color w:val="1F3A5F"/>
          <w:sz w:val="26"/>
        </w:rPr>
        <w:t>9. Financial and Resource Mobilization</w:t>
      </w:r>
    </w:p>
    <w:p>
      <w:pPr>
        <w:pStyle w:val="ListBullet"/>
        <w:spacing w:after="80" w:line="276" w:lineRule="auto"/>
      </w:pPr>
      <w:r>
        <w:rPr>
          <w:rFonts w:ascii="Cambria" w:hAnsi="Cambria"/>
          <w:b w:val="0"/>
          <w:i w:val="0"/>
          <w:sz w:val="22"/>
        </w:rPr>
        <w:t>Prepares R&amp;D budgets and ensures efficient utilization of resources.</w:t>
      </w:r>
    </w:p>
    <w:p>
      <w:pPr>
        <w:pStyle w:val="ListBullet"/>
        <w:spacing w:after="80" w:line="276" w:lineRule="auto"/>
      </w:pPr>
      <w:r>
        <w:rPr>
          <w:rFonts w:ascii="Cambria" w:hAnsi="Cambria"/>
          <w:b w:val="0"/>
          <w:i w:val="0"/>
          <w:sz w:val="22"/>
        </w:rPr>
        <w:t>Mobilizes financial support from government, industry, alumni, philanthropists, and international collaborations.</w:t>
      </w:r>
    </w:p>
    <w:p>
      <w:pPr>
        <w:pStyle w:val="ListBullet"/>
        <w:spacing w:after="80" w:line="276" w:lineRule="auto"/>
      </w:pPr>
      <w:r>
        <w:rPr>
          <w:rFonts w:ascii="Cambria" w:hAnsi="Cambria"/>
          <w:b w:val="0"/>
          <w:i w:val="0"/>
          <w:sz w:val="22"/>
        </w:rPr>
        <w:t>Establishes endowments, chairs, and scholarships to support research activities.</w:t>
      </w:r>
    </w:p>
    <w:p>
      <w:pPr>
        <w:pStyle w:val="Heading3"/>
      </w:pPr>
      <w:r>
        <w:rPr>
          <w:rFonts w:ascii="Cambria" w:hAnsi="Cambria"/>
          <w:b/>
          <w:color w:val="1F3A5F"/>
          <w:sz w:val="26"/>
        </w:rPr>
        <w:t>10. Community Engagement and Societal Impact</w:t>
      </w:r>
    </w:p>
    <w:p>
      <w:pPr>
        <w:pStyle w:val="ListBullet"/>
        <w:spacing w:after="80" w:line="276" w:lineRule="auto"/>
      </w:pPr>
      <w:r>
        <w:rPr>
          <w:rFonts w:ascii="Cambria" w:hAnsi="Cambria"/>
          <w:b w:val="0"/>
          <w:i w:val="0"/>
          <w:sz w:val="22"/>
        </w:rPr>
        <w:t>Directs research efforts towards solving societal and community challenges, including health, education, environment, and sustainable development.</w:t>
      </w:r>
    </w:p>
    <w:p>
      <w:pPr>
        <w:pStyle w:val="ListBullet"/>
        <w:spacing w:after="80" w:line="276" w:lineRule="auto"/>
      </w:pPr>
      <w:r>
        <w:rPr>
          <w:rFonts w:ascii="Cambria" w:hAnsi="Cambria"/>
          <w:b w:val="0"/>
          <w:i w:val="0"/>
          <w:sz w:val="22"/>
        </w:rPr>
        <w:t>Promotes research-driven policy recommendations for government and NGOs.</w:t>
      </w:r>
    </w:p>
    <w:p>
      <w:pPr>
        <w:pStyle w:val="ListBullet"/>
        <w:spacing w:after="80" w:line="276" w:lineRule="auto"/>
      </w:pPr>
      <w:r>
        <w:rPr>
          <w:rFonts w:ascii="Cambria" w:hAnsi="Cambria"/>
          <w:b w:val="0"/>
          <w:i w:val="0"/>
          <w:sz w:val="22"/>
        </w:rPr>
        <w:t>Aligns research initiatives with the United Nations Sustainable Development Goals (SDGs), especially SDG-9 (Industry, Innovation &amp; Infrastructure) and SDG-11 (Sustainable Cities &amp; Communities).</w:t>
      </w:r>
    </w:p>
    <w:p>
      <w:pPr>
        <w:pStyle w:val="Heading3"/>
      </w:pPr>
      <w:r>
        <w:rPr>
          <w:rFonts w:ascii="Cambria" w:hAnsi="Cambria"/>
          <w:b/>
          <w:color w:val="1F3A5F"/>
          <w:sz w:val="26"/>
        </w:rPr>
        <w:t>11. Talent Development and Capacity Building</w:t>
      </w:r>
    </w:p>
    <w:p>
      <w:pPr>
        <w:pStyle w:val="ListBullet"/>
        <w:spacing w:after="80" w:line="276" w:lineRule="auto"/>
      </w:pPr>
      <w:r>
        <w:rPr>
          <w:rFonts w:ascii="Cambria" w:hAnsi="Cambria"/>
          <w:b w:val="0"/>
          <w:i w:val="0"/>
          <w:sz w:val="22"/>
        </w:rPr>
        <w:t>Conducts faculty development programs in research methodology, proposal writing, data analysis, and innovation management.</w:t>
      </w:r>
    </w:p>
    <w:p>
      <w:pPr>
        <w:pStyle w:val="ListBullet"/>
        <w:spacing w:after="80" w:line="276" w:lineRule="auto"/>
      </w:pPr>
      <w:r>
        <w:rPr>
          <w:rFonts w:ascii="Cambria" w:hAnsi="Cambria"/>
          <w:b w:val="0"/>
          <w:i w:val="0"/>
          <w:sz w:val="22"/>
        </w:rPr>
        <w:t>Encourages student research projects, hackathons, and innovation challenges.</w:t>
      </w:r>
    </w:p>
    <w:p>
      <w:pPr>
        <w:pStyle w:val="ListBullet"/>
        <w:spacing w:after="80" w:line="276" w:lineRule="auto"/>
      </w:pPr>
      <w:r>
        <w:rPr>
          <w:rFonts w:ascii="Cambria" w:hAnsi="Cambria"/>
          <w:b w:val="0"/>
          <w:i w:val="0"/>
          <w:sz w:val="22"/>
        </w:rPr>
        <w:t>Supports early-career researchers and young faculty through mentorship and seed funding opportunities.</w:t>
      </w:r>
    </w:p>
    <w:p>
      <w:pPr>
        <w:pStyle w:val="Heading3"/>
      </w:pPr>
      <w:r>
        <w:rPr>
          <w:rFonts w:ascii="Cambria" w:hAnsi="Cambria"/>
          <w:b/>
          <w:color w:val="1F3A5F"/>
          <w:sz w:val="26"/>
        </w:rPr>
        <w:t>12. Global Benchmarking and Competitiveness</w:t>
      </w:r>
    </w:p>
    <w:p>
      <w:pPr>
        <w:pStyle w:val="ListBullet"/>
        <w:spacing w:after="80" w:line="276" w:lineRule="auto"/>
      </w:pPr>
      <w:r>
        <w:rPr>
          <w:rFonts w:ascii="Cambria" w:hAnsi="Cambria"/>
          <w:b w:val="0"/>
          <w:i w:val="0"/>
          <w:sz w:val="22"/>
        </w:rPr>
        <w:t>Positions the university in global research rankings (QS, THE, ARWU).</w:t>
      </w:r>
    </w:p>
    <w:p>
      <w:pPr>
        <w:pStyle w:val="ListBullet"/>
        <w:spacing w:after="80" w:line="276" w:lineRule="auto"/>
      </w:pPr>
      <w:r>
        <w:rPr>
          <w:rFonts w:ascii="Cambria" w:hAnsi="Cambria"/>
          <w:b w:val="0"/>
          <w:i w:val="0"/>
          <w:sz w:val="22"/>
        </w:rPr>
        <w:t>Encourages international collaborations in research, joint publications, and exchange programs.</w:t>
      </w:r>
    </w:p>
    <w:p>
      <w:pPr>
        <w:pStyle w:val="ListBullet"/>
        <w:spacing w:after="80" w:line="276" w:lineRule="auto"/>
      </w:pPr>
      <w:r>
        <w:rPr>
          <w:rFonts w:ascii="Cambria" w:hAnsi="Cambria"/>
          <w:b w:val="0"/>
          <w:i w:val="0"/>
          <w:sz w:val="22"/>
        </w:rPr>
        <w:t>Ensures that the university is seen as a globally competitive research hub.</w:t>
      </w:r>
    </w:p>
    <w:p>
      <w:pPr>
        <w:spacing w:after="80" w:line="276" w:lineRule="auto"/>
      </w:pPr>
      <w:r>
        <w:rPr>
          <w:rFonts w:ascii="Cambria" w:hAnsi="Cambria"/>
          <w:b/>
          <w:i w:val="0"/>
          <w:sz w:val="23"/>
        </w:rPr>
        <w:t>Impact of the Dean – R&amp;D Role</w:t>
      </w:r>
    </w:p>
    <w:p>
      <w:pPr>
        <w:pStyle w:val="ListBullet"/>
        <w:spacing w:after="80" w:line="276" w:lineRule="auto"/>
      </w:pPr>
      <w:r>
        <w:rPr>
          <w:rFonts w:ascii="Cambria" w:hAnsi="Cambria"/>
          <w:b/>
          <w:i w:val="0"/>
          <w:sz w:val="22"/>
        </w:rPr>
        <w:t xml:space="preserve">For Students: </w:t>
      </w:r>
      <w:r>
        <w:rPr>
          <w:rFonts w:ascii="Cambria" w:hAnsi="Cambria"/>
          <w:b w:val="0"/>
          <w:i w:val="0"/>
          <w:sz w:val="22"/>
        </w:rPr>
        <w:t>Exposure to research opportunities, funded projects, and industry internships.</w:t>
      </w:r>
    </w:p>
    <w:p>
      <w:pPr>
        <w:pStyle w:val="ListBullet"/>
        <w:spacing w:after="80" w:line="276" w:lineRule="auto"/>
      </w:pPr>
      <w:r>
        <w:rPr>
          <w:rFonts w:ascii="Cambria" w:hAnsi="Cambria"/>
          <w:b/>
          <w:i w:val="0"/>
          <w:sz w:val="22"/>
        </w:rPr>
        <w:t xml:space="preserve">For Faculty: </w:t>
      </w:r>
      <w:r>
        <w:rPr>
          <w:rFonts w:ascii="Cambria" w:hAnsi="Cambria"/>
          <w:b w:val="0"/>
          <w:i w:val="0"/>
          <w:sz w:val="22"/>
        </w:rPr>
        <w:t>Support in research development, grant acquisition, and global collaboration.</w:t>
      </w:r>
    </w:p>
    <w:p>
      <w:pPr>
        <w:pStyle w:val="ListBullet"/>
        <w:spacing w:after="80" w:line="276" w:lineRule="auto"/>
      </w:pPr>
      <w:r>
        <w:rPr>
          <w:rFonts w:ascii="Cambria" w:hAnsi="Cambria"/>
          <w:b/>
          <w:i w:val="0"/>
          <w:sz w:val="22"/>
        </w:rPr>
        <w:t xml:space="preserve">For Institution: </w:t>
      </w:r>
      <w:r>
        <w:rPr>
          <w:rFonts w:ascii="Cambria" w:hAnsi="Cambria"/>
          <w:b w:val="0"/>
          <w:i w:val="0"/>
          <w:sz w:val="22"/>
        </w:rPr>
        <w:t>Enhanced academic reputation, accreditation success, and financial sustainability.</w:t>
      </w:r>
    </w:p>
    <w:p>
      <w:pPr>
        <w:pStyle w:val="ListBullet"/>
        <w:spacing w:after="80" w:line="276" w:lineRule="auto"/>
      </w:pPr>
      <w:r>
        <w:rPr>
          <w:rFonts w:ascii="Cambria" w:hAnsi="Cambria"/>
          <w:b/>
          <w:i w:val="0"/>
          <w:sz w:val="22"/>
        </w:rPr>
        <w:t xml:space="preserve">For Society: </w:t>
      </w:r>
      <w:r>
        <w:rPr>
          <w:rFonts w:ascii="Cambria" w:hAnsi="Cambria"/>
          <w:b w:val="0"/>
          <w:i w:val="0"/>
          <w:sz w:val="22"/>
        </w:rPr>
        <w:t>Solutions to real-world problems through impactful research and innovation.</w:t>
      </w:r>
    </w:p>
    <w:p>
      <w:r>
        <w:br w:type="page"/>
      </w:r>
    </w:p>
    <w:p>
      <w:pPr>
        <w:spacing w:after="120" w:line="276" w:lineRule="auto"/>
      </w:pPr>
      <w:r>
        <w:rPr>
          <w:rFonts w:ascii="Cambria" w:hAnsi="Cambria"/>
          <w:b/>
          <w:i w:val="0"/>
          <w:sz w:val="22"/>
        </w:rPr>
        <w:t>Responsibilities of the Dean – Research &amp; Development (R&amp;D)</w:t>
      </w:r>
    </w:p>
    <w:tbl>
      <w:tblPr>
        <w:tblStyle w:val="TableGrid"/>
        <w:tblW w:type="auto" w:w="0"/>
        <w:jc w:val="center"/>
        <w:tblLayout w:type="fixed"/>
        <w:tblLook w:firstColumn="1" w:firstRow="1" w:lastColumn="0" w:lastRow="0" w:noHBand="0" w:noVBand="1" w:val="04A0"/>
        <w:tblLayout w:type="fixed"/>
      </w:tblPr>
      <w:tblGrid>
        <w:gridCol w:w="2835"/>
        <w:gridCol w:w="6576"/>
      </w:tblGrid>
      <w:tr>
        <w:tc>
          <w:tcPr>
            <w:tcW w:type="dxa" w:w="2835"/>
          </w:tcPr>
          <w:p>
            <w:pPr>
              <w:spacing w:after="40" w:line="240" w:lineRule="auto"/>
              <w:jc w:val="left"/>
            </w:pPr>
            <w:r/>
            <w:r>
              <w:rPr>
                <w:rFonts w:ascii="Cambria" w:hAnsi="Cambria"/>
                <w:b/>
                <w:sz w:val="20"/>
              </w:rPr>
              <w:t>Category</w:t>
            </w:r>
          </w:p>
        </w:tc>
        <w:tc>
          <w:tcPr>
            <w:tcW w:type="dxa" w:w="6576"/>
          </w:tcPr>
          <w:p>
            <w:pPr>
              <w:spacing w:after="40" w:line="240" w:lineRule="auto"/>
              <w:jc w:val="left"/>
            </w:pPr>
            <w:r/>
            <w:r>
              <w:rPr>
                <w:rFonts w:ascii="Cambria" w:hAnsi="Cambria"/>
                <w:b/>
                <w:sz w:val="20"/>
              </w:rPr>
              <w:t>Responsibilities</w:t>
            </w:r>
          </w:p>
        </w:tc>
      </w:tr>
      <w:tr>
        <w:tc>
          <w:tcPr>
            <w:tcW w:type="dxa" w:w="2835"/>
          </w:tcPr>
          <w:p>
            <w:pPr>
              <w:spacing w:after="40" w:line="240" w:lineRule="auto"/>
              <w:jc w:val="left"/>
            </w:pPr>
            <w:r/>
            <w:r>
              <w:rPr>
                <w:rFonts w:ascii="Cambria" w:hAnsi="Cambria"/>
                <w:b w:val="0"/>
                <w:sz w:val="19"/>
              </w:rPr>
              <w:t>Strategic Research Leadership</w:t>
            </w:r>
          </w:p>
        </w:tc>
        <w:tc>
          <w:tcPr>
            <w:tcW w:type="dxa" w:w="6576"/>
          </w:tcPr>
          <w:p>
            <w:pPr>
              <w:spacing w:after="40" w:line="240" w:lineRule="auto"/>
              <w:jc w:val="left"/>
            </w:pPr>
            <w:r/>
            <w:r>
              <w:rPr>
                <w:rFonts w:ascii="Cambria" w:hAnsi="Cambria"/>
                <w:b w:val="0"/>
                <w:sz w:val="19"/>
              </w:rPr>
              <w:t>- Formulates institutional research vision and strategy.</w:t>
            </w:r>
          </w:p>
          <w:p>
            <w:pPr>
              <w:spacing w:after="40" w:line="240" w:lineRule="auto"/>
              <w:jc w:val="left"/>
            </w:pPr>
            <w:r>
              <w:rPr>
                <w:rFonts w:ascii="Cambria" w:hAnsi="Cambria"/>
                <w:b w:val="0"/>
                <w:sz w:val="19"/>
              </w:rPr>
              <w:t>- Encourages interdisciplinary and collaborative research.</w:t>
            </w:r>
          </w:p>
          <w:p>
            <w:pPr>
              <w:spacing w:after="40" w:line="240" w:lineRule="auto"/>
              <w:jc w:val="left"/>
            </w:pPr>
            <w:r>
              <w:rPr>
                <w:rFonts w:ascii="Cambria" w:hAnsi="Cambria"/>
                <w:b w:val="0"/>
                <w:sz w:val="19"/>
              </w:rPr>
              <w:t>- Develops policies on research ethics and integrity.</w:t>
            </w:r>
          </w:p>
        </w:tc>
      </w:tr>
      <w:tr>
        <w:tc>
          <w:tcPr>
            <w:tcW w:type="dxa" w:w="2835"/>
          </w:tcPr>
          <w:p>
            <w:pPr>
              <w:spacing w:after="40" w:line="240" w:lineRule="auto"/>
              <w:jc w:val="left"/>
            </w:pPr>
            <w:r/>
            <w:r>
              <w:rPr>
                <w:rFonts w:ascii="Cambria" w:hAnsi="Cambria"/>
                <w:b w:val="0"/>
                <w:sz w:val="19"/>
              </w:rPr>
              <w:t>Enhancing Research Output &amp; Visibility</w:t>
            </w:r>
          </w:p>
        </w:tc>
        <w:tc>
          <w:tcPr>
            <w:tcW w:type="dxa" w:w="6576"/>
          </w:tcPr>
          <w:p>
            <w:pPr>
              <w:spacing w:after="40" w:line="240" w:lineRule="auto"/>
              <w:jc w:val="left"/>
            </w:pPr>
            <w:r/>
            <w:r>
              <w:rPr>
                <w:rFonts w:ascii="Cambria" w:hAnsi="Cambria"/>
                <w:b w:val="0"/>
                <w:sz w:val="19"/>
              </w:rPr>
              <w:t>- Oversees publications, citations, and impact factor performance.</w:t>
            </w:r>
          </w:p>
          <w:p>
            <w:pPr>
              <w:spacing w:after="40" w:line="240" w:lineRule="auto"/>
              <w:jc w:val="left"/>
            </w:pPr>
            <w:r>
              <w:rPr>
                <w:rFonts w:ascii="Cambria" w:hAnsi="Cambria"/>
                <w:b w:val="0"/>
                <w:sz w:val="19"/>
              </w:rPr>
              <w:t>- Encourages publication in high-impact, indexed journals.</w:t>
            </w:r>
          </w:p>
          <w:p>
            <w:pPr>
              <w:spacing w:after="40" w:line="240" w:lineRule="auto"/>
              <w:jc w:val="left"/>
            </w:pPr>
            <w:r>
              <w:rPr>
                <w:rFonts w:ascii="Cambria" w:hAnsi="Cambria"/>
                <w:b w:val="0"/>
                <w:sz w:val="19"/>
              </w:rPr>
              <w:t>- Promotes books, monographs, and conference proceedings.</w:t>
            </w:r>
          </w:p>
        </w:tc>
      </w:tr>
      <w:tr>
        <w:tc>
          <w:tcPr>
            <w:tcW w:type="dxa" w:w="2835"/>
          </w:tcPr>
          <w:p>
            <w:pPr>
              <w:spacing w:after="40" w:line="240" w:lineRule="auto"/>
              <w:jc w:val="left"/>
            </w:pPr>
            <w:r/>
            <w:r>
              <w:rPr>
                <w:rFonts w:ascii="Cambria" w:hAnsi="Cambria"/>
                <w:b w:val="0"/>
                <w:sz w:val="19"/>
              </w:rPr>
              <w:t>Intellectual Property &amp; Technology Transfer</w:t>
            </w:r>
          </w:p>
        </w:tc>
        <w:tc>
          <w:tcPr>
            <w:tcW w:type="dxa" w:w="6576"/>
          </w:tcPr>
          <w:p>
            <w:pPr>
              <w:spacing w:after="40" w:line="240" w:lineRule="auto"/>
              <w:jc w:val="left"/>
            </w:pPr>
            <w:r/>
            <w:r>
              <w:rPr>
                <w:rFonts w:ascii="Cambria" w:hAnsi="Cambria"/>
                <w:b w:val="0"/>
                <w:sz w:val="19"/>
              </w:rPr>
              <w:t>- Promotes awareness of IPR, patents, and copyrights.</w:t>
            </w:r>
          </w:p>
          <w:p>
            <w:pPr>
              <w:spacing w:after="40" w:line="240" w:lineRule="auto"/>
              <w:jc w:val="left"/>
            </w:pPr>
            <w:r>
              <w:rPr>
                <w:rFonts w:ascii="Cambria" w:hAnsi="Cambria"/>
                <w:b w:val="0"/>
                <w:sz w:val="19"/>
              </w:rPr>
              <w:t>- Facilitates filing and commercialization of patents and trademarks.</w:t>
            </w:r>
          </w:p>
          <w:p>
            <w:pPr>
              <w:spacing w:after="40" w:line="240" w:lineRule="auto"/>
              <w:jc w:val="left"/>
            </w:pPr>
            <w:r>
              <w:rPr>
                <w:rFonts w:ascii="Cambria" w:hAnsi="Cambria"/>
                <w:b w:val="0"/>
                <w:sz w:val="19"/>
              </w:rPr>
              <w:t>- Oversees Technology Transfer Office (TTO) or Innovation Cell.</w:t>
            </w:r>
          </w:p>
        </w:tc>
      </w:tr>
      <w:tr>
        <w:tc>
          <w:tcPr>
            <w:tcW w:type="dxa" w:w="2835"/>
          </w:tcPr>
          <w:p>
            <w:pPr>
              <w:spacing w:after="40" w:line="240" w:lineRule="auto"/>
              <w:jc w:val="left"/>
            </w:pPr>
            <w:r/>
            <w:r>
              <w:rPr>
                <w:rFonts w:ascii="Cambria" w:hAnsi="Cambria"/>
                <w:b w:val="0"/>
                <w:sz w:val="19"/>
              </w:rPr>
              <w:t>Sponsored Research &amp; Grants</w:t>
            </w:r>
          </w:p>
        </w:tc>
        <w:tc>
          <w:tcPr>
            <w:tcW w:type="dxa" w:w="6576"/>
          </w:tcPr>
          <w:p>
            <w:pPr>
              <w:spacing w:after="40" w:line="240" w:lineRule="auto"/>
              <w:jc w:val="left"/>
            </w:pPr>
            <w:r/>
            <w:r>
              <w:rPr>
                <w:rFonts w:ascii="Cambria" w:hAnsi="Cambria"/>
                <w:b w:val="0"/>
                <w:sz w:val="19"/>
              </w:rPr>
              <w:t>- Secures funding from government agencies, CSR, and international bodies.</w:t>
            </w:r>
          </w:p>
          <w:p>
            <w:pPr>
              <w:spacing w:after="40" w:line="240" w:lineRule="auto"/>
              <w:jc w:val="left"/>
            </w:pPr>
            <w:r>
              <w:rPr>
                <w:rFonts w:ascii="Cambria" w:hAnsi="Cambria"/>
                <w:b w:val="0"/>
                <w:sz w:val="19"/>
              </w:rPr>
              <w:t>- Guides proposal writing, budgeting, and reporting.</w:t>
            </w:r>
          </w:p>
          <w:p>
            <w:pPr>
              <w:spacing w:after="40" w:line="240" w:lineRule="auto"/>
              <w:jc w:val="left"/>
            </w:pPr>
            <w:r>
              <w:rPr>
                <w:rFonts w:ascii="Cambria" w:hAnsi="Cambria"/>
                <w:b w:val="0"/>
                <w:sz w:val="19"/>
              </w:rPr>
              <w:t>- Tracks and monitors sponsored research projects.</w:t>
            </w:r>
          </w:p>
        </w:tc>
      </w:tr>
      <w:tr>
        <w:tc>
          <w:tcPr>
            <w:tcW w:type="dxa" w:w="2835"/>
          </w:tcPr>
          <w:p>
            <w:pPr>
              <w:spacing w:after="40" w:line="240" w:lineRule="auto"/>
              <w:jc w:val="left"/>
            </w:pPr>
            <w:r/>
            <w:r>
              <w:rPr>
                <w:rFonts w:ascii="Cambria" w:hAnsi="Cambria"/>
                <w:b w:val="0"/>
                <w:sz w:val="19"/>
              </w:rPr>
              <w:t>Consultancy &amp; Industry Collaboration</w:t>
            </w:r>
          </w:p>
        </w:tc>
        <w:tc>
          <w:tcPr>
            <w:tcW w:type="dxa" w:w="6576"/>
          </w:tcPr>
          <w:p>
            <w:pPr>
              <w:spacing w:after="40" w:line="240" w:lineRule="auto"/>
              <w:jc w:val="left"/>
            </w:pPr>
            <w:r/>
            <w:r>
              <w:rPr>
                <w:rFonts w:ascii="Cambria" w:hAnsi="Cambria"/>
                <w:b w:val="0"/>
                <w:sz w:val="19"/>
              </w:rPr>
              <w:t>- Builds partnerships with industry and research labs.</w:t>
            </w:r>
          </w:p>
          <w:p>
            <w:pPr>
              <w:spacing w:after="40" w:line="240" w:lineRule="auto"/>
              <w:jc w:val="left"/>
            </w:pPr>
            <w:r>
              <w:rPr>
                <w:rFonts w:ascii="Cambria" w:hAnsi="Cambria"/>
                <w:b w:val="0"/>
                <w:sz w:val="19"/>
              </w:rPr>
              <w:t>- Facilitates consultancy, MoUs, and joint projects.</w:t>
            </w:r>
          </w:p>
          <w:p>
            <w:pPr>
              <w:spacing w:after="40" w:line="240" w:lineRule="auto"/>
              <w:jc w:val="left"/>
            </w:pPr>
            <w:r>
              <w:rPr>
                <w:rFonts w:ascii="Cambria" w:hAnsi="Cambria"/>
                <w:b w:val="0"/>
                <w:sz w:val="19"/>
              </w:rPr>
              <w:t>- Promotes incubation, start-ups, and entrepreneurship.</w:t>
            </w:r>
          </w:p>
        </w:tc>
      </w:tr>
      <w:tr>
        <w:tc>
          <w:tcPr>
            <w:tcW w:type="dxa" w:w="2835"/>
          </w:tcPr>
          <w:p>
            <w:pPr>
              <w:spacing w:after="40" w:line="240" w:lineRule="auto"/>
              <w:jc w:val="left"/>
            </w:pPr>
            <w:r/>
            <w:r>
              <w:rPr>
                <w:rFonts w:ascii="Cambria" w:hAnsi="Cambria"/>
                <w:b w:val="0"/>
                <w:sz w:val="19"/>
              </w:rPr>
              <w:t>R&amp;D Centres &amp; Infrastructure</w:t>
            </w:r>
          </w:p>
        </w:tc>
        <w:tc>
          <w:tcPr>
            <w:tcW w:type="dxa" w:w="6576"/>
          </w:tcPr>
          <w:p>
            <w:pPr>
              <w:spacing w:after="40" w:line="240" w:lineRule="auto"/>
              <w:jc w:val="left"/>
            </w:pPr>
            <w:r/>
            <w:r>
              <w:rPr>
                <w:rFonts w:ascii="Cambria" w:hAnsi="Cambria"/>
                <w:b w:val="0"/>
                <w:sz w:val="19"/>
              </w:rPr>
              <w:t>- Establishes Centres of Excellence (CoEs) and labs.</w:t>
            </w:r>
          </w:p>
          <w:p>
            <w:pPr>
              <w:spacing w:after="40" w:line="240" w:lineRule="auto"/>
              <w:jc w:val="left"/>
            </w:pPr>
            <w:r>
              <w:rPr>
                <w:rFonts w:ascii="Cambria" w:hAnsi="Cambria"/>
                <w:b w:val="0"/>
                <w:sz w:val="19"/>
              </w:rPr>
              <w:t>- Provides access to state-of-the-art research facilities.</w:t>
            </w:r>
          </w:p>
          <w:p>
            <w:pPr>
              <w:spacing w:after="40" w:line="240" w:lineRule="auto"/>
              <w:jc w:val="left"/>
            </w:pPr>
            <w:r>
              <w:rPr>
                <w:rFonts w:ascii="Cambria" w:hAnsi="Cambria"/>
                <w:b w:val="0"/>
                <w:sz w:val="19"/>
              </w:rPr>
              <w:t>- Oversees interdisciplinary research hubs and clusters.</w:t>
            </w:r>
          </w:p>
        </w:tc>
      </w:tr>
      <w:tr>
        <w:tc>
          <w:tcPr>
            <w:tcW w:type="dxa" w:w="2835"/>
          </w:tcPr>
          <w:p>
            <w:pPr>
              <w:spacing w:after="40" w:line="240" w:lineRule="auto"/>
              <w:jc w:val="left"/>
            </w:pPr>
            <w:r/>
            <w:r>
              <w:rPr>
                <w:rFonts w:ascii="Cambria" w:hAnsi="Cambria"/>
                <w:b w:val="0"/>
                <w:sz w:val="19"/>
              </w:rPr>
              <w:t>Doctoral &amp; Post-Doctoral Programs</w:t>
            </w:r>
          </w:p>
        </w:tc>
        <w:tc>
          <w:tcPr>
            <w:tcW w:type="dxa" w:w="6576"/>
          </w:tcPr>
          <w:p>
            <w:pPr>
              <w:spacing w:after="40" w:line="240" w:lineRule="auto"/>
              <w:jc w:val="left"/>
            </w:pPr>
            <w:r/>
            <w:r>
              <w:rPr>
                <w:rFonts w:ascii="Cambria" w:hAnsi="Cambria"/>
                <w:b w:val="0"/>
                <w:sz w:val="19"/>
              </w:rPr>
              <w:t>- Oversees Ph.D. and post-doctoral fellowships.</w:t>
            </w:r>
          </w:p>
          <w:p>
            <w:pPr>
              <w:spacing w:after="40" w:line="240" w:lineRule="auto"/>
              <w:jc w:val="left"/>
            </w:pPr>
            <w:r>
              <w:rPr>
                <w:rFonts w:ascii="Cambria" w:hAnsi="Cambria"/>
                <w:b w:val="0"/>
                <w:sz w:val="19"/>
              </w:rPr>
              <w:t>- Ensures robust mechanisms for supervision and training.</w:t>
            </w:r>
          </w:p>
          <w:p>
            <w:pPr>
              <w:spacing w:after="40" w:line="240" w:lineRule="auto"/>
              <w:jc w:val="left"/>
            </w:pPr>
            <w:r>
              <w:rPr>
                <w:rFonts w:ascii="Cambria" w:hAnsi="Cambria"/>
                <w:b w:val="0"/>
                <w:sz w:val="19"/>
              </w:rPr>
              <w:t>- Promotes scholar exchanges and international fellowships.</w:t>
            </w:r>
          </w:p>
        </w:tc>
      </w:tr>
      <w:tr>
        <w:tc>
          <w:tcPr>
            <w:tcW w:type="dxa" w:w="2835"/>
          </w:tcPr>
          <w:p>
            <w:pPr>
              <w:spacing w:after="40" w:line="240" w:lineRule="auto"/>
              <w:jc w:val="left"/>
            </w:pPr>
            <w:r/>
            <w:r>
              <w:rPr>
                <w:rFonts w:ascii="Cambria" w:hAnsi="Cambria"/>
                <w:b w:val="0"/>
                <w:sz w:val="19"/>
              </w:rPr>
              <w:t>Monitoring, QA &amp; Accreditation Alignment</w:t>
            </w:r>
          </w:p>
        </w:tc>
        <w:tc>
          <w:tcPr>
            <w:tcW w:type="dxa" w:w="6576"/>
          </w:tcPr>
          <w:p>
            <w:pPr>
              <w:spacing w:after="40" w:line="240" w:lineRule="auto"/>
              <w:jc w:val="left"/>
            </w:pPr>
            <w:r/>
            <w:r>
              <w:rPr>
                <w:rFonts w:ascii="Cambria" w:hAnsi="Cambria"/>
                <w:b w:val="0"/>
                <w:sz w:val="19"/>
              </w:rPr>
              <w:t>- Tracks KPIs (publications, patents, citations, grants).</w:t>
            </w:r>
          </w:p>
          <w:p>
            <w:pPr>
              <w:spacing w:after="40" w:line="240" w:lineRule="auto"/>
              <w:jc w:val="left"/>
            </w:pPr>
            <w:r>
              <w:rPr>
                <w:rFonts w:ascii="Cambria" w:hAnsi="Cambria"/>
                <w:b w:val="0"/>
                <w:sz w:val="19"/>
              </w:rPr>
              <w:t>- Aligns research with NAAC, NBA, NIRF, and QS I-GAUGE benchmarks.</w:t>
            </w:r>
          </w:p>
          <w:p>
            <w:pPr>
              <w:spacing w:after="40" w:line="240" w:lineRule="auto"/>
              <w:jc w:val="left"/>
            </w:pPr>
            <w:r>
              <w:rPr>
                <w:rFonts w:ascii="Cambria" w:hAnsi="Cambria"/>
                <w:b w:val="0"/>
                <w:sz w:val="19"/>
              </w:rPr>
              <w:t>- Prepares reports and audits for accreditation.</w:t>
            </w:r>
          </w:p>
        </w:tc>
      </w:tr>
      <w:tr>
        <w:tc>
          <w:tcPr>
            <w:tcW w:type="dxa" w:w="2835"/>
          </w:tcPr>
          <w:p>
            <w:pPr>
              <w:spacing w:after="40" w:line="240" w:lineRule="auto"/>
              <w:jc w:val="left"/>
            </w:pPr>
            <w:r/>
            <w:r>
              <w:rPr>
                <w:rFonts w:ascii="Cambria" w:hAnsi="Cambria"/>
                <w:b w:val="0"/>
                <w:sz w:val="19"/>
              </w:rPr>
              <w:t>Financial &amp; Resource Mobilization</w:t>
            </w:r>
          </w:p>
        </w:tc>
        <w:tc>
          <w:tcPr>
            <w:tcW w:type="dxa" w:w="6576"/>
          </w:tcPr>
          <w:p>
            <w:pPr>
              <w:spacing w:after="40" w:line="240" w:lineRule="auto"/>
              <w:jc w:val="left"/>
            </w:pPr>
            <w:r/>
            <w:r>
              <w:rPr>
                <w:rFonts w:ascii="Cambria" w:hAnsi="Cambria"/>
                <w:b w:val="0"/>
                <w:sz w:val="19"/>
              </w:rPr>
              <w:t>- Prepares R&amp;D budgets and allocates resources.</w:t>
            </w:r>
          </w:p>
          <w:p>
            <w:pPr>
              <w:spacing w:after="40" w:line="240" w:lineRule="auto"/>
              <w:jc w:val="left"/>
            </w:pPr>
            <w:r>
              <w:rPr>
                <w:rFonts w:ascii="Cambria" w:hAnsi="Cambria"/>
                <w:b w:val="0"/>
                <w:sz w:val="19"/>
              </w:rPr>
              <w:t>- Mobilizes funding from government, industry, and alumni.</w:t>
            </w:r>
          </w:p>
          <w:p>
            <w:pPr>
              <w:spacing w:after="40" w:line="240" w:lineRule="auto"/>
              <w:jc w:val="left"/>
            </w:pPr>
            <w:r>
              <w:rPr>
                <w:rFonts w:ascii="Cambria" w:hAnsi="Cambria"/>
                <w:b w:val="0"/>
                <w:sz w:val="19"/>
              </w:rPr>
              <w:t>- Establishes endowments, research chairs, and scholarships.</w:t>
            </w:r>
          </w:p>
        </w:tc>
      </w:tr>
      <w:tr>
        <w:tc>
          <w:tcPr>
            <w:tcW w:type="dxa" w:w="2835"/>
          </w:tcPr>
          <w:p>
            <w:pPr>
              <w:spacing w:after="40" w:line="240" w:lineRule="auto"/>
              <w:jc w:val="left"/>
            </w:pPr>
            <w:r/>
            <w:r>
              <w:rPr>
                <w:rFonts w:ascii="Cambria" w:hAnsi="Cambria"/>
                <w:b w:val="0"/>
                <w:sz w:val="19"/>
              </w:rPr>
              <w:t>Community Engagement &amp; Societal Impact</w:t>
            </w:r>
          </w:p>
        </w:tc>
        <w:tc>
          <w:tcPr>
            <w:tcW w:type="dxa" w:w="6576"/>
          </w:tcPr>
          <w:p>
            <w:pPr>
              <w:spacing w:after="40" w:line="240" w:lineRule="auto"/>
              <w:jc w:val="left"/>
            </w:pPr>
            <w:r/>
            <w:r>
              <w:rPr>
                <w:rFonts w:ascii="Cambria" w:hAnsi="Cambria"/>
                <w:b w:val="0"/>
                <w:sz w:val="19"/>
              </w:rPr>
              <w:t>- Directs research toward societal challenges.</w:t>
            </w:r>
          </w:p>
          <w:p>
            <w:pPr>
              <w:spacing w:after="40" w:line="240" w:lineRule="auto"/>
              <w:jc w:val="left"/>
            </w:pPr>
            <w:r>
              <w:rPr>
                <w:rFonts w:ascii="Cambria" w:hAnsi="Cambria"/>
                <w:b w:val="0"/>
                <w:sz w:val="19"/>
              </w:rPr>
              <w:t>- Provides research-driven policy recommendations.</w:t>
            </w:r>
          </w:p>
          <w:p>
            <w:pPr>
              <w:spacing w:after="40" w:line="240" w:lineRule="auto"/>
              <w:jc w:val="left"/>
            </w:pPr>
            <w:r>
              <w:rPr>
                <w:rFonts w:ascii="Cambria" w:hAnsi="Cambria"/>
                <w:b w:val="0"/>
                <w:sz w:val="19"/>
              </w:rPr>
              <w:t>- Aligns research initiatives with SDGs.</w:t>
            </w:r>
          </w:p>
        </w:tc>
      </w:tr>
    </w:tbl>
    <w:p>
      <w:pPr>
        <w:spacing w:after="40"/>
      </w:pPr>
    </w:p>
    <w:p>
      <w:r>
        <w:br w:type="page"/>
      </w:r>
    </w:p>
    <w:tbl>
      <w:tblPr>
        <w:tblStyle w:val="TableGrid"/>
        <w:tblW w:type="auto" w:w="0"/>
        <w:jc w:val="center"/>
        <w:tblLayout w:type="fixed"/>
        <w:tblLook w:firstColumn="1" w:firstRow="1" w:lastColumn="0" w:lastRow="0" w:noHBand="0" w:noVBand="1" w:val="04A0"/>
        <w:tblLayout w:type="fixed"/>
      </w:tblPr>
      <w:tblGrid>
        <w:gridCol w:w="2835"/>
        <w:gridCol w:w="6576"/>
      </w:tblGrid>
      <w:tr>
        <w:tc>
          <w:tcPr>
            <w:tcW w:type="dxa" w:w="2835"/>
          </w:tcPr>
          <w:p>
            <w:pPr>
              <w:spacing w:after="40" w:line="240" w:lineRule="auto"/>
              <w:jc w:val="left"/>
            </w:pPr>
            <w:r/>
            <w:r>
              <w:rPr>
                <w:rFonts w:ascii="Cambria" w:hAnsi="Cambria"/>
                <w:b/>
                <w:sz w:val="20"/>
              </w:rPr>
              <w:t>Category</w:t>
            </w:r>
          </w:p>
        </w:tc>
        <w:tc>
          <w:tcPr>
            <w:tcW w:type="dxa" w:w="6576"/>
          </w:tcPr>
          <w:p>
            <w:pPr>
              <w:spacing w:after="40" w:line="240" w:lineRule="auto"/>
              <w:jc w:val="left"/>
            </w:pPr>
            <w:r/>
            <w:r>
              <w:rPr>
                <w:rFonts w:ascii="Cambria" w:hAnsi="Cambria"/>
                <w:b/>
                <w:sz w:val="20"/>
              </w:rPr>
              <w:t>Responsibilities</w:t>
            </w:r>
          </w:p>
        </w:tc>
      </w:tr>
      <w:tr>
        <w:tc>
          <w:tcPr>
            <w:tcW w:type="dxa" w:w="2835"/>
          </w:tcPr>
          <w:p>
            <w:pPr>
              <w:spacing w:after="40" w:line="240" w:lineRule="auto"/>
              <w:jc w:val="left"/>
            </w:pPr>
            <w:r/>
            <w:r>
              <w:rPr>
                <w:rFonts w:ascii="Cambria" w:hAnsi="Cambria"/>
                <w:b w:val="0"/>
                <w:sz w:val="19"/>
              </w:rPr>
              <w:t>Talent Development &amp; Capacity Building</w:t>
            </w:r>
          </w:p>
        </w:tc>
        <w:tc>
          <w:tcPr>
            <w:tcW w:type="dxa" w:w="6576"/>
          </w:tcPr>
          <w:p>
            <w:pPr>
              <w:spacing w:after="40" w:line="240" w:lineRule="auto"/>
              <w:jc w:val="left"/>
            </w:pPr>
            <w:r/>
            <w:r>
              <w:rPr>
                <w:rFonts w:ascii="Cambria" w:hAnsi="Cambria"/>
                <w:b w:val="0"/>
                <w:sz w:val="19"/>
              </w:rPr>
              <w:t>- Organizes faculty development programs in research skills.</w:t>
            </w:r>
          </w:p>
          <w:p>
            <w:pPr>
              <w:spacing w:after="40" w:line="240" w:lineRule="auto"/>
              <w:jc w:val="left"/>
            </w:pPr>
            <w:r>
              <w:rPr>
                <w:rFonts w:ascii="Cambria" w:hAnsi="Cambria"/>
                <w:b w:val="0"/>
                <w:sz w:val="19"/>
              </w:rPr>
              <w:t>- Encourages student research projects, hackathons, and innovation challenges.</w:t>
            </w:r>
          </w:p>
          <w:p>
            <w:pPr>
              <w:spacing w:after="40" w:line="240" w:lineRule="auto"/>
              <w:jc w:val="left"/>
            </w:pPr>
            <w:r>
              <w:rPr>
                <w:rFonts w:ascii="Cambria" w:hAnsi="Cambria"/>
                <w:b w:val="0"/>
                <w:sz w:val="19"/>
              </w:rPr>
              <w:t>- Supports young researchers with mentorship and seed funding.</w:t>
            </w:r>
          </w:p>
        </w:tc>
      </w:tr>
      <w:tr>
        <w:tc>
          <w:tcPr>
            <w:tcW w:type="dxa" w:w="2835"/>
          </w:tcPr>
          <w:p>
            <w:pPr>
              <w:spacing w:after="40" w:line="240" w:lineRule="auto"/>
              <w:jc w:val="left"/>
            </w:pPr>
            <w:r/>
            <w:r>
              <w:rPr>
                <w:rFonts w:ascii="Cambria" w:hAnsi="Cambria"/>
                <w:b w:val="0"/>
                <w:sz w:val="19"/>
              </w:rPr>
              <w:t>Global Benchmarking &amp; Competitiveness</w:t>
            </w:r>
          </w:p>
        </w:tc>
        <w:tc>
          <w:tcPr>
            <w:tcW w:type="dxa" w:w="6576"/>
          </w:tcPr>
          <w:p>
            <w:pPr>
              <w:spacing w:after="40" w:line="240" w:lineRule="auto"/>
              <w:jc w:val="left"/>
            </w:pPr>
            <w:r/>
            <w:r>
              <w:rPr>
                <w:rFonts w:ascii="Cambria" w:hAnsi="Cambria"/>
                <w:b w:val="0"/>
                <w:sz w:val="19"/>
              </w:rPr>
              <w:t>- Positions the university in global research rankings (QS, THE, ARWU).</w:t>
            </w:r>
          </w:p>
          <w:p>
            <w:pPr>
              <w:spacing w:after="40" w:line="240" w:lineRule="auto"/>
              <w:jc w:val="left"/>
            </w:pPr>
            <w:r>
              <w:rPr>
                <w:rFonts w:ascii="Cambria" w:hAnsi="Cambria"/>
                <w:b w:val="0"/>
                <w:sz w:val="19"/>
              </w:rPr>
              <w:t>- Promotes international collaborations and joint publications.</w:t>
            </w:r>
          </w:p>
          <w:p>
            <w:pPr>
              <w:spacing w:after="40" w:line="240" w:lineRule="auto"/>
              <w:jc w:val="left"/>
            </w:pPr>
            <w:r>
              <w:rPr>
                <w:rFonts w:ascii="Cambria" w:hAnsi="Cambria"/>
                <w:b w:val="0"/>
                <w:sz w:val="19"/>
              </w:rPr>
              <w:t>- Strengthens reputation as a globally competitive research hub.</w:t>
            </w:r>
          </w:p>
        </w:tc>
      </w:tr>
    </w:tbl>
    <w:p>
      <w:pPr>
        <w:spacing w:after="40"/>
      </w:pPr>
    </w:p>
    <w:p>
      <w:pPr>
        <w:pStyle w:val="Heading1"/>
      </w:pPr>
      <w:r>
        <w:rPr>
          <w:rFonts w:ascii="Cambria" w:hAnsi="Cambria"/>
          <w:b/>
          <w:color w:val="1F3A5F"/>
          <w:sz w:val="36"/>
        </w:rPr>
        <w:t>4. Core Competencies of the Dean of Research &amp; Development (R&amp;D)</w:t>
      </w:r>
    </w:p>
    <w:p>
      <w:pPr>
        <w:spacing w:after="160" w:line="276" w:lineRule="auto"/>
        <w:jc w:val="both"/>
      </w:pPr>
      <w:r>
        <w:rPr>
          <w:rFonts w:ascii="Cambria" w:hAnsi="Cambria"/>
          <w:b w:val="0"/>
          <w:i w:val="0"/>
          <w:sz w:val="22"/>
        </w:rPr>
        <w:t>The Dean of Research &amp; Development (R&amp;D) must possess a unique blend of academic expertise, administrative acumen, and visionary leadership to successfully drive the research agenda of a university. These core competencies enable the Dean to balance institutional priorities with global research trends, ensuring sustained academic growth, innovation, and societal impact.</w:t>
      </w:r>
    </w:p>
    <w:p>
      <w:pPr>
        <w:pStyle w:val="Heading3"/>
      </w:pPr>
      <w:r>
        <w:rPr>
          <w:rFonts w:ascii="Cambria" w:hAnsi="Cambria"/>
          <w:b/>
          <w:color w:val="1F3A5F"/>
          <w:sz w:val="26"/>
        </w:rPr>
        <w:t>1. Visionary and Strategic Leadership</w:t>
      </w:r>
    </w:p>
    <w:p>
      <w:pPr>
        <w:pStyle w:val="ListBullet"/>
        <w:spacing w:after="80" w:line="276" w:lineRule="auto"/>
      </w:pPr>
      <w:r>
        <w:rPr>
          <w:rFonts w:ascii="Cambria" w:hAnsi="Cambria"/>
          <w:b w:val="0"/>
          <w:i w:val="0"/>
          <w:sz w:val="22"/>
        </w:rPr>
        <w:t>Ability to design and implement a long-term research vision aligned with institutional goals and global trends.</w:t>
      </w:r>
    </w:p>
    <w:p>
      <w:pPr>
        <w:pStyle w:val="ListBullet"/>
        <w:spacing w:after="80" w:line="276" w:lineRule="auto"/>
      </w:pPr>
      <w:r>
        <w:rPr>
          <w:rFonts w:ascii="Cambria" w:hAnsi="Cambria"/>
          <w:b w:val="0"/>
          <w:i w:val="0"/>
          <w:sz w:val="22"/>
        </w:rPr>
        <w:t>Strong capacity for strategic planning, policy formulation, and resource allocation for research initiatives.</w:t>
      </w:r>
    </w:p>
    <w:p>
      <w:pPr>
        <w:pStyle w:val="ListBullet"/>
        <w:spacing w:after="80" w:line="276" w:lineRule="auto"/>
      </w:pPr>
      <w:r>
        <w:rPr>
          <w:rFonts w:ascii="Cambria" w:hAnsi="Cambria"/>
          <w:b w:val="0"/>
          <w:i w:val="0"/>
          <w:sz w:val="22"/>
        </w:rPr>
        <w:t>Skilled in aligning research priorities with national missions and international benchmarks (NAAC, NBA, NIRF, QS I-GAUGE).</w:t>
      </w:r>
    </w:p>
    <w:p>
      <w:pPr>
        <w:pStyle w:val="Heading3"/>
      </w:pPr>
      <w:r>
        <w:rPr>
          <w:rFonts w:ascii="Cambria" w:hAnsi="Cambria"/>
          <w:b/>
          <w:color w:val="1F3A5F"/>
          <w:sz w:val="26"/>
        </w:rPr>
        <w:t>2. Research and Academic Excellence</w:t>
      </w:r>
    </w:p>
    <w:p>
      <w:pPr>
        <w:pStyle w:val="ListBullet"/>
        <w:spacing w:after="80" w:line="276" w:lineRule="auto"/>
      </w:pPr>
      <w:r>
        <w:rPr>
          <w:rFonts w:ascii="Cambria" w:hAnsi="Cambria"/>
          <w:b w:val="0"/>
          <w:i w:val="0"/>
          <w:sz w:val="22"/>
        </w:rPr>
        <w:t>Demonstrated expertise and a strong publication record in a specialized research domain.</w:t>
      </w:r>
    </w:p>
    <w:p>
      <w:pPr>
        <w:pStyle w:val="ListBullet"/>
        <w:spacing w:after="80" w:line="276" w:lineRule="auto"/>
      </w:pPr>
      <w:r>
        <w:rPr>
          <w:rFonts w:ascii="Cambria" w:hAnsi="Cambria"/>
          <w:b w:val="0"/>
          <w:i w:val="0"/>
          <w:sz w:val="22"/>
        </w:rPr>
        <w:t>In-depth understanding of research methodologies, academic publishing, and citation metrics (Impact Factor, h-index, Scopus/WoS indexing).</w:t>
      </w:r>
    </w:p>
    <w:p>
      <w:pPr>
        <w:pStyle w:val="ListBullet"/>
        <w:spacing w:after="80" w:line="276" w:lineRule="auto"/>
      </w:pPr>
      <w:r>
        <w:rPr>
          <w:rFonts w:ascii="Cambria" w:hAnsi="Cambria"/>
          <w:b w:val="0"/>
          <w:i w:val="0"/>
          <w:sz w:val="22"/>
        </w:rPr>
        <w:t>Ability to mentor faculty and scholars toward high-quality, high-impact research output.</w:t>
      </w:r>
    </w:p>
    <w:p>
      <w:pPr>
        <w:pStyle w:val="Heading3"/>
      </w:pPr>
      <w:r>
        <w:rPr>
          <w:rFonts w:ascii="Cambria" w:hAnsi="Cambria"/>
          <w:b/>
          <w:color w:val="1F3A5F"/>
          <w:sz w:val="26"/>
        </w:rPr>
        <w:t>3. Innovation and Entrepreneurial Mindset</w:t>
      </w:r>
    </w:p>
    <w:p>
      <w:pPr>
        <w:pStyle w:val="ListBullet"/>
        <w:spacing w:after="80" w:line="276" w:lineRule="auto"/>
      </w:pPr>
      <w:r>
        <w:rPr>
          <w:rFonts w:ascii="Cambria" w:hAnsi="Cambria"/>
          <w:b w:val="0"/>
          <w:i w:val="0"/>
          <w:sz w:val="22"/>
        </w:rPr>
        <w:t>Strong orientation toward fostering innovation, intellectual property creation, and technology transfer.</w:t>
      </w:r>
    </w:p>
    <w:p>
      <w:pPr>
        <w:pStyle w:val="ListBullet"/>
        <w:spacing w:after="80" w:line="276" w:lineRule="auto"/>
      </w:pPr>
      <w:r>
        <w:rPr>
          <w:rFonts w:ascii="Cambria" w:hAnsi="Cambria"/>
          <w:b w:val="0"/>
          <w:i w:val="0"/>
          <w:sz w:val="22"/>
        </w:rPr>
        <w:t>Ability to build incubation centres, start-up ecosystems, and industry-academia partnerships.</w:t>
      </w:r>
    </w:p>
    <w:p>
      <w:pPr>
        <w:pStyle w:val="ListBullet"/>
        <w:spacing w:after="80" w:line="276" w:lineRule="auto"/>
      </w:pPr>
      <w:r>
        <w:rPr>
          <w:rFonts w:ascii="Cambria" w:hAnsi="Cambria"/>
          <w:b w:val="0"/>
          <w:i w:val="0"/>
          <w:sz w:val="22"/>
        </w:rPr>
        <w:t>Encourages a culture of problem-solving and applied research with real-world impact.</w:t>
      </w:r>
    </w:p>
    <w:p>
      <w:pPr>
        <w:pStyle w:val="Heading3"/>
      </w:pPr>
      <w:r>
        <w:rPr>
          <w:rFonts w:ascii="Cambria" w:hAnsi="Cambria"/>
          <w:b/>
          <w:color w:val="1F3A5F"/>
          <w:sz w:val="26"/>
        </w:rPr>
        <w:t>4. Financial and Resource Management</w:t>
      </w:r>
    </w:p>
    <w:p>
      <w:pPr>
        <w:pStyle w:val="ListBullet"/>
        <w:spacing w:after="80" w:line="276" w:lineRule="auto"/>
      </w:pPr>
      <w:r>
        <w:rPr>
          <w:rFonts w:ascii="Cambria" w:hAnsi="Cambria"/>
          <w:b w:val="0"/>
          <w:i w:val="0"/>
          <w:sz w:val="22"/>
        </w:rPr>
        <w:t>Competence in mobilizing funding from government agencies, industry, CSR initiatives, and international bodies.</w:t>
      </w:r>
    </w:p>
    <w:p>
      <w:pPr>
        <w:pStyle w:val="ListBullet"/>
        <w:spacing w:after="80" w:line="276" w:lineRule="auto"/>
      </w:pPr>
      <w:r>
        <w:rPr>
          <w:rFonts w:ascii="Cambria" w:hAnsi="Cambria"/>
          <w:b w:val="0"/>
          <w:i w:val="0"/>
          <w:sz w:val="22"/>
        </w:rPr>
        <w:t>Skilled in budgeting, financial planning, and ensuring transparent utilization of research grants.</w:t>
      </w:r>
    </w:p>
    <w:p>
      <w:pPr>
        <w:pStyle w:val="ListBullet"/>
        <w:spacing w:after="80" w:line="276" w:lineRule="auto"/>
      </w:pPr>
      <w:r>
        <w:rPr>
          <w:rFonts w:ascii="Cambria" w:hAnsi="Cambria"/>
          <w:b w:val="0"/>
          <w:i w:val="0"/>
          <w:sz w:val="22"/>
        </w:rPr>
        <w:t>Capacity to establish sustainable funding mechanisms such as endowments and research chairs.</w:t>
      </w:r>
    </w:p>
    <w:p>
      <w:pPr>
        <w:pStyle w:val="Heading3"/>
      </w:pPr>
      <w:r>
        <w:rPr>
          <w:rFonts w:ascii="Cambria" w:hAnsi="Cambria"/>
          <w:b/>
          <w:color w:val="1F3A5F"/>
          <w:sz w:val="26"/>
        </w:rPr>
        <w:t>5. Networking and Relationship Building</w:t>
      </w:r>
    </w:p>
    <w:p>
      <w:pPr>
        <w:pStyle w:val="ListBullet"/>
        <w:spacing w:after="80" w:line="276" w:lineRule="auto"/>
      </w:pPr>
      <w:r>
        <w:rPr>
          <w:rFonts w:ascii="Cambria" w:hAnsi="Cambria"/>
          <w:b w:val="0"/>
          <w:i w:val="0"/>
          <w:sz w:val="22"/>
        </w:rPr>
        <w:t>Strong ability to build and sustain partnerships with industries, government bodies, and international universities.</w:t>
      </w:r>
    </w:p>
    <w:p>
      <w:pPr>
        <w:pStyle w:val="ListBullet"/>
        <w:spacing w:after="80" w:line="276" w:lineRule="auto"/>
      </w:pPr>
      <w:r>
        <w:rPr>
          <w:rFonts w:ascii="Cambria" w:hAnsi="Cambria"/>
          <w:b w:val="0"/>
          <w:i w:val="0"/>
          <w:sz w:val="22"/>
        </w:rPr>
        <w:t>Skilled in negotiating MoUs, collaborative research agreements, and consultancy contracts.</w:t>
      </w:r>
    </w:p>
    <w:p>
      <w:pPr>
        <w:pStyle w:val="ListBullet"/>
        <w:spacing w:after="80" w:line="276" w:lineRule="auto"/>
      </w:pPr>
      <w:r>
        <w:rPr>
          <w:rFonts w:ascii="Cambria" w:hAnsi="Cambria"/>
          <w:b w:val="0"/>
          <w:i w:val="0"/>
          <w:sz w:val="22"/>
        </w:rPr>
        <w:t>Capable of representing the institution effectively in national and global research forums.</w:t>
      </w:r>
    </w:p>
    <w:p>
      <w:r>
        <w:br w:type="page"/>
      </w:r>
    </w:p>
    <w:p>
      <w:pPr>
        <w:pStyle w:val="Heading1"/>
      </w:pPr>
      <w:r>
        <w:rPr>
          <w:rFonts w:ascii="Cambria" w:hAnsi="Cambria"/>
          <w:b/>
          <w:color w:val="1F3A5F"/>
          <w:sz w:val="36"/>
        </w:rPr>
        <w:t>5. Duties and Functions of the Dean of Research &amp; Development (R&amp;D)</w:t>
      </w:r>
    </w:p>
    <w:p>
      <w:pPr>
        <w:spacing w:after="160" w:line="276" w:lineRule="auto"/>
        <w:jc w:val="both"/>
      </w:pPr>
      <w:r>
        <w:rPr>
          <w:rFonts w:ascii="Cambria" w:hAnsi="Cambria"/>
          <w:b w:val="0"/>
          <w:i w:val="0"/>
          <w:sz w:val="22"/>
        </w:rPr>
        <w:t>The Dean of Research &amp; Development (R&amp;D) performs a wide spectrum of duties that combine strategic oversight with day-to-day operational responsibilities. These duties ensure that research activities are not only academically rigorous but also aligned with institutional growth, accreditation requirements, and societal needs.</w:t>
      </w:r>
    </w:p>
    <w:p>
      <w:pPr>
        <w:pStyle w:val="ListNumber"/>
        <w:spacing w:after="80" w:line="276" w:lineRule="auto"/>
      </w:pPr>
      <w:r>
        <w:rPr>
          <w:rFonts w:ascii="Cambria" w:hAnsi="Cambria"/>
          <w:b w:val="0"/>
          <w:i w:val="0"/>
          <w:sz w:val="22"/>
        </w:rPr>
        <w:t>Formulate and implement the institution's research policy and strategic plan.</w:t>
      </w:r>
    </w:p>
    <w:p>
      <w:pPr>
        <w:pStyle w:val="ListNumber"/>
        <w:spacing w:after="80" w:line="276" w:lineRule="auto"/>
      </w:pPr>
      <w:r>
        <w:rPr>
          <w:rFonts w:ascii="Cambria" w:hAnsi="Cambria"/>
          <w:b w:val="0"/>
          <w:i w:val="0"/>
          <w:sz w:val="22"/>
        </w:rPr>
        <w:t>Identify and prioritize thrust areas of research aligned with national missions and global challenges.</w:t>
      </w:r>
    </w:p>
    <w:p>
      <w:pPr>
        <w:pStyle w:val="ListNumber"/>
        <w:spacing w:after="80" w:line="276" w:lineRule="auto"/>
      </w:pPr>
      <w:r>
        <w:rPr>
          <w:rFonts w:ascii="Cambria" w:hAnsi="Cambria"/>
          <w:b w:val="0"/>
          <w:i w:val="0"/>
          <w:sz w:val="22"/>
        </w:rPr>
        <w:t>Promote interdisciplinary and collaborative research across departments, schools, and centres.</w:t>
      </w:r>
    </w:p>
    <w:p>
      <w:pPr>
        <w:pStyle w:val="ListNumber"/>
        <w:spacing w:after="80" w:line="276" w:lineRule="auto"/>
      </w:pPr>
      <w:r>
        <w:rPr>
          <w:rFonts w:ascii="Cambria" w:hAnsi="Cambria"/>
          <w:b w:val="0"/>
          <w:i w:val="0"/>
          <w:sz w:val="22"/>
        </w:rPr>
        <w:t>Monitor and enhance the quality of publications, citations, and research visibility.</w:t>
      </w:r>
    </w:p>
    <w:p>
      <w:pPr>
        <w:pStyle w:val="ListNumber"/>
        <w:spacing w:after="80" w:line="276" w:lineRule="auto"/>
      </w:pPr>
      <w:r>
        <w:rPr>
          <w:rFonts w:ascii="Cambria" w:hAnsi="Cambria"/>
          <w:b w:val="0"/>
          <w:i w:val="0"/>
          <w:sz w:val="22"/>
        </w:rPr>
        <w:t>Encourage faculty and scholars to publish in high-impact, indexed journals.</w:t>
      </w:r>
    </w:p>
    <w:p>
      <w:pPr>
        <w:pStyle w:val="ListNumber"/>
        <w:spacing w:after="80" w:line="276" w:lineRule="auto"/>
      </w:pPr>
      <w:r>
        <w:rPr>
          <w:rFonts w:ascii="Cambria" w:hAnsi="Cambria"/>
          <w:b w:val="0"/>
          <w:i w:val="0"/>
          <w:sz w:val="22"/>
        </w:rPr>
        <w:t>Promote and facilitate the filing of patents, copyrights, and trademarks.</w:t>
      </w:r>
    </w:p>
    <w:p>
      <w:pPr>
        <w:pStyle w:val="ListNumber"/>
        <w:spacing w:after="80" w:line="276" w:lineRule="auto"/>
      </w:pPr>
      <w:r>
        <w:rPr>
          <w:rFonts w:ascii="Cambria" w:hAnsi="Cambria"/>
          <w:b w:val="0"/>
          <w:i w:val="0"/>
          <w:sz w:val="22"/>
        </w:rPr>
        <w:t>Oversee the functioning of the Technology Transfer Office (TTO) or Innovation &amp; Incubation Cell.</w:t>
      </w:r>
    </w:p>
    <w:p>
      <w:pPr>
        <w:pStyle w:val="ListNumber"/>
        <w:spacing w:after="80" w:line="276" w:lineRule="auto"/>
      </w:pPr>
      <w:r>
        <w:rPr>
          <w:rFonts w:ascii="Cambria" w:hAnsi="Cambria"/>
          <w:b w:val="0"/>
          <w:i w:val="0"/>
          <w:sz w:val="22"/>
        </w:rPr>
        <w:t>Lead efforts to secure sponsored research funding from government, industry, and international agencies.</w:t>
      </w:r>
    </w:p>
    <w:p>
      <w:pPr>
        <w:pStyle w:val="ListNumber"/>
        <w:spacing w:after="80" w:line="276" w:lineRule="auto"/>
      </w:pPr>
      <w:r>
        <w:rPr>
          <w:rFonts w:ascii="Cambria" w:hAnsi="Cambria"/>
          <w:b w:val="0"/>
          <w:i w:val="0"/>
          <w:sz w:val="22"/>
        </w:rPr>
        <w:t>Guide faculty in grant proposal writing, budgeting, and compliance reporting.</w:t>
      </w:r>
    </w:p>
    <w:p>
      <w:pPr>
        <w:pStyle w:val="ListNumber"/>
        <w:spacing w:after="80" w:line="276" w:lineRule="auto"/>
      </w:pPr>
      <w:r>
        <w:rPr>
          <w:rFonts w:ascii="Cambria" w:hAnsi="Cambria"/>
          <w:b w:val="0"/>
          <w:i w:val="0"/>
          <w:sz w:val="22"/>
        </w:rPr>
        <w:t>Monitor progress and ensure accountability of sponsored research projects.</w:t>
      </w:r>
    </w:p>
    <w:p>
      <w:pPr>
        <w:pStyle w:val="ListNumber"/>
        <w:spacing w:after="80" w:line="276" w:lineRule="auto"/>
      </w:pPr>
      <w:r>
        <w:rPr>
          <w:rFonts w:ascii="Cambria" w:hAnsi="Cambria"/>
          <w:b w:val="0"/>
          <w:i w:val="0"/>
          <w:sz w:val="22"/>
        </w:rPr>
        <w:t>Strengthen industry collaboration through consultancy, MoUs, and joint research projects.</w:t>
      </w:r>
    </w:p>
    <w:p>
      <w:pPr>
        <w:pStyle w:val="ListNumber"/>
        <w:spacing w:after="80" w:line="276" w:lineRule="auto"/>
      </w:pPr>
      <w:r>
        <w:rPr>
          <w:rFonts w:ascii="Cambria" w:hAnsi="Cambria"/>
          <w:b w:val="0"/>
          <w:i w:val="0"/>
          <w:sz w:val="22"/>
        </w:rPr>
        <w:t>Promote technology incubation, start-up ecosystems, and entrepreneurship development.</w:t>
      </w:r>
    </w:p>
    <w:p>
      <w:pPr>
        <w:pStyle w:val="ListNumber"/>
        <w:spacing w:after="80" w:line="276" w:lineRule="auto"/>
      </w:pPr>
      <w:r>
        <w:rPr>
          <w:rFonts w:ascii="Cambria" w:hAnsi="Cambria"/>
          <w:b w:val="0"/>
          <w:i w:val="0"/>
          <w:sz w:val="22"/>
        </w:rPr>
        <w:t>Establish and oversee Centres of Excellence (CoEs) and specialized research laboratories.</w:t>
      </w:r>
    </w:p>
    <w:p>
      <w:pPr>
        <w:pStyle w:val="ListNumber"/>
        <w:spacing w:after="80" w:line="276" w:lineRule="auto"/>
      </w:pPr>
      <w:r>
        <w:rPr>
          <w:rFonts w:ascii="Cambria" w:hAnsi="Cambria"/>
          <w:b w:val="0"/>
          <w:i w:val="0"/>
          <w:sz w:val="22"/>
        </w:rPr>
        <w:t>Ensure research infrastructure and equipment meet global standards.</w:t>
      </w:r>
    </w:p>
    <w:p>
      <w:pPr>
        <w:pStyle w:val="ListNumber"/>
        <w:spacing w:after="80" w:line="276" w:lineRule="auto"/>
      </w:pPr>
      <w:r>
        <w:rPr>
          <w:rFonts w:ascii="Cambria" w:hAnsi="Cambria"/>
          <w:b w:val="0"/>
          <w:i w:val="0"/>
          <w:sz w:val="22"/>
        </w:rPr>
        <w:t>Oversee the governance of Ph.D. and post-doctoral fellowship programs.</w:t>
      </w:r>
    </w:p>
    <w:p>
      <w:pPr>
        <w:pStyle w:val="ListNumber"/>
        <w:spacing w:after="80" w:line="276" w:lineRule="auto"/>
      </w:pPr>
      <w:r>
        <w:rPr>
          <w:rFonts w:ascii="Cambria" w:hAnsi="Cambria"/>
          <w:b w:val="0"/>
          <w:i w:val="0"/>
          <w:sz w:val="22"/>
        </w:rPr>
        <w:t>Promote scholar exchange, mobility programs, and international research fellowships.</w:t>
      </w:r>
    </w:p>
    <w:p>
      <w:pPr>
        <w:pStyle w:val="ListNumber"/>
        <w:spacing w:after="80" w:line="276" w:lineRule="auto"/>
      </w:pPr>
      <w:r>
        <w:rPr>
          <w:rFonts w:ascii="Cambria" w:hAnsi="Cambria"/>
          <w:b w:val="0"/>
          <w:i w:val="0"/>
          <w:sz w:val="22"/>
        </w:rPr>
        <w:t>Align institutional research outcomes with NAAC, NBA, NIRF, and QS I-GAUGE benchmarks.</w:t>
      </w:r>
    </w:p>
    <w:p>
      <w:pPr>
        <w:pStyle w:val="ListNumber"/>
        <w:spacing w:after="80" w:line="276" w:lineRule="auto"/>
      </w:pPr>
      <w:r>
        <w:rPr>
          <w:rFonts w:ascii="Cambria" w:hAnsi="Cambria"/>
          <w:b w:val="0"/>
          <w:i w:val="0"/>
          <w:sz w:val="22"/>
        </w:rPr>
        <w:t>Direct research efforts toward solving societal and community challenges, aligned with the SDGs.</w:t>
      </w:r>
    </w:p>
    <w:p>
      <w:r>
        <w:br w:type="page"/>
      </w:r>
    </w:p>
    <w:p>
      <w:pPr>
        <w:spacing w:after="120" w:line="276" w:lineRule="auto"/>
      </w:pPr>
      <w:r>
        <w:rPr>
          <w:rFonts w:ascii="Cambria" w:hAnsi="Cambria"/>
          <w:b/>
          <w:i w:val="0"/>
          <w:sz w:val="22"/>
        </w:rPr>
        <w:t>Responsibilities Matrix: Duties and Functions of the Dean – R&amp;D</w:t>
      </w:r>
    </w:p>
    <w:tbl>
      <w:tblPr>
        <w:tblStyle w:val="TableGrid"/>
        <w:tblW w:type="auto" w:w="0"/>
        <w:jc w:val="center"/>
        <w:tblLayout w:type="fixed"/>
        <w:tblLook w:firstColumn="1" w:firstRow="1" w:lastColumn="0" w:lastRow="0" w:noHBand="0" w:noVBand="1" w:val="04A0"/>
        <w:tblLayout w:type="fixed"/>
      </w:tblPr>
      <w:tblGrid>
        <w:gridCol w:w="2835"/>
        <w:gridCol w:w="6576"/>
      </w:tblGrid>
      <w:tr>
        <w:tc>
          <w:tcPr>
            <w:tcW w:type="dxa" w:w="2835"/>
          </w:tcPr>
          <w:p>
            <w:pPr>
              <w:spacing w:after="40" w:line="240" w:lineRule="auto"/>
              <w:jc w:val="left"/>
            </w:pPr>
            <w:r/>
            <w:r>
              <w:rPr>
                <w:rFonts w:ascii="Cambria" w:hAnsi="Cambria"/>
                <w:b/>
                <w:sz w:val="20"/>
              </w:rPr>
              <w:t>Category</w:t>
            </w:r>
          </w:p>
        </w:tc>
        <w:tc>
          <w:tcPr>
            <w:tcW w:type="dxa" w:w="6576"/>
          </w:tcPr>
          <w:p>
            <w:pPr>
              <w:spacing w:after="40" w:line="240" w:lineRule="auto"/>
              <w:jc w:val="left"/>
            </w:pPr>
            <w:r/>
            <w:r>
              <w:rPr>
                <w:rFonts w:ascii="Cambria" w:hAnsi="Cambria"/>
                <w:b/>
                <w:sz w:val="20"/>
              </w:rPr>
              <w:t>Duties &amp; Functions</w:t>
            </w:r>
          </w:p>
        </w:tc>
      </w:tr>
      <w:tr>
        <w:tc>
          <w:tcPr>
            <w:tcW w:type="dxa" w:w="2835"/>
          </w:tcPr>
          <w:p>
            <w:pPr>
              <w:spacing w:after="40" w:line="240" w:lineRule="auto"/>
              <w:jc w:val="left"/>
            </w:pPr>
            <w:r/>
            <w:r>
              <w:rPr>
                <w:rFonts w:ascii="Cambria" w:hAnsi="Cambria"/>
                <w:b w:val="0"/>
                <w:sz w:val="19"/>
              </w:rPr>
              <w:t>Policy &amp; Strategic Planning</w:t>
            </w:r>
          </w:p>
        </w:tc>
        <w:tc>
          <w:tcPr>
            <w:tcW w:type="dxa" w:w="6576"/>
          </w:tcPr>
          <w:p>
            <w:pPr>
              <w:spacing w:after="40" w:line="240" w:lineRule="auto"/>
              <w:jc w:val="left"/>
            </w:pPr>
            <w:r/>
            <w:r>
              <w:rPr>
                <w:rFonts w:ascii="Cambria" w:hAnsi="Cambria"/>
                <w:b w:val="0"/>
                <w:sz w:val="19"/>
              </w:rPr>
              <w:t>- Formulates research policy and strategic plan.</w:t>
            </w:r>
          </w:p>
          <w:p>
            <w:pPr>
              <w:spacing w:after="40" w:line="240" w:lineRule="auto"/>
              <w:jc w:val="left"/>
            </w:pPr>
            <w:r>
              <w:rPr>
                <w:rFonts w:ascii="Cambria" w:hAnsi="Cambria"/>
                <w:b w:val="0"/>
                <w:sz w:val="19"/>
              </w:rPr>
              <w:t>- Identifies thrust areas aligned with national missions.</w:t>
            </w:r>
          </w:p>
          <w:p>
            <w:pPr>
              <w:spacing w:after="40" w:line="240" w:lineRule="auto"/>
              <w:jc w:val="left"/>
            </w:pPr>
            <w:r>
              <w:rPr>
                <w:rFonts w:ascii="Cambria" w:hAnsi="Cambria"/>
                <w:b w:val="0"/>
                <w:sz w:val="19"/>
              </w:rPr>
              <w:t>- Promotes interdisciplinary and collaborative research.</w:t>
            </w:r>
          </w:p>
        </w:tc>
      </w:tr>
      <w:tr>
        <w:tc>
          <w:tcPr>
            <w:tcW w:type="dxa" w:w="2835"/>
          </w:tcPr>
          <w:p>
            <w:pPr>
              <w:spacing w:after="40" w:line="240" w:lineRule="auto"/>
              <w:jc w:val="left"/>
            </w:pPr>
            <w:r/>
            <w:r>
              <w:rPr>
                <w:rFonts w:ascii="Cambria" w:hAnsi="Cambria"/>
                <w:b w:val="0"/>
                <w:sz w:val="19"/>
              </w:rPr>
              <w:t>Research Quality &amp; Visibility</w:t>
            </w:r>
          </w:p>
        </w:tc>
        <w:tc>
          <w:tcPr>
            <w:tcW w:type="dxa" w:w="6576"/>
          </w:tcPr>
          <w:p>
            <w:pPr>
              <w:spacing w:after="40" w:line="240" w:lineRule="auto"/>
              <w:jc w:val="left"/>
            </w:pPr>
            <w:r/>
            <w:r>
              <w:rPr>
                <w:rFonts w:ascii="Cambria" w:hAnsi="Cambria"/>
                <w:b w:val="0"/>
                <w:sz w:val="19"/>
              </w:rPr>
              <w:t>- Monitors publication quality, citations, and visibility.</w:t>
            </w:r>
          </w:p>
          <w:p>
            <w:pPr>
              <w:spacing w:after="40" w:line="240" w:lineRule="auto"/>
              <w:jc w:val="left"/>
            </w:pPr>
            <w:r>
              <w:rPr>
                <w:rFonts w:ascii="Cambria" w:hAnsi="Cambria"/>
                <w:b w:val="0"/>
                <w:sz w:val="19"/>
              </w:rPr>
              <w:t>- Encourages publishing in high-impact, indexed journals.</w:t>
            </w:r>
          </w:p>
          <w:p>
            <w:pPr>
              <w:spacing w:after="40" w:line="240" w:lineRule="auto"/>
              <w:jc w:val="left"/>
            </w:pPr>
            <w:r>
              <w:rPr>
                <w:rFonts w:ascii="Cambria" w:hAnsi="Cambria"/>
                <w:b w:val="0"/>
                <w:sz w:val="19"/>
              </w:rPr>
              <w:t>- Oversees research ethics and academic integrity.</w:t>
            </w:r>
          </w:p>
        </w:tc>
      </w:tr>
      <w:tr>
        <w:tc>
          <w:tcPr>
            <w:tcW w:type="dxa" w:w="2835"/>
          </w:tcPr>
          <w:p>
            <w:pPr>
              <w:spacing w:after="40" w:line="240" w:lineRule="auto"/>
              <w:jc w:val="left"/>
            </w:pPr>
            <w:r/>
            <w:r>
              <w:rPr>
                <w:rFonts w:ascii="Cambria" w:hAnsi="Cambria"/>
                <w:b w:val="0"/>
                <w:sz w:val="19"/>
              </w:rPr>
              <w:t>IPR &amp; Technology Transfer</w:t>
            </w:r>
          </w:p>
        </w:tc>
        <w:tc>
          <w:tcPr>
            <w:tcW w:type="dxa" w:w="6576"/>
          </w:tcPr>
          <w:p>
            <w:pPr>
              <w:spacing w:after="40" w:line="240" w:lineRule="auto"/>
              <w:jc w:val="left"/>
            </w:pPr>
            <w:r/>
            <w:r>
              <w:rPr>
                <w:rFonts w:ascii="Cambria" w:hAnsi="Cambria"/>
                <w:b w:val="0"/>
                <w:sz w:val="19"/>
              </w:rPr>
              <w:t>- Facilitates patent filing, copyrights, and trademarks.</w:t>
            </w:r>
          </w:p>
          <w:p>
            <w:pPr>
              <w:spacing w:after="40" w:line="240" w:lineRule="auto"/>
              <w:jc w:val="left"/>
            </w:pPr>
            <w:r>
              <w:rPr>
                <w:rFonts w:ascii="Cambria" w:hAnsi="Cambria"/>
                <w:b w:val="0"/>
                <w:sz w:val="19"/>
              </w:rPr>
              <w:t>- Oversees the Technology Transfer Office (TTO).</w:t>
            </w:r>
          </w:p>
          <w:p>
            <w:pPr>
              <w:spacing w:after="40" w:line="240" w:lineRule="auto"/>
              <w:jc w:val="left"/>
            </w:pPr>
            <w:r>
              <w:rPr>
                <w:rFonts w:ascii="Cambria" w:hAnsi="Cambria"/>
                <w:b w:val="0"/>
                <w:sz w:val="19"/>
              </w:rPr>
              <w:t>- Promotes commercialization of research outputs.</w:t>
            </w:r>
          </w:p>
        </w:tc>
      </w:tr>
      <w:tr>
        <w:tc>
          <w:tcPr>
            <w:tcW w:type="dxa" w:w="2835"/>
          </w:tcPr>
          <w:p>
            <w:pPr>
              <w:spacing w:after="40" w:line="240" w:lineRule="auto"/>
              <w:jc w:val="left"/>
            </w:pPr>
            <w:r/>
            <w:r>
              <w:rPr>
                <w:rFonts w:ascii="Cambria" w:hAnsi="Cambria"/>
                <w:b w:val="0"/>
                <w:sz w:val="19"/>
              </w:rPr>
              <w:t>Sponsored Research &amp; Grants</w:t>
            </w:r>
          </w:p>
        </w:tc>
        <w:tc>
          <w:tcPr>
            <w:tcW w:type="dxa" w:w="6576"/>
          </w:tcPr>
          <w:p>
            <w:pPr>
              <w:spacing w:after="40" w:line="240" w:lineRule="auto"/>
              <w:jc w:val="left"/>
            </w:pPr>
            <w:r/>
            <w:r>
              <w:rPr>
                <w:rFonts w:ascii="Cambria" w:hAnsi="Cambria"/>
                <w:b w:val="0"/>
                <w:sz w:val="19"/>
              </w:rPr>
              <w:t>- Leads efforts to secure funding from government and industry.</w:t>
            </w:r>
          </w:p>
          <w:p>
            <w:pPr>
              <w:spacing w:after="40" w:line="240" w:lineRule="auto"/>
              <w:jc w:val="left"/>
            </w:pPr>
            <w:r>
              <w:rPr>
                <w:rFonts w:ascii="Cambria" w:hAnsi="Cambria"/>
                <w:b w:val="0"/>
                <w:sz w:val="19"/>
              </w:rPr>
              <w:t>- Guides grant proposal writing and compliance.</w:t>
            </w:r>
          </w:p>
          <w:p>
            <w:pPr>
              <w:spacing w:after="40" w:line="240" w:lineRule="auto"/>
              <w:jc w:val="left"/>
            </w:pPr>
            <w:r>
              <w:rPr>
                <w:rFonts w:ascii="Cambria" w:hAnsi="Cambria"/>
                <w:b w:val="0"/>
                <w:sz w:val="19"/>
              </w:rPr>
              <w:t>- Monitors accountability of sponsored projects.</w:t>
            </w:r>
          </w:p>
        </w:tc>
      </w:tr>
      <w:tr>
        <w:tc>
          <w:tcPr>
            <w:tcW w:type="dxa" w:w="2835"/>
          </w:tcPr>
          <w:p>
            <w:pPr>
              <w:spacing w:after="40" w:line="240" w:lineRule="auto"/>
              <w:jc w:val="left"/>
            </w:pPr>
            <w:r/>
            <w:r>
              <w:rPr>
                <w:rFonts w:ascii="Cambria" w:hAnsi="Cambria"/>
                <w:b w:val="0"/>
                <w:sz w:val="19"/>
              </w:rPr>
              <w:t>Industry Collaboration</w:t>
            </w:r>
          </w:p>
        </w:tc>
        <w:tc>
          <w:tcPr>
            <w:tcW w:type="dxa" w:w="6576"/>
          </w:tcPr>
          <w:p>
            <w:pPr>
              <w:spacing w:after="40" w:line="240" w:lineRule="auto"/>
              <w:jc w:val="left"/>
            </w:pPr>
            <w:r/>
            <w:r>
              <w:rPr>
                <w:rFonts w:ascii="Cambria" w:hAnsi="Cambria"/>
                <w:b w:val="0"/>
                <w:sz w:val="19"/>
              </w:rPr>
              <w:t>- Strengthens consultancy and MoUs with industry.</w:t>
            </w:r>
          </w:p>
          <w:p>
            <w:pPr>
              <w:spacing w:after="40" w:line="240" w:lineRule="auto"/>
              <w:jc w:val="left"/>
            </w:pPr>
            <w:r>
              <w:rPr>
                <w:rFonts w:ascii="Cambria" w:hAnsi="Cambria"/>
                <w:b w:val="0"/>
                <w:sz w:val="19"/>
              </w:rPr>
              <w:t>- Promotes incubation and start-up ecosystems.</w:t>
            </w:r>
          </w:p>
          <w:p>
            <w:pPr>
              <w:spacing w:after="40" w:line="240" w:lineRule="auto"/>
              <w:jc w:val="left"/>
            </w:pPr>
            <w:r>
              <w:rPr>
                <w:rFonts w:ascii="Cambria" w:hAnsi="Cambria"/>
                <w:b w:val="0"/>
                <w:sz w:val="19"/>
              </w:rPr>
              <w:t>- Aligns industry links with employability.</w:t>
            </w:r>
          </w:p>
        </w:tc>
      </w:tr>
      <w:tr>
        <w:tc>
          <w:tcPr>
            <w:tcW w:type="dxa" w:w="2835"/>
          </w:tcPr>
          <w:p>
            <w:pPr>
              <w:spacing w:after="40" w:line="240" w:lineRule="auto"/>
              <w:jc w:val="left"/>
            </w:pPr>
            <w:r/>
            <w:r>
              <w:rPr>
                <w:rFonts w:ascii="Cambria" w:hAnsi="Cambria"/>
                <w:b w:val="0"/>
                <w:sz w:val="19"/>
              </w:rPr>
              <w:t>R&amp;D Infrastructure</w:t>
            </w:r>
          </w:p>
        </w:tc>
        <w:tc>
          <w:tcPr>
            <w:tcW w:type="dxa" w:w="6576"/>
          </w:tcPr>
          <w:p>
            <w:pPr>
              <w:spacing w:after="40" w:line="240" w:lineRule="auto"/>
              <w:jc w:val="left"/>
            </w:pPr>
            <w:r/>
            <w:r>
              <w:rPr>
                <w:rFonts w:ascii="Cambria" w:hAnsi="Cambria"/>
                <w:b w:val="0"/>
                <w:sz w:val="19"/>
              </w:rPr>
              <w:t>- Establishes Centres of Excellence (CoEs).</w:t>
            </w:r>
          </w:p>
          <w:p>
            <w:pPr>
              <w:spacing w:after="40" w:line="240" w:lineRule="auto"/>
              <w:jc w:val="left"/>
            </w:pPr>
            <w:r>
              <w:rPr>
                <w:rFonts w:ascii="Cambria" w:hAnsi="Cambria"/>
                <w:b w:val="0"/>
                <w:sz w:val="19"/>
              </w:rPr>
              <w:t>- Maintains state-of-the-art research facilities.</w:t>
            </w:r>
          </w:p>
          <w:p>
            <w:pPr>
              <w:spacing w:after="40" w:line="240" w:lineRule="auto"/>
              <w:jc w:val="left"/>
            </w:pPr>
            <w:r>
              <w:rPr>
                <w:rFonts w:ascii="Cambria" w:hAnsi="Cambria"/>
                <w:b w:val="0"/>
                <w:sz w:val="19"/>
              </w:rPr>
              <w:t>- Ensures equipment meets global standards.</w:t>
            </w:r>
          </w:p>
        </w:tc>
      </w:tr>
      <w:tr>
        <w:tc>
          <w:tcPr>
            <w:tcW w:type="dxa" w:w="2835"/>
          </w:tcPr>
          <w:p>
            <w:pPr>
              <w:spacing w:after="40" w:line="240" w:lineRule="auto"/>
              <w:jc w:val="left"/>
            </w:pPr>
            <w:r/>
            <w:r>
              <w:rPr>
                <w:rFonts w:ascii="Cambria" w:hAnsi="Cambria"/>
                <w:b w:val="0"/>
                <w:sz w:val="19"/>
              </w:rPr>
              <w:t>Doctoral &amp; Post-Doctoral Programs</w:t>
            </w:r>
          </w:p>
        </w:tc>
        <w:tc>
          <w:tcPr>
            <w:tcW w:type="dxa" w:w="6576"/>
          </w:tcPr>
          <w:p>
            <w:pPr>
              <w:spacing w:after="40" w:line="240" w:lineRule="auto"/>
              <w:jc w:val="left"/>
            </w:pPr>
            <w:r/>
            <w:r>
              <w:rPr>
                <w:rFonts w:ascii="Cambria" w:hAnsi="Cambria"/>
                <w:b w:val="0"/>
                <w:sz w:val="19"/>
              </w:rPr>
              <w:t>- Oversees governance of Ph.D./post-doc fellowships.</w:t>
            </w:r>
          </w:p>
          <w:p>
            <w:pPr>
              <w:spacing w:after="40" w:line="240" w:lineRule="auto"/>
              <w:jc w:val="left"/>
            </w:pPr>
            <w:r>
              <w:rPr>
                <w:rFonts w:ascii="Cambria" w:hAnsi="Cambria"/>
                <w:b w:val="0"/>
                <w:sz w:val="19"/>
              </w:rPr>
              <w:t>- Promotes scholar exchange and mobility.</w:t>
            </w:r>
          </w:p>
          <w:p>
            <w:pPr>
              <w:spacing w:after="40" w:line="240" w:lineRule="auto"/>
              <w:jc w:val="left"/>
            </w:pPr>
            <w:r>
              <w:rPr>
                <w:rFonts w:ascii="Cambria" w:hAnsi="Cambria"/>
                <w:b w:val="0"/>
                <w:sz w:val="19"/>
              </w:rPr>
              <w:t>- Ensures quality supervision and training.</w:t>
            </w:r>
          </w:p>
        </w:tc>
      </w:tr>
      <w:tr>
        <w:tc>
          <w:tcPr>
            <w:tcW w:type="dxa" w:w="2835"/>
          </w:tcPr>
          <w:p>
            <w:pPr>
              <w:spacing w:after="40" w:line="240" w:lineRule="auto"/>
              <w:jc w:val="left"/>
            </w:pPr>
            <w:r/>
            <w:r>
              <w:rPr>
                <w:rFonts w:ascii="Cambria" w:hAnsi="Cambria"/>
                <w:b w:val="0"/>
                <w:sz w:val="19"/>
              </w:rPr>
              <w:t>Accreditation &amp; Societal Impact</w:t>
            </w:r>
          </w:p>
        </w:tc>
        <w:tc>
          <w:tcPr>
            <w:tcW w:type="dxa" w:w="6576"/>
          </w:tcPr>
          <w:p>
            <w:pPr>
              <w:spacing w:after="40" w:line="240" w:lineRule="auto"/>
              <w:jc w:val="left"/>
            </w:pPr>
            <w:r/>
            <w:r>
              <w:rPr>
                <w:rFonts w:ascii="Cambria" w:hAnsi="Cambria"/>
                <w:b w:val="0"/>
                <w:sz w:val="19"/>
              </w:rPr>
              <w:t>- Aligns outcomes with NAAC, NBA, NIRF, QS I-GAUGE.</w:t>
            </w:r>
          </w:p>
          <w:p>
            <w:pPr>
              <w:spacing w:after="40" w:line="240" w:lineRule="auto"/>
              <w:jc w:val="left"/>
            </w:pPr>
            <w:r>
              <w:rPr>
                <w:rFonts w:ascii="Cambria" w:hAnsi="Cambria"/>
                <w:b w:val="0"/>
                <w:sz w:val="19"/>
              </w:rPr>
              <w:t>- Directs research toward societal/community challenges.</w:t>
            </w:r>
          </w:p>
          <w:p>
            <w:pPr>
              <w:spacing w:after="40" w:line="240" w:lineRule="auto"/>
              <w:jc w:val="left"/>
            </w:pPr>
            <w:r>
              <w:rPr>
                <w:rFonts w:ascii="Cambria" w:hAnsi="Cambria"/>
                <w:b w:val="0"/>
                <w:sz w:val="19"/>
              </w:rPr>
              <w:t>- Aligns initiatives with the SDGs.</w:t>
            </w:r>
          </w:p>
        </w:tc>
      </w:tr>
    </w:tbl>
    <w:p>
      <w:pPr>
        <w:spacing w:after="40"/>
      </w:pPr>
    </w:p>
    <w:p>
      <w:r>
        <w:br w:type="page"/>
      </w:r>
    </w:p>
    <w:p>
      <w:pPr>
        <w:pStyle w:val="Heading1"/>
      </w:pPr>
      <w:r>
        <w:rPr>
          <w:rFonts w:ascii="Cambria" w:hAnsi="Cambria"/>
          <w:b/>
          <w:color w:val="1F3A5F"/>
          <w:sz w:val="36"/>
        </w:rPr>
        <w:t>6. Associate Dean – Publications, Citations, Impact Factor, and Books</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Publications, Citations, Impact Factor, and Books serves as the custodian of scholarly publishing and research visibility within the institution. This role ensures that the research output of faculty, scholars, and students achieves the highest standards of quality, is disseminated through credible platforms, and contributes meaningfully to the global body of knowledge. By strengthening the publication ecosystem, the Associate Dean enhances the institution's academic reputation, competitiveness in rankings, and alignment with accreditation frameworks.</w:t>
      </w:r>
    </w:p>
    <w:p>
      <w:pPr>
        <w:spacing w:after="160" w:line="276" w:lineRule="auto"/>
        <w:jc w:val="both"/>
      </w:pPr>
      <w:r>
        <w:rPr>
          <w:rFonts w:ascii="Cambria" w:hAnsi="Cambria"/>
          <w:b w:val="0"/>
          <w:i w:val="0"/>
          <w:sz w:val="22"/>
        </w:rPr>
        <w:t>This position requires continuous monitoring of citation trends, impact factor performance, and indexing status of journals, while also promoting authorship of books and monographs that establish thought leadership. The Associate Dean works closely with faculty and researchers to build capacity in academic writing, responsible publishing practices, and avoidance of predatory journals, thereby safeguarding the institution's scholarly integrity.</w:t>
      </w:r>
    </w:p>
    <w:p>
      <w:pPr>
        <w:pStyle w:val="Heading3"/>
      </w:pPr>
      <w:r>
        <w:rPr>
          <w:rFonts w:ascii="Cambria" w:hAnsi="Cambria"/>
          <w:b/>
          <w:color w:val="1F3A5F"/>
          <w:sz w:val="26"/>
        </w:rPr>
        <w:t>1. Position and Purpose</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Publications, Citations, Impact Factor, and Books is responsible for enhancing the quality, visibility, and impact of the institution's research output. This role ensures those publications meet global standards and contribute to the university's reputation, rankings, and accreditation outcomes.</w:t>
      </w:r>
    </w:p>
    <w:p>
      <w:pPr>
        <w:pStyle w:val="Heading3"/>
      </w:pPr>
      <w:r>
        <w:rPr>
          <w:rFonts w:ascii="Cambria" w:hAnsi="Cambria"/>
          <w:b/>
          <w:color w:val="1F3A5F"/>
          <w:sz w:val="26"/>
        </w:rPr>
        <w:t>2. Detailed Responsibilities</w:t>
      </w:r>
    </w:p>
    <w:p>
      <w:pPr>
        <w:pStyle w:val="Heading3"/>
      </w:pPr>
      <w:r>
        <w:rPr>
          <w:rFonts w:ascii="Cambria" w:hAnsi="Cambria"/>
          <w:b/>
          <w:color w:val="1F3A5F"/>
          <w:sz w:val="26"/>
        </w:rPr>
        <w:t>A. Publication Quality and Standards</w:t>
      </w:r>
    </w:p>
    <w:p>
      <w:pPr>
        <w:pStyle w:val="ListBullet"/>
        <w:spacing w:after="80" w:line="276" w:lineRule="auto"/>
      </w:pPr>
      <w:r>
        <w:rPr>
          <w:rFonts w:ascii="Cambria" w:hAnsi="Cambria"/>
          <w:b w:val="0"/>
          <w:i w:val="0"/>
          <w:sz w:val="22"/>
        </w:rPr>
        <w:t>Promotes publishing in high-quality, peer-reviewed, and indexed journals (Scopus, Web of Science, PubMed, etc.).</w:t>
      </w:r>
    </w:p>
    <w:p>
      <w:pPr>
        <w:pStyle w:val="ListBullet"/>
        <w:spacing w:after="80" w:line="276" w:lineRule="auto"/>
      </w:pPr>
      <w:r>
        <w:rPr>
          <w:rFonts w:ascii="Cambria" w:hAnsi="Cambria"/>
          <w:b w:val="0"/>
          <w:i w:val="0"/>
          <w:sz w:val="22"/>
        </w:rPr>
        <w:t>Guides faculty and scholars in identifying credible journals and avoiding predatory publishing.</w:t>
      </w:r>
    </w:p>
    <w:p>
      <w:pPr>
        <w:pStyle w:val="ListBullet"/>
        <w:spacing w:after="80" w:line="276" w:lineRule="auto"/>
      </w:pPr>
      <w:r>
        <w:rPr>
          <w:rFonts w:ascii="Cambria" w:hAnsi="Cambria"/>
          <w:b w:val="0"/>
          <w:i w:val="0"/>
          <w:sz w:val="22"/>
        </w:rPr>
        <w:t>Encourages ethical publishing practices, including authorship integrity and plagiarism prevention.</w:t>
      </w:r>
    </w:p>
    <w:p>
      <w:pPr>
        <w:pStyle w:val="Heading3"/>
      </w:pPr>
      <w:r>
        <w:rPr>
          <w:rFonts w:ascii="Cambria" w:hAnsi="Cambria"/>
          <w:b/>
          <w:color w:val="1F3A5F"/>
          <w:sz w:val="26"/>
        </w:rPr>
        <w:t>B. Citation and Impact Monitoring</w:t>
      </w:r>
    </w:p>
    <w:p>
      <w:pPr>
        <w:pStyle w:val="ListBullet"/>
        <w:spacing w:after="80" w:line="276" w:lineRule="auto"/>
      </w:pPr>
      <w:r>
        <w:rPr>
          <w:rFonts w:ascii="Cambria" w:hAnsi="Cambria"/>
          <w:b w:val="0"/>
          <w:i w:val="0"/>
          <w:sz w:val="22"/>
        </w:rPr>
        <w:t>Tracks citation counts, h-index, and i10-index of faculty and researchers.</w:t>
      </w:r>
    </w:p>
    <w:p>
      <w:pPr>
        <w:pStyle w:val="ListBullet"/>
        <w:spacing w:after="80" w:line="276" w:lineRule="auto"/>
      </w:pPr>
      <w:r>
        <w:rPr>
          <w:rFonts w:ascii="Cambria" w:hAnsi="Cambria"/>
          <w:b w:val="0"/>
          <w:i w:val="0"/>
          <w:sz w:val="22"/>
        </w:rPr>
        <w:t>Monitors journal impact factor trends and guides faculty toward high-impact outlets.</w:t>
      </w:r>
    </w:p>
    <w:p>
      <w:pPr>
        <w:pStyle w:val="ListBullet"/>
        <w:spacing w:after="80" w:line="276" w:lineRule="auto"/>
      </w:pPr>
      <w:r>
        <w:rPr>
          <w:rFonts w:ascii="Cambria" w:hAnsi="Cambria"/>
          <w:b w:val="0"/>
          <w:i w:val="0"/>
          <w:sz w:val="22"/>
        </w:rPr>
        <w:t>Benchmarks institutional citation performance against peer universities.</w:t>
      </w:r>
    </w:p>
    <w:p>
      <w:pPr>
        <w:pStyle w:val="Heading3"/>
      </w:pPr>
      <w:r>
        <w:rPr>
          <w:rFonts w:ascii="Cambria" w:hAnsi="Cambria"/>
          <w:b/>
          <w:color w:val="1F3A5F"/>
          <w:sz w:val="26"/>
        </w:rPr>
        <w:t>C. Books and Monographs</w:t>
      </w:r>
    </w:p>
    <w:p>
      <w:pPr>
        <w:pStyle w:val="ListBullet"/>
        <w:spacing w:after="80" w:line="276" w:lineRule="auto"/>
      </w:pPr>
      <w:r>
        <w:rPr>
          <w:rFonts w:ascii="Cambria" w:hAnsi="Cambria"/>
          <w:b w:val="0"/>
          <w:i w:val="0"/>
          <w:sz w:val="22"/>
        </w:rPr>
        <w:t>Encourages faculty to author and edit books, monographs, and reference works.</w:t>
      </w:r>
    </w:p>
    <w:p>
      <w:pPr>
        <w:pStyle w:val="ListBullet"/>
        <w:spacing w:after="80" w:line="276" w:lineRule="auto"/>
      </w:pPr>
      <w:r>
        <w:rPr>
          <w:rFonts w:ascii="Cambria" w:hAnsi="Cambria"/>
          <w:b w:val="0"/>
          <w:i w:val="0"/>
          <w:sz w:val="22"/>
        </w:rPr>
        <w:t>Facilitates collaborations with reputed national and international publishers.</w:t>
      </w:r>
    </w:p>
    <w:p>
      <w:pPr>
        <w:pStyle w:val="ListBullet"/>
        <w:spacing w:after="80" w:line="276" w:lineRule="auto"/>
      </w:pPr>
      <w:r>
        <w:rPr>
          <w:rFonts w:ascii="Cambria" w:hAnsi="Cambria"/>
          <w:b w:val="0"/>
          <w:i w:val="0"/>
          <w:sz w:val="22"/>
        </w:rPr>
        <w:t>Promotes institutional visibility through authored and edited volumes.</w:t>
      </w:r>
    </w:p>
    <w:p>
      <w:pPr>
        <w:pStyle w:val="Heading3"/>
      </w:pPr>
      <w:r>
        <w:rPr>
          <w:rFonts w:ascii="Cambria" w:hAnsi="Cambria"/>
          <w:b/>
          <w:color w:val="1F3A5F"/>
          <w:sz w:val="26"/>
        </w:rPr>
        <w:t>D. Capacity Building</w:t>
      </w:r>
    </w:p>
    <w:p>
      <w:pPr>
        <w:pStyle w:val="ListBullet"/>
        <w:spacing w:after="80" w:line="276" w:lineRule="auto"/>
      </w:pPr>
      <w:r>
        <w:rPr>
          <w:rFonts w:ascii="Cambria" w:hAnsi="Cambria"/>
          <w:b w:val="0"/>
          <w:i w:val="0"/>
          <w:sz w:val="22"/>
        </w:rPr>
        <w:t>Organizes workshops on academic writing, citation management, and publishing ethics.</w:t>
      </w:r>
    </w:p>
    <w:p>
      <w:pPr>
        <w:pStyle w:val="ListBullet"/>
        <w:spacing w:after="80" w:line="276" w:lineRule="auto"/>
      </w:pPr>
      <w:r>
        <w:rPr>
          <w:rFonts w:ascii="Cambria" w:hAnsi="Cambria"/>
          <w:b w:val="0"/>
          <w:i w:val="0"/>
          <w:sz w:val="22"/>
        </w:rPr>
        <w:t>Trains early-career researchers in manuscript preparation and journal selection.</w:t>
      </w:r>
    </w:p>
    <w:p>
      <w:pPr>
        <w:pStyle w:val="ListBullet"/>
        <w:spacing w:after="80" w:line="276" w:lineRule="auto"/>
      </w:pPr>
      <w:r>
        <w:rPr>
          <w:rFonts w:ascii="Cambria" w:hAnsi="Cambria"/>
          <w:b w:val="0"/>
          <w:i w:val="0"/>
          <w:sz w:val="22"/>
        </w:rPr>
        <w:t>Supports faculty in using citation tools (Google Scholar, Scopus, ORCID, ResearchGate).</w:t>
      </w:r>
    </w:p>
    <w:p>
      <w:pPr>
        <w:pStyle w:val="Heading3"/>
      </w:pPr>
      <w:r>
        <w:rPr>
          <w:rFonts w:ascii="Cambria" w:hAnsi="Cambria"/>
          <w:b/>
          <w:color w:val="1F3A5F"/>
          <w:sz w:val="26"/>
        </w:rPr>
        <w:t>E. Institutional Reporting and Benchmarking</w:t>
      </w:r>
    </w:p>
    <w:p>
      <w:pPr>
        <w:pStyle w:val="ListBullet"/>
        <w:spacing w:after="80" w:line="276" w:lineRule="auto"/>
      </w:pPr>
      <w:r>
        <w:rPr>
          <w:rFonts w:ascii="Cambria" w:hAnsi="Cambria"/>
          <w:b w:val="0"/>
          <w:i w:val="0"/>
          <w:sz w:val="22"/>
        </w:rPr>
        <w:t>Prepares periodic reports on publication output, citations, and impact factor performance.</w:t>
      </w:r>
    </w:p>
    <w:p>
      <w:pPr>
        <w:pStyle w:val="ListBullet"/>
        <w:spacing w:after="80" w:line="276" w:lineRule="auto"/>
      </w:pPr>
      <w:r>
        <w:rPr>
          <w:rFonts w:ascii="Cambria" w:hAnsi="Cambria"/>
          <w:b w:val="0"/>
          <w:i w:val="0"/>
          <w:sz w:val="22"/>
        </w:rPr>
        <w:t>Provides data for NAAC, NBA, NIRF, and QS I-GAUGE submissions.</w:t>
      </w:r>
    </w:p>
    <w:p>
      <w:pPr>
        <w:pStyle w:val="ListBullet"/>
        <w:spacing w:after="80" w:line="276" w:lineRule="auto"/>
      </w:pPr>
      <w:r>
        <w:rPr>
          <w:rFonts w:ascii="Cambria" w:hAnsi="Cambria"/>
          <w:b w:val="0"/>
          <w:i w:val="0"/>
          <w:sz w:val="22"/>
        </w:rPr>
        <w:t>Supports institutional ranking exercises through verified publication metrics.</w:t>
      </w:r>
    </w:p>
    <w:p>
      <w:pPr>
        <w:pStyle w:val="Heading3"/>
      </w:pPr>
      <w:r>
        <w:rPr>
          <w:rFonts w:ascii="Cambria" w:hAnsi="Cambria"/>
          <w:b/>
          <w:color w:val="1F3A5F"/>
          <w:sz w:val="26"/>
        </w:rPr>
        <w:t>3. Strategic Impact</w:t>
      </w:r>
    </w:p>
    <w:p>
      <w:pPr>
        <w:pStyle w:val="ListBullet"/>
        <w:spacing w:after="80" w:line="276" w:lineRule="auto"/>
      </w:pPr>
      <w:r>
        <w:rPr>
          <w:rFonts w:ascii="Cambria" w:hAnsi="Cambria"/>
          <w:b/>
          <w:i w:val="0"/>
          <w:sz w:val="22"/>
        </w:rPr>
        <w:t xml:space="preserve">For Faculty: </w:t>
      </w:r>
      <w:r>
        <w:rPr>
          <w:rFonts w:ascii="Cambria" w:hAnsi="Cambria"/>
          <w:b w:val="0"/>
          <w:i w:val="0"/>
          <w:sz w:val="22"/>
        </w:rPr>
        <w:t>Enhanced visibility, recognition, and career growth through quality publications.</w:t>
      </w:r>
    </w:p>
    <w:p>
      <w:pPr>
        <w:pStyle w:val="ListBullet"/>
        <w:spacing w:after="80" w:line="276" w:lineRule="auto"/>
      </w:pPr>
      <w:r>
        <w:rPr>
          <w:rFonts w:ascii="Cambria" w:hAnsi="Cambria"/>
          <w:b/>
          <w:i w:val="0"/>
          <w:sz w:val="22"/>
        </w:rPr>
        <w:t xml:space="preserve">For Institution: </w:t>
      </w:r>
      <w:r>
        <w:rPr>
          <w:rFonts w:ascii="Cambria" w:hAnsi="Cambria"/>
          <w:b w:val="0"/>
          <w:i w:val="0"/>
          <w:sz w:val="22"/>
        </w:rPr>
        <w:t>Improved rankings, accreditation outcomes, and global reputation.</w:t>
      </w:r>
    </w:p>
    <w:p>
      <w:pPr>
        <w:pStyle w:val="ListBullet"/>
        <w:spacing w:after="80" w:line="276" w:lineRule="auto"/>
      </w:pPr>
      <w:r>
        <w:rPr>
          <w:rFonts w:ascii="Cambria" w:hAnsi="Cambria"/>
          <w:b/>
          <w:i w:val="0"/>
          <w:sz w:val="22"/>
        </w:rPr>
        <w:t xml:space="preserve">For Students/Scholars: </w:t>
      </w:r>
      <w:r>
        <w:rPr>
          <w:rFonts w:ascii="Cambria" w:hAnsi="Cambria"/>
          <w:b w:val="0"/>
          <w:i w:val="0"/>
          <w:sz w:val="22"/>
        </w:rPr>
        <w:t>Exposure to high-quality research culture and mentorship in scholarly writing.</w:t>
      </w:r>
    </w:p>
    <w:p>
      <w:pPr>
        <w:pStyle w:val="ListBullet"/>
        <w:spacing w:after="80" w:line="276" w:lineRule="auto"/>
      </w:pPr>
      <w:r>
        <w:rPr>
          <w:rFonts w:ascii="Cambria" w:hAnsi="Cambria"/>
          <w:b/>
          <w:i w:val="0"/>
          <w:sz w:val="22"/>
        </w:rPr>
        <w:t xml:space="preserve">For Society: </w:t>
      </w:r>
      <w:r>
        <w:rPr>
          <w:rFonts w:ascii="Cambria" w:hAnsi="Cambria"/>
          <w:b w:val="0"/>
          <w:i w:val="0"/>
          <w:sz w:val="22"/>
        </w:rPr>
        <w:t>Dissemination of knowledge that informs policy, practice, and further research.</w:t>
      </w:r>
    </w:p>
    <w:p>
      <w:pPr>
        <w:spacing w:after="80" w:line="276" w:lineRule="auto"/>
      </w:pPr>
      <w:r>
        <w:rPr>
          <w:rFonts w:ascii="Cambria" w:hAnsi="Cambria"/>
          <w:b/>
          <w:i w:val="0"/>
          <w:sz w:val="22"/>
        </w:rPr>
        <w:t>Custodianship Statement</w:t>
      </w:r>
    </w:p>
    <w:p>
      <w:pPr>
        <w:spacing w:after="200" w:line="276" w:lineRule="auto"/>
        <w:jc w:val="both"/>
      </w:pPr>
      <w:r>
        <w:rPr>
          <w:rFonts w:ascii="Cambria" w:hAnsi="Cambria"/>
          <w:b w:val="0"/>
          <w:i w:val="0"/>
          <w:sz w:val="22"/>
        </w:rPr>
        <w:t>As the custodian of publications, citations, impact factor, and books, the Associate Dean ensures that the institution's scholarly output is of the highest quality, ethically produced, and globally visible</w:t>
      </w:r>
      <w:r>
        <w:rPr>
          <w:rFonts w:ascii="Cambria" w:hAnsi="Cambria"/>
          <w:b w:val="0"/>
          <w:i w:val="0"/>
          <w:sz w:val="22"/>
        </w:rPr>
        <w:t>—strengthening the university's position as a credible and influential contributor to academic knowledge.</w:t>
      </w:r>
    </w:p>
    <w:p>
      <w:pPr>
        <w:pStyle w:val="Heading3"/>
      </w:pPr>
      <w:r>
        <w:rPr>
          <w:rFonts w:ascii="Cambria" w:hAnsi="Cambria"/>
          <w:b/>
          <w:color w:val="1F3A5F"/>
          <w:sz w:val="26"/>
        </w:rPr>
        <w:t>Responsibilities Matrix</w:t>
      </w:r>
    </w:p>
    <w:tbl>
      <w:tblPr>
        <w:tblStyle w:val="TableGrid"/>
        <w:tblW w:type="auto" w:w="0"/>
        <w:jc w:val="center"/>
        <w:tblLayout w:type="fixed"/>
        <w:tblLook w:firstColumn="1" w:firstRow="1" w:lastColumn="0" w:lastRow="0" w:noHBand="0" w:noVBand="1" w:val="04A0"/>
        <w:tblLayout w:type="fixed"/>
      </w:tblPr>
      <w:tblGrid>
        <w:gridCol w:w="2551"/>
        <w:gridCol w:w="4706"/>
        <w:gridCol w:w="2154"/>
      </w:tblGrid>
      <w:tr>
        <w:tc>
          <w:tcPr>
            <w:tcW w:type="dxa" w:w="2551"/>
            <w:shd w:val="clear" w:color="auto" w:fill="1F3A5F"/>
          </w:tcPr>
          <w:p>
            <w:pPr>
              <w:spacing w:after="40" w:line="240" w:lineRule="auto"/>
              <w:jc w:val="center"/>
            </w:pPr>
            <w:r/>
            <w:r>
              <w:rPr>
                <w:rFonts w:ascii="Cambria" w:hAnsi="Cambria"/>
                <w:b/>
                <w:color w:val="FFFFFF"/>
                <w:sz w:val="19"/>
              </w:rPr>
              <w:t>Category</w:t>
            </w:r>
          </w:p>
        </w:tc>
        <w:tc>
          <w:tcPr>
            <w:tcW w:type="dxa" w:w="4706"/>
            <w:shd w:val="clear" w:color="auto" w:fill="1F3A5F"/>
          </w:tcPr>
          <w:p>
            <w:pPr>
              <w:spacing w:after="40" w:line="240" w:lineRule="auto"/>
              <w:jc w:val="center"/>
            </w:pPr>
            <w:r/>
            <w:r>
              <w:rPr>
                <w:rFonts w:ascii="Cambria" w:hAnsi="Cambria"/>
                <w:b/>
                <w:color w:val="FFFFFF"/>
                <w:sz w:val="19"/>
              </w:rPr>
              <w:t>Key Duties &amp; Functions</w:t>
            </w:r>
          </w:p>
        </w:tc>
        <w:tc>
          <w:tcPr>
            <w:tcW w:type="dxa" w:w="2154"/>
            <w:shd w:val="clear" w:color="auto" w:fill="1F3A5F"/>
          </w:tcPr>
          <w:p>
            <w:pPr>
              <w:spacing w:after="40" w:line="240" w:lineRule="auto"/>
              <w:jc w:val="center"/>
            </w:pPr>
            <w:r/>
            <w:r>
              <w:rPr>
                <w:rFonts w:ascii="Cambria" w:hAnsi="Cambria"/>
                <w:b/>
                <w:color w:val="FFFFFF"/>
                <w:sz w:val="19"/>
              </w:rPr>
              <w:t>Impact on Institution</w:t>
            </w:r>
          </w:p>
        </w:tc>
      </w:tr>
      <w:tr>
        <w:tc>
          <w:tcPr>
            <w:tcW w:type="dxa" w:w="2551"/>
          </w:tcPr>
          <w:p>
            <w:pPr>
              <w:spacing w:after="40" w:line="240" w:lineRule="auto"/>
              <w:jc w:val="left"/>
            </w:pPr>
            <w:r/>
            <w:r>
              <w:rPr>
                <w:rFonts w:ascii="Cambria" w:hAnsi="Cambria"/>
                <w:b w:val="0"/>
                <w:sz w:val="17"/>
              </w:rPr>
              <w:t>Publication Quality &amp; Standards</w:t>
            </w:r>
          </w:p>
        </w:tc>
        <w:tc>
          <w:tcPr>
            <w:tcW w:type="dxa" w:w="4706"/>
          </w:tcPr>
          <w:p>
            <w:pPr>
              <w:spacing w:after="40" w:line="240" w:lineRule="auto"/>
              <w:jc w:val="left"/>
            </w:pPr>
            <w:r/>
            <w:r>
              <w:rPr>
                <w:rFonts w:ascii="Cambria" w:hAnsi="Cambria"/>
                <w:b w:val="0"/>
                <w:sz w:val="17"/>
              </w:rPr>
              <w:t>Promotes publishing in indexed, peer-reviewed journals.</w:t>
            </w:r>
          </w:p>
          <w:p>
            <w:pPr>
              <w:spacing w:after="40" w:line="240" w:lineRule="auto"/>
              <w:jc w:val="left"/>
            </w:pPr>
            <w:r>
              <w:rPr>
                <w:rFonts w:ascii="Cambria" w:hAnsi="Cambria"/>
                <w:b w:val="0"/>
                <w:sz w:val="17"/>
              </w:rPr>
              <w:t>Guides faculty in avoiding predatory publishing.</w:t>
            </w:r>
          </w:p>
          <w:p>
            <w:pPr>
              <w:spacing w:after="40" w:line="240" w:lineRule="auto"/>
              <w:jc w:val="left"/>
            </w:pPr>
            <w:r>
              <w:rPr>
                <w:rFonts w:ascii="Cambria" w:hAnsi="Cambria"/>
                <w:b w:val="0"/>
                <w:sz w:val="17"/>
              </w:rPr>
              <w:t>Ensures ethical publishing and authorship integrity.</w:t>
            </w:r>
          </w:p>
        </w:tc>
        <w:tc>
          <w:tcPr>
            <w:tcW w:type="dxa" w:w="2154"/>
          </w:tcPr>
          <w:p>
            <w:pPr>
              <w:spacing w:after="40" w:line="240" w:lineRule="auto"/>
              <w:jc w:val="left"/>
            </w:pPr>
            <w:r/>
            <w:r>
              <w:rPr>
                <w:rFonts w:ascii="Cambria" w:hAnsi="Cambria"/>
                <w:b w:val="0"/>
                <w:sz w:val="17"/>
              </w:rPr>
              <w:t>Improved research credibility and institutional reputation.</w:t>
            </w:r>
          </w:p>
        </w:tc>
      </w:tr>
      <w:tr>
        <w:tc>
          <w:tcPr>
            <w:tcW w:type="dxa" w:w="2551"/>
            <w:shd w:val="clear" w:color="auto" w:fill="F2F2F2"/>
          </w:tcPr>
          <w:p>
            <w:pPr>
              <w:spacing w:after="40" w:line="240" w:lineRule="auto"/>
              <w:jc w:val="left"/>
            </w:pPr>
            <w:r/>
            <w:r>
              <w:rPr>
                <w:rFonts w:ascii="Cambria" w:hAnsi="Cambria"/>
                <w:b w:val="0"/>
                <w:sz w:val="17"/>
              </w:rPr>
              <w:t>Citation &amp; Impact Monitoring</w:t>
            </w:r>
          </w:p>
        </w:tc>
        <w:tc>
          <w:tcPr>
            <w:tcW w:type="dxa" w:w="4706"/>
            <w:shd w:val="clear" w:color="auto" w:fill="F2F2F2"/>
          </w:tcPr>
          <w:p>
            <w:pPr>
              <w:spacing w:after="40" w:line="240" w:lineRule="auto"/>
              <w:jc w:val="left"/>
            </w:pPr>
            <w:r/>
            <w:r>
              <w:rPr>
                <w:rFonts w:ascii="Cambria" w:hAnsi="Cambria"/>
                <w:b w:val="0"/>
                <w:sz w:val="17"/>
              </w:rPr>
              <w:t>Tracks citation counts, h-index, and i10-index.</w:t>
            </w:r>
          </w:p>
          <w:p>
            <w:pPr>
              <w:spacing w:after="40" w:line="240" w:lineRule="auto"/>
              <w:jc w:val="left"/>
            </w:pPr>
            <w:r>
              <w:rPr>
                <w:rFonts w:ascii="Cambria" w:hAnsi="Cambria"/>
                <w:b w:val="0"/>
                <w:sz w:val="17"/>
              </w:rPr>
              <w:t>Monitors journal impact factor trends.</w:t>
            </w:r>
          </w:p>
          <w:p>
            <w:pPr>
              <w:spacing w:after="40" w:line="240" w:lineRule="auto"/>
              <w:jc w:val="left"/>
            </w:pPr>
            <w:r>
              <w:rPr>
                <w:rFonts w:ascii="Cambria" w:hAnsi="Cambria"/>
                <w:b w:val="0"/>
                <w:sz w:val="17"/>
              </w:rPr>
              <w:t>Benchmarks performance against peer institutions.</w:t>
            </w:r>
          </w:p>
        </w:tc>
        <w:tc>
          <w:tcPr>
            <w:tcW w:type="dxa" w:w="2154"/>
            <w:shd w:val="clear" w:color="auto" w:fill="F2F2F2"/>
          </w:tcPr>
          <w:p>
            <w:pPr>
              <w:spacing w:after="40" w:line="240" w:lineRule="auto"/>
              <w:jc w:val="left"/>
            </w:pPr>
            <w:r/>
            <w:r>
              <w:rPr>
                <w:rFonts w:ascii="Cambria" w:hAnsi="Cambria"/>
                <w:b w:val="0"/>
                <w:sz w:val="17"/>
              </w:rPr>
              <w:t>Enhanced visibility and competitiveness in rankings.</w:t>
            </w:r>
          </w:p>
        </w:tc>
      </w:tr>
      <w:tr>
        <w:tc>
          <w:tcPr>
            <w:tcW w:type="dxa" w:w="2551"/>
          </w:tcPr>
          <w:p>
            <w:pPr>
              <w:spacing w:after="40" w:line="240" w:lineRule="auto"/>
              <w:jc w:val="left"/>
            </w:pPr>
            <w:r/>
            <w:r>
              <w:rPr>
                <w:rFonts w:ascii="Cambria" w:hAnsi="Cambria"/>
                <w:b w:val="0"/>
                <w:sz w:val="17"/>
              </w:rPr>
              <w:t>Books and Monographs</w:t>
            </w:r>
          </w:p>
        </w:tc>
        <w:tc>
          <w:tcPr>
            <w:tcW w:type="dxa" w:w="4706"/>
          </w:tcPr>
          <w:p>
            <w:pPr>
              <w:spacing w:after="40" w:line="240" w:lineRule="auto"/>
              <w:jc w:val="left"/>
            </w:pPr>
            <w:r/>
            <w:r>
              <w:rPr>
                <w:rFonts w:ascii="Cambria" w:hAnsi="Cambria"/>
                <w:b w:val="0"/>
                <w:sz w:val="17"/>
              </w:rPr>
              <w:t>Encourages authored/edited books and monographs.</w:t>
            </w:r>
          </w:p>
          <w:p>
            <w:pPr>
              <w:spacing w:after="40" w:line="240" w:lineRule="auto"/>
              <w:jc w:val="left"/>
            </w:pPr>
            <w:r>
              <w:rPr>
                <w:rFonts w:ascii="Cambria" w:hAnsi="Cambria"/>
                <w:b w:val="0"/>
                <w:sz w:val="17"/>
              </w:rPr>
              <w:t>Facilitates collaborations with reputed publishers.</w:t>
            </w:r>
          </w:p>
          <w:p>
            <w:pPr>
              <w:spacing w:after="40" w:line="240" w:lineRule="auto"/>
              <w:jc w:val="left"/>
            </w:pPr>
            <w:r>
              <w:rPr>
                <w:rFonts w:ascii="Cambria" w:hAnsi="Cambria"/>
                <w:b w:val="0"/>
                <w:sz w:val="17"/>
              </w:rPr>
              <w:t>Promotes institutional visibility through volumes.</w:t>
            </w:r>
          </w:p>
        </w:tc>
        <w:tc>
          <w:tcPr>
            <w:tcW w:type="dxa" w:w="2154"/>
          </w:tcPr>
          <w:p>
            <w:pPr>
              <w:spacing w:after="40" w:line="240" w:lineRule="auto"/>
              <w:jc w:val="left"/>
            </w:pPr>
            <w:r/>
            <w:r>
              <w:rPr>
                <w:rFonts w:ascii="Cambria" w:hAnsi="Cambria"/>
                <w:b w:val="0"/>
                <w:sz w:val="17"/>
              </w:rPr>
              <w:t>Thought leadership and scholarly recognition.</w:t>
            </w:r>
          </w:p>
        </w:tc>
      </w:tr>
      <w:tr>
        <w:tc>
          <w:tcPr>
            <w:tcW w:type="dxa" w:w="2551"/>
            <w:shd w:val="clear" w:color="auto" w:fill="F2F2F2"/>
          </w:tcPr>
          <w:p>
            <w:pPr>
              <w:spacing w:after="40" w:line="240" w:lineRule="auto"/>
              <w:jc w:val="left"/>
            </w:pPr>
            <w:r/>
            <w:r>
              <w:rPr>
                <w:rFonts w:ascii="Cambria" w:hAnsi="Cambria"/>
                <w:b w:val="0"/>
                <w:sz w:val="17"/>
              </w:rPr>
              <w:t>Capacity Building</w:t>
            </w:r>
          </w:p>
        </w:tc>
        <w:tc>
          <w:tcPr>
            <w:tcW w:type="dxa" w:w="4706"/>
            <w:shd w:val="clear" w:color="auto" w:fill="F2F2F2"/>
          </w:tcPr>
          <w:p>
            <w:pPr>
              <w:spacing w:after="40" w:line="240" w:lineRule="auto"/>
              <w:jc w:val="left"/>
            </w:pPr>
            <w:r/>
            <w:r>
              <w:rPr>
                <w:rFonts w:ascii="Cambria" w:hAnsi="Cambria"/>
                <w:b w:val="0"/>
                <w:sz w:val="17"/>
              </w:rPr>
              <w:t>Organizes workshops on academic writing and ethics.</w:t>
            </w:r>
          </w:p>
          <w:p>
            <w:pPr>
              <w:spacing w:after="40" w:line="240" w:lineRule="auto"/>
              <w:jc w:val="left"/>
            </w:pPr>
            <w:r>
              <w:rPr>
                <w:rFonts w:ascii="Cambria" w:hAnsi="Cambria"/>
                <w:b w:val="0"/>
                <w:sz w:val="17"/>
              </w:rPr>
              <w:t>Trains early-career researchers in publishing.</w:t>
            </w:r>
          </w:p>
          <w:p>
            <w:pPr>
              <w:spacing w:after="40" w:line="240" w:lineRule="auto"/>
              <w:jc w:val="left"/>
            </w:pPr>
            <w:r>
              <w:rPr>
                <w:rFonts w:ascii="Cambria" w:hAnsi="Cambria"/>
                <w:b w:val="0"/>
                <w:sz w:val="17"/>
              </w:rPr>
              <w:t>Supports use of citation management tools.</w:t>
            </w:r>
          </w:p>
        </w:tc>
        <w:tc>
          <w:tcPr>
            <w:tcW w:type="dxa" w:w="2154"/>
            <w:shd w:val="clear" w:color="auto" w:fill="F2F2F2"/>
          </w:tcPr>
          <w:p>
            <w:pPr>
              <w:spacing w:after="40" w:line="240" w:lineRule="auto"/>
              <w:jc w:val="left"/>
            </w:pPr>
            <w:r/>
            <w:r>
              <w:rPr>
                <w:rFonts w:ascii="Cambria" w:hAnsi="Cambria"/>
                <w:b w:val="0"/>
                <w:sz w:val="17"/>
              </w:rPr>
              <w:t>Stronger research culture and scholar competence.</w:t>
            </w:r>
          </w:p>
        </w:tc>
      </w:tr>
      <w:tr>
        <w:tc>
          <w:tcPr>
            <w:tcW w:type="dxa" w:w="2551"/>
          </w:tcPr>
          <w:p>
            <w:pPr>
              <w:spacing w:after="40" w:line="240" w:lineRule="auto"/>
              <w:jc w:val="left"/>
            </w:pPr>
            <w:r/>
            <w:r>
              <w:rPr>
                <w:rFonts w:ascii="Cambria" w:hAnsi="Cambria"/>
                <w:b w:val="0"/>
                <w:sz w:val="17"/>
              </w:rPr>
              <w:t>Institutional Reporting</w:t>
            </w:r>
          </w:p>
        </w:tc>
        <w:tc>
          <w:tcPr>
            <w:tcW w:type="dxa" w:w="4706"/>
          </w:tcPr>
          <w:p>
            <w:pPr>
              <w:spacing w:after="40" w:line="240" w:lineRule="auto"/>
              <w:jc w:val="left"/>
            </w:pPr>
            <w:r/>
            <w:r>
              <w:rPr>
                <w:rFonts w:ascii="Cambria" w:hAnsi="Cambria"/>
                <w:b w:val="0"/>
                <w:sz w:val="17"/>
              </w:rPr>
              <w:t>Prepares reports on publication/citation performance.</w:t>
            </w:r>
          </w:p>
          <w:p>
            <w:pPr>
              <w:spacing w:after="40" w:line="240" w:lineRule="auto"/>
              <w:jc w:val="left"/>
            </w:pPr>
            <w:r>
              <w:rPr>
                <w:rFonts w:ascii="Cambria" w:hAnsi="Cambria"/>
                <w:b w:val="0"/>
                <w:sz w:val="17"/>
              </w:rPr>
              <w:t>Supports NAAC, NBA, NIRF, QS I-GAUGE submissions.</w:t>
            </w:r>
          </w:p>
          <w:p>
            <w:pPr>
              <w:spacing w:after="40" w:line="240" w:lineRule="auto"/>
              <w:jc w:val="left"/>
            </w:pPr>
            <w:r>
              <w:rPr>
                <w:rFonts w:ascii="Cambria" w:hAnsi="Cambria"/>
                <w:b w:val="0"/>
                <w:sz w:val="17"/>
              </w:rPr>
              <w:t>Provides verified metrics for ranking exercises.</w:t>
            </w:r>
          </w:p>
        </w:tc>
        <w:tc>
          <w:tcPr>
            <w:tcW w:type="dxa" w:w="2154"/>
          </w:tcPr>
          <w:p>
            <w:pPr>
              <w:spacing w:after="40" w:line="240" w:lineRule="auto"/>
              <w:jc w:val="left"/>
            </w:pPr>
            <w:r/>
            <w:r>
              <w:rPr>
                <w:rFonts w:ascii="Cambria" w:hAnsi="Cambria"/>
                <w:b w:val="0"/>
                <w:sz w:val="17"/>
              </w:rPr>
              <w:t>Stronger accreditation outcomes and global rankings.</w:t>
            </w:r>
          </w:p>
        </w:tc>
      </w:tr>
    </w:tbl>
    <w:p>
      <w:pPr>
        <w:spacing w:after="40"/>
      </w:pPr>
    </w:p>
    <w:p>
      <w:r>
        <w:br w:type="page"/>
      </w:r>
    </w:p>
    <w:p>
      <w:pPr>
        <w:pStyle w:val="Heading1"/>
      </w:pPr>
      <w:r>
        <w:rPr>
          <w:rFonts w:ascii="Cambria" w:hAnsi="Cambria"/>
          <w:b/>
          <w:color w:val="1F3A5F"/>
          <w:sz w:val="36"/>
        </w:rPr>
        <w:t>7. Associate Dean – IPR, Patents, Copyrights, and Trademarks</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IPR, Patents, Copyrights, and Trademarks serves as the custodian of intellectual property rights within the institution. This role safeguards the innovative outputs of faculty, researchers, and students by promoting awareness of IPR, facilitating the protection of inventions, and enabling their commercialization. By embedding a strong IPR culture, the Associate Dean ensures that the institution's innovations translate into tangible value for society and industry.</w:t>
      </w:r>
    </w:p>
    <w:p>
      <w:pPr>
        <w:spacing w:after="160" w:line="276" w:lineRule="auto"/>
        <w:jc w:val="both"/>
      </w:pPr>
      <w:r>
        <w:rPr>
          <w:rFonts w:ascii="Cambria" w:hAnsi="Cambria"/>
          <w:b w:val="0"/>
          <w:i w:val="0"/>
          <w:sz w:val="22"/>
        </w:rPr>
        <w:t>This position involves close coordination with the Technology Transfer Office (TTO) or Innovation &amp; Incubation Cell, guiding inventors through the patent filing process, and building partnerships with legal and technical experts for IP protection. The Associate Dean also plays a key role in building institutional capacity for recognizing, documenting, and protecting intellectual property across disciplines.</w:t>
      </w:r>
    </w:p>
    <w:p>
      <w:pPr>
        <w:pStyle w:val="Heading3"/>
      </w:pPr>
      <w:r>
        <w:rPr>
          <w:rFonts w:ascii="Cambria" w:hAnsi="Cambria"/>
          <w:b/>
          <w:color w:val="1F3A5F"/>
          <w:sz w:val="26"/>
        </w:rPr>
        <w:t>1. Position and Purpose</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IPR, Patents, Copyrights, and Trademarks is responsible for promoting and protecting the institution's intellectual property, ensuring that innovations by faculty, researchers, and students are safeguarded and translated into societal and economic value.</w:t>
      </w:r>
    </w:p>
    <w:p>
      <w:pPr>
        <w:pStyle w:val="Heading3"/>
      </w:pPr>
      <w:r>
        <w:rPr>
          <w:rFonts w:ascii="Cambria" w:hAnsi="Cambria"/>
          <w:b/>
          <w:color w:val="1F3A5F"/>
          <w:sz w:val="26"/>
        </w:rPr>
        <w:t>2. Detailed Responsibilities</w:t>
      </w:r>
    </w:p>
    <w:p>
      <w:pPr>
        <w:pStyle w:val="Heading3"/>
      </w:pPr>
      <w:r>
        <w:rPr>
          <w:rFonts w:ascii="Cambria" w:hAnsi="Cambria"/>
          <w:b/>
          <w:color w:val="1F3A5F"/>
          <w:sz w:val="26"/>
        </w:rPr>
        <w:t>A. IPR Awareness and Promotion</w:t>
      </w:r>
    </w:p>
    <w:p>
      <w:pPr>
        <w:pStyle w:val="ListBullet"/>
        <w:spacing w:after="80" w:line="276" w:lineRule="auto"/>
      </w:pPr>
      <w:r>
        <w:rPr>
          <w:rFonts w:ascii="Cambria" w:hAnsi="Cambria"/>
          <w:b w:val="0"/>
          <w:i w:val="0"/>
          <w:sz w:val="22"/>
        </w:rPr>
        <w:t>Conducts awareness programs on patents, copyrights, trademarks, and trade secrets.</w:t>
      </w:r>
    </w:p>
    <w:p>
      <w:pPr>
        <w:pStyle w:val="ListBullet"/>
        <w:spacing w:after="80" w:line="276" w:lineRule="auto"/>
      </w:pPr>
      <w:r>
        <w:rPr>
          <w:rFonts w:ascii="Cambria" w:hAnsi="Cambria"/>
          <w:b w:val="0"/>
          <w:i w:val="0"/>
          <w:sz w:val="22"/>
        </w:rPr>
        <w:t>Encourages faculty and students to document and disclose inventions.</w:t>
      </w:r>
    </w:p>
    <w:p>
      <w:pPr>
        <w:pStyle w:val="ListBullet"/>
        <w:spacing w:after="80" w:line="276" w:lineRule="auto"/>
      </w:pPr>
      <w:r>
        <w:rPr>
          <w:rFonts w:ascii="Cambria" w:hAnsi="Cambria"/>
          <w:b w:val="0"/>
          <w:i w:val="0"/>
          <w:sz w:val="22"/>
        </w:rPr>
        <w:t>Builds a culture of innovation protection across departments.</w:t>
      </w:r>
    </w:p>
    <w:p>
      <w:pPr>
        <w:pStyle w:val="Heading3"/>
      </w:pPr>
      <w:r>
        <w:rPr>
          <w:rFonts w:ascii="Cambria" w:hAnsi="Cambria"/>
          <w:b/>
          <w:color w:val="1F3A5F"/>
          <w:sz w:val="26"/>
        </w:rPr>
        <w:t>B. Patent Filing and Management</w:t>
      </w:r>
    </w:p>
    <w:p>
      <w:pPr>
        <w:pStyle w:val="ListBullet"/>
        <w:spacing w:after="80" w:line="276" w:lineRule="auto"/>
      </w:pPr>
      <w:r>
        <w:rPr>
          <w:rFonts w:ascii="Cambria" w:hAnsi="Cambria"/>
          <w:b w:val="0"/>
          <w:i w:val="0"/>
          <w:sz w:val="22"/>
        </w:rPr>
        <w:t>Facilitates patent search, drafting, and filing processes.</w:t>
      </w:r>
    </w:p>
    <w:p>
      <w:pPr>
        <w:pStyle w:val="ListBullet"/>
        <w:spacing w:after="80" w:line="276" w:lineRule="auto"/>
      </w:pPr>
      <w:r>
        <w:rPr>
          <w:rFonts w:ascii="Cambria" w:hAnsi="Cambria"/>
          <w:b w:val="0"/>
          <w:i w:val="0"/>
          <w:sz w:val="22"/>
        </w:rPr>
        <w:t>Coordinates with patent attorneys and agents for application support.</w:t>
      </w:r>
    </w:p>
    <w:p>
      <w:pPr>
        <w:pStyle w:val="ListBullet"/>
        <w:spacing w:after="80" w:line="276" w:lineRule="auto"/>
      </w:pPr>
      <w:r>
        <w:rPr>
          <w:rFonts w:ascii="Cambria" w:hAnsi="Cambria"/>
          <w:b w:val="0"/>
          <w:i w:val="0"/>
          <w:sz w:val="22"/>
        </w:rPr>
        <w:t>Tracks the status of filed, published, and granted patents.</w:t>
      </w:r>
    </w:p>
    <w:p>
      <w:pPr>
        <w:pStyle w:val="Heading3"/>
      </w:pPr>
      <w:r>
        <w:rPr>
          <w:rFonts w:ascii="Cambria" w:hAnsi="Cambria"/>
          <w:b/>
          <w:color w:val="1F3A5F"/>
          <w:sz w:val="26"/>
        </w:rPr>
        <w:t>C. Copyrights and Trademarks</w:t>
      </w:r>
    </w:p>
    <w:p>
      <w:pPr>
        <w:pStyle w:val="ListBullet"/>
        <w:spacing w:after="80" w:line="276" w:lineRule="auto"/>
      </w:pPr>
      <w:r>
        <w:rPr>
          <w:rFonts w:ascii="Cambria" w:hAnsi="Cambria"/>
          <w:b w:val="0"/>
          <w:i w:val="0"/>
          <w:sz w:val="22"/>
        </w:rPr>
        <w:t>Guides faculty in copyright registration for books, software, and creative works.</w:t>
      </w:r>
    </w:p>
    <w:p>
      <w:pPr>
        <w:pStyle w:val="ListBullet"/>
        <w:spacing w:after="80" w:line="276" w:lineRule="auto"/>
      </w:pPr>
      <w:r>
        <w:rPr>
          <w:rFonts w:ascii="Cambria" w:hAnsi="Cambria"/>
          <w:b w:val="0"/>
          <w:i w:val="0"/>
          <w:sz w:val="22"/>
        </w:rPr>
        <w:t>Facilitates trademark protection for institutional branding and innovations.</w:t>
      </w:r>
    </w:p>
    <w:p>
      <w:pPr>
        <w:pStyle w:val="ListBullet"/>
        <w:spacing w:after="80" w:line="276" w:lineRule="auto"/>
      </w:pPr>
      <w:r>
        <w:rPr>
          <w:rFonts w:ascii="Cambria" w:hAnsi="Cambria"/>
          <w:b w:val="0"/>
          <w:i w:val="0"/>
          <w:sz w:val="22"/>
        </w:rPr>
        <w:t>Maintains institutional records of copyrights and trademarks.</w:t>
      </w:r>
    </w:p>
    <w:p>
      <w:pPr>
        <w:pStyle w:val="Heading3"/>
      </w:pPr>
      <w:r>
        <w:rPr>
          <w:rFonts w:ascii="Cambria" w:hAnsi="Cambria"/>
          <w:b/>
          <w:color w:val="1F3A5F"/>
          <w:sz w:val="26"/>
        </w:rPr>
        <w:t>D. Technology Transfer and Commercialization</w:t>
      </w:r>
    </w:p>
    <w:p>
      <w:pPr>
        <w:pStyle w:val="ListBullet"/>
        <w:spacing w:after="80" w:line="276" w:lineRule="auto"/>
      </w:pPr>
      <w:r>
        <w:rPr>
          <w:rFonts w:ascii="Cambria" w:hAnsi="Cambria"/>
          <w:b w:val="0"/>
          <w:i w:val="0"/>
          <w:sz w:val="22"/>
        </w:rPr>
        <w:t>Works with the Technology Transfer Office (TTO) to license and commercialize patents.</w:t>
      </w:r>
    </w:p>
    <w:p>
      <w:pPr>
        <w:pStyle w:val="ListBullet"/>
        <w:spacing w:after="80" w:line="276" w:lineRule="auto"/>
      </w:pPr>
      <w:r>
        <w:rPr>
          <w:rFonts w:ascii="Cambria" w:hAnsi="Cambria"/>
          <w:b w:val="0"/>
          <w:i w:val="0"/>
          <w:sz w:val="22"/>
        </w:rPr>
        <w:t>Facilitates industry partnerships for technology adoption.</w:t>
      </w:r>
    </w:p>
    <w:p>
      <w:pPr>
        <w:pStyle w:val="ListBullet"/>
        <w:spacing w:after="80" w:line="276" w:lineRule="auto"/>
      </w:pPr>
      <w:r>
        <w:rPr>
          <w:rFonts w:ascii="Cambria" w:hAnsi="Cambria"/>
          <w:b w:val="0"/>
          <w:i w:val="0"/>
          <w:sz w:val="22"/>
        </w:rPr>
        <w:t>Supports start-ups and spin-offs based on institutional IP.</w:t>
      </w:r>
    </w:p>
    <w:p>
      <w:pPr>
        <w:pStyle w:val="Heading3"/>
      </w:pPr>
      <w:r>
        <w:rPr>
          <w:rFonts w:ascii="Cambria" w:hAnsi="Cambria"/>
          <w:b/>
          <w:color w:val="1F3A5F"/>
          <w:sz w:val="26"/>
        </w:rPr>
        <w:t>E. Institutional Reporting and Benchmarking</w:t>
      </w:r>
    </w:p>
    <w:p>
      <w:pPr>
        <w:pStyle w:val="ListBullet"/>
        <w:spacing w:after="80" w:line="276" w:lineRule="auto"/>
      </w:pPr>
      <w:r>
        <w:rPr>
          <w:rFonts w:ascii="Cambria" w:hAnsi="Cambria"/>
          <w:b w:val="0"/>
          <w:i w:val="0"/>
          <w:sz w:val="22"/>
        </w:rPr>
        <w:t>Maintains comprehensive records of IPR activities for accreditation.</w:t>
      </w:r>
    </w:p>
    <w:p>
      <w:pPr>
        <w:pStyle w:val="ListBullet"/>
        <w:spacing w:after="80" w:line="276" w:lineRule="auto"/>
      </w:pPr>
      <w:r>
        <w:rPr>
          <w:rFonts w:ascii="Cambria" w:hAnsi="Cambria"/>
          <w:b w:val="0"/>
          <w:i w:val="0"/>
          <w:sz w:val="22"/>
        </w:rPr>
        <w:t>Provides data for NAAC, NBA, NIRF, and QS I-GAUGE submissions.</w:t>
      </w:r>
    </w:p>
    <w:p>
      <w:pPr>
        <w:pStyle w:val="ListBullet"/>
        <w:spacing w:after="80" w:line="276" w:lineRule="auto"/>
      </w:pPr>
      <w:r>
        <w:rPr>
          <w:rFonts w:ascii="Cambria" w:hAnsi="Cambria"/>
          <w:b w:val="0"/>
          <w:i w:val="0"/>
          <w:sz w:val="22"/>
        </w:rPr>
        <w:t>Benchmarks institutional IPR performance against peer universities.</w:t>
      </w:r>
    </w:p>
    <w:p>
      <w:pPr>
        <w:pStyle w:val="Heading3"/>
      </w:pPr>
      <w:r>
        <w:rPr>
          <w:rFonts w:ascii="Cambria" w:hAnsi="Cambria"/>
          <w:b/>
          <w:color w:val="1F3A5F"/>
          <w:sz w:val="26"/>
        </w:rPr>
        <w:t>3. Strategic Impact</w:t>
      </w:r>
    </w:p>
    <w:p>
      <w:pPr>
        <w:pStyle w:val="ListBullet"/>
        <w:spacing w:after="80" w:line="276" w:lineRule="auto"/>
      </w:pPr>
      <w:r>
        <w:rPr>
          <w:rFonts w:ascii="Cambria" w:hAnsi="Cambria"/>
          <w:b/>
          <w:i w:val="0"/>
          <w:sz w:val="22"/>
        </w:rPr>
        <w:t xml:space="preserve">For Faculty/Students: </w:t>
      </w:r>
      <w:r>
        <w:rPr>
          <w:rFonts w:ascii="Cambria" w:hAnsi="Cambria"/>
          <w:b w:val="0"/>
          <w:i w:val="0"/>
          <w:sz w:val="22"/>
        </w:rPr>
        <w:t>Protection and recognition of their innovative contributions.</w:t>
      </w:r>
    </w:p>
    <w:p>
      <w:pPr>
        <w:pStyle w:val="ListBullet"/>
        <w:spacing w:after="80" w:line="276" w:lineRule="auto"/>
      </w:pPr>
      <w:r>
        <w:rPr>
          <w:rFonts w:ascii="Cambria" w:hAnsi="Cambria"/>
          <w:b/>
          <w:i w:val="0"/>
          <w:sz w:val="22"/>
        </w:rPr>
        <w:t xml:space="preserve">For Institution: </w:t>
      </w:r>
      <w:r>
        <w:rPr>
          <w:rFonts w:ascii="Cambria" w:hAnsi="Cambria"/>
          <w:b w:val="0"/>
          <w:i w:val="0"/>
          <w:sz w:val="22"/>
        </w:rPr>
        <w:t>Enhanced reputation, revenue through licensing, and accreditation outcomes.</w:t>
      </w:r>
    </w:p>
    <w:p>
      <w:pPr>
        <w:pStyle w:val="ListBullet"/>
        <w:spacing w:after="80" w:line="276" w:lineRule="auto"/>
      </w:pPr>
      <w:r>
        <w:rPr>
          <w:rFonts w:ascii="Cambria" w:hAnsi="Cambria"/>
          <w:b/>
          <w:i w:val="0"/>
          <w:sz w:val="22"/>
        </w:rPr>
        <w:t xml:space="preserve">For Industry: </w:t>
      </w:r>
      <w:r>
        <w:rPr>
          <w:rFonts w:ascii="Cambria" w:hAnsi="Cambria"/>
          <w:b w:val="0"/>
          <w:i w:val="0"/>
          <w:sz w:val="22"/>
        </w:rPr>
        <w:t>Access to protected, commercially viable technologies.</w:t>
      </w:r>
    </w:p>
    <w:p>
      <w:pPr>
        <w:pStyle w:val="ListBullet"/>
        <w:spacing w:after="80" w:line="276" w:lineRule="auto"/>
      </w:pPr>
      <w:r>
        <w:rPr>
          <w:rFonts w:ascii="Cambria" w:hAnsi="Cambria"/>
          <w:b/>
          <w:i w:val="0"/>
          <w:sz w:val="22"/>
        </w:rPr>
        <w:t xml:space="preserve">For Society: </w:t>
      </w:r>
      <w:r>
        <w:rPr>
          <w:rFonts w:ascii="Cambria" w:hAnsi="Cambria"/>
          <w:b w:val="0"/>
          <w:i w:val="0"/>
          <w:sz w:val="22"/>
        </w:rPr>
        <w:t>Translation of research into usable products and services.</w:t>
      </w:r>
    </w:p>
    <w:p>
      <w:pPr>
        <w:spacing w:after="80" w:line="276" w:lineRule="auto"/>
      </w:pPr>
      <w:r>
        <w:rPr>
          <w:rFonts w:ascii="Cambria" w:hAnsi="Cambria"/>
          <w:b/>
          <w:i w:val="0"/>
          <w:sz w:val="22"/>
        </w:rPr>
        <w:t>Custodianship Statement</w:t>
      </w:r>
    </w:p>
    <w:p>
      <w:pPr>
        <w:spacing w:after="200" w:line="276" w:lineRule="auto"/>
        <w:jc w:val="both"/>
      </w:pPr>
      <w:r>
        <w:rPr>
          <w:rFonts w:ascii="Cambria" w:hAnsi="Cambria"/>
          <w:b w:val="0"/>
          <w:i w:val="0"/>
          <w:sz w:val="22"/>
        </w:rPr>
        <w:t>As the custodian of IPR, patents, copyrights, and trademarks, the Associate Dean ensures that the institution's innovations are legally protected and strategically commercialized</w:t>
      </w:r>
      <w:r>
        <w:rPr>
          <w:rFonts w:ascii="Cambria" w:hAnsi="Cambria"/>
          <w:b w:val="0"/>
          <w:i w:val="0"/>
          <w:sz w:val="22"/>
        </w:rPr>
        <w:t>—transforming intellectual effort into institutional and societal value.</w:t>
      </w:r>
    </w:p>
    <w:p>
      <w:pPr>
        <w:pStyle w:val="Heading3"/>
      </w:pPr>
      <w:r>
        <w:rPr>
          <w:rFonts w:ascii="Cambria" w:hAnsi="Cambria"/>
          <w:b/>
          <w:color w:val="1F3A5F"/>
          <w:sz w:val="26"/>
        </w:rPr>
        <w:t>Responsibilities Matrix</w:t>
      </w:r>
    </w:p>
    <w:tbl>
      <w:tblPr>
        <w:tblStyle w:val="TableGrid"/>
        <w:tblW w:type="auto" w:w="0"/>
        <w:jc w:val="center"/>
        <w:tblLayout w:type="fixed"/>
        <w:tblLook w:firstColumn="1" w:firstRow="1" w:lastColumn="0" w:lastRow="0" w:noHBand="0" w:noVBand="1" w:val="04A0"/>
        <w:tblLayout w:type="fixed"/>
      </w:tblPr>
      <w:tblGrid>
        <w:gridCol w:w="2551"/>
        <w:gridCol w:w="4706"/>
        <w:gridCol w:w="2154"/>
      </w:tblGrid>
      <w:tr>
        <w:tc>
          <w:tcPr>
            <w:tcW w:type="dxa" w:w="2551"/>
            <w:shd w:val="clear" w:color="auto" w:fill="1F3A5F"/>
          </w:tcPr>
          <w:p>
            <w:pPr>
              <w:spacing w:after="40" w:line="240" w:lineRule="auto"/>
              <w:jc w:val="center"/>
            </w:pPr>
            <w:r/>
            <w:r>
              <w:rPr>
                <w:rFonts w:ascii="Cambria" w:hAnsi="Cambria"/>
                <w:b/>
                <w:color w:val="FFFFFF"/>
                <w:sz w:val="19"/>
              </w:rPr>
              <w:t>Category</w:t>
            </w:r>
          </w:p>
        </w:tc>
        <w:tc>
          <w:tcPr>
            <w:tcW w:type="dxa" w:w="4706"/>
            <w:shd w:val="clear" w:color="auto" w:fill="1F3A5F"/>
          </w:tcPr>
          <w:p>
            <w:pPr>
              <w:spacing w:after="40" w:line="240" w:lineRule="auto"/>
              <w:jc w:val="center"/>
            </w:pPr>
            <w:r/>
            <w:r>
              <w:rPr>
                <w:rFonts w:ascii="Cambria" w:hAnsi="Cambria"/>
                <w:b/>
                <w:color w:val="FFFFFF"/>
                <w:sz w:val="19"/>
              </w:rPr>
              <w:t>Key Duties &amp; Functions</w:t>
            </w:r>
          </w:p>
        </w:tc>
        <w:tc>
          <w:tcPr>
            <w:tcW w:type="dxa" w:w="2154"/>
            <w:shd w:val="clear" w:color="auto" w:fill="1F3A5F"/>
          </w:tcPr>
          <w:p>
            <w:pPr>
              <w:spacing w:after="40" w:line="240" w:lineRule="auto"/>
              <w:jc w:val="center"/>
            </w:pPr>
            <w:r/>
            <w:r>
              <w:rPr>
                <w:rFonts w:ascii="Cambria" w:hAnsi="Cambria"/>
                <w:b/>
                <w:color w:val="FFFFFF"/>
                <w:sz w:val="19"/>
              </w:rPr>
              <w:t>Impact on Institution</w:t>
            </w:r>
          </w:p>
        </w:tc>
      </w:tr>
      <w:tr>
        <w:tc>
          <w:tcPr>
            <w:tcW w:type="dxa" w:w="2551"/>
          </w:tcPr>
          <w:p>
            <w:pPr>
              <w:spacing w:after="40" w:line="240" w:lineRule="auto"/>
              <w:jc w:val="left"/>
            </w:pPr>
            <w:r/>
            <w:r>
              <w:rPr>
                <w:rFonts w:ascii="Cambria" w:hAnsi="Cambria"/>
                <w:b w:val="0"/>
                <w:sz w:val="17"/>
              </w:rPr>
              <w:t>IPR Awareness &amp; Promotion</w:t>
            </w:r>
          </w:p>
        </w:tc>
        <w:tc>
          <w:tcPr>
            <w:tcW w:type="dxa" w:w="4706"/>
          </w:tcPr>
          <w:p>
            <w:pPr>
              <w:spacing w:after="40" w:line="240" w:lineRule="auto"/>
              <w:jc w:val="left"/>
            </w:pPr>
            <w:r/>
            <w:r>
              <w:rPr>
                <w:rFonts w:ascii="Cambria" w:hAnsi="Cambria"/>
                <w:b w:val="0"/>
                <w:sz w:val="17"/>
              </w:rPr>
              <w:t>Conducts awareness programs on IPR.</w:t>
            </w:r>
          </w:p>
          <w:p>
            <w:pPr>
              <w:spacing w:after="40" w:line="240" w:lineRule="auto"/>
              <w:jc w:val="left"/>
            </w:pPr>
            <w:r>
              <w:rPr>
                <w:rFonts w:ascii="Cambria" w:hAnsi="Cambria"/>
                <w:b w:val="0"/>
                <w:sz w:val="17"/>
              </w:rPr>
              <w:t>Encourages invention disclosure.</w:t>
            </w:r>
          </w:p>
          <w:p>
            <w:pPr>
              <w:spacing w:after="40" w:line="240" w:lineRule="auto"/>
              <w:jc w:val="left"/>
            </w:pPr>
            <w:r>
              <w:rPr>
                <w:rFonts w:ascii="Cambria" w:hAnsi="Cambria"/>
                <w:b w:val="0"/>
                <w:sz w:val="17"/>
              </w:rPr>
              <w:t>Builds innovation protection culture.</w:t>
            </w:r>
          </w:p>
        </w:tc>
        <w:tc>
          <w:tcPr>
            <w:tcW w:type="dxa" w:w="2154"/>
          </w:tcPr>
          <w:p>
            <w:pPr>
              <w:spacing w:after="40" w:line="240" w:lineRule="auto"/>
              <w:jc w:val="left"/>
            </w:pPr>
            <w:r/>
            <w:r>
              <w:rPr>
                <w:rFonts w:ascii="Cambria" w:hAnsi="Cambria"/>
                <w:b w:val="0"/>
                <w:sz w:val="17"/>
              </w:rPr>
              <w:t>Increased patent filings and disclosures.</w:t>
            </w:r>
          </w:p>
        </w:tc>
      </w:tr>
      <w:tr>
        <w:tc>
          <w:tcPr>
            <w:tcW w:type="dxa" w:w="2551"/>
            <w:shd w:val="clear" w:color="auto" w:fill="F2F2F2"/>
          </w:tcPr>
          <w:p>
            <w:pPr>
              <w:spacing w:after="40" w:line="240" w:lineRule="auto"/>
              <w:jc w:val="left"/>
            </w:pPr>
            <w:r/>
            <w:r>
              <w:rPr>
                <w:rFonts w:ascii="Cambria" w:hAnsi="Cambria"/>
                <w:b w:val="0"/>
                <w:sz w:val="17"/>
              </w:rPr>
              <w:t>Patent Filing &amp; Management</w:t>
            </w:r>
          </w:p>
        </w:tc>
        <w:tc>
          <w:tcPr>
            <w:tcW w:type="dxa" w:w="4706"/>
            <w:shd w:val="clear" w:color="auto" w:fill="F2F2F2"/>
          </w:tcPr>
          <w:p>
            <w:pPr>
              <w:spacing w:after="40" w:line="240" w:lineRule="auto"/>
              <w:jc w:val="left"/>
            </w:pPr>
            <w:r/>
            <w:r>
              <w:rPr>
                <w:rFonts w:ascii="Cambria" w:hAnsi="Cambria"/>
                <w:b w:val="0"/>
                <w:sz w:val="17"/>
              </w:rPr>
              <w:t>Facilitates patent search, drafting, filing.</w:t>
            </w:r>
          </w:p>
          <w:p>
            <w:pPr>
              <w:spacing w:after="40" w:line="240" w:lineRule="auto"/>
              <w:jc w:val="left"/>
            </w:pPr>
            <w:r>
              <w:rPr>
                <w:rFonts w:ascii="Cambria" w:hAnsi="Cambria"/>
                <w:b w:val="0"/>
                <w:sz w:val="17"/>
              </w:rPr>
              <w:t>Coordinates with patent attorneys.</w:t>
            </w:r>
          </w:p>
          <w:p>
            <w:pPr>
              <w:spacing w:after="40" w:line="240" w:lineRule="auto"/>
              <w:jc w:val="left"/>
            </w:pPr>
            <w:r>
              <w:rPr>
                <w:rFonts w:ascii="Cambria" w:hAnsi="Cambria"/>
                <w:b w:val="0"/>
                <w:sz w:val="17"/>
              </w:rPr>
              <w:t>Tracks patent application status.</w:t>
            </w:r>
          </w:p>
        </w:tc>
        <w:tc>
          <w:tcPr>
            <w:tcW w:type="dxa" w:w="2154"/>
            <w:shd w:val="clear" w:color="auto" w:fill="F2F2F2"/>
          </w:tcPr>
          <w:p>
            <w:pPr>
              <w:spacing w:after="40" w:line="240" w:lineRule="auto"/>
              <w:jc w:val="left"/>
            </w:pPr>
            <w:r/>
            <w:r>
              <w:rPr>
                <w:rFonts w:ascii="Cambria" w:hAnsi="Cambria"/>
                <w:b w:val="0"/>
                <w:sz w:val="17"/>
              </w:rPr>
              <w:t>Growth in institutional patent portfolio.</w:t>
            </w:r>
          </w:p>
        </w:tc>
      </w:tr>
      <w:tr>
        <w:tc>
          <w:tcPr>
            <w:tcW w:type="dxa" w:w="2551"/>
          </w:tcPr>
          <w:p>
            <w:pPr>
              <w:spacing w:after="40" w:line="240" w:lineRule="auto"/>
              <w:jc w:val="left"/>
            </w:pPr>
            <w:r/>
            <w:r>
              <w:rPr>
                <w:rFonts w:ascii="Cambria" w:hAnsi="Cambria"/>
                <w:b w:val="0"/>
                <w:sz w:val="17"/>
              </w:rPr>
              <w:t>Copyrights &amp; Trademarks</w:t>
            </w:r>
          </w:p>
        </w:tc>
        <w:tc>
          <w:tcPr>
            <w:tcW w:type="dxa" w:w="4706"/>
          </w:tcPr>
          <w:p>
            <w:pPr>
              <w:spacing w:after="40" w:line="240" w:lineRule="auto"/>
              <w:jc w:val="left"/>
            </w:pPr>
            <w:r/>
            <w:r>
              <w:rPr>
                <w:rFonts w:ascii="Cambria" w:hAnsi="Cambria"/>
                <w:b w:val="0"/>
                <w:sz w:val="17"/>
              </w:rPr>
              <w:t>Guides copyright registration for works.</w:t>
            </w:r>
          </w:p>
          <w:p>
            <w:pPr>
              <w:spacing w:after="40" w:line="240" w:lineRule="auto"/>
              <w:jc w:val="left"/>
            </w:pPr>
            <w:r>
              <w:rPr>
                <w:rFonts w:ascii="Cambria" w:hAnsi="Cambria"/>
                <w:b w:val="0"/>
                <w:sz w:val="17"/>
              </w:rPr>
              <w:t>Facilitates trademark protection.</w:t>
            </w:r>
          </w:p>
          <w:p>
            <w:pPr>
              <w:spacing w:after="40" w:line="240" w:lineRule="auto"/>
              <w:jc w:val="left"/>
            </w:pPr>
            <w:r>
              <w:rPr>
                <w:rFonts w:ascii="Cambria" w:hAnsi="Cambria"/>
                <w:b w:val="0"/>
                <w:sz w:val="17"/>
              </w:rPr>
              <w:t>Maintains IPR records.</w:t>
            </w:r>
          </w:p>
        </w:tc>
        <w:tc>
          <w:tcPr>
            <w:tcW w:type="dxa" w:w="2154"/>
          </w:tcPr>
          <w:p>
            <w:pPr>
              <w:spacing w:after="40" w:line="240" w:lineRule="auto"/>
              <w:jc w:val="left"/>
            </w:pPr>
            <w:r/>
            <w:r>
              <w:rPr>
                <w:rFonts w:ascii="Cambria" w:hAnsi="Cambria"/>
                <w:b w:val="0"/>
                <w:sz w:val="17"/>
              </w:rPr>
              <w:t>Protected institutional branding and creative works.</w:t>
            </w:r>
          </w:p>
        </w:tc>
      </w:tr>
      <w:tr>
        <w:tc>
          <w:tcPr>
            <w:tcW w:type="dxa" w:w="2551"/>
            <w:shd w:val="clear" w:color="auto" w:fill="F2F2F2"/>
          </w:tcPr>
          <w:p>
            <w:pPr>
              <w:spacing w:after="40" w:line="240" w:lineRule="auto"/>
              <w:jc w:val="left"/>
            </w:pPr>
            <w:r/>
            <w:r>
              <w:rPr>
                <w:rFonts w:ascii="Cambria" w:hAnsi="Cambria"/>
                <w:b w:val="0"/>
                <w:sz w:val="17"/>
              </w:rPr>
              <w:t>Technology Transfer &amp; Commercialization</w:t>
            </w:r>
          </w:p>
        </w:tc>
        <w:tc>
          <w:tcPr>
            <w:tcW w:type="dxa" w:w="4706"/>
            <w:shd w:val="clear" w:color="auto" w:fill="F2F2F2"/>
          </w:tcPr>
          <w:p>
            <w:pPr>
              <w:spacing w:after="40" w:line="240" w:lineRule="auto"/>
              <w:jc w:val="left"/>
            </w:pPr>
            <w:r/>
            <w:r>
              <w:rPr>
                <w:rFonts w:ascii="Cambria" w:hAnsi="Cambria"/>
                <w:b w:val="0"/>
                <w:sz w:val="17"/>
              </w:rPr>
              <w:t>Works with TTO for licensing.</w:t>
            </w:r>
          </w:p>
          <w:p>
            <w:pPr>
              <w:spacing w:after="40" w:line="240" w:lineRule="auto"/>
              <w:jc w:val="left"/>
            </w:pPr>
            <w:r>
              <w:rPr>
                <w:rFonts w:ascii="Cambria" w:hAnsi="Cambria"/>
                <w:b w:val="0"/>
                <w:sz w:val="17"/>
              </w:rPr>
              <w:t>Facilitates industry technology adoption.</w:t>
            </w:r>
          </w:p>
          <w:p>
            <w:pPr>
              <w:spacing w:after="40" w:line="240" w:lineRule="auto"/>
              <w:jc w:val="left"/>
            </w:pPr>
            <w:r>
              <w:rPr>
                <w:rFonts w:ascii="Cambria" w:hAnsi="Cambria"/>
                <w:b w:val="0"/>
                <w:sz w:val="17"/>
              </w:rPr>
              <w:t>Supports start-ups and spin-offs.</w:t>
            </w:r>
          </w:p>
        </w:tc>
        <w:tc>
          <w:tcPr>
            <w:tcW w:type="dxa" w:w="2154"/>
            <w:shd w:val="clear" w:color="auto" w:fill="F2F2F2"/>
          </w:tcPr>
          <w:p>
            <w:pPr>
              <w:spacing w:after="40" w:line="240" w:lineRule="auto"/>
              <w:jc w:val="left"/>
            </w:pPr>
            <w:r/>
            <w:r>
              <w:rPr>
                <w:rFonts w:ascii="Cambria" w:hAnsi="Cambria"/>
                <w:b w:val="0"/>
                <w:sz w:val="17"/>
              </w:rPr>
              <w:t>Revenue generation and industry impact.</w:t>
            </w:r>
          </w:p>
        </w:tc>
      </w:tr>
      <w:tr>
        <w:tc>
          <w:tcPr>
            <w:tcW w:type="dxa" w:w="2551"/>
          </w:tcPr>
          <w:p>
            <w:pPr>
              <w:spacing w:after="40" w:line="240" w:lineRule="auto"/>
              <w:jc w:val="left"/>
            </w:pPr>
            <w:r/>
            <w:r>
              <w:rPr>
                <w:rFonts w:ascii="Cambria" w:hAnsi="Cambria"/>
                <w:b w:val="0"/>
                <w:sz w:val="17"/>
              </w:rPr>
              <w:t>Institutional Reporting</w:t>
            </w:r>
          </w:p>
        </w:tc>
        <w:tc>
          <w:tcPr>
            <w:tcW w:type="dxa" w:w="4706"/>
          </w:tcPr>
          <w:p>
            <w:pPr>
              <w:spacing w:after="40" w:line="240" w:lineRule="auto"/>
              <w:jc w:val="left"/>
            </w:pPr>
            <w:r/>
            <w:r>
              <w:rPr>
                <w:rFonts w:ascii="Cambria" w:hAnsi="Cambria"/>
                <w:b w:val="0"/>
                <w:sz w:val="17"/>
              </w:rPr>
              <w:t>Maintains IPR records for accreditation.</w:t>
            </w:r>
          </w:p>
          <w:p>
            <w:pPr>
              <w:spacing w:after="40" w:line="240" w:lineRule="auto"/>
              <w:jc w:val="left"/>
            </w:pPr>
            <w:r>
              <w:rPr>
                <w:rFonts w:ascii="Cambria" w:hAnsi="Cambria"/>
                <w:b w:val="0"/>
                <w:sz w:val="17"/>
              </w:rPr>
              <w:t>Supports NAAC, NBA, NIRF, QS I-GAUGE data.</w:t>
            </w:r>
          </w:p>
          <w:p>
            <w:pPr>
              <w:spacing w:after="40" w:line="240" w:lineRule="auto"/>
              <w:jc w:val="left"/>
            </w:pPr>
            <w:r>
              <w:rPr>
                <w:rFonts w:ascii="Cambria" w:hAnsi="Cambria"/>
                <w:b w:val="0"/>
                <w:sz w:val="17"/>
              </w:rPr>
              <w:t>Benchmarks IPR performance.</w:t>
            </w:r>
          </w:p>
        </w:tc>
        <w:tc>
          <w:tcPr>
            <w:tcW w:type="dxa" w:w="2154"/>
          </w:tcPr>
          <w:p>
            <w:pPr>
              <w:spacing w:after="40" w:line="240" w:lineRule="auto"/>
              <w:jc w:val="left"/>
            </w:pPr>
            <w:r/>
            <w:r>
              <w:rPr>
                <w:rFonts w:ascii="Cambria" w:hAnsi="Cambria"/>
                <w:b w:val="0"/>
                <w:sz w:val="17"/>
              </w:rPr>
              <w:t>Stronger accreditation and ranking outcomes.</w:t>
            </w:r>
          </w:p>
        </w:tc>
      </w:tr>
    </w:tbl>
    <w:p>
      <w:pPr>
        <w:spacing w:after="40"/>
      </w:pPr>
    </w:p>
    <w:p>
      <w:r>
        <w:br w:type="page"/>
      </w:r>
    </w:p>
    <w:p>
      <w:pPr>
        <w:pStyle w:val="Heading1"/>
      </w:pPr>
      <w:r>
        <w:rPr>
          <w:rFonts w:ascii="Cambria" w:hAnsi="Cambria"/>
          <w:b/>
          <w:color w:val="1F3A5F"/>
          <w:sz w:val="36"/>
        </w:rPr>
        <w:t>8. Associate Dean – Consultancy and Industry Liaison</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Consultancy and Industry Liaison serves as the custodian of industry linkages and applied research within the institution. This role builds bridges between academia and industry, enabling faculty expertise to be channelled into consultancy assignments, joint research projects, and collaborative ventures that generate both revenue and real-world impact. By strengthening these linkages, the Associate Dean ensures that the institution remains relevant to industry needs and employability outcomes.</w:t>
      </w:r>
    </w:p>
    <w:p>
      <w:pPr>
        <w:spacing w:after="160" w:line="276" w:lineRule="auto"/>
        <w:jc w:val="both"/>
      </w:pPr>
      <w:r>
        <w:rPr>
          <w:rFonts w:ascii="Cambria" w:hAnsi="Cambria"/>
          <w:b w:val="0"/>
          <w:i w:val="0"/>
          <w:sz w:val="22"/>
        </w:rPr>
        <w:t>This position involves actively identifying consultancy opportunities, negotiating and managing MoUs, and facilitating industry-sponsored projects. The Associate Dean also works to align curriculum and student training with evolving industry requirements, ensuring that collaboration benefits not only institutional revenue but also student placement and skill development.</w:t>
      </w:r>
    </w:p>
    <w:p>
      <w:pPr>
        <w:pStyle w:val="Heading3"/>
      </w:pPr>
      <w:r>
        <w:rPr>
          <w:rFonts w:ascii="Cambria" w:hAnsi="Cambria"/>
          <w:b/>
          <w:color w:val="1F3A5F"/>
          <w:sz w:val="26"/>
        </w:rPr>
        <w:t>1. Position and Purpose</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Consultancy and Industry Liaison is responsible for building and managing partnerships with industry, facilitating consultancy assignments, and promoting applied research that bridges academia and industry needs.</w:t>
      </w:r>
    </w:p>
    <w:p>
      <w:pPr>
        <w:pStyle w:val="Heading3"/>
      </w:pPr>
      <w:r>
        <w:rPr>
          <w:rFonts w:ascii="Cambria" w:hAnsi="Cambria"/>
          <w:b/>
          <w:color w:val="1F3A5F"/>
          <w:sz w:val="26"/>
        </w:rPr>
        <w:t>2. Detailed Responsibilities</w:t>
      </w:r>
    </w:p>
    <w:p>
      <w:pPr>
        <w:pStyle w:val="Heading3"/>
      </w:pPr>
      <w:r>
        <w:rPr>
          <w:rFonts w:ascii="Cambria" w:hAnsi="Cambria"/>
          <w:b/>
          <w:color w:val="1F3A5F"/>
          <w:sz w:val="26"/>
        </w:rPr>
        <w:t>A. Consultancy Development</w:t>
      </w:r>
    </w:p>
    <w:p>
      <w:pPr>
        <w:pStyle w:val="ListBullet"/>
        <w:spacing w:after="80" w:line="276" w:lineRule="auto"/>
      </w:pPr>
      <w:r>
        <w:rPr>
          <w:rFonts w:ascii="Cambria" w:hAnsi="Cambria"/>
          <w:b w:val="0"/>
          <w:i w:val="0"/>
          <w:sz w:val="22"/>
        </w:rPr>
        <w:t>Identifies consultancy opportunities for faculty expertise across departments.</w:t>
      </w:r>
    </w:p>
    <w:p>
      <w:pPr>
        <w:pStyle w:val="ListBullet"/>
        <w:spacing w:after="80" w:line="276" w:lineRule="auto"/>
      </w:pPr>
      <w:r>
        <w:rPr>
          <w:rFonts w:ascii="Cambria" w:hAnsi="Cambria"/>
          <w:b w:val="0"/>
          <w:i w:val="0"/>
          <w:sz w:val="22"/>
        </w:rPr>
        <w:t>Facilitates negotiation and execution of consultancy contracts.</w:t>
      </w:r>
    </w:p>
    <w:p>
      <w:pPr>
        <w:pStyle w:val="ListBullet"/>
        <w:spacing w:after="80" w:line="276" w:lineRule="auto"/>
      </w:pPr>
      <w:r>
        <w:rPr>
          <w:rFonts w:ascii="Cambria" w:hAnsi="Cambria"/>
          <w:b w:val="0"/>
          <w:i w:val="0"/>
          <w:sz w:val="22"/>
        </w:rPr>
        <w:t>Ensures timely delivery and quality of consultancy assignments.</w:t>
      </w:r>
    </w:p>
    <w:p>
      <w:pPr>
        <w:pStyle w:val="Heading3"/>
      </w:pPr>
      <w:r>
        <w:rPr>
          <w:rFonts w:ascii="Cambria" w:hAnsi="Cambria"/>
          <w:b/>
          <w:color w:val="1F3A5F"/>
          <w:sz w:val="26"/>
        </w:rPr>
        <w:t>B. Industry Partnerships</w:t>
      </w:r>
    </w:p>
    <w:p>
      <w:pPr>
        <w:pStyle w:val="ListBullet"/>
        <w:spacing w:after="80" w:line="276" w:lineRule="auto"/>
      </w:pPr>
      <w:r>
        <w:rPr>
          <w:rFonts w:ascii="Cambria" w:hAnsi="Cambria"/>
          <w:b w:val="0"/>
          <w:i w:val="0"/>
          <w:sz w:val="22"/>
        </w:rPr>
        <w:t>Builds and maintains university</w:t>
      </w:r>
      <w:r>
        <w:rPr>
          <w:rFonts w:ascii="Cambria" w:hAnsi="Cambria"/>
          <w:b w:val="0"/>
          <w:i w:val="0"/>
          <w:sz w:val="22"/>
        </w:rPr>
        <w:t>–industry relationships through MoUs and collaborative agreements.</w:t>
      </w:r>
    </w:p>
    <w:p>
      <w:pPr>
        <w:pStyle w:val="ListBullet"/>
        <w:spacing w:after="80" w:line="276" w:lineRule="auto"/>
      </w:pPr>
      <w:r>
        <w:rPr>
          <w:rFonts w:ascii="Cambria" w:hAnsi="Cambria"/>
          <w:b w:val="0"/>
          <w:i w:val="0"/>
          <w:sz w:val="22"/>
        </w:rPr>
        <w:t>Organizes industry interaction programs, workshops, and joint seminars.</w:t>
      </w:r>
    </w:p>
    <w:p>
      <w:pPr>
        <w:pStyle w:val="ListBullet"/>
        <w:spacing w:after="80" w:line="276" w:lineRule="auto"/>
      </w:pPr>
      <w:r>
        <w:rPr>
          <w:rFonts w:ascii="Cambria" w:hAnsi="Cambria"/>
          <w:b w:val="0"/>
          <w:i w:val="0"/>
          <w:sz w:val="22"/>
        </w:rPr>
        <w:t>Facilitates industry visits, internships, and guest lectures.</w:t>
      </w:r>
    </w:p>
    <w:p>
      <w:pPr>
        <w:pStyle w:val="Heading3"/>
      </w:pPr>
      <w:r>
        <w:rPr>
          <w:rFonts w:ascii="Cambria" w:hAnsi="Cambria"/>
          <w:b/>
          <w:color w:val="1F3A5F"/>
          <w:sz w:val="26"/>
        </w:rPr>
        <w:t>C. Applied Research and Technology Transfer</w:t>
      </w:r>
    </w:p>
    <w:p>
      <w:pPr>
        <w:pStyle w:val="ListBullet"/>
        <w:spacing w:after="80" w:line="276" w:lineRule="auto"/>
      </w:pPr>
      <w:r>
        <w:rPr>
          <w:rFonts w:ascii="Cambria" w:hAnsi="Cambria"/>
          <w:b w:val="0"/>
          <w:i w:val="0"/>
          <w:sz w:val="22"/>
        </w:rPr>
        <w:t>Promotes joint research projects with industry partners.</w:t>
      </w:r>
    </w:p>
    <w:p>
      <w:pPr>
        <w:pStyle w:val="ListBullet"/>
        <w:spacing w:after="80" w:line="276" w:lineRule="auto"/>
      </w:pPr>
      <w:r>
        <w:rPr>
          <w:rFonts w:ascii="Cambria" w:hAnsi="Cambria"/>
          <w:b w:val="0"/>
          <w:i w:val="0"/>
          <w:sz w:val="22"/>
        </w:rPr>
        <w:t>Facilitates technology transfer and adoption of institutional innovations by industry.</w:t>
      </w:r>
    </w:p>
    <w:p>
      <w:pPr>
        <w:pStyle w:val="ListBullet"/>
        <w:spacing w:after="80" w:line="276" w:lineRule="auto"/>
      </w:pPr>
      <w:r>
        <w:rPr>
          <w:rFonts w:ascii="Cambria" w:hAnsi="Cambria"/>
          <w:b w:val="0"/>
          <w:i w:val="0"/>
          <w:sz w:val="22"/>
        </w:rPr>
        <w:t>Supports incubation and start-up collaborations with industry mentors.</w:t>
      </w:r>
    </w:p>
    <w:p>
      <w:pPr>
        <w:pStyle w:val="Heading3"/>
      </w:pPr>
      <w:r>
        <w:rPr>
          <w:rFonts w:ascii="Cambria" w:hAnsi="Cambria"/>
          <w:b/>
          <w:color w:val="1F3A5F"/>
          <w:sz w:val="26"/>
        </w:rPr>
        <w:t>D. Curriculum and Employability Alignment</w:t>
      </w:r>
    </w:p>
    <w:p>
      <w:pPr>
        <w:pStyle w:val="ListBullet"/>
        <w:spacing w:after="80" w:line="276" w:lineRule="auto"/>
      </w:pPr>
      <w:r>
        <w:rPr>
          <w:rFonts w:ascii="Cambria" w:hAnsi="Cambria"/>
          <w:b w:val="0"/>
          <w:i w:val="0"/>
          <w:sz w:val="22"/>
        </w:rPr>
        <w:t>Aligns industry collaboration outcomes with curriculum design and skill development.</w:t>
      </w:r>
    </w:p>
    <w:p>
      <w:pPr>
        <w:pStyle w:val="ListBullet"/>
        <w:spacing w:after="80" w:line="276" w:lineRule="auto"/>
      </w:pPr>
      <w:r>
        <w:rPr>
          <w:rFonts w:ascii="Cambria" w:hAnsi="Cambria"/>
          <w:b w:val="0"/>
          <w:i w:val="0"/>
          <w:sz w:val="22"/>
        </w:rPr>
        <w:t>Facilitates industry input into academic programs and training modules.</w:t>
      </w:r>
    </w:p>
    <w:p>
      <w:pPr>
        <w:pStyle w:val="ListBullet"/>
        <w:spacing w:after="80" w:line="276" w:lineRule="auto"/>
      </w:pPr>
      <w:r>
        <w:rPr>
          <w:rFonts w:ascii="Cambria" w:hAnsi="Cambria"/>
          <w:b w:val="0"/>
          <w:i w:val="0"/>
          <w:sz w:val="22"/>
        </w:rPr>
        <w:t>Enhances student employability through industry-relevant exposure.</w:t>
      </w:r>
    </w:p>
    <w:p>
      <w:pPr>
        <w:pStyle w:val="Heading3"/>
      </w:pPr>
      <w:r>
        <w:rPr>
          <w:rFonts w:ascii="Cambria" w:hAnsi="Cambria"/>
          <w:b/>
          <w:color w:val="1F3A5F"/>
          <w:sz w:val="26"/>
        </w:rPr>
        <w:t>E. Institutional Reporting and Benchmarking</w:t>
      </w:r>
    </w:p>
    <w:p>
      <w:pPr>
        <w:pStyle w:val="ListBullet"/>
        <w:spacing w:after="80" w:line="276" w:lineRule="auto"/>
      </w:pPr>
      <w:r>
        <w:rPr>
          <w:rFonts w:ascii="Cambria" w:hAnsi="Cambria"/>
          <w:b w:val="0"/>
          <w:i w:val="0"/>
          <w:sz w:val="22"/>
        </w:rPr>
        <w:t>Maintains records of consultancy revenue, MoUs, and industry engagement.</w:t>
      </w:r>
    </w:p>
    <w:p>
      <w:pPr>
        <w:pStyle w:val="ListBullet"/>
        <w:spacing w:after="80" w:line="276" w:lineRule="auto"/>
      </w:pPr>
      <w:r>
        <w:rPr>
          <w:rFonts w:ascii="Cambria" w:hAnsi="Cambria"/>
          <w:b w:val="0"/>
          <w:i w:val="0"/>
          <w:sz w:val="22"/>
        </w:rPr>
        <w:t>Provides data for NAAC, NBA, NIRF, and QS I-GAUGE submissions.</w:t>
      </w:r>
    </w:p>
    <w:p>
      <w:pPr>
        <w:pStyle w:val="ListBullet"/>
        <w:spacing w:after="80" w:line="276" w:lineRule="auto"/>
      </w:pPr>
      <w:r>
        <w:rPr>
          <w:rFonts w:ascii="Cambria" w:hAnsi="Cambria"/>
          <w:b w:val="0"/>
          <w:i w:val="0"/>
          <w:sz w:val="22"/>
        </w:rPr>
        <w:t>Benchmarks institutional industry engagement against peer universities.</w:t>
      </w:r>
    </w:p>
    <w:p>
      <w:pPr>
        <w:pStyle w:val="Heading3"/>
      </w:pPr>
      <w:r>
        <w:rPr>
          <w:rFonts w:ascii="Cambria" w:hAnsi="Cambria"/>
          <w:b/>
          <w:color w:val="1F3A5F"/>
          <w:sz w:val="26"/>
        </w:rPr>
        <w:t>3. Strategic Impact</w:t>
      </w:r>
    </w:p>
    <w:p>
      <w:pPr>
        <w:pStyle w:val="ListBullet"/>
        <w:spacing w:after="80" w:line="276" w:lineRule="auto"/>
      </w:pPr>
      <w:r>
        <w:rPr>
          <w:rFonts w:ascii="Cambria" w:hAnsi="Cambria"/>
          <w:b/>
          <w:i w:val="0"/>
          <w:sz w:val="22"/>
        </w:rPr>
        <w:t xml:space="preserve">For Faculty: </w:t>
      </w:r>
      <w:r>
        <w:rPr>
          <w:rFonts w:ascii="Cambria" w:hAnsi="Cambria"/>
          <w:b w:val="0"/>
          <w:i w:val="0"/>
          <w:sz w:val="22"/>
        </w:rPr>
        <w:t>Opportunities for consultancy income and applied research exposure.</w:t>
      </w:r>
    </w:p>
    <w:p>
      <w:pPr>
        <w:pStyle w:val="ListBullet"/>
        <w:spacing w:after="80" w:line="276" w:lineRule="auto"/>
      </w:pPr>
      <w:r>
        <w:rPr>
          <w:rFonts w:ascii="Cambria" w:hAnsi="Cambria"/>
          <w:b/>
          <w:i w:val="0"/>
          <w:sz w:val="22"/>
        </w:rPr>
        <w:t xml:space="preserve">For Students: </w:t>
      </w:r>
      <w:r>
        <w:rPr>
          <w:rFonts w:ascii="Cambria" w:hAnsi="Cambria"/>
          <w:b w:val="0"/>
          <w:i w:val="0"/>
          <w:sz w:val="22"/>
        </w:rPr>
        <w:t>Enhanced employability through industry-relevant training and internships.</w:t>
      </w:r>
    </w:p>
    <w:p>
      <w:pPr>
        <w:pStyle w:val="ListBullet"/>
        <w:spacing w:after="80" w:line="276" w:lineRule="auto"/>
      </w:pPr>
      <w:r>
        <w:rPr>
          <w:rFonts w:ascii="Cambria" w:hAnsi="Cambria"/>
          <w:b/>
          <w:i w:val="0"/>
          <w:sz w:val="22"/>
        </w:rPr>
        <w:t xml:space="preserve">For Institution: </w:t>
      </w:r>
      <w:r>
        <w:rPr>
          <w:rFonts w:ascii="Cambria" w:hAnsi="Cambria"/>
          <w:b w:val="0"/>
          <w:i w:val="0"/>
          <w:sz w:val="22"/>
        </w:rPr>
        <w:t>Additional revenue, stronger industry reputation, and accreditation benefits.</w:t>
      </w:r>
    </w:p>
    <w:p>
      <w:pPr>
        <w:pStyle w:val="ListBullet"/>
        <w:spacing w:after="80" w:line="276" w:lineRule="auto"/>
      </w:pPr>
      <w:r>
        <w:rPr>
          <w:rFonts w:ascii="Cambria" w:hAnsi="Cambria"/>
          <w:b/>
          <w:i w:val="0"/>
          <w:sz w:val="22"/>
        </w:rPr>
        <w:t xml:space="preserve">For Industry: </w:t>
      </w:r>
      <w:r>
        <w:rPr>
          <w:rFonts w:ascii="Cambria" w:hAnsi="Cambria"/>
          <w:b w:val="0"/>
          <w:i w:val="0"/>
          <w:sz w:val="22"/>
        </w:rPr>
        <w:t>Access to academic expertise and innovative solutions.</w:t>
      </w:r>
    </w:p>
    <w:p>
      <w:pPr>
        <w:spacing w:after="80" w:line="276" w:lineRule="auto"/>
      </w:pPr>
      <w:r>
        <w:rPr>
          <w:rFonts w:ascii="Cambria" w:hAnsi="Cambria"/>
          <w:b/>
          <w:i w:val="0"/>
          <w:sz w:val="22"/>
        </w:rPr>
        <w:t>Custodianship Statement</w:t>
      </w:r>
    </w:p>
    <w:p>
      <w:pPr>
        <w:spacing w:after="200" w:line="276" w:lineRule="auto"/>
        <w:jc w:val="both"/>
      </w:pPr>
      <w:r>
        <w:rPr>
          <w:rFonts w:ascii="Cambria" w:hAnsi="Cambria"/>
          <w:b w:val="0"/>
          <w:i w:val="0"/>
          <w:sz w:val="22"/>
        </w:rPr>
        <w:t>As the custodian of consultancy and industry liaison, the Associate Dean ensures that academic expertise translates into meaningful industry partnerships</w:t>
      </w:r>
      <w:r>
        <w:rPr>
          <w:rFonts w:ascii="Cambria" w:hAnsi="Cambria"/>
          <w:b w:val="0"/>
          <w:i w:val="0"/>
          <w:sz w:val="22"/>
        </w:rPr>
        <w:t>—strengthening institutional relevance, revenue, and student employability.</w:t>
      </w:r>
    </w:p>
    <w:p>
      <w:pPr>
        <w:pStyle w:val="Heading3"/>
      </w:pPr>
      <w:r>
        <w:rPr>
          <w:rFonts w:ascii="Cambria" w:hAnsi="Cambria"/>
          <w:b/>
          <w:color w:val="1F3A5F"/>
          <w:sz w:val="26"/>
        </w:rPr>
        <w:t>Responsibilities Matrix</w:t>
      </w:r>
    </w:p>
    <w:tbl>
      <w:tblPr>
        <w:tblStyle w:val="TableGrid"/>
        <w:tblW w:type="auto" w:w="0"/>
        <w:jc w:val="center"/>
        <w:tblLayout w:type="fixed"/>
        <w:tblLook w:firstColumn="1" w:firstRow="1" w:lastColumn="0" w:lastRow="0" w:noHBand="0" w:noVBand="1" w:val="04A0"/>
        <w:tblLayout w:type="fixed"/>
      </w:tblPr>
      <w:tblGrid>
        <w:gridCol w:w="2551"/>
        <w:gridCol w:w="4706"/>
        <w:gridCol w:w="2154"/>
      </w:tblGrid>
      <w:tr>
        <w:tc>
          <w:tcPr>
            <w:tcW w:type="dxa" w:w="2551"/>
            <w:shd w:val="clear" w:color="auto" w:fill="1F3A5F"/>
          </w:tcPr>
          <w:p>
            <w:pPr>
              <w:spacing w:after="40" w:line="240" w:lineRule="auto"/>
              <w:jc w:val="center"/>
            </w:pPr>
            <w:r/>
            <w:r>
              <w:rPr>
                <w:rFonts w:ascii="Cambria" w:hAnsi="Cambria"/>
                <w:b/>
                <w:color w:val="FFFFFF"/>
                <w:sz w:val="19"/>
              </w:rPr>
              <w:t>Category</w:t>
            </w:r>
          </w:p>
        </w:tc>
        <w:tc>
          <w:tcPr>
            <w:tcW w:type="dxa" w:w="4706"/>
            <w:shd w:val="clear" w:color="auto" w:fill="1F3A5F"/>
          </w:tcPr>
          <w:p>
            <w:pPr>
              <w:spacing w:after="40" w:line="240" w:lineRule="auto"/>
              <w:jc w:val="center"/>
            </w:pPr>
            <w:r/>
            <w:r>
              <w:rPr>
                <w:rFonts w:ascii="Cambria" w:hAnsi="Cambria"/>
                <w:b/>
                <w:color w:val="FFFFFF"/>
                <w:sz w:val="19"/>
              </w:rPr>
              <w:t>Key Duties &amp; Functions</w:t>
            </w:r>
          </w:p>
        </w:tc>
        <w:tc>
          <w:tcPr>
            <w:tcW w:type="dxa" w:w="2154"/>
            <w:shd w:val="clear" w:color="auto" w:fill="1F3A5F"/>
          </w:tcPr>
          <w:p>
            <w:pPr>
              <w:spacing w:after="40" w:line="240" w:lineRule="auto"/>
              <w:jc w:val="center"/>
            </w:pPr>
            <w:r/>
            <w:r>
              <w:rPr>
                <w:rFonts w:ascii="Cambria" w:hAnsi="Cambria"/>
                <w:b/>
                <w:color w:val="FFFFFF"/>
                <w:sz w:val="19"/>
              </w:rPr>
              <w:t>Impact on Institution</w:t>
            </w:r>
          </w:p>
        </w:tc>
      </w:tr>
      <w:tr>
        <w:tc>
          <w:tcPr>
            <w:tcW w:type="dxa" w:w="2551"/>
          </w:tcPr>
          <w:p>
            <w:pPr>
              <w:spacing w:after="40" w:line="240" w:lineRule="auto"/>
              <w:jc w:val="left"/>
            </w:pPr>
            <w:r/>
            <w:r>
              <w:rPr>
                <w:rFonts w:ascii="Cambria" w:hAnsi="Cambria"/>
                <w:b w:val="0"/>
                <w:sz w:val="17"/>
              </w:rPr>
              <w:t>Consultancy Development</w:t>
            </w:r>
          </w:p>
        </w:tc>
        <w:tc>
          <w:tcPr>
            <w:tcW w:type="dxa" w:w="4706"/>
          </w:tcPr>
          <w:p>
            <w:pPr>
              <w:spacing w:after="40" w:line="240" w:lineRule="auto"/>
              <w:jc w:val="left"/>
            </w:pPr>
            <w:r/>
            <w:r>
              <w:rPr>
                <w:rFonts w:ascii="Cambria" w:hAnsi="Cambria"/>
                <w:b w:val="0"/>
                <w:sz w:val="17"/>
              </w:rPr>
              <w:t>Identifies consultancy opportunities.</w:t>
            </w:r>
          </w:p>
          <w:p>
            <w:pPr>
              <w:spacing w:after="40" w:line="240" w:lineRule="auto"/>
              <w:jc w:val="left"/>
            </w:pPr>
            <w:r>
              <w:rPr>
                <w:rFonts w:ascii="Cambria" w:hAnsi="Cambria"/>
                <w:b w:val="0"/>
                <w:sz w:val="17"/>
              </w:rPr>
              <w:t>Facilitates negotiation of contracts.</w:t>
            </w:r>
          </w:p>
          <w:p>
            <w:pPr>
              <w:spacing w:after="40" w:line="240" w:lineRule="auto"/>
              <w:jc w:val="left"/>
            </w:pPr>
            <w:r>
              <w:rPr>
                <w:rFonts w:ascii="Cambria" w:hAnsi="Cambria"/>
                <w:b w:val="0"/>
                <w:sz w:val="17"/>
              </w:rPr>
              <w:t>Ensures quality delivery of assignments.</w:t>
            </w:r>
          </w:p>
        </w:tc>
        <w:tc>
          <w:tcPr>
            <w:tcW w:type="dxa" w:w="2154"/>
          </w:tcPr>
          <w:p>
            <w:pPr>
              <w:spacing w:after="40" w:line="240" w:lineRule="auto"/>
              <w:jc w:val="left"/>
            </w:pPr>
            <w:r/>
            <w:r>
              <w:rPr>
                <w:rFonts w:ascii="Cambria" w:hAnsi="Cambria"/>
                <w:b w:val="0"/>
                <w:sz w:val="17"/>
              </w:rPr>
              <w:t>Revenue generation and faculty recognition.</w:t>
            </w:r>
          </w:p>
        </w:tc>
      </w:tr>
      <w:tr>
        <w:tc>
          <w:tcPr>
            <w:tcW w:type="dxa" w:w="2551"/>
            <w:shd w:val="clear" w:color="auto" w:fill="F2F2F2"/>
          </w:tcPr>
          <w:p>
            <w:pPr>
              <w:spacing w:after="40" w:line="240" w:lineRule="auto"/>
              <w:jc w:val="left"/>
            </w:pPr>
            <w:r/>
            <w:r>
              <w:rPr>
                <w:rFonts w:ascii="Cambria" w:hAnsi="Cambria"/>
                <w:b w:val="0"/>
                <w:sz w:val="17"/>
              </w:rPr>
              <w:t>Industry Partnerships</w:t>
            </w:r>
          </w:p>
        </w:tc>
        <w:tc>
          <w:tcPr>
            <w:tcW w:type="dxa" w:w="4706"/>
            <w:shd w:val="clear" w:color="auto" w:fill="F2F2F2"/>
          </w:tcPr>
          <w:p>
            <w:pPr>
              <w:spacing w:after="40" w:line="240" w:lineRule="auto"/>
              <w:jc w:val="left"/>
            </w:pPr>
            <w:r/>
            <w:r>
              <w:rPr>
                <w:rFonts w:ascii="Cambria" w:hAnsi="Cambria"/>
                <w:b w:val="0"/>
                <w:sz w:val="17"/>
              </w:rPr>
              <w:t>Builds industry relationships via MoUs.</w:t>
            </w:r>
          </w:p>
          <w:p>
            <w:pPr>
              <w:spacing w:after="40" w:line="240" w:lineRule="auto"/>
              <w:jc w:val="left"/>
            </w:pPr>
            <w:r>
              <w:rPr>
                <w:rFonts w:ascii="Cambria" w:hAnsi="Cambria"/>
                <w:b w:val="0"/>
                <w:sz w:val="17"/>
              </w:rPr>
              <w:t>Organizes industry interaction programs.</w:t>
            </w:r>
          </w:p>
          <w:p>
            <w:pPr>
              <w:spacing w:after="40" w:line="240" w:lineRule="auto"/>
              <w:jc w:val="left"/>
            </w:pPr>
            <w:r>
              <w:rPr>
                <w:rFonts w:ascii="Cambria" w:hAnsi="Cambria"/>
                <w:b w:val="0"/>
                <w:sz w:val="17"/>
              </w:rPr>
              <w:t>Facilitates visits, internships, lectures.</w:t>
            </w:r>
          </w:p>
        </w:tc>
        <w:tc>
          <w:tcPr>
            <w:tcW w:type="dxa" w:w="2154"/>
            <w:shd w:val="clear" w:color="auto" w:fill="F2F2F2"/>
          </w:tcPr>
          <w:p>
            <w:pPr>
              <w:spacing w:after="40" w:line="240" w:lineRule="auto"/>
              <w:jc w:val="left"/>
            </w:pPr>
            <w:r/>
            <w:r>
              <w:rPr>
                <w:rFonts w:ascii="Cambria" w:hAnsi="Cambria"/>
                <w:b w:val="0"/>
                <w:sz w:val="17"/>
              </w:rPr>
              <w:t>Stronger institutional-industry reputation.</w:t>
            </w:r>
          </w:p>
        </w:tc>
      </w:tr>
      <w:tr>
        <w:tc>
          <w:tcPr>
            <w:tcW w:type="dxa" w:w="2551"/>
          </w:tcPr>
          <w:p>
            <w:pPr>
              <w:spacing w:after="40" w:line="240" w:lineRule="auto"/>
              <w:jc w:val="left"/>
            </w:pPr>
            <w:r/>
            <w:r>
              <w:rPr>
                <w:rFonts w:ascii="Cambria" w:hAnsi="Cambria"/>
                <w:b w:val="0"/>
                <w:sz w:val="17"/>
              </w:rPr>
              <w:t>Applied Research &amp; Tech Transfer</w:t>
            </w:r>
          </w:p>
        </w:tc>
        <w:tc>
          <w:tcPr>
            <w:tcW w:type="dxa" w:w="4706"/>
          </w:tcPr>
          <w:p>
            <w:pPr>
              <w:spacing w:after="40" w:line="240" w:lineRule="auto"/>
              <w:jc w:val="left"/>
            </w:pPr>
            <w:r/>
            <w:r>
              <w:rPr>
                <w:rFonts w:ascii="Cambria" w:hAnsi="Cambria"/>
                <w:b w:val="0"/>
                <w:sz w:val="17"/>
              </w:rPr>
              <w:t>Promotes joint research with industry.</w:t>
            </w:r>
          </w:p>
          <w:p>
            <w:pPr>
              <w:spacing w:after="40" w:line="240" w:lineRule="auto"/>
              <w:jc w:val="left"/>
            </w:pPr>
            <w:r>
              <w:rPr>
                <w:rFonts w:ascii="Cambria" w:hAnsi="Cambria"/>
                <w:b w:val="0"/>
                <w:sz w:val="17"/>
              </w:rPr>
              <w:t>Facilitates technology adoption.</w:t>
            </w:r>
          </w:p>
          <w:p>
            <w:pPr>
              <w:spacing w:after="40" w:line="240" w:lineRule="auto"/>
              <w:jc w:val="left"/>
            </w:pPr>
            <w:r>
              <w:rPr>
                <w:rFonts w:ascii="Cambria" w:hAnsi="Cambria"/>
                <w:b w:val="0"/>
                <w:sz w:val="17"/>
              </w:rPr>
              <w:t>Supports incubation collaborations.</w:t>
            </w:r>
          </w:p>
        </w:tc>
        <w:tc>
          <w:tcPr>
            <w:tcW w:type="dxa" w:w="2154"/>
          </w:tcPr>
          <w:p>
            <w:pPr>
              <w:spacing w:after="40" w:line="240" w:lineRule="auto"/>
              <w:jc w:val="left"/>
            </w:pPr>
            <w:r/>
            <w:r>
              <w:rPr>
                <w:rFonts w:ascii="Cambria" w:hAnsi="Cambria"/>
                <w:b w:val="0"/>
                <w:sz w:val="17"/>
              </w:rPr>
              <w:t>Real-world impact of institutional research.</w:t>
            </w:r>
          </w:p>
        </w:tc>
      </w:tr>
      <w:tr>
        <w:tc>
          <w:tcPr>
            <w:tcW w:type="dxa" w:w="2551"/>
            <w:shd w:val="clear" w:color="auto" w:fill="F2F2F2"/>
          </w:tcPr>
          <w:p>
            <w:pPr>
              <w:spacing w:after="40" w:line="240" w:lineRule="auto"/>
              <w:jc w:val="left"/>
            </w:pPr>
            <w:r/>
            <w:r>
              <w:rPr>
                <w:rFonts w:ascii="Cambria" w:hAnsi="Cambria"/>
                <w:b w:val="0"/>
                <w:sz w:val="17"/>
              </w:rPr>
              <w:t>Curriculum &amp; Employability Alignment</w:t>
            </w:r>
          </w:p>
        </w:tc>
        <w:tc>
          <w:tcPr>
            <w:tcW w:type="dxa" w:w="4706"/>
            <w:shd w:val="clear" w:color="auto" w:fill="F2F2F2"/>
          </w:tcPr>
          <w:p>
            <w:pPr>
              <w:spacing w:after="40" w:line="240" w:lineRule="auto"/>
              <w:jc w:val="left"/>
            </w:pPr>
            <w:r/>
            <w:r>
              <w:rPr>
                <w:rFonts w:ascii="Cambria" w:hAnsi="Cambria"/>
                <w:b w:val="0"/>
                <w:sz w:val="17"/>
              </w:rPr>
              <w:t>Aligns collaboration with curriculum design.</w:t>
            </w:r>
          </w:p>
          <w:p>
            <w:pPr>
              <w:spacing w:after="40" w:line="240" w:lineRule="auto"/>
              <w:jc w:val="left"/>
            </w:pPr>
            <w:r>
              <w:rPr>
                <w:rFonts w:ascii="Cambria" w:hAnsi="Cambria"/>
                <w:b w:val="0"/>
                <w:sz w:val="17"/>
              </w:rPr>
              <w:t>Facilitates industry input into programs.</w:t>
            </w:r>
          </w:p>
          <w:p>
            <w:pPr>
              <w:spacing w:after="40" w:line="240" w:lineRule="auto"/>
              <w:jc w:val="left"/>
            </w:pPr>
            <w:r>
              <w:rPr>
                <w:rFonts w:ascii="Cambria" w:hAnsi="Cambria"/>
                <w:b w:val="0"/>
                <w:sz w:val="17"/>
              </w:rPr>
              <w:t>Enhances student employability.</w:t>
            </w:r>
          </w:p>
        </w:tc>
        <w:tc>
          <w:tcPr>
            <w:tcW w:type="dxa" w:w="2154"/>
            <w:shd w:val="clear" w:color="auto" w:fill="F2F2F2"/>
          </w:tcPr>
          <w:p>
            <w:pPr>
              <w:spacing w:after="40" w:line="240" w:lineRule="auto"/>
              <w:jc w:val="left"/>
            </w:pPr>
            <w:r/>
            <w:r>
              <w:rPr>
                <w:rFonts w:ascii="Cambria" w:hAnsi="Cambria"/>
                <w:b w:val="0"/>
                <w:sz w:val="17"/>
              </w:rPr>
              <w:t>Improved placement and skill outcomes.</w:t>
            </w:r>
          </w:p>
        </w:tc>
      </w:tr>
      <w:tr>
        <w:tc>
          <w:tcPr>
            <w:tcW w:type="dxa" w:w="2551"/>
          </w:tcPr>
          <w:p>
            <w:pPr>
              <w:spacing w:after="40" w:line="240" w:lineRule="auto"/>
              <w:jc w:val="left"/>
            </w:pPr>
            <w:r/>
            <w:r>
              <w:rPr>
                <w:rFonts w:ascii="Cambria" w:hAnsi="Cambria"/>
                <w:b w:val="0"/>
                <w:sz w:val="17"/>
              </w:rPr>
              <w:t>Institutional Reporting</w:t>
            </w:r>
          </w:p>
        </w:tc>
        <w:tc>
          <w:tcPr>
            <w:tcW w:type="dxa" w:w="4706"/>
          </w:tcPr>
          <w:p>
            <w:pPr>
              <w:spacing w:after="40" w:line="240" w:lineRule="auto"/>
              <w:jc w:val="left"/>
            </w:pPr>
            <w:r/>
            <w:r>
              <w:rPr>
                <w:rFonts w:ascii="Cambria" w:hAnsi="Cambria"/>
                <w:b w:val="0"/>
                <w:sz w:val="17"/>
              </w:rPr>
              <w:t>Maintains consultancy and MoU records.</w:t>
            </w:r>
          </w:p>
          <w:p>
            <w:pPr>
              <w:spacing w:after="40" w:line="240" w:lineRule="auto"/>
              <w:jc w:val="left"/>
            </w:pPr>
            <w:r>
              <w:rPr>
                <w:rFonts w:ascii="Cambria" w:hAnsi="Cambria"/>
                <w:b w:val="0"/>
                <w:sz w:val="17"/>
              </w:rPr>
              <w:t>Supports NAAC, NBA, NIRF, QS I-GAUGE data.</w:t>
            </w:r>
          </w:p>
          <w:p>
            <w:pPr>
              <w:spacing w:after="40" w:line="240" w:lineRule="auto"/>
              <w:jc w:val="left"/>
            </w:pPr>
            <w:r>
              <w:rPr>
                <w:rFonts w:ascii="Cambria" w:hAnsi="Cambria"/>
                <w:b w:val="0"/>
                <w:sz w:val="17"/>
              </w:rPr>
              <w:t>Benchmarks industry engagement.</w:t>
            </w:r>
          </w:p>
        </w:tc>
        <w:tc>
          <w:tcPr>
            <w:tcW w:type="dxa" w:w="2154"/>
          </w:tcPr>
          <w:p>
            <w:pPr>
              <w:spacing w:after="40" w:line="240" w:lineRule="auto"/>
              <w:jc w:val="left"/>
            </w:pPr>
            <w:r/>
            <w:r>
              <w:rPr>
                <w:rFonts w:ascii="Cambria" w:hAnsi="Cambria"/>
                <w:b w:val="0"/>
                <w:sz w:val="17"/>
              </w:rPr>
              <w:t>Stronger accreditation and ranking outcomes.</w:t>
            </w:r>
          </w:p>
        </w:tc>
      </w:tr>
    </w:tbl>
    <w:p>
      <w:pPr>
        <w:spacing w:after="40"/>
      </w:pPr>
    </w:p>
    <w:p>
      <w:r>
        <w:br w:type="page"/>
      </w:r>
    </w:p>
    <w:p>
      <w:pPr>
        <w:pStyle w:val="Heading1"/>
      </w:pPr>
      <w:r>
        <w:rPr>
          <w:rFonts w:ascii="Cambria" w:hAnsi="Cambria"/>
          <w:b/>
          <w:color w:val="1F3A5F"/>
          <w:sz w:val="36"/>
        </w:rPr>
        <w:t>9. Associate Dean – Sponsored Research</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Sponsored Research serves as the custodian of research funding and sponsored projects within the institution. This role is central to mobilizing financial resources from government agencies, industry, and international bodies, ensuring that faculty and researchers have the support needed to pursue impactful research. By managing the full lifecycle of sponsored projects</w:t>
      </w:r>
      <w:r>
        <w:rPr>
          <w:rFonts w:ascii="Cambria" w:hAnsi="Cambria"/>
          <w:b w:val="0"/>
          <w:i w:val="0"/>
          <w:sz w:val="22"/>
        </w:rPr>
        <w:t>—from proposal development to compliance reporting</w:t>
      </w:r>
      <w:r>
        <w:rPr>
          <w:rFonts w:ascii="Cambria" w:hAnsi="Cambria"/>
          <w:b w:val="0"/>
          <w:i w:val="0"/>
          <w:sz w:val="22"/>
        </w:rPr>
        <w:t>—the Associate Dean safeguards institutional credibility with funding agencies.</w:t>
      </w:r>
    </w:p>
    <w:p>
      <w:pPr>
        <w:spacing w:after="160" w:line="276" w:lineRule="auto"/>
        <w:jc w:val="both"/>
      </w:pPr>
      <w:r>
        <w:rPr>
          <w:rFonts w:ascii="Cambria" w:hAnsi="Cambria"/>
          <w:b w:val="0"/>
          <w:i w:val="0"/>
          <w:sz w:val="22"/>
        </w:rPr>
        <w:t>This position requires close coordination with funding bodies such as DST, DBT, UGC, AICTE, ICSSR, CSR initiatives, and international agencies, along with strong financial governance to ensure transparent utilization of grants. The Associate Dean also builds faculty capacity in proposal writing and project management to maximize the institution's success rate in securing sponsored research funding.</w:t>
      </w:r>
    </w:p>
    <w:p>
      <w:pPr>
        <w:pStyle w:val="Heading3"/>
      </w:pPr>
      <w:r>
        <w:rPr>
          <w:rFonts w:ascii="Cambria" w:hAnsi="Cambria"/>
          <w:b/>
          <w:color w:val="1F3A5F"/>
          <w:sz w:val="26"/>
        </w:rPr>
        <w:t>1. Position and Purpose</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Sponsored Research is responsible for mobilizing research funding, guiding faculty through the grant application process, and ensuring compliance and accountability in the execution of sponsored research projects.</w:t>
      </w:r>
    </w:p>
    <w:p>
      <w:pPr>
        <w:pStyle w:val="Heading3"/>
      </w:pPr>
      <w:r>
        <w:rPr>
          <w:rFonts w:ascii="Cambria" w:hAnsi="Cambria"/>
          <w:b/>
          <w:color w:val="1F3A5F"/>
          <w:sz w:val="26"/>
        </w:rPr>
        <w:t>2. Detailed Responsibilities</w:t>
      </w:r>
    </w:p>
    <w:p>
      <w:pPr>
        <w:pStyle w:val="Heading3"/>
      </w:pPr>
      <w:r>
        <w:rPr>
          <w:rFonts w:ascii="Cambria" w:hAnsi="Cambria"/>
          <w:b/>
          <w:color w:val="1F3A5F"/>
          <w:sz w:val="26"/>
        </w:rPr>
        <w:t>A. Funding Mobilization</w:t>
      </w:r>
    </w:p>
    <w:p>
      <w:pPr>
        <w:pStyle w:val="ListBullet"/>
        <w:spacing w:after="80" w:line="276" w:lineRule="auto"/>
      </w:pPr>
      <w:r>
        <w:rPr>
          <w:rFonts w:ascii="Cambria" w:hAnsi="Cambria"/>
          <w:b w:val="0"/>
          <w:i w:val="0"/>
          <w:sz w:val="22"/>
        </w:rPr>
        <w:t>Identifies funding opportunities from government agencies (DST, DBT, UGC, AICTE, ICSSR), CSR initiatives, and international bodies.</w:t>
      </w:r>
    </w:p>
    <w:p>
      <w:pPr>
        <w:pStyle w:val="ListBullet"/>
        <w:spacing w:after="80" w:line="276" w:lineRule="auto"/>
      </w:pPr>
      <w:r>
        <w:rPr>
          <w:rFonts w:ascii="Cambria" w:hAnsi="Cambria"/>
          <w:b w:val="0"/>
          <w:i w:val="0"/>
          <w:sz w:val="22"/>
        </w:rPr>
        <w:t>Disseminates information on calls for proposals to faculty and researchers.</w:t>
      </w:r>
    </w:p>
    <w:p>
      <w:pPr>
        <w:pStyle w:val="ListBullet"/>
        <w:spacing w:after="80" w:line="276" w:lineRule="auto"/>
      </w:pPr>
      <w:r>
        <w:rPr>
          <w:rFonts w:ascii="Cambria" w:hAnsi="Cambria"/>
          <w:b w:val="0"/>
          <w:i w:val="0"/>
          <w:sz w:val="22"/>
        </w:rPr>
        <w:t>Builds relationships with funding agencies and program officers.</w:t>
      </w:r>
    </w:p>
    <w:p>
      <w:pPr>
        <w:pStyle w:val="Heading3"/>
      </w:pPr>
      <w:r>
        <w:rPr>
          <w:rFonts w:ascii="Cambria" w:hAnsi="Cambria"/>
          <w:b/>
          <w:color w:val="1F3A5F"/>
          <w:sz w:val="26"/>
        </w:rPr>
        <w:t>B. Proposal Development Support</w:t>
      </w:r>
    </w:p>
    <w:p>
      <w:pPr>
        <w:pStyle w:val="ListBullet"/>
        <w:spacing w:after="80" w:line="276" w:lineRule="auto"/>
      </w:pPr>
      <w:r>
        <w:rPr>
          <w:rFonts w:ascii="Cambria" w:hAnsi="Cambria"/>
          <w:b w:val="0"/>
          <w:i w:val="0"/>
          <w:sz w:val="22"/>
        </w:rPr>
        <w:t>Guides faculty in preparing competitive grant proposals.</w:t>
      </w:r>
    </w:p>
    <w:p>
      <w:pPr>
        <w:pStyle w:val="ListBullet"/>
        <w:spacing w:after="80" w:line="276" w:lineRule="auto"/>
      </w:pPr>
      <w:r>
        <w:rPr>
          <w:rFonts w:ascii="Cambria" w:hAnsi="Cambria"/>
          <w:b w:val="0"/>
          <w:i w:val="0"/>
          <w:sz w:val="22"/>
        </w:rPr>
        <w:t>Facilitates budget preparation and alignment with funding guidelines.</w:t>
      </w:r>
    </w:p>
    <w:p>
      <w:pPr>
        <w:pStyle w:val="ListBullet"/>
        <w:spacing w:after="80" w:line="276" w:lineRule="auto"/>
      </w:pPr>
      <w:r>
        <w:rPr>
          <w:rFonts w:ascii="Cambria" w:hAnsi="Cambria"/>
          <w:b w:val="0"/>
          <w:i w:val="0"/>
          <w:sz w:val="22"/>
        </w:rPr>
        <w:t>Reviews proposals for quality, feasibility, and compliance before submission.</w:t>
      </w:r>
    </w:p>
    <w:p>
      <w:pPr>
        <w:pStyle w:val="Heading3"/>
      </w:pPr>
      <w:r>
        <w:rPr>
          <w:rFonts w:ascii="Cambria" w:hAnsi="Cambria"/>
          <w:b/>
          <w:color w:val="1F3A5F"/>
          <w:sz w:val="26"/>
        </w:rPr>
        <w:t>C. Project Monitoring and Compliance</w:t>
      </w:r>
    </w:p>
    <w:p>
      <w:pPr>
        <w:pStyle w:val="ListBullet"/>
        <w:spacing w:after="80" w:line="276" w:lineRule="auto"/>
      </w:pPr>
      <w:r>
        <w:rPr>
          <w:rFonts w:ascii="Cambria" w:hAnsi="Cambria"/>
          <w:b w:val="0"/>
          <w:i w:val="0"/>
          <w:sz w:val="22"/>
        </w:rPr>
        <w:t>Monitors progress of sponsored research projects against milestones.</w:t>
      </w:r>
    </w:p>
    <w:p>
      <w:pPr>
        <w:pStyle w:val="ListBullet"/>
        <w:spacing w:after="80" w:line="276" w:lineRule="auto"/>
      </w:pPr>
      <w:r>
        <w:rPr>
          <w:rFonts w:ascii="Cambria" w:hAnsi="Cambria"/>
          <w:b w:val="0"/>
          <w:i w:val="0"/>
          <w:sz w:val="22"/>
        </w:rPr>
        <w:t>Ensures timely submission of progress reports and utilization certificates.</w:t>
      </w:r>
    </w:p>
    <w:p>
      <w:pPr>
        <w:pStyle w:val="ListBullet"/>
        <w:spacing w:after="80" w:line="276" w:lineRule="auto"/>
      </w:pPr>
      <w:r>
        <w:rPr>
          <w:rFonts w:ascii="Cambria" w:hAnsi="Cambria"/>
          <w:b w:val="0"/>
          <w:i w:val="0"/>
          <w:sz w:val="22"/>
        </w:rPr>
        <w:t>Facilitates audits and financial compliance for funded projects.</w:t>
      </w:r>
    </w:p>
    <w:p>
      <w:pPr>
        <w:pStyle w:val="Heading3"/>
      </w:pPr>
      <w:r>
        <w:rPr>
          <w:rFonts w:ascii="Cambria" w:hAnsi="Cambria"/>
          <w:b/>
          <w:color w:val="1F3A5F"/>
          <w:sz w:val="26"/>
        </w:rPr>
        <w:t>D. Capacity Building</w:t>
      </w:r>
    </w:p>
    <w:p>
      <w:pPr>
        <w:pStyle w:val="ListBullet"/>
        <w:spacing w:after="80" w:line="276" w:lineRule="auto"/>
      </w:pPr>
      <w:r>
        <w:rPr>
          <w:rFonts w:ascii="Cambria" w:hAnsi="Cambria"/>
          <w:b w:val="0"/>
          <w:i w:val="0"/>
          <w:sz w:val="22"/>
        </w:rPr>
        <w:t>Organizes training sessions on grant writing and project management.</w:t>
      </w:r>
    </w:p>
    <w:p>
      <w:pPr>
        <w:pStyle w:val="ListBullet"/>
        <w:spacing w:after="80" w:line="276" w:lineRule="auto"/>
      </w:pPr>
      <w:r>
        <w:rPr>
          <w:rFonts w:ascii="Cambria" w:hAnsi="Cambria"/>
          <w:b w:val="0"/>
          <w:i w:val="0"/>
          <w:sz w:val="22"/>
        </w:rPr>
        <w:t>Mentors early-career researchers in securing seed funding and small grants.</w:t>
      </w:r>
    </w:p>
    <w:p>
      <w:pPr>
        <w:pStyle w:val="ListBullet"/>
        <w:spacing w:after="80" w:line="276" w:lineRule="auto"/>
      </w:pPr>
      <w:r>
        <w:rPr>
          <w:rFonts w:ascii="Cambria" w:hAnsi="Cambria"/>
          <w:b w:val="0"/>
          <w:i w:val="0"/>
          <w:sz w:val="22"/>
        </w:rPr>
        <w:t>Builds institutional expertise in managing large, multi-institutional projects.</w:t>
      </w:r>
    </w:p>
    <w:p>
      <w:pPr>
        <w:pStyle w:val="Heading3"/>
      </w:pPr>
      <w:r>
        <w:rPr>
          <w:rFonts w:ascii="Cambria" w:hAnsi="Cambria"/>
          <w:b/>
          <w:color w:val="1F3A5F"/>
          <w:sz w:val="26"/>
        </w:rPr>
        <w:t>E. Institutional Reporting and Benchmarking</w:t>
      </w:r>
    </w:p>
    <w:p>
      <w:pPr>
        <w:pStyle w:val="ListBullet"/>
        <w:spacing w:after="80" w:line="276" w:lineRule="auto"/>
      </w:pPr>
      <w:r>
        <w:rPr>
          <w:rFonts w:ascii="Cambria" w:hAnsi="Cambria"/>
          <w:b w:val="0"/>
          <w:i w:val="0"/>
          <w:sz w:val="22"/>
        </w:rPr>
        <w:t>Maintains comprehensive records of sponsored projects and funding secured.</w:t>
      </w:r>
    </w:p>
    <w:p>
      <w:pPr>
        <w:pStyle w:val="ListBullet"/>
        <w:spacing w:after="80" w:line="276" w:lineRule="auto"/>
      </w:pPr>
      <w:r>
        <w:rPr>
          <w:rFonts w:ascii="Cambria" w:hAnsi="Cambria"/>
          <w:b w:val="0"/>
          <w:i w:val="0"/>
          <w:sz w:val="22"/>
        </w:rPr>
        <w:t>Provides data for NAAC, NBA, NIRF, and QS I-GAUGE submissions.</w:t>
      </w:r>
    </w:p>
    <w:p>
      <w:pPr>
        <w:pStyle w:val="ListBullet"/>
        <w:spacing w:after="80" w:line="276" w:lineRule="auto"/>
      </w:pPr>
      <w:r>
        <w:rPr>
          <w:rFonts w:ascii="Cambria" w:hAnsi="Cambria"/>
          <w:b w:val="0"/>
          <w:i w:val="0"/>
          <w:sz w:val="22"/>
        </w:rPr>
        <w:t>Benchmarks institutional funding performance against peer universities.</w:t>
      </w:r>
    </w:p>
    <w:p>
      <w:pPr>
        <w:pStyle w:val="Heading3"/>
      </w:pPr>
      <w:r>
        <w:rPr>
          <w:rFonts w:ascii="Cambria" w:hAnsi="Cambria"/>
          <w:b/>
          <w:color w:val="1F3A5F"/>
          <w:sz w:val="26"/>
        </w:rPr>
        <w:t>3. Strategic Impact</w:t>
      </w:r>
    </w:p>
    <w:p>
      <w:pPr>
        <w:pStyle w:val="ListBullet"/>
        <w:spacing w:after="80" w:line="276" w:lineRule="auto"/>
      </w:pPr>
      <w:r>
        <w:rPr>
          <w:rFonts w:ascii="Cambria" w:hAnsi="Cambria"/>
          <w:b/>
          <w:i w:val="0"/>
          <w:sz w:val="22"/>
        </w:rPr>
        <w:t xml:space="preserve">For Faculty: </w:t>
      </w:r>
      <w:r>
        <w:rPr>
          <w:rFonts w:ascii="Cambria" w:hAnsi="Cambria"/>
          <w:b w:val="0"/>
          <w:i w:val="0"/>
          <w:sz w:val="22"/>
        </w:rPr>
        <w:t>Access to funding for research pursuits and career advancement.</w:t>
      </w:r>
    </w:p>
    <w:p>
      <w:pPr>
        <w:pStyle w:val="ListBullet"/>
        <w:spacing w:after="80" w:line="276" w:lineRule="auto"/>
      </w:pPr>
      <w:r>
        <w:rPr>
          <w:rFonts w:ascii="Cambria" w:hAnsi="Cambria"/>
          <w:b/>
          <w:i w:val="0"/>
          <w:sz w:val="22"/>
        </w:rPr>
        <w:t xml:space="preserve">For Institution: </w:t>
      </w:r>
      <w:r>
        <w:rPr>
          <w:rFonts w:ascii="Cambria" w:hAnsi="Cambria"/>
          <w:b w:val="0"/>
          <w:i w:val="0"/>
          <w:sz w:val="22"/>
        </w:rPr>
        <w:t>Enhanced financial sustainability and research infrastructure.</w:t>
      </w:r>
    </w:p>
    <w:p>
      <w:pPr>
        <w:pStyle w:val="ListBullet"/>
        <w:spacing w:after="80" w:line="276" w:lineRule="auto"/>
      </w:pPr>
      <w:r>
        <w:rPr>
          <w:rFonts w:ascii="Cambria" w:hAnsi="Cambria"/>
          <w:b/>
          <w:i w:val="0"/>
          <w:sz w:val="22"/>
        </w:rPr>
        <w:t xml:space="preserve">For Students/Scholars: </w:t>
      </w:r>
      <w:r>
        <w:rPr>
          <w:rFonts w:ascii="Cambria" w:hAnsi="Cambria"/>
          <w:b w:val="0"/>
          <w:i w:val="0"/>
          <w:sz w:val="22"/>
        </w:rPr>
        <w:t>Opportunities to participate in funded research projects.</w:t>
      </w:r>
    </w:p>
    <w:p>
      <w:pPr>
        <w:pStyle w:val="ListBullet"/>
        <w:spacing w:after="80" w:line="276" w:lineRule="auto"/>
      </w:pPr>
      <w:r>
        <w:rPr>
          <w:rFonts w:ascii="Cambria" w:hAnsi="Cambria"/>
          <w:b/>
          <w:i w:val="0"/>
          <w:sz w:val="22"/>
        </w:rPr>
        <w:t xml:space="preserve">For Society: </w:t>
      </w:r>
      <w:r>
        <w:rPr>
          <w:rFonts w:ascii="Cambria" w:hAnsi="Cambria"/>
          <w:b w:val="0"/>
          <w:i w:val="0"/>
          <w:sz w:val="22"/>
        </w:rPr>
        <w:t>Research outcomes that address funded priority areas and challenges.</w:t>
      </w:r>
    </w:p>
    <w:p>
      <w:pPr>
        <w:spacing w:after="80" w:line="276" w:lineRule="auto"/>
      </w:pPr>
      <w:r>
        <w:rPr>
          <w:rFonts w:ascii="Cambria" w:hAnsi="Cambria"/>
          <w:b/>
          <w:i w:val="0"/>
          <w:sz w:val="22"/>
        </w:rPr>
        <w:t>Custodianship Statement</w:t>
      </w:r>
    </w:p>
    <w:p>
      <w:pPr>
        <w:spacing w:after="200" w:line="276" w:lineRule="auto"/>
        <w:jc w:val="both"/>
      </w:pPr>
      <w:r>
        <w:rPr>
          <w:rFonts w:ascii="Cambria" w:hAnsi="Cambria"/>
          <w:b w:val="0"/>
          <w:i w:val="0"/>
          <w:sz w:val="22"/>
        </w:rPr>
        <w:t>As the custodian of sponsored research, the Associate Dean ensures that the institution secures and responsibly manages external funding</w:t>
      </w:r>
      <w:r>
        <w:rPr>
          <w:rFonts w:ascii="Cambria" w:hAnsi="Cambria"/>
          <w:b w:val="0"/>
          <w:i w:val="0"/>
          <w:sz w:val="22"/>
        </w:rPr>
        <w:t>—strengthening research capacity while maintaining accountability to funding agencies.</w:t>
      </w:r>
    </w:p>
    <w:p>
      <w:pPr>
        <w:pStyle w:val="Heading3"/>
      </w:pPr>
      <w:r>
        <w:rPr>
          <w:rFonts w:ascii="Cambria" w:hAnsi="Cambria"/>
          <w:b/>
          <w:color w:val="1F3A5F"/>
          <w:sz w:val="26"/>
        </w:rPr>
        <w:t>Responsibilities Matrix</w:t>
      </w:r>
    </w:p>
    <w:tbl>
      <w:tblPr>
        <w:tblStyle w:val="TableGrid"/>
        <w:tblW w:type="auto" w:w="0"/>
        <w:jc w:val="center"/>
        <w:tblLayout w:type="fixed"/>
        <w:tblLook w:firstColumn="1" w:firstRow="1" w:lastColumn="0" w:lastRow="0" w:noHBand="0" w:noVBand="1" w:val="04A0"/>
        <w:tblLayout w:type="fixed"/>
      </w:tblPr>
      <w:tblGrid>
        <w:gridCol w:w="2551"/>
        <w:gridCol w:w="4706"/>
        <w:gridCol w:w="2154"/>
      </w:tblGrid>
      <w:tr>
        <w:tc>
          <w:tcPr>
            <w:tcW w:type="dxa" w:w="2551"/>
            <w:shd w:val="clear" w:color="auto" w:fill="1F3A5F"/>
          </w:tcPr>
          <w:p>
            <w:pPr>
              <w:spacing w:after="40" w:line="240" w:lineRule="auto"/>
              <w:jc w:val="center"/>
            </w:pPr>
            <w:r/>
            <w:r>
              <w:rPr>
                <w:rFonts w:ascii="Cambria" w:hAnsi="Cambria"/>
                <w:b/>
                <w:color w:val="FFFFFF"/>
                <w:sz w:val="19"/>
              </w:rPr>
              <w:t>Category</w:t>
            </w:r>
          </w:p>
        </w:tc>
        <w:tc>
          <w:tcPr>
            <w:tcW w:type="dxa" w:w="4706"/>
            <w:shd w:val="clear" w:color="auto" w:fill="1F3A5F"/>
          </w:tcPr>
          <w:p>
            <w:pPr>
              <w:spacing w:after="40" w:line="240" w:lineRule="auto"/>
              <w:jc w:val="center"/>
            </w:pPr>
            <w:r/>
            <w:r>
              <w:rPr>
                <w:rFonts w:ascii="Cambria" w:hAnsi="Cambria"/>
                <w:b/>
                <w:color w:val="FFFFFF"/>
                <w:sz w:val="19"/>
              </w:rPr>
              <w:t>Key Duties &amp; Functions</w:t>
            </w:r>
          </w:p>
        </w:tc>
        <w:tc>
          <w:tcPr>
            <w:tcW w:type="dxa" w:w="2154"/>
            <w:shd w:val="clear" w:color="auto" w:fill="1F3A5F"/>
          </w:tcPr>
          <w:p>
            <w:pPr>
              <w:spacing w:after="40" w:line="240" w:lineRule="auto"/>
              <w:jc w:val="center"/>
            </w:pPr>
            <w:r/>
            <w:r>
              <w:rPr>
                <w:rFonts w:ascii="Cambria" w:hAnsi="Cambria"/>
                <w:b/>
                <w:color w:val="FFFFFF"/>
                <w:sz w:val="19"/>
              </w:rPr>
              <w:t>Impact on Institution</w:t>
            </w:r>
          </w:p>
        </w:tc>
      </w:tr>
      <w:tr>
        <w:tc>
          <w:tcPr>
            <w:tcW w:type="dxa" w:w="2551"/>
          </w:tcPr>
          <w:p>
            <w:pPr>
              <w:spacing w:after="40" w:line="240" w:lineRule="auto"/>
              <w:jc w:val="left"/>
            </w:pPr>
            <w:r/>
            <w:r>
              <w:rPr>
                <w:rFonts w:ascii="Cambria" w:hAnsi="Cambria"/>
                <w:b w:val="0"/>
                <w:sz w:val="17"/>
              </w:rPr>
              <w:t>Funding Mobilization</w:t>
            </w:r>
          </w:p>
        </w:tc>
        <w:tc>
          <w:tcPr>
            <w:tcW w:type="dxa" w:w="4706"/>
          </w:tcPr>
          <w:p>
            <w:pPr>
              <w:spacing w:after="40" w:line="240" w:lineRule="auto"/>
              <w:jc w:val="left"/>
            </w:pPr>
            <w:r/>
            <w:r>
              <w:rPr>
                <w:rFonts w:ascii="Cambria" w:hAnsi="Cambria"/>
                <w:b w:val="0"/>
                <w:sz w:val="17"/>
              </w:rPr>
              <w:t>Identifies funding opportunities.</w:t>
            </w:r>
          </w:p>
          <w:p>
            <w:pPr>
              <w:spacing w:after="40" w:line="240" w:lineRule="auto"/>
              <w:jc w:val="left"/>
            </w:pPr>
            <w:r>
              <w:rPr>
                <w:rFonts w:ascii="Cambria" w:hAnsi="Cambria"/>
                <w:b w:val="0"/>
                <w:sz w:val="17"/>
              </w:rPr>
              <w:t>Disseminates calls for proposals.</w:t>
            </w:r>
          </w:p>
          <w:p>
            <w:pPr>
              <w:spacing w:after="40" w:line="240" w:lineRule="auto"/>
              <w:jc w:val="left"/>
            </w:pPr>
            <w:r>
              <w:rPr>
                <w:rFonts w:ascii="Cambria" w:hAnsi="Cambria"/>
                <w:b w:val="0"/>
                <w:sz w:val="17"/>
              </w:rPr>
              <w:t>Builds relationships with agencies.</w:t>
            </w:r>
          </w:p>
        </w:tc>
        <w:tc>
          <w:tcPr>
            <w:tcW w:type="dxa" w:w="2154"/>
          </w:tcPr>
          <w:p>
            <w:pPr>
              <w:spacing w:after="40" w:line="240" w:lineRule="auto"/>
              <w:jc w:val="left"/>
            </w:pPr>
            <w:r/>
            <w:r>
              <w:rPr>
                <w:rFonts w:ascii="Cambria" w:hAnsi="Cambria"/>
                <w:b w:val="0"/>
                <w:sz w:val="17"/>
              </w:rPr>
              <w:t>Increased external funding secured.</w:t>
            </w:r>
          </w:p>
        </w:tc>
      </w:tr>
      <w:tr>
        <w:tc>
          <w:tcPr>
            <w:tcW w:type="dxa" w:w="2551"/>
            <w:shd w:val="clear" w:color="auto" w:fill="F2F2F2"/>
          </w:tcPr>
          <w:p>
            <w:pPr>
              <w:spacing w:after="40" w:line="240" w:lineRule="auto"/>
              <w:jc w:val="left"/>
            </w:pPr>
            <w:r/>
            <w:r>
              <w:rPr>
                <w:rFonts w:ascii="Cambria" w:hAnsi="Cambria"/>
                <w:b w:val="0"/>
                <w:sz w:val="17"/>
              </w:rPr>
              <w:t>Proposal Development Support</w:t>
            </w:r>
          </w:p>
        </w:tc>
        <w:tc>
          <w:tcPr>
            <w:tcW w:type="dxa" w:w="4706"/>
            <w:shd w:val="clear" w:color="auto" w:fill="F2F2F2"/>
          </w:tcPr>
          <w:p>
            <w:pPr>
              <w:spacing w:after="40" w:line="240" w:lineRule="auto"/>
              <w:jc w:val="left"/>
            </w:pPr>
            <w:r/>
            <w:r>
              <w:rPr>
                <w:rFonts w:ascii="Cambria" w:hAnsi="Cambria"/>
                <w:b w:val="0"/>
                <w:sz w:val="17"/>
              </w:rPr>
              <w:t>Guides faculty in proposal writing.</w:t>
            </w:r>
          </w:p>
          <w:p>
            <w:pPr>
              <w:spacing w:after="40" w:line="240" w:lineRule="auto"/>
              <w:jc w:val="left"/>
            </w:pPr>
            <w:r>
              <w:rPr>
                <w:rFonts w:ascii="Cambria" w:hAnsi="Cambria"/>
                <w:b w:val="0"/>
                <w:sz w:val="17"/>
              </w:rPr>
              <w:t>Facilitates budget preparation.</w:t>
            </w:r>
          </w:p>
          <w:p>
            <w:pPr>
              <w:spacing w:after="40" w:line="240" w:lineRule="auto"/>
              <w:jc w:val="left"/>
            </w:pPr>
            <w:r>
              <w:rPr>
                <w:rFonts w:ascii="Cambria" w:hAnsi="Cambria"/>
                <w:b w:val="0"/>
                <w:sz w:val="17"/>
              </w:rPr>
              <w:t>Reviews proposals before submission.</w:t>
            </w:r>
          </w:p>
        </w:tc>
        <w:tc>
          <w:tcPr>
            <w:tcW w:type="dxa" w:w="2154"/>
            <w:shd w:val="clear" w:color="auto" w:fill="F2F2F2"/>
          </w:tcPr>
          <w:p>
            <w:pPr>
              <w:spacing w:after="40" w:line="240" w:lineRule="auto"/>
              <w:jc w:val="left"/>
            </w:pPr>
            <w:r/>
            <w:r>
              <w:rPr>
                <w:rFonts w:ascii="Cambria" w:hAnsi="Cambria"/>
                <w:b w:val="0"/>
                <w:sz w:val="17"/>
              </w:rPr>
              <w:t>Higher success rate in grant applications.</w:t>
            </w:r>
          </w:p>
        </w:tc>
      </w:tr>
      <w:tr>
        <w:tc>
          <w:tcPr>
            <w:tcW w:type="dxa" w:w="2551"/>
          </w:tcPr>
          <w:p>
            <w:pPr>
              <w:spacing w:after="40" w:line="240" w:lineRule="auto"/>
              <w:jc w:val="left"/>
            </w:pPr>
            <w:r/>
            <w:r>
              <w:rPr>
                <w:rFonts w:ascii="Cambria" w:hAnsi="Cambria"/>
                <w:b w:val="0"/>
                <w:sz w:val="17"/>
              </w:rPr>
              <w:t>Project Monitoring &amp; Compliance</w:t>
            </w:r>
          </w:p>
        </w:tc>
        <w:tc>
          <w:tcPr>
            <w:tcW w:type="dxa" w:w="4706"/>
          </w:tcPr>
          <w:p>
            <w:pPr>
              <w:spacing w:after="40" w:line="240" w:lineRule="auto"/>
              <w:jc w:val="left"/>
            </w:pPr>
            <w:r/>
            <w:r>
              <w:rPr>
                <w:rFonts w:ascii="Cambria" w:hAnsi="Cambria"/>
                <w:b w:val="0"/>
                <w:sz w:val="17"/>
              </w:rPr>
              <w:t>Monitors project progress and milestones.</w:t>
            </w:r>
          </w:p>
          <w:p>
            <w:pPr>
              <w:spacing w:after="40" w:line="240" w:lineRule="auto"/>
              <w:jc w:val="left"/>
            </w:pPr>
            <w:r>
              <w:rPr>
                <w:rFonts w:ascii="Cambria" w:hAnsi="Cambria"/>
                <w:b w:val="0"/>
                <w:sz w:val="17"/>
              </w:rPr>
              <w:t>Ensures timely reporting and UCs.</w:t>
            </w:r>
          </w:p>
          <w:p>
            <w:pPr>
              <w:spacing w:after="40" w:line="240" w:lineRule="auto"/>
              <w:jc w:val="left"/>
            </w:pPr>
            <w:r>
              <w:rPr>
                <w:rFonts w:ascii="Cambria" w:hAnsi="Cambria"/>
                <w:b w:val="0"/>
                <w:sz w:val="17"/>
              </w:rPr>
              <w:t>Facilitates audits and compliance.</w:t>
            </w:r>
          </w:p>
        </w:tc>
        <w:tc>
          <w:tcPr>
            <w:tcW w:type="dxa" w:w="2154"/>
          </w:tcPr>
          <w:p>
            <w:pPr>
              <w:spacing w:after="40" w:line="240" w:lineRule="auto"/>
              <w:jc w:val="left"/>
            </w:pPr>
            <w:r/>
            <w:r>
              <w:rPr>
                <w:rFonts w:ascii="Cambria" w:hAnsi="Cambria"/>
                <w:b w:val="0"/>
                <w:sz w:val="17"/>
              </w:rPr>
              <w:t>Institutional credibility with funding agencies.</w:t>
            </w:r>
          </w:p>
        </w:tc>
      </w:tr>
      <w:tr>
        <w:tc>
          <w:tcPr>
            <w:tcW w:type="dxa" w:w="2551"/>
            <w:shd w:val="clear" w:color="auto" w:fill="F2F2F2"/>
          </w:tcPr>
          <w:p>
            <w:pPr>
              <w:spacing w:after="40" w:line="240" w:lineRule="auto"/>
              <w:jc w:val="left"/>
            </w:pPr>
            <w:r/>
            <w:r>
              <w:rPr>
                <w:rFonts w:ascii="Cambria" w:hAnsi="Cambria"/>
                <w:b w:val="0"/>
                <w:sz w:val="17"/>
              </w:rPr>
              <w:t>Capacity Building</w:t>
            </w:r>
          </w:p>
        </w:tc>
        <w:tc>
          <w:tcPr>
            <w:tcW w:type="dxa" w:w="4706"/>
            <w:shd w:val="clear" w:color="auto" w:fill="F2F2F2"/>
          </w:tcPr>
          <w:p>
            <w:pPr>
              <w:spacing w:after="40" w:line="240" w:lineRule="auto"/>
              <w:jc w:val="left"/>
            </w:pPr>
            <w:r/>
            <w:r>
              <w:rPr>
                <w:rFonts w:ascii="Cambria" w:hAnsi="Cambria"/>
                <w:b w:val="0"/>
                <w:sz w:val="17"/>
              </w:rPr>
              <w:t>Organizes grant writing training.</w:t>
            </w:r>
          </w:p>
          <w:p>
            <w:pPr>
              <w:spacing w:after="40" w:line="240" w:lineRule="auto"/>
              <w:jc w:val="left"/>
            </w:pPr>
            <w:r>
              <w:rPr>
                <w:rFonts w:ascii="Cambria" w:hAnsi="Cambria"/>
                <w:b w:val="0"/>
                <w:sz w:val="17"/>
              </w:rPr>
              <w:t>Mentors early-career researchers.</w:t>
            </w:r>
          </w:p>
          <w:p>
            <w:pPr>
              <w:spacing w:after="40" w:line="240" w:lineRule="auto"/>
              <w:jc w:val="left"/>
            </w:pPr>
            <w:r>
              <w:rPr>
                <w:rFonts w:ascii="Cambria" w:hAnsi="Cambria"/>
                <w:b w:val="0"/>
                <w:sz w:val="17"/>
              </w:rPr>
              <w:t>Builds multi-institutional project expertise.</w:t>
            </w:r>
          </w:p>
        </w:tc>
        <w:tc>
          <w:tcPr>
            <w:tcW w:type="dxa" w:w="2154"/>
            <w:shd w:val="clear" w:color="auto" w:fill="F2F2F2"/>
          </w:tcPr>
          <w:p>
            <w:pPr>
              <w:spacing w:after="40" w:line="240" w:lineRule="auto"/>
              <w:jc w:val="left"/>
            </w:pPr>
            <w:r/>
            <w:r>
              <w:rPr>
                <w:rFonts w:ascii="Cambria" w:hAnsi="Cambria"/>
                <w:b w:val="0"/>
                <w:sz w:val="17"/>
              </w:rPr>
              <w:t>Stronger research funding capacity.</w:t>
            </w:r>
          </w:p>
        </w:tc>
      </w:tr>
      <w:tr>
        <w:tc>
          <w:tcPr>
            <w:tcW w:type="dxa" w:w="2551"/>
          </w:tcPr>
          <w:p>
            <w:pPr>
              <w:spacing w:after="40" w:line="240" w:lineRule="auto"/>
              <w:jc w:val="left"/>
            </w:pPr>
            <w:r/>
            <w:r>
              <w:rPr>
                <w:rFonts w:ascii="Cambria" w:hAnsi="Cambria"/>
                <w:b w:val="0"/>
                <w:sz w:val="17"/>
              </w:rPr>
              <w:t>Institutional Reporting</w:t>
            </w:r>
          </w:p>
        </w:tc>
        <w:tc>
          <w:tcPr>
            <w:tcW w:type="dxa" w:w="4706"/>
          </w:tcPr>
          <w:p>
            <w:pPr>
              <w:spacing w:after="40" w:line="240" w:lineRule="auto"/>
              <w:jc w:val="left"/>
            </w:pPr>
            <w:r/>
            <w:r>
              <w:rPr>
                <w:rFonts w:ascii="Cambria" w:hAnsi="Cambria"/>
                <w:b w:val="0"/>
                <w:sz w:val="17"/>
              </w:rPr>
              <w:t>Maintains sponsored project records.</w:t>
            </w:r>
          </w:p>
          <w:p>
            <w:pPr>
              <w:spacing w:after="40" w:line="240" w:lineRule="auto"/>
              <w:jc w:val="left"/>
            </w:pPr>
            <w:r>
              <w:rPr>
                <w:rFonts w:ascii="Cambria" w:hAnsi="Cambria"/>
                <w:b w:val="0"/>
                <w:sz w:val="17"/>
              </w:rPr>
              <w:t>Supports NAAC, NBA, NIRF, QS I-GAUGE data.</w:t>
            </w:r>
          </w:p>
          <w:p>
            <w:pPr>
              <w:spacing w:after="40" w:line="240" w:lineRule="auto"/>
              <w:jc w:val="left"/>
            </w:pPr>
            <w:r>
              <w:rPr>
                <w:rFonts w:ascii="Cambria" w:hAnsi="Cambria"/>
                <w:b w:val="0"/>
                <w:sz w:val="17"/>
              </w:rPr>
              <w:t>Benchmarks funding performance.</w:t>
            </w:r>
          </w:p>
        </w:tc>
        <w:tc>
          <w:tcPr>
            <w:tcW w:type="dxa" w:w="2154"/>
          </w:tcPr>
          <w:p>
            <w:pPr>
              <w:spacing w:after="40" w:line="240" w:lineRule="auto"/>
              <w:jc w:val="left"/>
            </w:pPr>
            <w:r/>
            <w:r>
              <w:rPr>
                <w:rFonts w:ascii="Cambria" w:hAnsi="Cambria"/>
                <w:b w:val="0"/>
                <w:sz w:val="17"/>
              </w:rPr>
              <w:t>Stronger accreditation and ranking outcomes.</w:t>
            </w:r>
          </w:p>
        </w:tc>
      </w:tr>
    </w:tbl>
    <w:p>
      <w:pPr>
        <w:spacing w:after="40"/>
      </w:pPr>
    </w:p>
    <w:p>
      <w:r>
        <w:br w:type="page"/>
      </w:r>
    </w:p>
    <w:p>
      <w:pPr>
        <w:pStyle w:val="Heading1"/>
      </w:pPr>
      <w:r>
        <w:rPr>
          <w:rFonts w:ascii="Cambria" w:hAnsi="Cambria"/>
          <w:b/>
          <w:color w:val="1F3A5F"/>
          <w:sz w:val="36"/>
        </w:rPr>
        <w:t>10. Associate Dean – R&amp;D Centres</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R&amp;D Centres serves as the custodian of research infrastructure and Centres of Excellence (CoEs) within the institution. This role oversees the establishment, functioning, and strategic direction of specialized research laboratories and interdisciplinary hubs, ensuring that the institution remains equipped to pursue frontier research areas such as artificial intelligence, biotechnology, renewable energy, and smart cities.</w:t>
      </w:r>
    </w:p>
    <w:p>
      <w:pPr>
        <w:spacing w:after="160" w:line="276" w:lineRule="auto"/>
        <w:jc w:val="both"/>
      </w:pPr>
      <w:r>
        <w:rPr>
          <w:rFonts w:ascii="Cambria" w:hAnsi="Cambria"/>
          <w:b w:val="0"/>
          <w:i w:val="0"/>
          <w:sz w:val="22"/>
        </w:rPr>
        <w:t>This position involves coordinating infrastructure investments, maintaining equipment and facilities to global standards, and fostering collaboration among researchers working within these centres. The Associate Dean also plays a key role in positioning R&amp;D Centres as magnets for external funding, industry partnerships, and interdisciplinary innovation.</w:t>
      </w:r>
    </w:p>
    <w:p>
      <w:pPr>
        <w:pStyle w:val="Heading3"/>
      </w:pPr>
      <w:r>
        <w:rPr>
          <w:rFonts w:ascii="Cambria" w:hAnsi="Cambria"/>
          <w:b/>
          <w:color w:val="1F3A5F"/>
          <w:sz w:val="26"/>
        </w:rPr>
        <w:t>1. Position and Purpose</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R&amp;D Centres is responsible for establishing, managing, and strategically positioning the institution's research centres and Centres of Excellence (CoEs) to drive frontier research and innovation.</w:t>
      </w:r>
    </w:p>
    <w:p>
      <w:pPr>
        <w:pStyle w:val="Heading3"/>
      </w:pPr>
      <w:r>
        <w:rPr>
          <w:rFonts w:ascii="Cambria" w:hAnsi="Cambria"/>
          <w:b/>
          <w:color w:val="1F3A5F"/>
          <w:sz w:val="26"/>
        </w:rPr>
        <w:t>2. Detailed Responsibilities</w:t>
      </w:r>
    </w:p>
    <w:p>
      <w:pPr>
        <w:pStyle w:val="Heading3"/>
      </w:pPr>
      <w:r>
        <w:rPr>
          <w:rFonts w:ascii="Cambria" w:hAnsi="Cambria"/>
          <w:b/>
          <w:color w:val="1F3A5F"/>
          <w:sz w:val="26"/>
        </w:rPr>
        <w:t>A. Establishment and Development</w:t>
      </w:r>
    </w:p>
    <w:p>
      <w:pPr>
        <w:pStyle w:val="ListBullet"/>
        <w:spacing w:after="80" w:line="276" w:lineRule="auto"/>
      </w:pPr>
      <w:r>
        <w:rPr>
          <w:rFonts w:ascii="Cambria" w:hAnsi="Cambria"/>
          <w:b w:val="0"/>
          <w:i w:val="0"/>
          <w:sz w:val="22"/>
        </w:rPr>
        <w:t>Identifies emerging and strategic areas for new Centres of Excellence (CoEs).</w:t>
      </w:r>
    </w:p>
    <w:p>
      <w:pPr>
        <w:pStyle w:val="ListBullet"/>
        <w:spacing w:after="80" w:line="276" w:lineRule="auto"/>
      </w:pPr>
      <w:r>
        <w:rPr>
          <w:rFonts w:ascii="Cambria" w:hAnsi="Cambria"/>
          <w:b w:val="0"/>
          <w:i w:val="0"/>
          <w:sz w:val="22"/>
        </w:rPr>
        <w:t>Develops proposals and business cases for establishing new research centres.</w:t>
      </w:r>
    </w:p>
    <w:p>
      <w:pPr>
        <w:pStyle w:val="ListBullet"/>
        <w:spacing w:after="80" w:line="276" w:lineRule="auto"/>
      </w:pPr>
      <w:r>
        <w:rPr>
          <w:rFonts w:ascii="Cambria" w:hAnsi="Cambria"/>
          <w:b w:val="0"/>
          <w:i w:val="0"/>
          <w:sz w:val="22"/>
        </w:rPr>
        <w:t>Coordinates infrastructure planning and equipment procurement.</w:t>
      </w:r>
    </w:p>
    <w:p>
      <w:pPr>
        <w:pStyle w:val="Heading3"/>
      </w:pPr>
      <w:r>
        <w:rPr>
          <w:rFonts w:ascii="Cambria" w:hAnsi="Cambria"/>
          <w:b/>
          <w:color w:val="1F3A5F"/>
          <w:sz w:val="26"/>
        </w:rPr>
        <w:t>B. Operational Management</w:t>
      </w:r>
    </w:p>
    <w:p>
      <w:pPr>
        <w:pStyle w:val="ListBullet"/>
        <w:spacing w:after="80" w:line="276" w:lineRule="auto"/>
      </w:pPr>
      <w:r>
        <w:rPr>
          <w:rFonts w:ascii="Cambria" w:hAnsi="Cambria"/>
          <w:b w:val="0"/>
          <w:i w:val="0"/>
          <w:sz w:val="22"/>
        </w:rPr>
        <w:t>Oversees the day-to-day functioning of existing R&amp;D centres and laboratories.</w:t>
      </w:r>
    </w:p>
    <w:p>
      <w:pPr>
        <w:pStyle w:val="ListBullet"/>
        <w:spacing w:after="80" w:line="276" w:lineRule="auto"/>
      </w:pPr>
      <w:r>
        <w:rPr>
          <w:rFonts w:ascii="Cambria" w:hAnsi="Cambria"/>
          <w:b w:val="0"/>
          <w:i w:val="0"/>
          <w:sz w:val="22"/>
        </w:rPr>
        <w:t>Ensures facilities and equipment meet international research standards.</w:t>
      </w:r>
    </w:p>
    <w:p>
      <w:pPr>
        <w:pStyle w:val="ListBullet"/>
        <w:spacing w:after="80" w:line="276" w:lineRule="auto"/>
      </w:pPr>
      <w:r>
        <w:rPr>
          <w:rFonts w:ascii="Cambria" w:hAnsi="Cambria"/>
          <w:b w:val="0"/>
          <w:i w:val="0"/>
          <w:sz w:val="22"/>
        </w:rPr>
        <w:t>Facilitates interdisciplinary collaboration among researchers across centres.</w:t>
      </w:r>
    </w:p>
    <w:p>
      <w:pPr>
        <w:pStyle w:val="Heading3"/>
      </w:pPr>
      <w:r>
        <w:rPr>
          <w:rFonts w:ascii="Cambria" w:hAnsi="Cambria"/>
          <w:b/>
          <w:color w:val="1F3A5F"/>
          <w:sz w:val="26"/>
        </w:rPr>
        <w:t>C. Funding and Sustainability</w:t>
      </w:r>
    </w:p>
    <w:p>
      <w:pPr>
        <w:pStyle w:val="ListBullet"/>
        <w:spacing w:after="80" w:line="276" w:lineRule="auto"/>
      </w:pPr>
      <w:r>
        <w:rPr>
          <w:rFonts w:ascii="Cambria" w:hAnsi="Cambria"/>
          <w:b w:val="0"/>
          <w:i w:val="0"/>
          <w:sz w:val="22"/>
        </w:rPr>
        <w:t>Positions R&amp;D centres to attract external funding and industry partnerships.</w:t>
      </w:r>
    </w:p>
    <w:p>
      <w:pPr>
        <w:pStyle w:val="ListBullet"/>
        <w:spacing w:after="80" w:line="276" w:lineRule="auto"/>
      </w:pPr>
      <w:r>
        <w:rPr>
          <w:rFonts w:ascii="Cambria" w:hAnsi="Cambria"/>
          <w:b w:val="0"/>
          <w:i w:val="0"/>
          <w:sz w:val="22"/>
        </w:rPr>
        <w:t>Supports proposal development for infrastructure grants.</w:t>
      </w:r>
    </w:p>
    <w:p>
      <w:pPr>
        <w:pStyle w:val="ListBullet"/>
        <w:spacing w:after="80" w:line="276" w:lineRule="auto"/>
      </w:pPr>
      <w:r>
        <w:rPr>
          <w:rFonts w:ascii="Cambria" w:hAnsi="Cambria"/>
          <w:b w:val="0"/>
          <w:i w:val="0"/>
          <w:sz w:val="22"/>
        </w:rPr>
        <w:t>Ensures financial sustainability and efficient utilization of resources.</w:t>
      </w:r>
    </w:p>
    <w:p>
      <w:pPr>
        <w:pStyle w:val="Heading3"/>
      </w:pPr>
      <w:r>
        <w:rPr>
          <w:rFonts w:ascii="Cambria" w:hAnsi="Cambria"/>
          <w:b/>
          <w:color w:val="1F3A5F"/>
          <w:sz w:val="26"/>
        </w:rPr>
        <w:t>D. Talent and Capacity Development</w:t>
      </w:r>
    </w:p>
    <w:p>
      <w:pPr>
        <w:pStyle w:val="ListBullet"/>
        <w:spacing w:after="80" w:line="276" w:lineRule="auto"/>
      </w:pPr>
      <w:r>
        <w:rPr>
          <w:rFonts w:ascii="Cambria" w:hAnsi="Cambria"/>
          <w:b w:val="0"/>
          <w:i w:val="0"/>
          <w:sz w:val="22"/>
        </w:rPr>
        <w:t>Facilitates access to centres for faculty, students, and external researchers.</w:t>
      </w:r>
    </w:p>
    <w:p>
      <w:pPr>
        <w:pStyle w:val="ListBullet"/>
        <w:spacing w:after="80" w:line="276" w:lineRule="auto"/>
      </w:pPr>
      <w:r>
        <w:rPr>
          <w:rFonts w:ascii="Cambria" w:hAnsi="Cambria"/>
          <w:b w:val="0"/>
          <w:i w:val="0"/>
          <w:sz w:val="22"/>
        </w:rPr>
        <w:t>Organizes training on the use of specialized equipment and facilities.</w:t>
      </w:r>
    </w:p>
    <w:p>
      <w:pPr>
        <w:pStyle w:val="ListBullet"/>
        <w:spacing w:after="80" w:line="276" w:lineRule="auto"/>
      </w:pPr>
      <w:r>
        <w:rPr>
          <w:rFonts w:ascii="Cambria" w:hAnsi="Cambria"/>
          <w:b w:val="0"/>
          <w:i w:val="0"/>
          <w:sz w:val="22"/>
        </w:rPr>
        <w:t>Encourages student and scholar participation in centre-based research.</w:t>
      </w:r>
    </w:p>
    <w:p>
      <w:pPr>
        <w:pStyle w:val="Heading3"/>
      </w:pPr>
      <w:r>
        <w:rPr>
          <w:rFonts w:ascii="Cambria" w:hAnsi="Cambria"/>
          <w:b/>
          <w:color w:val="1F3A5F"/>
          <w:sz w:val="26"/>
        </w:rPr>
        <w:t>E. Institutional Reporting and Benchmarking</w:t>
      </w:r>
    </w:p>
    <w:p>
      <w:pPr>
        <w:pStyle w:val="ListBullet"/>
        <w:spacing w:after="80" w:line="276" w:lineRule="auto"/>
      </w:pPr>
      <w:r>
        <w:rPr>
          <w:rFonts w:ascii="Cambria" w:hAnsi="Cambria"/>
          <w:b w:val="0"/>
          <w:i w:val="0"/>
          <w:sz w:val="22"/>
        </w:rPr>
        <w:t>Maintains comprehensive records of R&amp;D centre activities and output.</w:t>
      </w:r>
    </w:p>
    <w:p>
      <w:pPr>
        <w:pStyle w:val="ListBullet"/>
        <w:spacing w:after="80" w:line="276" w:lineRule="auto"/>
      </w:pPr>
      <w:r>
        <w:rPr>
          <w:rFonts w:ascii="Cambria" w:hAnsi="Cambria"/>
          <w:b w:val="0"/>
          <w:i w:val="0"/>
          <w:sz w:val="22"/>
        </w:rPr>
        <w:t>Provides data for NAAC, NBA, NIRF, and QS I-GAUGE submissions.</w:t>
      </w:r>
    </w:p>
    <w:p>
      <w:pPr>
        <w:pStyle w:val="ListBullet"/>
        <w:spacing w:after="80" w:line="276" w:lineRule="auto"/>
      </w:pPr>
      <w:r>
        <w:rPr>
          <w:rFonts w:ascii="Cambria" w:hAnsi="Cambria"/>
          <w:b w:val="0"/>
          <w:i w:val="0"/>
          <w:sz w:val="22"/>
        </w:rPr>
        <w:t>Benchmarks institutional research infrastructure against peer universities.</w:t>
      </w:r>
    </w:p>
    <w:p>
      <w:pPr>
        <w:pStyle w:val="Heading3"/>
      </w:pPr>
      <w:r>
        <w:rPr>
          <w:rFonts w:ascii="Cambria" w:hAnsi="Cambria"/>
          <w:b/>
          <w:color w:val="1F3A5F"/>
          <w:sz w:val="26"/>
        </w:rPr>
        <w:t>3. Strategic Impact</w:t>
      </w:r>
    </w:p>
    <w:p>
      <w:pPr>
        <w:pStyle w:val="ListBullet"/>
        <w:spacing w:after="80" w:line="276" w:lineRule="auto"/>
      </w:pPr>
      <w:r>
        <w:rPr>
          <w:rFonts w:ascii="Cambria" w:hAnsi="Cambria"/>
          <w:b/>
          <w:i w:val="0"/>
          <w:sz w:val="22"/>
        </w:rPr>
        <w:t xml:space="preserve">For Faculty/Researchers: </w:t>
      </w:r>
      <w:r>
        <w:rPr>
          <w:rFonts w:ascii="Cambria" w:hAnsi="Cambria"/>
          <w:b w:val="0"/>
          <w:i w:val="0"/>
          <w:sz w:val="22"/>
        </w:rPr>
        <w:t>Access to advanced research infrastructure and collaborative opportunities.</w:t>
      </w:r>
    </w:p>
    <w:p>
      <w:pPr>
        <w:pStyle w:val="ListBullet"/>
        <w:spacing w:after="80" w:line="276" w:lineRule="auto"/>
      </w:pPr>
      <w:r>
        <w:rPr>
          <w:rFonts w:ascii="Cambria" w:hAnsi="Cambria"/>
          <w:b/>
          <w:i w:val="0"/>
          <w:sz w:val="22"/>
        </w:rPr>
        <w:t xml:space="preserve">For Students: </w:t>
      </w:r>
      <w:r>
        <w:rPr>
          <w:rFonts w:ascii="Cambria" w:hAnsi="Cambria"/>
          <w:b w:val="0"/>
          <w:i w:val="0"/>
          <w:sz w:val="22"/>
        </w:rPr>
        <w:t>Exposure to frontier research areas and hands-on laboratory experience.</w:t>
      </w:r>
    </w:p>
    <w:p>
      <w:pPr>
        <w:pStyle w:val="ListBullet"/>
        <w:spacing w:after="80" w:line="276" w:lineRule="auto"/>
      </w:pPr>
      <w:r>
        <w:rPr>
          <w:rFonts w:ascii="Cambria" w:hAnsi="Cambria"/>
          <w:b/>
          <w:i w:val="0"/>
          <w:sz w:val="22"/>
        </w:rPr>
        <w:t xml:space="preserve">For Institution: </w:t>
      </w:r>
      <w:r>
        <w:rPr>
          <w:rFonts w:ascii="Cambria" w:hAnsi="Cambria"/>
          <w:b w:val="0"/>
          <w:i w:val="0"/>
          <w:sz w:val="22"/>
        </w:rPr>
        <w:t>Enhanced research capacity, funding opportunities, and global competitiveness.</w:t>
      </w:r>
    </w:p>
    <w:p>
      <w:pPr>
        <w:pStyle w:val="ListBullet"/>
        <w:spacing w:after="80" w:line="276" w:lineRule="auto"/>
      </w:pPr>
      <w:r>
        <w:rPr>
          <w:rFonts w:ascii="Cambria" w:hAnsi="Cambria"/>
          <w:b/>
          <w:i w:val="0"/>
          <w:sz w:val="22"/>
        </w:rPr>
        <w:t xml:space="preserve">For Society: </w:t>
      </w:r>
      <w:r>
        <w:rPr>
          <w:rFonts w:ascii="Cambria" w:hAnsi="Cambria"/>
          <w:b w:val="0"/>
          <w:i w:val="0"/>
          <w:sz w:val="22"/>
        </w:rPr>
        <w:t>Innovations addressing contemporary challenges in technology and sustainability.</w:t>
      </w:r>
    </w:p>
    <w:p>
      <w:pPr>
        <w:spacing w:after="80" w:line="276" w:lineRule="auto"/>
      </w:pPr>
      <w:r>
        <w:rPr>
          <w:rFonts w:ascii="Cambria" w:hAnsi="Cambria"/>
          <w:b/>
          <w:i w:val="0"/>
          <w:sz w:val="22"/>
        </w:rPr>
        <w:t>Custodianship Statement</w:t>
      </w:r>
    </w:p>
    <w:p>
      <w:pPr>
        <w:spacing w:after="200" w:line="276" w:lineRule="auto"/>
        <w:jc w:val="both"/>
      </w:pPr>
      <w:r>
        <w:rPr>
          <w:rFonts w:ascii="Cambria" w:hAnsi="Cambria"/>
          <w:b w:val="0"/>
          <w:i w:val="0"/>
          <w:sz w:val="22"/>
        </w:rPr>
        <w:t>As the custodian of R&amp;D centres, the Associate Dean ensures that the institution maintains cutting-edge research infrastructure</w:t>
      </w:r>
      <w:r>
        <w:rPr>
          <w:rFonts w:ascii="Cambria" w:hAnsi="Cambria"/>
          <w:b w:val="0"/>
          <w:i w:val="0"/>
          <w:sz w:val="22"/>
        </w:rPr>
        <w:t>—enabling frontier research and sustained innovation.</w:t>
      </w:r>
    </w:p>
    <w:p>
      <w:pPr>
        <w:pStyle w:val="Heading3"/>
      </w:pPr>
      <w:r>
        <w:rPr>
          <w:rFonts w:ascii="Cambria" w:hAnsi="Cambria"/>
          <w:b/>
          <w:color w:val="1F3A5F"/>
          <w:sz w:val="26"/>
        </w:rPr>
        <w:t>Responsibilities Matrix</w:t>
      </w:r>
    </w:p>
    <w:tbl>
      <w:tblPr>
        <w:tblStyle w:val="TableGrid"/>
        <w:tblW w:type="auto" w:w="0"/>
        <w:jc w:val="center"/>
        <w:tblLayout w:type="fixed"/>
        <w:tblLook w:firstColumn="1" w:firstRow="1" w:lastColumn="0" w:lastRow="0" w:noHBand="0" w:noVBand="1" w:val="04A0"/>
        <w:tblLayout w:type="fixed"/>
      </w:tblPr>
      <w:tblGrid>
        <w:gridCol w:w="2551"/>
        <w:gridCol w:w="4706"/>
        <w:gridCol w:w="2154"/>
      </w:tblGrid>
      <w:tr>
        <w:tc>
          <w:tcPr>
            <w:tcW w:type="dxa" w:w="2551"/>
            <w:shd w:val="clear" w:color="auto" w:fill="1F3A5F"/>
          </w:tcPr>
          <w:p>
            <w:pPr>
              <w:spacing w:after="40" w:line="240" w:lineRule="auto"/>
              <w:jc w:val="center"/>
            </w:pPr>
            <w:r/>
            <w:r>
              <w:rPr>
                <w:rFonts w:ascii="Cambria" w:hAnsi="Cambria"/>
                <w:b/>
                <w:color w:val="FFFFFF"/>
                <w:sz w:val="19"/>
              </w:rPr>
              <w:t>Category</w:t>
            </w:r>
          </w:p>
        </w:tc>
        <w:tc>
          <w:tcPr>
            <w:tcW w:type="dxa" w:w="4706"/>
            <w:shd w:val="clear" w:color="auto" w:fill="1F3A5F"/>
          </w:tcPr>
          <w:p>
            <w:pPr>
              <w:spacing w:after="40" w:line="240" w:lineRule="auto"/>
              <w:jc w:val="center"/>
            </w:pPr>
            <w:r/>
            <w:r>
              <w:rPr>
                <w:rFonts w:ascii="Cambria" w:hAnsi="Cambria"/>
                <w:b/>
                <w:color w:val="FFFFFF"/>
                <w:sz w:val="19"/>
              </w:rPr>
              <w:t>Key Duties &amp; Functions</w:t>
            </w:r>
          </w:p>
        </w:tc>
        <w:tc>
          <w:tcPr>
            <w:tcW w:type="dxa" w:w="2154"/>
            <w:shd w:val="clear" w:color="auto" w:fill="1F3A5F"/>
          </w:tcPr>
          <w:p>
            <w:pPr>
              <w:spacing w:after="40" w:line="240" w:lineRule="auto"/>
              <w:jc w:val="center"/>
            </w:pPr>
            <w:r/>
            <w:r>
              <w:rPr>
                <w:rFonts w:ascii="Cambria" w:hAnsi="Cambria"/>
                <w:b/>
                <w:color w:val="FFFFFF"/>
                <w:sz w:val="19"/>
              </w:rPr>
              <w:t>Impact on Institution</w:t>
            </w:r>
          </w:p>
        </w:tc>
      </w:tr>
      <w:tr>
        <w:tc>
          <w:tcPr>
            <w:tcW w:type="dxa" w:w="2551"/>
          </w:tcPr>
          <w:p>
            <w:pPr>
              <w:spacing w:after="40" w:line="240" w:lineRule="auto"/>
              <w:jc w:val="left"/>
            </w:pPr>
            <w:r/>
            <w:r>
              <w:rPr>
                <w:rFonts w:ascii="Cambria" w:hAnsi="Cambria"/>
                <w:b w:val="0"/>
                <w:sz w:val="17"/>
              </w:rPr>
              <w:t>Establishment &amp; Development</w:t>
            </w:r>
          </w:p>
        </w:tc>
        <w:tc>
          <w:tcPr>
            <w:tcW w:type="dxa" w:w="4706"/>
          </w:tcPr>
          <w:p>
            <w:pPr>
              <w:spacing w:after="40" w:line="240" w:lineRule="auto"/>
              <w:jc w:val="left"/>
            </w:pPr>
            <w:r/>
            <w:r>
              <w:rPr>
                <w:rFonts w:ascii="Cambria" w:hAnsi="Cambria"/>
                <w:b w:val="0"/>
                <w:sz w:val="17"/>
              </w:rPr>
              <w:t>Identifies emerging areas for new CoEs.</w:t>
            </w:r>
          </w:p>
          <w:p>
            <w:pPr>
              <w:spacing w:after="40" w:line="240" w:lineRule="auto"/>
              <w:jc w:val="left"/>
            </w:pPr>
            <w:r>
              <w:rPr>
                <w:rFonts w:ascii="Cambria" w:hAnsi="Cambria"/>
                <w:b w:val="0"/>
                <w:sz w:val="17"/>
              </w:rPr>
              <w:t>Develops proposals for research centres.</w:t>
            </w:r>
          </w:p>
          <w:p>
            <w:pPr>
              <w:spacing w:after="40" w:line="240" w:lineRule="auto"/>
              <w:jc w:val="left"/>
            </w:pPr>
            <w:r>
              <w:rPr>
                <w:rFonts w:ascii="Cambria" w:hAnsi="Cambria"/>
                <w:b w:val="0"/>
                <w:sz w:val="17"/>
              </w:rPr>
              <w:t>Coordinates infrastructure planning.</w:t>
            </w:r>
          </w:p>
        </w:tc>
        <w:tc>
          <w:tcPr>
            <w:tcW w:type="dxa" w:w="2154"/>
          </w:tcPr>
          <w:p>
            <w:pPr>
              <w:spacing w:after="40" w:line="240" w:lineRule="auto"/>
              <w:jc w:val="left"/>
            </w:pPr>
            <w:r/>
            <w:r>
              <w:rPr>
                <w:rFonts w:ascii="Cambria" w:hAnsi="Cambria"/>
                <w:b w:val="0"/>
                <w:sz w:val="17"/>
              </w:rPr>
              <w:t>Expanded research capacity and facilities.</w:t>
            </w:r>
          </w:p>
        </w:tc>
      </w:tr>
      <w:tr>
        <w:tc>
          <w:tcPr>
            <w:tcW w:type="dxa" w:w="2551"/>
            <w:shd w:val="clear" w:color="auto" w:fill="F2F2F2"/>
          </w:tcPr>
          <w:p>
            <w:pPr>
              <w:spacing w:after="40" w:line="240" w:lineRule="auto"/>
              <w:jc w:val="left"/>
            </w:pPr>
            <w:r/>
            <w:r>
              <w:rPr>
                <w:rFonts w:ascii="Cambria" w:hAnsi="Cambria"/>
                <w:b w:val="0"/>
                <w:sz w:val="17"/>
              </w:rPr>
              <w:t>Operational Management</w:t>
            </w:r>
          </w:p>
        </w:tc>
        <w:tc>
          <w:tcPr>
            <w:tcW w:type="dxa" w:w="4706"/>
            <w:shd w:val="clear" w:color="auto" w:fill="F2F2F2"/>
          </w:tcPr>
          <w:p>
            <w:pPr>
              <w:spacing w:after="40" w:line="240" w:lineRule="auto"/>
              <w:jc w:val="left"/>
            </w:pPr>
            <w:r/>
            <w:r>
              <w:rPr>
                <w:rFonts w:ascii="Cambria" w:hAnsi="Cambria"/>
                <w:b w:val="0"/>
                <w:sz w:val="17"/>
              </w:rPr>
              <w:t>Oversees functioning of R&amp;D centres.</w:t>
            </w:r>
          </w:p>
          <w:p>
            <w:pPr>
              <w:spacing w:after="40" w:line="240" w:lineRule="auto"/>
              <w:jc w:val="left"/>
            </w:pPr>
            <w:r>
              <w:rPr>
                <w:rFonts w:ascii="Cambria" w:hAnsi="Cambria"/>
                <w:b w:val="0"/>
                <w:sz w:val="17"/>
              </w:rPr>
              <w:t>Ensures facilities meet global standards.</w:t>
            </w:r>
          </w:p>
          <w:p>
            <w:pPr>
              <w:spacing w:after="40" w:line="240" w:lineRule="auto"/>
              <w:jc w:val="left"/>
            </w:pPr>
            <w:r>
              <w:rPr>
                <w:rFonts w:ascii="Cambria" w:hAnsi="Cambria"/>
                <w:b w:val="0"/>
                <w:sz w:val="17"/>
              </w:rPr>
              <w:t>Facilitates interdisciplinary collaboration.</w:t>
            </w:r>
          </w:p>
        </w:tc>
        <w:tc>
          <w:tcPr>
            <w:tcW w:type="dxa" w:w="2154"/>
            <w:shd w:val="clear" w:color="auto" w:fill="F2F2F2"/>
          </w:tcPr>
          <w:p>
            <w:pPr>
              <w:spacing w:after="40" w:line="240" w:lineRule="auto"/>
              <w:jc w:val="left"/>
            </w:pPr>
            <w:r/>
            <w:r>
              <w:rPr>
                <w:rFonts w:ascii="Cambria" w:hAnsi="Cambria"/>
                <w:b w:val="0"/>
                <w:sz w:val="17"/>
              </w:rPr>
              <w:t>Efficient, high-quality research operations.</w:t>
            </w:r>
          </w:p>
        </w:tc>
      </w:tr>
      <w:tr>
        <w:tc>
          <w:tcPr>
            <w:tcW w:type="dxa" w:w="2551"/>
          </w:tcPr>
          <w:p>
            <w:pPr>
              <w:spacing w:after="40" w:line="240" w:lineRule="auto"/>
              <w:jc w:val="left"/>
            </w:pPr>
            <w:r/>
            <w:r>
              <w:rPr>
                <w:rFonts w:ascii="Cambria" w:hAnsi="Cambria"/>
                <w:b w:val="0"/>
                <w:sz w:val="17"/>
              </w:rPr>
              <w:t>Funding &amp; Sustainability</w:t>
            </w:r>
          </w:p>
        </w:tc>
        <w:tc>
          <w:tcPr>
            <w:tcW w:type="dxa" w:w="4706"/>
          </w:tcPr>
          <w:p>
            <w:pPr>
              <w:spacing w:after="40" w:line="240" w:lineRule="auto"/>
              <w:jc w:val="left"/>
            </w:pPr>
            <w:r/>
            <w:r>
              <w:rPr>
                <w:rFonts w:ascii="Cambria" w:hAnsi="Cambria"/>
                <w:b w:val="0"/>
                <w:sz w:val="17"/>
              </w:rPr>
              <w:t>Attracts external funding and partnerships.</w:t>
            </w:r>
          </w:p>
          <w:p>
            <w:pPr>
              <w:spacing w:after="40" w:line="240" w:lineRule="auto"/>
              <w:jc w:val="left"/>
            </w:pPr>
            <w:r>
              <w:rPr>
                <w:rFonts w:ascii="Cambria" w:hAnsi="Cambria"/>
                <w:b w:val="0"/>
                <w:sz w:val="17"/>
              </w:rPr>
              <w:t>Supports infrastructure grant proposals.</w:t>
            </w:r>
          </w:p>
          <w:p>
            <w:pPr>
              <w:spacing w:after="40" w:line="240" w:lineRule="auto"/>
              <w:jc w:val="left"/>
            </w:pPr>
            <w:r>
              <w:rPr>
                <w:rFonts w:ascii="Cambria" w:hAnsi="Cambria"/>
                <w:b w:val="0"/>
                <w:sz w:val="17"/>
              </w:rPr>
              <w:t>Ensures financial sustainability.</w:t>
            </w:r>
          </w:p>
        </w:tc>
        <w:tc>
          <w:tcPr>
            <w:tcW w:type="dxa" w:w="2154"/>
          </w:tcPr>
          <w:p>
            <w:pPr>
              <w:spacing w:after="40" w:line="240" w:lineRule="auto"/>
              <w:jc w:val="left"/>
            </w:pPr>
            <w:r/>
            <w:r>
              <w:rPr>
                <w:rFonts w:ascii="Cambria" w:hAnsi="Cambria"/>
                <w:b w:val="0"/>
                <w:sz w:val="17"/>
              </w:rPr>
              <w:t>Long-term viability of research centres.</w:t>
            </w:r>
          </w:p>
        </w:tc>
      </w:tr>
      <w:tr>
        <w:tc>
          <w:tcPr>
            <w:tcW w:type="dxa" w:w="2551"/>
            <w:shd w:val="clear" w:color="auto" w:fill="F2F2F2"/>
          </w:tcPr>
          <w:p>
            <w:pPr>
              <w:spacing w:after="40" w:line="240" w:lineRule="auto"/>
              <w:jc w:val="left"/>
            </w:pPr>
            <w:r/>
            <w:r>
              <w:rPr>
                <w:rFonts w:ascii="Cambria" w:hAnsi="Cambria"/>
                <w:b w:val="0"/>
                <w:sz w:val="17"/>
              </w:rPr>
              <w:t>Talent &amp; Capacity Development</w:t>
            </w:r>
          </w:p>
        </w:tc>
        <w:tc>
          <w:tcPr>
            <w:tcW w:type="dxa" w:w="4706"/>
            <w:shd w:val="clear" w:color="auto" w:fill="F2F2F2"/>
          </w:tcPr>
          <w:p>
            <w:pPr>
              <w:spacing w:after="40" w:line="240" w:lineRule="auto"/>
              <w:jc w:val="left"/>
            </w:pPr>
            <w:r/>
            <w:r>
              <w:rPr>
                <w:rFonts w:ascii="Cambria" w:hAnsi="Cambria"/>
                <w:b w:val="0"/>
                <w:sz w:val="17"/>
              </w:rPr>
              <w:t>Facilitates access for faculty and students.</w:t>
            </w:r>
          </w:p>
          <w:p>
            <w:pPr>
              <w:spacing w:after="40" w:line="240" w:lineRule="auto"/>
              <w:jc w:val="left"/>
            </w:pPr>
            <w:r>
              <w:rPr>
                <w:rFonts w:ascii="Cambria" w:hAnsi="Cambria"/>
                <w:b w:val="0"/>
                <w:sz w:val="17"/>
              </w:rPr>
              <w:t>Organizes equipment training.</w:t>
            </w:r>
          </w:p>
          <w:p>
            <w:pPr>
              <w:spacing w:after="40" w:line="240" w:lineRule="auto"/>
              <w:jc w:val="left"/>
            </w:pPr>
            <w:r>
              <w:rPr>
                <w:rFonts w:ascii="Cambria" w:hAnsi="Cambria"/>
                <w:b w:val="0"/>
                <w:sz w:val="17"/>
              </w:rPr>
              <w:t>Encourages scholar participation.</w:t>
            </w:r>
          </w:p>
        </w:tc>
        <w:tc>
          <w:tcPr>
            <w:tcW w:type="dxa" w:w="2154"/>
            <w:shd w:val="clear" w:color="auto" w:fill="F2F2F2"/>
          </w:tcPr>
          <w:p>
            <w:pPr>
              <w:spacing w:after="40" w:line="240" w:lineRule="auto"/>
              <w:jc w:val="left"/>
            </w:pPr>
            <w:r/>
            <w:r>
              <w:rPr>
                <w:rFonts w:ascii="Cambria" w:hAnsi="Cambria"/>
                <w:b w:val="0"/>
                <w:sz w:val="17"/>
              </w:rPr>
              <w:t>Stronger research talent pipeline.</w:t>
            </w:r>
          </w:p>
        </w:tc>
      </w:tr>
      <w:tr>
        <w:tc>
          <w:tcPr>
            <w:tcW w:type="dxa" w:w="2551"/>
          </w:tcPr>
          <w:p>
            <w:pPr>
              <w:spacing w:after="40" w:line="240" w:lineRule="auto"/>
              <w:jc w:val="left"/>
            </w:pPr>
            <w:r/>
            <w:r>
              <w:rPr>
                <w:rFonts w:ascii="Cambria" w:hAnsi="Cambria"/>
                <w:b w:val="0"/>
                <w:sz w:val="17"/>
              </w:rPr>
              <w:t>Institutional Reporting</w:t>
            </w:r>
          </w:p>
        </w:tc>
        <w:tc>
          <w:tcPr>
            <w:tcW w:type="dxa" w:w="4706"/>
          </w:tcPr>
          <w:p>
            <w:pPr>
              <w:spacing w:after="40" w:line="240" w:lineRule="auto"/>
              <w:jc w:val="left"/>
            </w:pPr>
            <w:r/>
            <w:r>
              <w:rPr>
                <w:rFonts w:ascii="Cambria" w:hAnsi="Cambria"/>
                <w:b w:val="0"/>
                <w:sz w:val="17"/>
              </w:rPr>
              <w:t>Maintains centre activity records.</w:t>
            </w:r>
          </w:p>
          <w:p>
            <w:pPr>
              <w:spacing w:after="40" w:line="240" w:lineRule="auto"/>
              <w:jc w:val="left"/>
            </w:pPr>
            <w:r>
              <w:rPr>
                <w:rFonts w:ascii="Cambria" w:hAnsi="Cambria"/>
                <w:b w:val="0"/>
                <w:sz w:val="17"/>
              </w:rPr>
              <w:t>Supports NAAC, NBA, NIRF, QS I-GAUGE data.</w:t>
            </w:r>
          </w:p>
          <w:p>
            <w:pPr>
              <w:spacing w:after="40" w:line="240" w:lineRule="auto"/>
              <w:jc w:val="left"/>
            </w:pPr>
            <w:r>
              <w:rPr>
                <w:rFonts w:ascii="Cambria" w:hAnsi="Cambria"/>
                <w:b w:val="0"/>
                <w:sz w:val="17"/>
              </w:rPr>
              <w:t>Benchmarks research infrastructure.</w:t>
            </w:r>
          </w:p>
        </w:tc>
        <w:tc>
          <w:tcPr>
            <w:tcW w:type="dxa" w:w="2154"/>
          </w:tcPr>
          <w:p>
            <w:pPr>
              <w:spacing w:after="40" w:line="240" w:lineRule="auto"/>
              <w:jc w:val="left"/>
            </w:pPr>
            <w:r/>
            <w:r>
              <w:rPr>
                <w:rFonts w:ascii="Cambria" w:hAnsi="Cambria"/>
                <w:b w:val="0"/>
                <w:sz w:val="17"/>
              </w:rPr>
              <w:t>Stronger accreditation and ranking outcomes.</w:t>
            </w:r>
          </w:p>
        </w:tc>
      </w:tr>
    </w:tbl>
    <w:p>
      <w:pPr>
        <w:spacing w:after="40"/>
      </w:pPr>
    </w:p>
    <w:p>
      <w:r>
        <w:br w:type="page"/>
      </w:r>
    </w:p>
    <w:p>
      <w:pPr>
        <w:pStyle w:val="Heading1"/>
      </w:pPr>
      <w:r>
        <w:rPr>
          <w:rFonts w:ascii="Cambria" w:hAnsi="Cambria"/>
          <w:b/>
          <w:color w:val="1F3A5F"/>
          <w:sz w:val="36"/>
        </w:rPr>
        <w:t>11. Associate Dean – Ph.D. and Post-Doctoral Fellowship</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Ph.D. and Post-Doctoral Fellowship serves as the custodian of research talent development within the institution. This role ensures the quality, rigour, and integrity of doctoral and post-doctoral programs, nurturing the next generation of researchers and scholars. By strengthening supervision mechanisms, research training, and scholar mobility, the Associate Dean builds a robust pipeline of research talent for the institution and beyond.</w:t>
      </w:r>
    </w:p>
    <w:p>
      <w:pPr>
        <w:spacing w:after="160" w:line="276" w:lineRule="auto"/>
        <w:jc w:val="both"/>
      </w:pPr>
      <w:r>
        <w:rPr>
          <w:rFonts w:ascii="Cambria" w:hAnsi="Cambria"/>
          <w:b w:val="0"/>
          <w:i w:val="0"/>
          <w:sz w:val="22"/>
        </w:rPr>
        <w:t>This position involves overseeing admissions, coursework, and progress monitoring for doctoral scholars, while also facilitating post-doctoral fellowship opportunities and international exchange programs. The Associate Dean works to ensure that research training meets global standards and that scholars are well-equipped for academic and industry careers.</w:t>
      </w:r>
    </w:p>
    <w:p>
      <w:pPr>
        <w:pStyle w:val="Heading3"/>
      </w:pPr>
      <w:r>
        <w:rPr>
          <w:rFonts w:ascii="Cambria" w:hAnsi="Cambria"/>
          <w:b/>
          <w:color w:val="1F3A5F"/>
          <w:sz w:val="26"/>
        </w:rPr>
        <w:t>1. Position and Purpose</w:t>
      </w:r>
    </w:p>
    <w:p>
      <w:pPr>
        <w:spacing w:after="160" w:line="276" w:lineRule="auto"/>
        <w:jc w:val="both"/>
      </w:pPr>
      <w:r>
        <w:rPr>
          <w:rFonts w:ascii="Cambria" w:hAnsi="Cambria"/>
          <w:b w:val="0"/>
          <w:i w:val="0"/>
          <w:sz w:val="22"/>
        </w:rPr>
        <w:t xml:space="preserve">The Associate Dean </w:t>
      </w:r>
      <w:r>
        <w:rPr>
          <w:rFonts w:ascii="Cambria" w:hAnsi="Cambria"/>
          <w:b w:val="0"/>
          <w:i w:val="0"/>
          <w:sz w:val="22"/>
        </w:rPr>
        <w:t>– Ph.D. and Post-Doctoral Fellowship is responsible for overseeing the quality and governance of doctoral and post-doctoral programs, ensuring robust supervision, training, and mobility opportunities for research scholars.</w:t>
      </w:r>
    </w:p>
    <w:p>
      <w:pPr>
        <w:pStyle w:val="Heading3"/>
      </w:pPr>
      <w:r>
        <w:rPr>
          <w:rFonts w:ascii="Cambria" w:hAnsi="Cambria"/>
          <w:b/>
          <w:color w:val="1F3A5F"/>
          <w:sz w:val="26"/>
        </w:rPr>
        <w:t>2. Detailed Responsibilities</w:t>
      </w:r>
    </w:p>
    <w:p>
      <w:pPr>
        <w:pStyle w:val="Heading3"/>
      </w:pPr>
      <w:r>
        <w:rPr>
          <w:rFonts w:ascii="Cambria" w:hAnsi="Cambria"/>
          <w:b/>
          <w:color w:val="1F3A5F"/>
          <w:sz w:val="26"/>
        </w:rPr>
        <w:t>A. Admissions and Program Governance</w:t>
      </w:r>
    </w:p>
    <w:p>
      <w:pPr>
        <w:pStyle w:val="ListBullet"/>
        <w:spacing w:after="80" w:line="276" w:lineRule="auto"/>
      </w:pPr>
      <w:r>
        <w:rPr>
          <w:rFonts w:ascii="Cambria" w:hAnsi="Cambria"/>
          <w:b w:val="0"/>
          <w:i w:val="0"/>
          <w:sz w:val="22"/>
        </w:rPr>
        <w:t>Oversees transparent, merit-based admissions for Ph.D. and post-doctoral programs.</w:t>
      </w:r>
    </w:p>
    <w:p>
      <w:pPr>
        <w:pStyle w:val="ListBullet"/>
        <w:spacing w:after="80" w:line="276" w:lineRule="auto"/>
      </w:pPr>
      <w:r>
        <w:rPr>
          <w:rFonts w:ascii="Cambria" w:hAnsi="Cambria"/>
          <w:b w:val="0"/>
          <w:i w:val="0"/>
          <w:sz w:val="22"/>
        </w:rPr>
        <w:t>Ensures compliance with statutory and regulatory requirements (UGC, university norms).</w:t>
      </w:r>
    </w:p>
    <w:p>
      <w:pPr>
        <w:pStyle w:val="ListBullet"/>
        <w:spacing w:after="80" w:line="276" w:lineRule="auto"/>
      </w:pPr>
      <w:r>
        <w:rPr>
          <w:rFonts w:ascii="Cambria" w:hAnsi="Cambria"/>
          <w:b w:val="0"/>
          <w:i w:val="0"/>
          <w:sz w:val="22"/>
        </w:rPr>
        <w:t>Monitors coursework, comprehensive examinations, and progress reviews.</w:t>
      </w:r>
    </w:p>
    <w:p>
      <w:pPr>
        <w:pStyle w:val="Heading3"/>
      </w:pPr>
      <w:r>
        <w:rPr>
          <w:rFonts w:ascii="Cambria" w:hAnsi="Cambria"/>
          <w:b/>
          <w:color w:val="1F3A5F"/>
          <w:sz w:val="26"/>
        </w:rPr>
        <w:t>B. Supervision and Mentorship</w:t>
      </w:r>
    </w:p>
    <w:p>
      <w:pPr>
        <w:pStyle w:val="ListBullet"/>
        <w:spacing w:after="80" w:line="276" w:lineRule="auto"/>
      </w:pPr>
      <w:r>
        <w:rPr>
          <w:rFonts w:ascii="Cambria" w:hAnsi="Cambria"/>
          <w:b w:val="0"/>
          <w:i w:val="0"/>
          <w:sz w:val="22"/>
        </w:rPr>
        <w:t>Ensures quality supervision through qualified and research-active guides.</w:t>
      </w:r>
    </w:p>
    <w:p>
      <w:pPr>
        <w:pStyle w:val="ListBullet"/>
        <w:spacing w:after="80" w:line="276" w:lineRule="auto"/>
      </w:pPr>
      <w:r>
        <w:rPr>
          <w:rFonts w:ascii="Cambria" w:hAnsi="Cambria"/>
          <w:b w:val="0"/>
          <w:i w:val="0"/>
          <w:sz w:val="22"/>
        </w:rPr>
        <w:t>Facilitates mentorship programs pairing scholars with experienced researchers.</w:t>
      </w:r>
    </w:p>
    <w:p>
      <w:pPr>
        <w:pStyle w:val="ListBullet"/>
        <w:spacing w:after="80" w:line="276" w:lineRule="auto"/>
      </w:pPr>
      <w:r>
        <w:rPr>
          <w:rFonts w:ascii="Cambria" w:hAnsi="Cambria"/>
          <w:b w:val="0"/>
          <w:i w:val="0"/>
          <w:sz w:val="22"/>
        </w:rPr>
        <w:t>Resolves supervisory and academic concerns raised by scholars.</w:t>
      </w:r>
    </w:p>
    <w:p>
      <w:pPr>
        <w:pStyle w:val="Heading3"/>
      </w:pPr>
      <w:r>
        <w:rPr>
          <w:rFonts w:ascii="Cambria" w:hAnsi="Cambria"/>
          <w:b/>
          <w:color w:val="1F3A5F"/>
          <w:sz w:val="26"/>
        </w:rPr>
        <w:t>C. Research Training and Skill Development</w:t>
      </w:r>
    </w:p>
    <w:p>
      <w:pPr>
        <w:pStyle w:val="ListBullet"/>
        <w:spacing w:after="80" w:line="276" w:lineRule="auto"/>
      </w:pPr>
      <w:r>
        <w:rPr>
          <w:rFonts w:ascii="Cambria" w:hAnsi="Cambria"/>
          <w:b w:val="0"/>
          <w:i w:val="0"/>
          <w:sz w:val="22"/>
        </w:rPr>
        <w:t>Organizes training in research methodology, data analysis, and academic writing.</w:t>
      </w:r>
    </w:p>
    <w:p>
      <w:pPr>
        <w:pStyle w:val="ListBullet"/>
        <w:spacing w:after="80" w:line="276" w:lineRule="auto"/>
      </w:pPr>
      <w:r>
        <w:rPr>
          <w:rFonts w:ascii="Cambria" w:hAnsi="Cambria"/>
          <w:b w:val="0"/>
          <w:i w:val="0"/>
          <w:sz w:val="22"/>
        </w:rPr>
        <w:t>Builds awareness of research ethics, plagiarism, and publication standards.</w:t>
      </w:r>
    </w:p>
    <w:p>
      <w:pPr>
        <w:pStyle w:val="ListBullet"/>
        <w:spacing w:after="80" w:line="276" w:lineRule="auto"/>
      </w:pPr>
      <w:r>
        <w:rPr>
          <w:rFonts w:ascii="Cambria" w:hAnsi="Cambria"/>
          <w:b w:val="0"/>
          <w:i w:val="0"/>
          <w:sz w:val="22"/>
        </w:rPr>
        <w:t>Encourages scholar participation in conferences, workshops, and seminars.</w:t>
      </w:r>
    </w:p>
    <w:p>
      <w:pPr>
        <w:pStyle w:val="Heading3"/>
      </w:pPr>
      <w:r>
        <w:rPr>
          <w:rFonts w:ascii="Cambria" w:hAnsi="Cambria"/>
          <w:b/>
          <w:color w:val="1F3A5F"/>
          <w:sz w:val="26"/>
        </w:rPr>
        <w:t>D. Scholar Mobility and Fellowships</w:t>
      </w:r>
    </w:p>
    <w:p>
      <w:pPr>
        <w:pStyle w:val="ListBullet"/>
        <w:spacing w:after="80" w:line="276" w:lineRule="auto"/>
      </w:pPr>
      <w:r>
        <w:rPr>
          <w:rFonts w:ascii="Cambria" w:hAnsi="Cambria"/>
          <w:b w:val="0"/>
          <w:i w:val="0"/>
          <w:sz w:val="22"/>
        </w:rPr>
        <w:t>Facilitates international fellowships, exchange programs, and collaborative research visits.</w:t>
      </w:r>
    </w:p>
    <w:p>
      <w:pPr>
        <w:pStyle w:val="ListBullet"/>
        <w:spacing w:after="80" w:line="276" w:lineRule="auto"/>
      </w:pPr>
      <w:r>
        <w:rPr>
          <w:rFonts w:ascii="Cambria" w:hAnsi="Cambria"/>
          <w:b w:val="0"/>
          <w:i w:val="0"/>
          <w:sz w:val="22"/>
        </w:rPr>
        <w:t>Supports post-doctoral fellows in securing funding and research positions.</w:t>
      </w:r>
    </w:p>
    <w:p>
      <w:pPr>
        <w:pStyle w:val="ListBullet"/>
        <w:spacing w:after="80" w:line="276" w:lineRule="auto"/>
      </w:pPr>
      <w:r>
        <w:rPr>
          <w:rFonts w:ascii="Cambria" w:hAnsi="Cambria"/>
          <w:b w:val="0"/>
          <w:i w:val="0"/>
          <w:sz w:val="22"/>
        </w:rPr>
        <w:t>Builds partnerships with global universities for joint supervision opportunities.</w:t>
      </w:r>
    </w:p>
    <w:p>
      <w:pPr>
        <w:pStyle w:val="Heading3"/>
      </w:pPr>
      <w:r>
        <w:rPr>
          <w:rFonts w:ascii="Cambria" w:hAnsi="Cambria"/>
          <w:b/>
          <w:color w:val="1F3A5F"/>
          <w:sz w:val="26"/>
        </w:rPr>
        <w:t>E. Institutional Reporting and Benchmarking</w:t>
      </w:r>
    </w:p>
    <w:p>
      <w:pPr>
        <w:pStyle w:val="ListBullet"/>
        <w:spacing w:after="80" w:line="276" w:lineRule="auto"/>
      </w:pPr>
      <w:r>
        <w:rPr>
          <w:rFonts w:ascii="Cambria" w:hAnsi="Cambria"/>
          <w:b w:val="0"/>
          <w:i w:val="0"/>
          <w:sz w:val="22"/>
        </w:rPr>
        <w:t>Maintains comprehensive records of Ph.D. and post-doctoral scholars and outcomes.</w:t>
      </w:r>
    </w:p>
    <w:p>
      <w:pPr>
        <w:pStyle w:val="ListBullet"/>
        <w:spacing w:after="80" w:line="276" w:lineRule="auto"/>
      </w:pPr>
      <w:r>
        <w:rPr>
          <w:rFonts w:ascii="Cambria" w:hAnsi="Cambria"/>
          <w:b w:val="0"/>
          <w:i w:val="0"/>
          <w:sz w:val="22"/>
        </w:rPr>
        <w:t>Provides data for NAAC, NBA, NIRF, and QS I-GAUGE submissions.</w:t>
      </w:r>
    </w:p>
    <w:p>
      <w:pPr>
        <w:pStyle w:val="ListBullet"/>
        <w:spacing w:after="80" w:line="276" w:lineRule="auto"/>
      </w:pPr>
      <w:r>
        <w:rPr>
          <w:rFonts w:ascii="Cambria" w:hAnsi="Cambria"/>
          <w:b w:val="0"/>
          <w:i w:val="0"/>
          <w:sz w:val="22"/>
        </w:rPr>
        <w:t>Benchmarks institutional doctoral program quality against peer universities.</w:t>
      </w:r>
    </w:p>
    <w:p>
      <w:pPr>
        <w:pStyle w:val="Heading3"/>
      </w:pPr>
      <w:r>
        <w:rPr>
          <w:rFonts w:ascii="Cambria" w:hAnsi="Cambria"/>
          <w:b/>
          <w:color w:val="1F3A5F"/>
          <w:sz w:val="26"/>
        </w:rPr>
        <w:t>3. Strategic Impact</w:t>
      </w:r>
    </w:p>
    <w:p>
      <w:pPr>
        <w:pStyle w:val="ListBullet"/>
        <w:spacing w:after="80" w:line="276" w:lineRule="auto"/>
      </w:pPr>
      <w:r>
        <w:rPr>
          <w:rFonts w:ascii="Cambria" w:hAnsi="Cambria"/>
          <w:b/>
          <w:i w:val="0"/>
          <w:sz w:val="22"/>
        </w:rPr>
        <w:t xml:space="preserve">For Scholars: </w:t>
      </w:r>
      <w:r>
        <w:rPr>
          <w:rFonts w:ascii="Cambria" w:hAnsi="Cambria"/>
          <w:b w:val="0"/>
          <w:i w:val="0"/>
          <w:sz w:val="22"/>
        </w:rPr>
        <w:t>Quality supervision, training, and career development opportunities.</w:t>
      </w:r>
    </w:p>
    <w:p>
      <w:pPr>
        <w:pStyle w:val="ListBullet"/>
        <w:spacing w:after="80" w:line="276" w:lineRule="auto"/>
      </w:pPr>
      <w:r>
        <w:rPr>
          <w:rFonts w:ascii="Cambria" w:hAnsi="Cambria"/>
          <w:b/>
          <w:i w:val="0"/>
          <w:sz w:val="22"/>
        </w:rPr>
        <w:t xml:space="preserve">For Faculty: </w:t>
      </w:r>
      <w:r>
        <w:rPr>
          <w:rFonts w:ascii="Cambria" w:hAnsi="Cambria"/>
          <w:b w:val="0"/>
          <w:i w:val="0"/>
          <w:sz w:val="22"/>
        </w:rPr>
        <w:t>Opportunities to mentor and build research teams.</w:t>
      </w:r>
    </w:p>
    <w:p>
      <w:pPr>
        <w:pStyle w:val="ListBullet"/>
        <w:spacing w:after="80" w:line="276" w:lineRule="auto"/>
      </w:pPr>
      <w:r>
        <w:rPr>
          <w:rFonts w:ascii="Cambria" w:hAnsi="Cambria"/>
          <w:b/>
          <w:i w:val="0"/>
          <w:sz w:val="22"/>
        </w:rPr>
        <w:t xml:space="preserve">For Institution: </w:t>
      </w:r>
      <w:r>
        <w:rPr>
          <w:rFonts w:ascii="Cambria" w:hAnsi="Cambria"/>
          <w:b w:val="0"/>
          <w:i w:val="0"/>
          <w:sz w:val="22"/>
        </w:rPr>
        <w:t>Enhanced research output, reputation, and talent pipeline.</w:t>
      </w:r>
    </w:p>
    <w:p>
      <w:pPr>
        <w:pStyle w:val="ListBullet"/>
        <w:spacing w:after="80" w:line="276" w:lineRule="auto"/>
      </w:pPr>
      <w:r>
        <w:rPr>
          <w:rFonts w:ascii="Cambria" w:hAnsi="Cambria"/>
          <w:b/>
          <w:i w:val="0"/>
          <w:sz w:val="22"/>
        </w:rPr>
        <w:t xml:space="preserve">For Society: </w:t>
      </w:r>
      <w:r>
        <w:rPr>
          <w:rFonts w:ascii="Cambria" w:hAnsi="Cambria"/>
          <w:b w:val="0"/>
          <w:i w:val="0"/>
          <w:sz w:val="22"/>
        </w:rPr>
        <w:t>A steady supply of skilled researchers addressing emerging challenges.</w:t>
      </w:r>
    </w:p>
    <w:p>
      <w:pPr>
        <w:spacing w:after="80" w:line="276" w:lineRule="auto"/>
      </w:pPr>
      <w:r>
        <w:rPr>
          <w:rFonts w:ascii="Cambria" w:hAnsi="Cambria"/>
          <w:b/>
          <w:i w:val="0"/>
          <w:sz w:val="22"/>
        </w:rPr>
        <w:t>Custodianship Statement</w:t>
      </w:r>
    </w:p>
    <w:p>
      <w:pPr>
        <w:spacing w:after="200" w:line="276" w:lineRule="auto"/>
        <w:jc w:val="both"/>
      </w:pPr>
      <w:r>
        <w:rPr>
          <w:rFonts w:ascii="Cambria" w:hAnsi="Cambria"/>
          <w:b w:val="0"/>
          <w:i w:val="0"/>
          <w:sz w:val="22"/>
        </w:rPr>
        <w:t>As the custodian of Ph.D. and post-doctoral fellowship programs, the Associate Dean ensures that the institution nurtures high-quality research talent</w:t>
      </w:r>
      <w:r>
        <w:rPr>
          <w:rFonts w:ascii="Cambria" w:hAnsi="Cambria"/>
          <w:b w:val="0"/>
          <w:i w:val="0"/>
          <w:sz w:val="22"/>
        </w:rPr>
        <w:t>—securing its future as a research-intensive institution.</w:t>
      </w:r>
    </w:p>
    <w:p>
      <w:pPr>
        <w:pStyle w:val="Heading3"/>
      </w:pPr>
      <w:r>
        <w:rPr>
          <w:rFonts w:ascii="Cambria" w:hAnsi="Cambria"/>
          <w:b/>
          <w:color w:val="1F3A5F"/>
          <w:sz w:val="26"/>
        </w:rPr>
        <w:t>Responsibilities Matrix</w:t>
      </w:r>
    </w:p>
    <w:tbl>
      <w:tblPr>
        <w:tblStyle w:val="TableGrid"/>
        <w:tblW w:type="auto" w:w="0"/>
        <w:jc w:val="center"/>
        <w:tblLayout w:type="fixed"/>
        <w:tblLook w:firstColumn="1" w:firstRow="1" w:lastColumn="0" w:lastRow="0" w:noHBand="0" w:noVBand="1" w:val="04A0"/>
        <w:tblLayout w:type="fixed"/>
      </w:tblPr>
      <w:tblGrid>
        <w:gridCol w:w="2551"/>
        <w:gridCol w:w="4706"/>
        <w:gridCol w:w="2154"/>
      </w:tblGrid>
      <w:tr>
        <w:tc>
          <w:tcPr>
            <w:tcW w:type="dxa" w:w="2551"/>
            <w:shd w:val="clear" w:color="auto" w:fill="1F3A5F"/>
          </w:tcPr>
          <w:p>
            <w:pPr>
              <w:spacing w:after="40" w:line="240" w:lineRule="auto"/>
              <w:jc w:val="center"/>
            </w:pPr>
            <w:r/>
            <w:r>
              <w:rPr>
                <w:rFonts w:ascii="Cambria" w:hAnsi="Cambria"/>
                <w:b/>
                <w:color w:val="FFFFFF"/>
                <w:sz w:val="19"/>
              </w:rPr>
              <w:t>Category</w:t>
            </w:r>
          </w:p>
        </w:tc>
        <w:tc>
          <w:tcPr>
            <w:tcW w:type="dxa" w:w="4706"/>
            <w:shd w:val="clear" w:color="auto" w:fill="1F3A5F"/>
          </w:tcPr>
          <w:p>
            <w:pPr>
              <w:spacing w:after="40" w:line="240" w:lineRule="auto"/>
              <w:jc w:val="center"/>
            </w:pPr>
            <w:r/>
            <w:r>
              <w:rPr>
                <w:rFonts w:ascii="Cambria" w:hAnsi="Cambria"/>
                <w:b/>
                <w:color w:val="FFFFFF"/>
                <w:sz w:val="19"/>
              </w:rPr>
              <w:t>Key Duties &amp; Functions</w:t>
            </w:r>
          </w:p>
        </w:tc>
        <w:tc>
          <w:tcPr>
            <w:tcW w:type="dxa" w:w="2154"/>
            <w:shd w:val="clear" w:color="auto" w:fill="1F3A5F"/>
          </w:tcPr>
          <w:p>
            <w:pPr>
              <w:spacing w:after="40" w:line="240" w:lineRule="auto"/>
              <w:jc w:val="center"/>
            </w:pPr>
            <w:r/>
            <w:r>
              <w:rPr>
                <w:rFonts w:ascii="Cambria" w:hAnsi="Cambria"/>
                <w:b/>
                <w:color w:val="FFFFFF"/>
                <w:sz w:val="19"/>
              </w:rPr>
              <w:t>Impact on Institution</w:t>
            </w:r>
          </w:p>
        </w:tc>
      </w:tr>
      <w:tr>
        <w:tc>
          <w:tcPr>
            <w:tcW w:type="dxa" w:w="2551"/>
          </w:tcPr>
          <w:p>
            <w:pPr>
              <w:spacing w:after="40" w:line="240" w:lineRule="auto"/>
              <w:jc w:val="left"/>
            </w:pPr>
            <w:r/>
            <w:r>
              <w:rPr>
                <w:rFonts w:ascii="Cambria" w:hAnsi="Cambria"/>
                <w:b w:val="0"/>
                <w:sz w:val="17"/>
              </w:rPr>
              <w:t>Admissions &amp; Program Governance</w:t>
            </w:r>
          </w:p>
        </w:tc>
        <w:tc>
          <w:tcPr>
            <w:tcW w:type="dxa" w:w="4706"/>
          </w:tcPr>
          <w:p>
            <w:pPr>
              <w:spacing w:after="40" w:line="240" w:lineRule="auto"/>
              <w:jc w:val="left"/>
            </w:pPr>
            <w:r/>
            <w:r>
              <w:rPr>
                <w:rFonts w:ascii="Cambria" w:hAnsi="Cambria"/>
                <w:b w:val="0"/>
                <w:sz w:val="17"/>
              </w:rPr>
              <w:t>Oversees merit-based admissions.</w:t>
            </w:r>
          </w:p>
          <w:p>
            <w:pPr>
              <w:spacing w:after="40" w:line="240" w:lineRule="auto"/>
              <w:jc w:val="left"/>
            </w:pPr>
            <w:r>
              <w:rPr>
                <w:rFonts w:ascii="Cambria" w:hAnsi="Cambria"/>
                <w:b w:val="0"/>
                <w:sz w:val="17"/>
              </w:rPr>
              <w:t>Ensures regulatory compliance.</w:t>
            </w:r>
          </w:p>
          <w:p>
            <w:pPr>
              <w:spacing w:after="40" w:line="240" w:lineRule="auto"/>
              <w:jc w:val="left"/>
            </w:pPr>
            <w:r>
              <w:rPr>
                <w:rFonts w:ascii="Cambria" w:hAnsi="Cambria"/>
                <w:b w:val="0"/>
                <w:sz w:val="17"/>
              </w:rPr>
              <w:t>Monitors coursework and progress reviews.</w:t>
            </w:r>
          </w:p>
        </w:tc>
        <w:tc>
          <w:tcPr>
            <w:tcW w:type="dxa" w:w="2154"/>
          </w:tcPr>
          <w:p>
            <w:pPr>
              <w:spacing w:after="40" w:line="240" w:lineRule="auto"/>
              <w:jc w:val="left"/>
            </w:pPr>
            <w:r/>
            <w:r>
              <w:rPr>
                <w:rFonts w:ascii="Cambria" w:hAnsi="Cambria"/>
                <w:b w:val="0"/>
                <w:sz w:val="17"/>
              </w:rPr>
              <w:t>Transparent, high-quality doctoral programs.</w:t>
            </w:r>
          </w:p>
        </w:tc>
      </w:tr>
      <w:tr>
        <w:tc>
          <w:tcPr>
            <w:tcW w:type="dxa" w:w="2551"/>
            <w:shd w:val="clear" w:color="auto" w:fill="F2F2F2"/>
          </w:tcPr>
          <w:p>
            <w:pPr>
              <w:spacing w:after="40" w:line="240" w:lineRule="auto"/>
              <w:jc w:val="left"/>
            </w:pPr>
            <w:r/>
            <w:r>
              <w:rPr>
                <w:rFonts w:ascii="Cambria" w:hAnsi="Cambria"/>
                <w:b w:val="0"/>
                <w:sz w:val="17"/>
              </w:rPr>
              <w:t>Supervision &amp; Mentorship</w:t>
            </w:r>
          </w:p>
        </w:tc>
        <w:tc>
          <w:tcPr>
            <w:tcW w:type="dxa" w:w="4706"/>
            <w:shd w:val="clear" w:color="auto" w:fill="F2F2F2"/>
          </w:tcPr>
          <w:p>
            <w:pPr>
              <w:spacing w:after="40" w:line="240" w:lineRule="auto"/>
              <w:jc w:val="left"/>
            </w:pPr>
            <w:r/>
            <w:r>
              <w:rPr>
                <w:rFonts w:ascii="Cambria" w:hAnsi="Cambria"/>
                <w:b w:val="0"/>
                <w:sz w:val="17"/>
              </w:rPr>
              <w:t>Ensures quality supervision by guides.</w:t>
            </w:r>
          </w:p>
          <w:p>
            <w:pPr>
              <w:spacing w:after="40" w:line="240" w:lineRule="auto"/>
              <w:jc w:val="left"/>
            </w:pPr>
            <w:r>
              <w:rPr>
                <w:rFonts w:ascii="Cambria" w:hAnsi="Cambria"/>
                <w:b w:val="0"/>
                <w:sz w:val="17"/>
              </w:rPr>
              <w:t>Facilitates mentorship programs.</w:t>
            </w:r>
          </w:p>
          <w:p>
            <w:pPr>
              <w:spacing w:after="40" w:line="240" w:lineRule="auto"/>
              <w:jc w:val="left"/>
            </w:pPr>
            <w:r>
              <w:rPr>
                <w:rFonts w:ascii="Cambria" w:hAnsi="Cambria"/>
                <w:b w:val="0"/>
                <w:sz w:val="17"/>
              </w:rPr>
              <w:t>Resolves supervisory concerns.</w:t>
            </w:r>
          </w:p>
        </w:tc>
        <w:tc>
          <w:tcPr>
            <w:tcW w:type="dxa" w:w="2154"/>
            <w:shd w:val="clear" w:color="auto" w:fill="F2F2F2"/>
          </w:tcPr>
          <w:p>
            <w:pPr>
              <w:spacing w:after="40" w:line="240" w:lineRule="auto"/>
              <w:jc w:val="left"/>
            </w:pPr>
            <w:r/>
            <w:r>
              <w:rPr>
                <w:rFonts w:ascii="Cambria" w:hAnsi="Cambria"/>
                <w:b w:val="0"/>
                <w:sz w:val="17"/>
              </w:rPr>
              <w:t>Improved scholar satisfaction and outcomes.</w:t>
            </w:r>
          </w:p>
        </w:tc>
      </w:tr>
      <w:tr>
        <w:tc>
          <w:tcPr>
            <w:tcW w:type="dxa" w:w="2551"/>
          </w:tcPr>
          <w:p>
            <w:pPr>
              <w:spacing w:after="40" w:line="240" w:lineRule="auto"/>
              <w:jc w:val="left"/>
            </w:pPr>
            <w:r/>
            <w:r>
              <w:rPr>
                <w:rFonts w:ascii="Cambria" w:hAnsi="Cambria"/>
                <w:b w:val="0"/>
                <w:sz w:val="17"/>
              </w:rPr>
              <w:t>Research Training &amp; Skill Development</w:t>
            </w:r>
          </w:p>
        </w:tc>
        <w:tc>
          <w:tcPr>
            <w:tcW w:type="dxa" w:w="4706"/>
          </w:tcPr>
          <w:p>
            <w:pPr>
              <w:spacing w:after="40" w:line="240" w:lineRule="auto"/>
              <w:jc w:val="left"/>
            </w:pPr>
            <w:r/>
            <w:r>
              <w:rPr>
                <w:rFonts w:ascii="Cambria" w:hAnsi="Cambria"/>
                <w:b w:val="0"/>
                <w:sz w:val="17"/>
              </w:rPr>
              <w:t>Organizes methodology and writing training.</w:t>
            </w:r>
          </w:p>
          <w:p>
            <w:pPr>
              <w:spacing w:after="40" w:line="240" w:lineRule="auto"/>
              <w:jc w:val="left"/>
            </w:pPr>
            <w:r>
              <w:rPr>
                <w:rFonts w:ascii="Cambria" w:hAnsi="Cambria"/>
                <w:b w:val="0"/>
                <w:sz w:val="17"/>
              </w:rPr>
              <w:t>Builds research ethics awareness.</w:t>
            </w:r>
          </w:p>
          <w:p>
            <w:pPr>
              <w:spacing w:after="40" w:line="240" w:lineRule="auto"/>
              <w:jc w:val="left"/>
            </w:pPr>
            <w:r>
              <w:rPr>
                <w:rFonts w:ascii="Cambria" w:hAnsi="Cambria"/>
                <w:b w:val="0"/>
                <w:sz w:val="17"/>
              </w:rPr>
              <w:t>Encourages conference participation.</w:t>
            </w:r>
          </w:p>
        </w:tc>
        <w:tc>
          <w:tcPr>
            <w:tcW w:type="dxa" w:w="2154"/>
          </w:tcPr>
          <w:p>
            <w:pPr>
              <w:spacing w:after="40" w:line="240" w:lineRule="auto"/>
              <w:jc w:val="left"/>
            </w:pPr>
            <w:r/>
            <w:r>
              <w:rPr>
                <w:rFonts w:ascii="Cambria" w:hAnsi="Cambria"/>
                <w:b w:val="0"/>
                <w:sz w:val="17"/>
              </w:rPr>
              <w:t>Well-trained, ethically grounded researchers.</w:t>
            </w:r>
          </w:p>
        </w:tc>
      </w:tr>
      <w:tr>
        <w:tc>
          <w:tcPr>
            <w:tcW w:type="dxa" w:w="2551"/>
            <w:shd w:val="clear" w:color="auto" w:fill="F2F2F2"/>
          </w:tcPr>
          <w:p>
            <w:pPr>
              <w:spacing w:after="40" w:line="240" w:lineRule="auto"/>
              <w:jc w:val="left"/>
            </w:pPr>
            <w:r/>
            <w:r>
              <w:rPr>
                <w:rFonts w:ascii="Cambria" w:hAnsi="Cambria"/>
                <w:b w:val="0"/>
                <w:sz w:val="17"/>
              </w:rPr>
              <w:t>Scholar Mobility &amp; Fellowships</w:t>
            </w:r>
          </w:p>
        </w:tc>
        <w:tc>
          <w:tcPr>
            <w:tcW w:type="dxa" w:w="4706"/>
            <w:shd w:val="clear" w:color="auto" w:fill="F2F2F2"/>
          </w:tcPr>
          <w:p>
            <w:pPr>
              <w:spacing w:after="40" w:line="240" w:lineRule="auto"/>
              <w:jc w:val="left"/>
            </w:pPr>
            <w:r/>
            <w:r>
              <w:rPr>
                <w:rFonts w:ascii="Cambria" w:hAnsi="Cambria"/>
                <w:b w:val="0"/>
                <w:sz w:val="17"/>
              </w:rPr>
              <w:t>Facilitates international fellowships.</w:t>
            </w:r>
          </w:p>
          <w:p>
            <w:pPr>
              <w:spacing w:after="40" w:line="240" w:lineRule="auto"/>
              <w:jc w:val="left"/>
            </w:pPr>
            <w:r>
              <w:rPr>
                <w:rFonts w:ascii="Cambria" w:hAnsi="Cambria"/>
                <w:b w:val="0"/>
                <w:sz w:val="17"/>
              </w:rPr>
              <w:t>Supports post-doc funding and positions.</w:t>
            </w:r>
          </w:p>
          <w:p>
            <w:pPr>
              <w:spacing w:after="40" w:line="240" w:lineRule="auto"/>
              <w:jc w:val="left"/>
            </w:pPr>
            <w:r>
              <w:rPr>
                <w:rFonts w:ascii="Cambria" w:hAnsi="Cambria"/>
                <w:b w:val="0"/>
                <w:sz w:val="17"/>
              </w:rPr>
              <w:t>Builds joint supervision partnerships.</w:t>
            </w:r>
          </w:p>
        </w:tc>
        <w:tc>
          <w:tcPr>
            <w:tcW w:type="dxa" w:w="2154"/>
            <w:shd w:val="clear" w:color="auto" w:fill="F2F2F2"/>
          </w:tcPr>
          <w:p>
            <w:pPr>
              <w:spacing w:after="40" w:line="240" w:lineRule="auto"/>
              <w:jc w:val="left"/>
            </w:pPr>
            <w:r/>
            <w:r>
              <w:rPr>
                <w:rFonts w:ascii="Cambria" w:hAnsi="Cambria"/>
                <w:b w:val="0"/>
                <w:sz w:val="17"/>
              </w:rPr>
              <w:t>Global exposure and research collaboration.</w:t>
            </w:r>
          </w:p>
        </w:tc>
      </w:tr>
      <w:tr>
        <w:tc>
          <w:tcPr>
            <w:tcW w:type="dxa" w:w="2551"/>
          </w:tcPr>
          <w:p>
            <w:pPr>
              <w:spacing w:after="40" w:line="240" w:lineRule="auto"/>
              <w:jc w:val="left"/>
            </w:pPr>
            <w:r/>
            <w:r>
              <w:rPr>
                <w:rFonts w:ascii="Cambria" w:hAnsi="Cambria"/>
                <w:b w:val="0"/>
                <w:sz w:val="17"/>
              </w:rPr>
              <w:t>Institutional Reporting</w:t>
            </w:r>
          </w:p>
        </w:tc>
        <w:tc>
          <w:tcPr>
            <w:tcW w:type="dxa" w:w="4706"/>
          </w:tcPr>
          <w:p>
            <w:pPr>
              <w:spacing w:after="40" w:line="240" w:lineRule="auto"/>
              <w:jc w:val="left"/>
            </w:pPr>
            <w:r/>
            <w:r>
              <w:rPr>
                <w:rFonts w:ascii="Cambria" w:hAnsi="Cambria"/>
                <w:b w:val="0"/>
                <w:sz w:val="17"/>
              </w:rPr>
              <w:t>Maintains scholar and outcome records.</w:t>
            </w:r>
          </w:p>
          <w:p>
            <w:pPr>
              <w:spacing w:after="40" w:line="240" w:lineRule="auto"/>
              <w:jc w:val="left"/>
            </w:pPr>
            <w:r>
              <w:rPr>
                <w:rFonts w:ascii="Cambria" w:hAnsi="Cambria"/>
                <w:b w:val="0"/>
                <w:sz w:val="17"/>
              </w:rPr>
              <w:t>Supports NAAC, NBA, NIRF, QS I-GAUGE data.</w:t>
            </w:r>
          </w:p>
          <w:p>
            <w:pPr>
              <w:spacing w:after="40" w:line="240" w:lineRule="auto"/>
              <w:jc w:val="left"/>
            </w:pPr>
            <w:r>
              <w:rPr>
                <w:rFonts w:ascii="Cambria" w:hAnsi="Cambria"/>
                <w:b w:val="0"/>
                <w:sz w:val="17"/>
              </w:rPr>
              <w:t>Benchmarks doctoral program quality.</w:t>
            </w:r>
          </w:p>
        </w:tc>
        <w:tc>
          <w:tcPr>
            <w:tcW w:type="dxa" w:w="2154"/>
          </w:tcPr>
          <w:p>
            <w:pPr>
              <w:spacing w:after="40" w:line="240" w:lineRule="auto"/>
              <w:jc w:val="left"/>
            </w:pPr>
            <w:r/>
            <w:r>
              <w:rPr>
                <w:rFonts w:ascii="Cambria" w:hAnsi="Cambria"/>
                <w:b w:val="0"/>
                <w:sz w:val="17"/>
              </w:rPr>
              <w:t>Stronger accreditation and ranking outcomes.</w:t>
            </w:r>
          </w:p>
        </w:tc>
      </w:tr>
    </w:tbl>
    <w:p>
      <w:pPr>
        <w:spacing w:after="40"/>
      </w:pPr>
    </w:p>
    <w:p>
      <w:r>
        <w:br w:type="page"/>
      </w:r>
    </w:p>
    <w:p>
      <w:pPr>
        <w:pStyle w:val="Heading1"/>
      </w:pPr>
      <w:r>
        <w:rPr>
          <w:rFonts w:ascii="Cambria" w:hAnsi="Cambria"/>
          <w:b/>
          <w:color w:val="1F3A5F"/>
          <w:sz w:val="36"/>
        </w:rPr>
        <w:t>12. Duties of the Associate Dean – Ph.D. and Post-Doctoral Fellowship</w:t>
      </w:r>
    </w:p>
    <w:p>
      <w:pPr>
        <w:spacing w:after="160" w:line="276" w:lineRule="auto"/>
        <w:jc w:val="both"/>
      </w:pPr>
      <w:r>
        <w:rPr>
          <w:rFonts w:ascii="Cambria" w:hAnsi="Cambria"/>
          <w:b w:val="0"/>
          <w:i w:val="0"/>
          <w:sz w:val="22"/>
        </w:rPr>
        <w:t xml:space="preserve">The duties of the Associate Dean </w:t>
      </w:r>
      <w:r>
        <w:rPr>
          <w:rFonts w:ascii="Cambria" w:hAnsi="Cambria"/>
          <w:b w:val="0"/>
          <w:i w:val="0"/>
          <w:sz w:val="22"/>
        </w:rPr>
        <w:t>– Ph.D. and Post-Doctoral Fellowship are organized around two complementary pillars: governance of doctoral (Ph.D.) programs and stewardship of post-doctoral fellowships. While both pillars share the common goal of nurturing research talent, each has distinct processes, expectations, and outcomes that require focused attention.</w:t>
      </w:r>
    </w:p>
    <w:p>
      <w:pPr>
        <w:pStyle w:val="Heading2"/>
      </w:pPr>
      <w:r>
        <w:rPr>
          <w:rFonts w:ascii="Cambria" w:hAnsi="Cambria"/>
          <w:b/>
          <w:color w:val="1F3A5F"/>
          <w:sz w:val="30"/>
        </w:rPr>
        <w:t>I. Duties Related to Ph.D. Programs</w:t>
      </w:r>
    </w:p>
    <w:p>
      <w:pPr>
        <w:pStyle w:val="ListNumber"/>
        <w:spacing w:after="80" w:line="276" w:lineRule="auto"/>
      </w:pPr>
      <w:r>
        <w:rPr>
          <w:rFonts w:ascii="Cambria" w:hAnsi="Cambria"/>
          <w:b w:val="0"/>
          <w:i w:val="0"/>
          <w:sz w:val="22"/>
        </w:rPr>
        <w:t>Oversee transparent and merit-based admissions for doctoral programs.</w:t>
      </w:r>
    </w:p>
    <w:p>
      <w:pPr>
        <w:pStyle w:val="ListNumber"/>
        <w:spacing w:after="80" w:line="276" w:lineRule="auto"/>
      </w:pPr>
      <w:r>
        <w:rPr>
          <w:rFonts w:ascii="Cambria" w:hAnsi="Cambria"/>
          <w:b w:val="0"/>
          <w:i w:val="0"/>
          <w:sz w:val="22"/>
        </w:rPr>
        <w:t>Ensure compliance with UGC and university regulations governing Ph.D. programs.</w:t>
      </w:r>
    </w:p>
    <w:p>
      <w:pPr>
        <w:pStyle w:val="ListNumber"/>
        <w:spacing w:after="80" w:line="276" w:lineRule="auto"/>
      </w:pPr>
      <w:r>
        <w:rPr>
          <w:rFonts w:ascii="Cambria" w:hAnsi="Cambria"/>
          <w:b w:val="0"/>
          <w:i w:val="0"/>
          <w:sz w:val="22"/>
        </w:rPr>
        <w:t>Monitor coursework completion, comprehensive examinations, and progress reviews.</w:t>
      </w:r>
    </w:p>
    <w:p>
      <w:pPr>
        <w:pStyle w:val="ListNumber"/>
        <w:spacing w:after="80" w:line="276" w:lineRule="auto"/>
      </w:pPr>
      <w:r>
        <w:rPr>
          <w:rFonts w:ascii="Cambria" w:hAnsi="Cambria"/>
          <w:b w:val="0"/>
          <w:i w:val="0"/>
          <w:sz w:val="22"/>
        </w:rPr>
        <w:t>Ensure availability of qualified and research-active supervisors.</w:t>
      </w:r>
    </w:p>
    <w:p>
      <w:pPr>
        <w:pStyle w:val="ListNumber"/>
        <w:spacing w:after="80" w:line="276" w:lineRule="auto"/>
      </w:pPr>
      <w:r>
        <w:rPr>
          <w:rFonts w:ascii="Cambria" w:hAnsi="Cambria"/>
          <w:b w:val="0"/>
          <w:i w:val="0"/>
          <w:sz w:val="22"/>
        </w:rPr>
        <w:t>Facilitate resolution of supervisory and academic concerns raised by scholars.</w:t>
      </w:r>
    </w:p>
    <w:p>
      <w:pPr>
        <w:pStyle w:val="ListNumber"/>
        <w:spacing w:after="80" w:line="276" w:lineRule="auto"/>
      </w:pPr>
      <w:r>
        <w:rPr>
          <w:rFonts w:ascii="Cambria" w:hAnsi="Cambria"/>
          <w:b w:val="0"/>
          <w:i w:val="0"/>
          <w:sz w:val="22"/>
        </w:rPr>
        <w:t>Organize training in research methodology, data analysis, and academic writing.</w:t>
      </w:r>
    </w:p>
    <w:p>
      <w:pPr>
        <w:pStyle w:val="ListNumber"/>
        <w:spacing w:after="80" w:line="276" w:lineRule="auto"/>
      </w:pPr>
      <w:r>
        <w:rPr>
          <w:rFonts w:ascii="Cambria" w:hAnsi="Cambria"/>
          <w:b w:val="0"/>
          <w:i w:val="0"/>
          <w:sz w:val="22"/>
        </w:rPr>
        <w:t>Promote awareness of research ethics and publication standards among scholars.</w:t>
      </w:r>
    </w:p>
    <w:p>
      <w:pPr>
        <w:pStyle w:val="ListNumber"/>
        <w:spacing w:after="80" w:line="276" w:lineRule="auto"/>
      </w:pPr>
      <w:r>
        <w:rPr>
          <w:rFonts w:ascii="Cambria" w:hAnsi="Cambria"/>
          <w:b w:val="0"/>
          <w:i w:val="0"/>
          <w:sz w:val="22"/>
        </w:rPr>
        <w:t>Encourage scholar participation in conferences, seminars, and workshops.</w:t>
      </w:r>
    </w:p>
    <w:p>
      <w:pPr>
        <w:pStyle w:val="ListNumber"/>
        <w:spacing w:after="80" w:line="276" w:lineRule="auto"/>
      </w:pPr>
      <w:r>
        <w:rPr>
          <w:rFonts w:ascii="Cambria" w:hAnsi="Cambria"/>
          <w:b w:val="0"/>
          <w:i w:val="0"/>
          <w:sz w:val="22"/>
        </w:rPr>
        <w:t>Facilitate pre-submission seminars and thesis evaluation processes.</w:t>
      </w:r>
    </w:p>
    <w:p>
      <w:pPr>
        <w:pStyle w:val="Heading2"/>
      </w:pPr>
      <w:r>
        <w:rPr>
          <w:rFonts w:ascii="Cambria" w:hAnsi="Cambria"/>
          <w:b/>
          <w:color w:val="1F3A5F"/>
          <w:sz w:val="30"/>
        </w:rPr>
        <w:t>II. Duties Related to Post-Doctoral Fellowships</w:t>
      </w:r>
    </w:p>
    <w:p>
      <w:pPr>
        <w:pStyle w:val="ListNumber"/>
        <w:spacing w:after="80" w:line="276" w:lineRule="auto"/>
      </w:pPr>
      <w:r>
        <w:rPr>
          <w:rFonts w:ascii="Cambria" w:hAnsi="Cambria"/>
          <w:b w:val="0"/>
          <w:i w:val="0"/>
          <w:sz w:val="22"/>
        </w:rPr>
        <w:t>Facilitate recruitment and onboarding of post-doctoral fellows.</w:t>
      </w:r>
    </w:p>
    <w:p>
      <w:pPr>
        <w:pStyle w:val="ListNumber"/>
        <w:spacing w:after="80" w:line="276" w:lineRule="auto"/>
      </w:pPr>
      <w:r>
        <w:rPr>
          <w:rFonts w:ascii="Cambria" w:hAnsi="Cambria"/>
          <w:b w:val="0"/>
          <w:i w:val="0"/>
          <w:sz w:val="22"/>
        </w:rPr>
        <w:t>Support post-doctoral fellows in securing external funding and fellowships.</w:t>
      </w:r>
    </w:p>
    <w:p>
      <w:pPr>
        <w:pStyle w:val="ListNumber"/>
        <w:spacing w:after="80" w:line="276" w:lineRule="auto"/>
      </w:pPr>
      <w:r>
        <w:rPr>
          <w:rFonts w:ascii="Cambria" w:hAnsi="Cambria"/>
          <w:b w:val="0"/>
          <w:i w:val="0"/>
          <w:sz w:val="22"/>
        </w:rPr>
        <w:t>Facilitate access to mentorship from senior faculty and research groups.</w:t>
      </w:r>
    </w:p>
    <w:p>
      <w:pPr>
        <w:pStyle w:val="ListNumber"/>
        <w:spacing w:after="80" w:line="276" w:lineRule="auto"/>
      </w:pPr>
      <w:r>
        <w:rPr>
          <w:rFonts w:ascii="Cambria" w:hAnsi="Cambria"/>
          <w:b w:val="0"/>
          <w:i w:val="0"/>
          <w:sz w:val="22"/>
        </w:rPr>
        <w:t>Promote international exchange and collaborative research opportunities.</w:t>
      </w:r>
    </w:p>
    <w:p>
      <w:pPr>
        <w:pStyle w:val="ListNumber"/>
        <w:spacing w:after="80" w:line="276" w:lineRule="auto"/>
      </w:pPr>
      <w:r>
        <w:rPr>
          <w:rFonts w:ascii="Cambria" w:hAnsi="Cambria"/>
          <w:b w:val="0"/>
          <w:i w:val="0"/>
          <w:sz w:val="22"/>
        </w:rPr>
        <w:t>Monitor research output and progress of post-doctoral fellows.</w:t>
      </w:r>
    </w:p>
    <w:p>
      <w:pPr>
        <w:pStyle w:val="ListNumber"/>
        <w:spacing w:after="80" w:line="276" w:lineRule="auto"/>
      </w:pPr>
      <w:r>
        <w:rPr>
          <w:rFonts w:ascii="Cambria" w:hAnsi="Cambria"/>
          <w:b w:val="0"/>
          <w:i w:val="0"/>
          <w:sz w:val="22"/>
        </w:rPr>
        <w:t>Support post-doctoral fellows in transitioning to academic or industry careers.</w:t>
      </w:r>
    </w:p>
    <w:p>
      <w:pPr>
        <w:pStyle w:val="ListNumber"/>
        <w:spacing w:after="80" w:line="276" w:lineRule="auto"/>
      </w:pPr>
      <w:r>
        <w:rPr>
          <w:rFonts w:ascii="Cambria" w:hAnsi="Cambria"/>
          <w:b w:val="0"/>
          <w:i w:val="0"/>
          <w:sz w:val="22"/>
        </w:rPr>
        <w:t>Facilitate joint supervision arrangements with global university partners.</w:t>
      </w:r>
    </w:p>
    <w:p>
      <w:r>
        <w:br w:type="page"/>
      </w:r>
    </w:p>
    <w:p>
      <w:pPr>
        <w:pStyle w:val="Heading3"/>
      </w:pPr>
      <w:r>
        <w:rPr>
          <w:rFonts w:ascii="Cambria" w:hAnsi="Cambria"/>
          <w:b/>
          <w:color w:val="1F3A5F"/>
          <w:sz w:val="26"/>
        </w:rPr>
        <w:t>Responsibilities Matrix</w:t>
      </w:r>
    </w:p>
    <w:tbl>
      <w:tblPr>
        <w:tblStyle w:val="TableGrid"/>
        <w:tblW w:type="auto" w:w="0"/>
        <w:jc w:val="center"/>
        <w:tblLayout w:type="fixed"/>
        <w:tblLook w:firstColumn="1" w:firstRow="1" w:lastColumn="0" w:lastRow="0" w:noHBand="0" w:noVBand="1" w:val="04A0"/>
        <w:tblLayout w:type="fixed"/>
      </w:tblPr>
      <w:tblGrid>
        <w:gridCol w:w="2551"/>
        <w:gridCol w:w="4706"/>
        <w:gridCol w:w="2154"/>
      </w:tblGrid>
      <w:tr>
        <w:tc>
          <w:tcPr>
            <w:tcW w:type="dxa" w:w="2551"/>
            <w:shd w:val="clear" w:color="auto" w:fill="1F3A5F"/>
          </w:tcPr>
          <w:p>
            <w:pPr>
              <w:spacing w:after="40" w:line="240" w:lineRule="auto"/>
              <w:jc w:val="center"/>
            </w:pPr>
            <w:r/>
            <w:r>
              <w:rPr>
                <w:rFonts w:ascii="Cambria" w:hAnsi="Cambria"/>
                <w:b/>
                <w:color w:val="FFFFFF"/>
                <w:sz w:val="19"/>
              </w:rPr>
              <w:t>Domain</w:t>
            </w:r>
          </w:p>
        </w:tc>
        <w:tc>
          <w:tcPr>
            <w:tcW w:type="dxa" w:w="4706"/>
            <w:shd w:val="clear" w:color="auto" w:fill="1F3A5F"/>
          </w:tcPr>
          <w:p>
            <w:pPr>
              <w:spacing w:after="40" w:line="240" w:lineRule="auto"/>
              <w:jc w:val="center"/>
            </w:pPr>
            <w:r/>
            <w:r>
              <w:rPr>
                <w:rFonts w:ascii="Cambria" w:hAnsi="Cambria"/>
                <w:b/>
                <w:color w:val="FFFFFF"/>
                <w:sz w:val="19"/>
              </w:rPr>
              <w:t>Key Duties &amp; Functions</w:t>
            </w:r>
          </w:p>
        </w:tc>
        <w:tc>
          <w:tcPr>
            <w:tcW w:type="dxa" w:w="2154"/>
            <w:shd w:val="clear" w:color="auto" w:fill="1F3A5F"/>
          </w:tcPr>
          <w:p>
            <w:pPr>
              <w:spacing w:after="40" w:line="240" w:lineRule="auto"/>
              <w:jc w:val="center"/>
            </w:pPr>
            <w:r/>
            <w:r>
              <w:rPr>
                <w:rFonts w:ascii="Cambria" w:hAnsi="Cambria"/>
                <w:b/>
                <w:color w:val="FFFFFF"/>
                <w:sz w:val="19"/>
              </w:rPr>
              <w:t>Impact on Institution</w:t>
            </w:r>
          </w:p>
        </w:tc>
      </w:tr>
      <w:tr>
        <w:tc>
          <w:tcPr>
            <w:tcW w:type="dxa" w:w="2551"/>
          </w:tcPr>
          <w:p>
            <w:pPr>
              <w:spacing w:after="40" w:line="240" w:lineRule="auto"/>
              <w:jc w:val="left"/>
            </w:pPr>
            <w:r/>
            <w:r>
              <w:rPr>
                <w:rFonts w:ascii="Cambria" w:hAnsi="Cambria"/>
                <w:b w:val="0"/>
                <w:sz w:val="17"/>
              </w:rPr>
              <w:t>Ph.D. Program Governance</w:t>
            </w:r>
          </w:p>
        </w:tc>
        <w:tc>
          <w:tcPr>
            <w:tcW w:type="dxa" w:w="4706"/>
          </w:tcPr>
          <w:p>
            <w:pPr>
              <w:spacing w:after="40" w:line="240" w:lineRule="auto"/>
              <w:jc w:val="left"/>
            </w:pPr>
            <w:r/>
            <w:r>
              <w:rPr>
                <w:rFonts w:ascii="Cambria" w:hAnsi="Cambria"/>
                <w:b w:val="0"/>
                <w:sz w:val="17"/>
              </w:rPr>
              <w:t>Oversees merit-based doctoral admissions.</w:t>
            </w:r>
          </w:p>
          <w:p>
            <w:pPr>
              <w:spacing w:after="40" w:line="240" w:lineRule="auto"/>
              <w:jc w:val="left"/>
            </w:pPr>
            <w:r>
              <w:rPr>
                <w:rFonts w:ascii="Cambria" w:hAnsi="Cambria"/>
                <w:b w:val="0"/>
                <w:sz w:val="17"/>
              </w:rPr>
              <w:t>Ensures UGC and university compliance.</w:t>
            </w:r>
          </w:p>
          <w:p>
            <w:pPr>
              <w:spacing w:after="40" w:line="240" w:lineRule="auto"/>
              <w:jc w:val="left"/>
            </w:pPr>
            <w:r>
              <w:rPr>
                <w:rFonts w:ascii="Cambria" w:hAnsi="Cambria"/>
                <w:b w:val="0"/>
                <w:sz w:val="17"/>
              </w:rPr>
              <w:t>Monitors coursework and progress reviews.</w:t>
            </w:r>
          </w:p>
        </w:tc>
        <w:tc>
          <w:tcPr>
            <w:tcW w:type="dxa" w:w="2154"/>
          </w:tcPr>
          <w:p>
            <w:pPr>
              <w:spacing w:after="40" w:line="240" w:lineRule="auto"/>
              <w:jc w:val="left"/>
            </w:pPr>
            <w:r/>
            <w:r>
              <w:rPr>
                <w:rFonts w:ascii="Cambria" w:hAnsi="Cambria"/>
                <w:b w:val="0"/>
                <w:sz w:val="17"/>
              </w:rPr>
              <w:t>Transparent, high-quality doctoral programs.</w:t>
            </w:r>
          </w:p>
        </w:tc>
      </w:tr>
      <w:tr>
        <w:tc>
          <w:tcPr>
            <w:tcW w:type="dxa" w:w="2551"/>
            <w:shd w:val="clear" w:color="auto" w:fill="F2F2F2"/>
          </w:tcPr>
          <w:p>
            <w:pPr>
              <w:spacing w:after="40" w:line="240" w:lineRule="auto"/>
              <w:jc w:val="left"/>
            </w:pPr>
            <w:r/>
            <w:r>
              <w:rPr>
                <w:rFonts w:ascii="Cambria" w:hAnsi="Cambria"/>
                <w:b w:val="0"/>
                <w:sz w:val="17"/>
              </w:rPr>
              <w:t>Ph.D. Supervision &amp; Training</w:t>
            </w:r>
          </w:p>
        </w:tc>
        <w:tc>
          <w:tcPr>
            <w:tcW w:type="dxa" w:w="4706"/>
            <w:shd w:val="clear" w:color="auto" w:fill="F2F2F2"/>
          </w:tcPr>
          <w:p>
            <w:pPr>
              <w:spacing w:after="40" w:line="240" w:lineRule="auto"/>
              <w:jc w:val="left"/>
            </w:pPr>
            <w:r/>
            <w:r>
              <w:rPr>
                <w:rFonts w:ascii="Cambria" w:hAnsi="Cambria"/>
                <w:b w:val="0"/>
                <w:sz w:val="17"/>
              </w:rPr>
              <w:t>Ensures quality supervision by guides.</w:t>
            </w:r>
          </w:p>
          <w:p>
            <w:pPr>
              <w:spacing w:after="40" w:line="240" w:lineRule="auto"/>
              <w:jc w:val="left"/>
            </w:pPr>
            <w:r>
              <w:rPr>
                <w:rFonts w:ascii="Cambria" w:hAnsi="Cambria"/>
                <w:b w:val="0"/>
                <w:sz w:val="17"/>
              </w:rPr>
              <w:t>Organizes methodology and writing training.</w:t>
            </w:r>
          </w:p>
          <w:p>
            <w:pPr>
              <w:spacing w:after="40" w:line="240" w:lineRule="auto"/>
              <w:jc w:val="left"/>
            </w:pPr>
            <w:r>
              <w:rPr>
                <w:rFonts w:ascii="Cambria" w:hAnsi="Cambria"/>
                <w:b w:val="0"/>
                <w:sz w:val="17"/>
              </w:rPr>
              <w:t>Promotes research ethics awareness.</w:t>
            </w:r>
          </w:p>
        </w:tc>
        <w:tc>
          <w:tcPr>
            <w:tcW w:type="dxa" w:w="2154"/>
            <w:shd w:val="clear" w:color="auto" w:fill="F2F2F2"/>
          </w:tcPr>
          <w:p>
            <w:pPr>
              <w:spacing w:after="40" w:line="240" w:lineRule="auto"/>
              <w:jc w:val="left"/>
            </w:pPr>
            <w:r/>
            <w:r>
              <w:rPr>
                <w:rFonts w:ascii="Cambria" w:hAnsi="Cambria"/>
                <w:b w:val="0"/>
                <w:sz w:val="17"/>
              </w:rPr>
              <w:t>Well-trained, ethically grounded scholars.</w:t>
            </w:r>
          </w:p>
        </w:tc>
      </w:tr>
      <w:tr>
        <w:tc>
          <w:tcPr>
            <w:tcW w:type="dxa" w:w="2551"/>
          </w:tcPr>
          <w:p>
            <w:pPr>
              <w:spacing w:after="40" w:line="240" w:lineRule="auto"/>
              <w:jc w:val="left"/>
            </w:pPr>
            <w:r/>
            <w:r>
              <w:rPr>
                <w:rFonts w:ascii="Cambria" w:hAnsi="Cambria"/>
                <w:b w:val="0"/>
                <w:sz w:val="17"/>
              </w:rPr>
              <w:t>Post-Doctoral Recruitment &amp; Support</w:t>
            </w:r>
          </w:p>
        </w:tc>
        <w:tc>
          <w:tcPr>
            <w:tcW w:type="dxa" w:w="4706"/>
          </w:tcPr>
          <w:p>
            <w:pPr>
              <w:spacing w:after="40" w:line="240" w:lineRule="auto"/>
              <w:jc w:val="left"/>
            </w:pPr>
            <w:r/>
            <w:r>
              <w:rPr>
                <w:rFonts w:ascii="Cambria" w:hAnsi="Cambria"/>
                <w:b w:val="0"/>
                <w:sz w:val="17"/>
              </w:rPr>
              <w:t>Facilitates recruitment of post-doc fellows.</w:t>
            </w:r>
          </w:p>
          <w:p>
            <w:pPr>
              <w:spacing w:after="40" w:line="240" w:lineRule="auto"/>
              <w:jc w:val="left"/>
            </w:pPr>
            <w:r>
              <w:rPr>
                <w:rFonts w:ascii="Cambria" w:hAnsi="Cambria"/>
                <w:b w:val="0"/>
                <w:sz w:val="17"/>
              </w:rPr>
              <w:t>Supports funding and fellowship applications.</w:t>
            </w:r>
          </w:p>
          <w:p>
            <w:pPr>
              <w:spacing w:after="40" w:line="240" w:lineRule="auto"/>
              <w:jc w:val="left"/>
            </w:pPr>
            <w:r>
              <w:rPr>
                <w:rFonts w:ascii="Cambria" w:hAnsi="Cambria"/>
                <w:b w:val="0"/>
                <w:sz w:val="17"/>
              </w:rPr>
              <w:t>Facilitates mentorship from senior faculty.</w:t>
            </w:r>
          </w:p>
        </w:tc>
        <w:tc>
          <w:tcPr>
            <w:tcW w:type="dxa" w:w="2154"/>
          </w:tcPr>
          <w:p>
            <w:pPr>
              <w:spacing w:after="40" w:line="240" w:lineRule="auto"/>
              <w:jc w:val="left"/>
            </w:pPr>
            <w:r/>
            <w:r>
              <w:rPr>
                <w:rFonts w:ascii="Cambria" w:hAnsi="Cambria"/>
                <w:b w:val="0"/>
                <w:sz w:val="17"/>
              </w:rPr>
              <w:t>Strengthened post-doctoral research pipeline.</w:t>
            </w:r>
          </w:p>
        </w:tc>
      </w:tr>
      <w:tr>
        <w:tc>
          <w:tcPr>
            <w:tcW w:type="dxa" w:w="2551"/>
            <w:shd w:val="clear" w:color="auto" w:fill="F2F2F2"/>
          </w:tcPr>
          <w:p>
            <w:pPr>
              <w:spacing w:after="40" w:line="240" w:lineRule="auto"/>
              <w:jc w:val="left"/>
            </w:pPr>
            <w:r/>
            <w:r>
              <w:rPr>
                <w:rFonts w:ascii="Cambria" w:hAnsi="Cambria"/>
                <w:b w:val="0"/>
                <w:sz w:val="17"/>
              </w:rPr>
              <w:t>Post-Doctoral Mobility &amp; Career Transition</w:t>
            </w:r>
          </w:p>
        </w:tc>
        <w:tc>
          <w:tcPr>
            <w:tcW w:type="dxa" w:w="4706"/>
            <w:shd w:val="clear" w:color="auto" w:fill="F2F2F2"/>
          </w:tcPr>
          <w:p>
            <w:pPr>
              <w:spacing w:after="40" w:line="240" w:lineRule="auto"/>
              <w:jc w:val="left"/>
            </w:pPr>
            <w:r/>
            <w:r>
              <w:rPr>
                <w:rFonts w:ascii="Cambria" w:hAnsi="Cambria"/>
                <w:b w:val="0"/>
                <w:sz w:val="17"/>
              </w:rPr>
              <w:t>Promotes international exchange opportunities.</w:t>
            </w:r>
          </w:p>
          <w:p>
            <w:pPr>
              <w:spacing w:after="40" w:line="240" w:lineRule="auto"/>
              <w:jc w:val="left"/>
            </w:pPr>
            <w:r>
              <w:rPr>
                <w:rFonts w:ascii="Cambria" w:hAnsi="Cambria"/>
                <w:b w:val="0"/>
                <w:sz w:val="17"/>
              </w:rPr>
              <w:t>Monitors research output of fellows.</w:t>
            </w:r>
          </w:p>
          <w:p>
            <w:pPr>
              <w:spacing w:after="40" w:line="240" w:lineRule="auto"/>
              <w:jc w:val="left"/>
            </w:pPr>
            <w:r>
              <w:rPr>
                <w:rFonts w:ascii="Cambria" w:hAnsi="Cambria"/>
                <w:b w:val="0"/>
                <w:sz w:val="17"/>
              </w:rPr>
              <w:t>Supports transition to academic/industry careers.</w:t>
            </w:r>
          </w:p>
        </w:tc>
        <w:tc>
          <w:tcPr>
            <w:tcW w:type="dxa" w:w="2154"/>
            <w:shd w:val="clear" w:color="auto" w:fill="F2F2F2"/>
          </w:tcPr>
          <w:p>
            <w:pPr>
              <w:spacing w:after="40" w:line="240" w:lineRule="auto"/>
              <w:jc w:val="left"/>
            </w:pPr>
            <w:r/>
            <w:r>
              <w:rPr>
                <w:rFonts w:ascii="Cambria" w:hAnsi="Cambria"/>
                <w:b w:val="0"/>
                <w:sz w:val="17"/>
              </w:rPr>
              <w:t>Global exposure and career advancement.</w:t>
            </w:r>
          </w:p>
        </w:tc>
      </w:tr>
    </w:tbl>
    <w:p>
      <w:pPr>
        <w:spacing w:after="40"/>
      </w:pPr>
    </w:p>
    <w:p>
      <w:r>
        <w:br w:type="page"/>
      </w:r>
    </w:p>
    <w:p>
      <w:pPr>
        <w:pStyle w:val="Heading1"/>
      </w:pPr>
      <w:r>
        <w:rPr>
          <w:rFonts w:ascii="Cambria" w:hAnsi="Cambria"/>
          <w:b/>
          <w:color w:val="1F3A5F"/>
          <w:sz w:val="36"/>
        </w:rPr>
        <w:t>13. Custodians: Dean – R&amp;D and Associate Deans</w:t>
      </w:r>
    </w:p>
    <w:p>
      <w:pPr>
        <w:spacing w:after="160" w:line="276" w:lineRule="auto"/>
        <w:jc w:val="both"/>
      </w:pPr>
      <w:r>
        <w:rPr>
          <w:rFonts w:ascii="Cambria" w:hAnsi="Cambria"/>
          <w:b w:val="0"/>
          <w:i w:val="0"/>
          <w:sz w:val="22"/>
        </w:rPr>
        <w:t xml:space="preserve">The Dean </w:t>
      </w:r>
      <w:r>
        <w:rPr>
          <w:rFonts w:ascii="Cambria" w:hAnsi="Cambria"/>
          <w:b w:val="0"/>
          <w:i w:val="0"/>
          <w:sz w:val="22"/>
        </w:rPr>
        <w:t>– Research &amp; Development (R&amp;D), supported by the Associate Deans, collectively act as the custodians of the institution's research and innovation ecosystem. Together, they ensure that every dimension of research</w:t>
      </w:r>
      <w:r>
        <w:rPr>
          <w:rFonts w:ascii="Cambria" w:hAnsi="Cambria"/>
          <w:b w:val="0"/>
          <w:i w:val="0"/>
          <w:sz w:val="22"/>
        </w:rPr>
        <w:t>—from publication quality to intellectual property, funding, industry collaboration, infrastructure, and scholar development</w:t>
      </w:r>
      <w:r>
        <w:rPr>
          <w:rFonts w:ascii="Cambria" w:hAnsi="Cambria"/>
          <w:b w:val="0"/>
          <w:i w:val="0"/>
          <w:sz w:val="22"/>
        </w:rPr>
        <w:t>—is governed with integrity, strategic foresight, and accountability.</w:t>
      </w:r>
    </w:p>
    <w:p>
      <w:pPr>
        <w:pStyle w:val="ListBullet"/>
        <w:spacing w:after="80" w:line="276" w:lineRule="auto"/>
      </w:pPr>
      <w:r>
        <w:rPr>
          <w:rFonts w:ascii="Cambria" w:hAnsi="Cambria"/>
          <w:b w:val="0"/>
          <w:i w:val="0"/>
          <w:sz w:val="22"/>
        </w:rPr>
        <w:t>The Dean – R&amp;D is the custodian of the institution's overall research vision, strategy, and governance.</w:t>
      </w:r>
    </w:p>
    <w:p>
      <w:pPr>
        <w:pStyle w:val="ListBullet"/>
        <w:spacing w:after="80" w:line="276" w:lineRule="auto"/>
      </w:pPr>
      <w:r>
        <w:rPr>
          <w:rFonts w:ascii="Cambria" w:hAnsi="Cambria"/>
          <w:b w:val="0"/>
          <w:i w:val="0"/>
          <w:sz w:val="22"/>
        </w:rPr>
        <w:t>The Associate Dean – Publications, Citations, Impact Factor, and Books is the custodian of scholarly publishing and research visibility.</w:t>
      </w:r>
    </w:p>
    <w:p>
      <w:pPr>
        <w:pStyle w:val="ListBullet"/>
        <w:spacing w:after="80" w:line="276" w:lineRule="auto"/>
      </w:pPr>
      <w:r>
        <w:rPr>
          <w:rFonts w:ascii="Cambria" w:hAnsi="Cambria"/>
          <w:b w:val="0"/>
          <w:i w:val="0"/>
          <w:sz w:val="22"/>
        </w:rPr>
        <w:t>The Associate Dean – IPR, Patents, Copyrights, and Trademarks is the custodian of intellectual property rights.</w:t>
      </w:r>
    </w:p>
    <w:p>
      <w:pPr>
        <w:pStyle w:val="ListBullet"/>
        <w:spacing w:after="80" w:line="276" w:lineRule="auto"/>
      </w:pPr>
      <w:r>
        <w:rPr>
          <w:rFonts w:ascii="Cambria" w:hAnsi="Cambria"/>
          <w:b w:val="0"/>
          <w:i w:val="0"/>
          <w:sz w:val="22"/>
        </w:rPr>
        <w:t>The Associate Dean – Consultancy and Industry Liaison is the custodian of industry linkages and applied research.</w:t>
      </w:r>
    </w:p>
    <w:p>
      <w:pPr>
        <w:pStyle w:val="ListBullet"/>
        <w:spacing w:after="80" w:line="276" w:lineRule="auto"/>
      </w:pPr>
      <w:r>
        <w:rPr>
          <w:rFonts w:ascii="Cambria" w:hAnsi="Cambria"/>
          <w:b w:val="0"/>
          <w:i w:val="0"/>
          <w:sz w:val="22"/>
        </w:rPr>
        <w:t>The Associate Dean – Sponsored Research is the custodian of research funding and sponsored projects.</w:t>
      </w:r>
    </w:p>
    <w:p>
      <w:pPr>
        <w:pStyle w:val="ListBullet"/>
        <w:spacing w:after="80" w:line="276" w:lineRule="auto"/>
      </w:pPr>
      <w:r>
        <w:rPr>
          <w:rFonts w:ascii="Cambria" w:hAnsi="Cambria"/>
          <w:b w:val="0"/>
          <w:i w:val="0"/>
          <w:sz w:val="22"/>
        </w:rPr>
        <w:t>The Associate Dean – R&amp;D Centres is the custodian of research infrastructure and Centres of Excellence.</w:t>
      </w:r>
    </w:p>
    <w:p>
      <w:pPr>
        <w:pStyle w:val="ListBullet"/>
        <w:spacing w:after="80" w:line="276" w:lineRule="auto"/>
      </w:pPr>
      <w:r>
        <w:rPr>
          <w:rFonts w:ascii="Cambria" w:hAnsi="Cambria"/>
          <w:b w:val="0"/>
          <w:i w:val="0"/>
          <w:sz w:val="22"/>
        </w:rPr>
        <w:t>The Associate Dean – Ph.D. and Post-Doctoral Fellowship is the custodian of research talent development.</w:t>
      </w:r>
    </w:p>
    <w:p>
      <w:pPr>
        <w:pStyle w:val="ListBullet"/>
        <w:spacing w:after="80" w:line="276" w:lineRule="auto"/>
      </w:pPr>
      <w:r>
        <w:rPr>
          <w:rFonts w:ascii="Cambria" w:hAnsi="Cambria"/>
          <w:b w:val="0"/>
          <w:i w:val="0"/>
          <w:sz w:val="22"/>
        </w:rPr>
        <w:t>Through this distributed custodianship model, the institution ensures:</w:t>
      </w:r>
    </w:p>
    <w:p>
      <w:pPr>
        <w:pStyle w:val="ListBullet2"/>
        <w:spacing w:after="80" w:line="276" w:lineRule="auto"/>
      </w:pPr>
      <w:r>
        <w:rPr>
          <w:rFonts w:ascii="Cambria" w:hAnsi="Cambria"/>
          <w:b w:val="0"/>
          <w:i w:val="0"/>
          <w:sz w:val="22"/>
        </w:rPr>
        <w:t>Clear accountability for each dimension of the research ecosystem.</w:t>
      </w:r>
    </w:p>
    <w:p>
      <w:pPr>
        <w:pStyle w:val="ListBullet2"/>
        <w:spacing w:after="80" w:line="276" w:lineRule="auto"/>
      </w:pPr>
      <w:r>
        <w:rPr>
          <w:rFonts w:ascii="Cambria" w:hAnsi="Cambria"/>
          <w:b w:val="0"/>
          <w:i w:val="0"/>
          <w:sz w:val="22"/>
        </w:rPr>
        <w:t>Coordinated governance under the overall leadership of the Dean – R&amp;D.</w:t>
      </w:r>
    </w:p>
    <w:p>
      <w:pPr>
        <w:pStyle w:val="ListBullet2"/>
        <w:spacing w:after="80" w:line="276" w:lineRule="auto"/>
      </w:pPr>
      <w:r>
        <w:rPr>
          <w:rFonts w:ascii="Cambria" w:hAnsi="Cambria"/>
          <w:b w:val="0"/>
          <w:i w:val="0"/>
          <w:sz w:val="22"/>
        </w:rPr>
        <w:t>Comprehensive coverage of research priorities, from strategy to execution.</w:t>
      </w:r>
    </w:p>
    <w:p>
      <w:pPr>
        <w:pStyle w:val="ListBullet2"/>
        <w:spacing w:after="80" w:line="276" w:lineRule="auto"/>
      </w:pPr>
      <w:r>
        <w:rPr>
          <w:rFonts w:ascii="Cambria" w:hAnsi="Cambria"/>
          <w:b w:val="0"/>
          <w:i w:val="0"/>
          <w:sz w:val="22"/>
        </w:rPr>
        <w:t>Sustained institutional growth as a research-intensive, innovation-driven university.</w:t>
      </w:r>
    </w:p>
    <w:p>
      <w:r>
        <w:br w:type="page"/>
      </w:r>
    </w:p>
    <w:p>
      <w:pPr>
        <w:pStyle w:val="Heading1"/>
      </w:pPr>
      <w:r>
        <w:rPr>
          <w:rFonts w:ascii="Cambria" w:hAnsi="Cambria"/>
          <w:b/>
          <w:color w:val="1F3A5F"/>
          <w:sz w:val="36"/>
        </w:rPr>
        <w:t>14. Dean – R&amp;D and Associate Deans: Custodians of Accreditation and Quality Benchmarks</w:t>
      </w:r>
    </w:p>
    <w:p>
      <w:pPr>
        <w:spacing w:after="160" w:line="276" w:lineRule="auto"/>
        <w:jc w:val="both"/>
      </w:pPr>
      <w:r>
        <w:rPr>
          <w:rFonts w:ascii="Cambria" w:hAnsi="Cambria"/>
          <w:b w:val="0"/>
          <w:i w:val="0"/>
          <w:sz w:val="22"/>
        </w:rPr>
        <w:t xml:space="preserve">Beyond their functional responsibilities, the Dean </w:t>
      </w:r>
      <w:r>
        <w:rPr>
          <w:rFonts w:ascii="Cambria" w:hAnsi="Cambria"/>
          <w:b w:val="0"/>
          <w:i w:val="0"/>
          <w:sz w:val="22"/>
        </w:rPr>
        <w:t xml:space="preserve">– R&amp;D and the Associate Deans jointly serve as custodians of the institution's accreditation and quality benchmarking outcomes. Their collective efforts ensure that research performance is systematically mapped to the requirements of national and global quality frameworks </w:t>
      </w:r>
      <w:r>
        <w:rPr>
          <w:rFonts w:ascii="Cambria" w:hAnsi="Cambria"/>
          <w:b w:val="0"/>
          <w:i w:val="0"/>
          <w:sz w:val="22"/>
        </w:rPr>
        <w:t>— NBA, NAAC, NIRF, and QS I-GAUGE.</w:t>
      </w:r>
    </w:p>
    <w:p>
      <w:pPr>
        <w:pStyle w:val="ListBullet"/>
        <w:spacing w:after="80" w:line="276" w:lineRule="auto"/>
      </w:pPr>
      <w:r>
        <w:rPr>
          <w:rFonts w:ascii="Cambria" w:hAnsi="Cambria"/>
          <w:b w:val="0"/>
          <w:i w:val="0"/>
          <w:sz w:val="22"/>
        </w:rPr>
        <w:t>Dean – R&amp;D → Overall research governance mapped to NAAC Criterion III (Research, Innovation &amp; Extension) and NIRF Research &amp; Professional Practice parameters.</w:t>
      </w:r>
    </w:p>
    <w:p>
      <w:pPr>
        <w:pStyle w:val="ListBullet"/>
        <w:spacing w:after="80" w:line="276" w:lineRule="auto"/>
      </w:pPr>
      <w:r>
        <w:rPr>
          <w:rFonts w:ascii="Cambria" w:hAnsi="Cambria"/>
          <w:b w:val="0"/>
          <w:i w:val="0"/>
          <w:sz w:val="22"/>
        </w:rPr>
        <w:t>Associate Dean – Publications, Citations, Impact Factor, and Books → Publication metrics mapped to NAAC, NIRF, and QS I-GAUGE research output indicators.</w:t>
      </w:r>
    </w:p>
    <w:p>
      <w:pPr>
        <w:pStyle w:val="ListBullet"/>
        <w:spacing w:after="80" w:line="276" w:lineRule="auto"/>
      </w:pPr>
      <w:r>
        <w:rPr>
          <w:rFonts w:ascii="Cambria" w:hAnsi="Cambria"/>
          <w:b w:val="0"/>
          <w:i w:val="0"/>
          <w:sz w:val="22"/>
        </w:rPr>
        <w:t>Associate Dean – IPR, Patents, Copyrights, and Trademarks → Patent and IP metrics mapped to NAAC and NIRF innovation indicators.</w:t>
      </w:r>
    </w:p>
    <w:p>
      <w:pPr>
        <w:pStyle w:val="ListBullet"/>
        <w:spacing w:after="80" w:line="276" w:lineRule="auto"/>
      </w:pPr>
      <w:r>
        <w:rPr>
          <w:rFonts w:ascii="Cambria" w:hAnsi="Cambria"/>
          <w:b w:val="0"/>
          <w:i w:val="0"/>
          <w:sz w:val="22"/>
        </w:rPr>
        <w:t>Associate Dean – Consultancy and Industry Liaison → Industry engagement metrics mapped to NBA program outcomes and NAAC extension activities.</w:t>
      </w:r>
    </w:p>
    <w:p>
      <w:pPr>
        <w:pStyle w:val="ListBullet"/>
        <w:spacing w:after="80" w:line="276" w:lineRule="auto"/>
      </w:pPr>
      <w:r>
        <w:rPr>
          <w:rFonts w:ascii="Cambria" w:hAnsi="Cambria"/>
          <w:b w:val="0"/>
          <w:i w:val="0"/>
          <w:sz w:val="22"/>
        </w:rPr>
        <w:t>Associate Dean – Sponsored Research → Funded project metrics mapped to NAAC Criterion III and NIRF research funding indicators.</w:t>
      </w:r>
    </w:p>
    <w:p>
      <w:pPr>
        <w:pStyle w:val="ListBullet"/>
        <w:spacing w:after="80" w:line="276" w:lineRule="auto"/>
      </w:pPr>
      <w:r>
        <w:rPr>
          <w:rFonts w:ascii="Cambria" w:hAnsi="Cambria"/>
          <w:b w:val="0"/>
          <w:i w:val="0"/>
          <w:sz w:val="22"/>
        </w:rPr>
        <w:t>Associate Dean – R&amp;D Centres → Research infrastructure mapped to NAAC and QS I-GAUGE facility and resource indicators.</w:t>
      </w:r>
    </w:p>
    <w:p>
      <w:pPr>
        <w:pStyle w:val="ListBullet"/>
        <w:spacing w:after="80" w:line="276" w:lineRule="auto"/>
      </w:pPr>
      <w:r>
        <w:rPr>
          <w:rFonts w:ascii="Cambria" w:hAnsi="Cambria"/>
          <w:b w:val="0"/>
          <w:i w:val="0"/>
          <w:sz w:val="22"/>
        </w:rPr>
        <w:t>Associate Dean – Ph.D. and Post-Doctoral Fellowship → Doctoral program quality mapped to NAAC and NIRF research scholar indicators.</w:t>
      </w:r>
    </w:p>
    <w:p>
      <w:pPr>
        <w:spacing w:after="160" w:line="276" w:lineRule="auto"/>
        <w:jc w:val="both"/>
      </w:pPr>
      <w:r>
        <w:rPr>
          <w:rFonts w:ascii="Cambria" w:hAnsi="Cambria"/>
          <w:b w:val="0"/>
          <w:i w:val="0"/>
          <w:sz w:val="22"/>
        </w:rPr>
        <w:t xml:space="preserve">Key Insight: </w:t>
      </w:r>
      <w:r>
        <w:rPr>
          <w:rFonts w:ascii="Cambria" w:hAnsi="Cambria"/>
          <w:b w:val="0"/>
          <w:i w:val="0"/>
          <w:sz w:val="22"/>
        </w:rPr>
        <w:t>By mapping specific custodial responsibilities to specific accreditation parameters, the institution ensures that no dimension of quality benchmarking is overlooked, and that accreditation outcomes reflect the genuine strength of the institution's research ecosystem.</w:t>
      </w:r>
    </w:p>
    <w:p>
      <w:pPr>
        <w:pStyle w:val="ListBullet"/>
        <w:spacing w:after="80" w:line="276" w:lineRule="auto"/>
      </w:pPr>
      <w:r>
        <w:rPr>
          <w:rFonts w:ascii="Cambria" w:hAnsi="Cambria"/>
          <w:b w:val="0"/>
          <w:i w:val="0"/>
          <w:sz w:val="22"/>
        </w:rPr>
        <w:t>This coordinated approach ensures:</w:t>
      </w:r>
    </w:p>
    <w:p>
      <w:pPr>
        <w:pStyle w:val="ListBullet2"/>
        <w:spacing w:after="80" w:line="276" w:lineRule="auto"/>
      </w:pPr>
      <w:r>
        <w:rPr>
          <w:rFonts w:ascii="Cambria" w:hAnsi="Cambria"/>
          <w:b w:val="0"/>
          <w:i w:val="0"/>
          <w:sz w:val="22"/>
        </w:rPr>
        <w:t>Systematic and audit-ready documentation for accreditation visits.</w:t>
      </w:r>
    </w:p>
    <w:p>
      <w:pPr>
        <w:pStyle w:val="ListBullet2"/>
        <w:spacing w:after="80" w:line="276" w:lineRule="auto"/>
      </w:pPr>
      <w:r>
        <w:rPr>
          <w:rFonts w:ascii="Cambria" w:hAnsi="Cambria"/>
          <w:b w:val="0"/>
          <w:i w:val="0"/>
          <w:sz w:val="22"/>
        </w:rPr>
        <w:t>Continuous improvement driven by benchmarking against global standards.</w:t>
      </w:r>
    </w:p>
    <w:p>
      <w:pPr>
        <w:pStyle w:val="ListBullet2"/>
        <w:spacing w:after="80" w:line="276" w:lineRule="auto"/>
      </w:pPr>
      <w:r>
        <w:rPr>
          <w:rFonts w:ascii="Cambria" w:hAnsi="Cambria"/>
          <w:b w:val="0"/>
          <w:i w:val="0"/>
          <w:sz w:val="22"/>
        </w:rPr>
        <w:t>Stronger institutional rankings and reputation.</w:t>
      </w:r>
    </w:p>
    <w:p>
      <w:r>
        <w:br w:type="page"/>
      </w:r>
    </w:p>
    <w:p>
      <w:pPr>
        <w:pStyle w:val="Heading1"/>
      </w:pPr>
      <w:r>
        <w:rPr>
          <w:rFonts w:ascii="Cambria" w:hAnsi="Cambria"/>
          <w:b/>
          <w:color w:val="1F3A5F"/>
          <w:sz w:val="36"/>
        </w:rPr>
        <w:t>15. Mapping of Dean – R&amp;D Roles to NBA, NAAC, NIRF, and QS I-GAUGE</w:t>
      </w:r>
    </w:p>
    <w:p>
      <w:pPr>
        <w:spacing w:after="160" w:line="276" w:lineRule="auto"/>
        <w:jc w:val="both"/>
      </w:pPr>
      <w:r>
        <w:rPr>
          <w:rFonts w:ascii="Cambria" w:hAnsi="Cambria"/>
          <w:b w:val="0"/>
          <w:i w:val="0"/>
          <w:sz w:val="22"/>
        </w:rPr>
        <w:t xml:space="preserve">The following table maps the custodial roles of the Dean </w:t>
      </w:r>
      <w:r>
        <w:rPr>
          <w:rFonts w:ascii="Cambria" w:hAnsi="Cambria"/>
          <w:b w:val="0"/>
          <w:i w:val="0"/>
          <w:sz w:val="22"/>
        </w:rPr>
        <w:t xml:space="preserve">– R&amp;D and the Associate Deans to the specific requirements of the four major quality and accreditation frameworks </w:t>
      </w:r>
      <w:r>
        <w:rPr>
          <w:rFonts w:ascii="Cambria" w:hAnsi="Cambria"/>
          <w:b w:val="0"/>
          <w:i w:val="0"/>
          <w:sz w:val="22"/>
        </w:rPr>
        <w:t>— NBA, NAAC, NIRF, and QS I-GAUGE.</w:t>
      </w:r>
    </w:p>
    <w:tbl>
      <w:tblPr>
        <w:tblStyle w:val="TableGrid"/>
        <w:tblW w:type="auto" w:w="0"/>
        <w:jc w:val="center"/>
        <w:tblLayout w:type="fixed"/>
        <w:tblLook w:firstColumn="1" w:firstRow="1" w:lastColumn="0" w:lastRow="0" w:noHBand="0" w:noVBand="1" w:val="04A0"/>
        <w:tblLayout w:type="fixed"/>
      </w:tblPr>
      <w:tblGrid>
        <w:gridCol w:w="2041"/>
        <w:gridCol w:w="1644"/>
        <w:gridCol w:w="1644"/>
        <w:gridCol w:w="1644"/>
        <w:gridCol w:w="2438"/>
      </w:tblGrid>
      <w:tr>
        <w:tc>
          <w:tcPr>
            <w:tcW w:type="dxa" w:w="2041"/>
            <w:shd w:val="clear" w:color="auto" w:fill="1F3A5F"/>
          </w:tcPr>
          <w:p>
            <w:pPr>
              <w:spacing w:after="40" w:line="240" w:lineRule="auto"/>
              <w:jc w:val="center"/>
            </w:pPr>
            <w:r/>
            <w:r>
              <w:rPr>
                <w:rFonts w:ascii="Cambria" w:hAnsi="Cambria"/>
                <w:b/>
                <w:color w:val="FFFFFF"/>
                <w:sz w:val="18"/>
              </w:rPr>
              <w:t>Role</w:t>
            </w:r>
          </w:p>
        </w:tc>
        <w:tc>
          <w:tcPr>
            <w:tcW w:type="dxa" w:w="1644"/>
            <w:shd w:val="clear" w:color="auto" w:fill="1F3A5F"/>
          </w:tcPr>
          <w:p>
            <w:pPr>
              <w:spacing w:after="40" w:line="240" w:lineRule="auto"/>
              <w:jc w:val="center"/>
            </w:pPr>
            <w:r/>
            <w:r>
              <w:rPr>
                <w:rFonts w:ascii="Cambria" w:hAnsi="Cambria"/>
                <w:b/>
                <w:color w:val="FFFFFF"/>
                <w:sz w:val="18"/>
              </w:rPr>
              <w:t>NBA</w:t>
            </w:r>
          </w:p>
        </w:tc>
        <w:tc>
          <w:tcPr>
            <w:tcW w:type="dxa" w:w="1644"/>
            <w:shd w:val="clear" w:color="auto" w:fill="1F3A5F"/>
          </w:tcPr>
          <w:p>
            <w:pPr>
              <w:spacing w:after="40" w:line="240" w:lineRule="auto"/>
              <w:jc w:val="center"/>
            </w:pPr>
            <w:r/>
            <w:r>
              <w:rPr>
                <w:rFonts w:ascii="Cambria" w:hAnsi="Cambria"/>
                <w:b/>
                <w:color w:val="FFFFFF"/>
                <w:sz w:val="18"/>
              </w:rPr>
              <w:t>NAAC</w:t>
            </w:r>
          </w:p>
        </w:tc>
        <w:tc>
          <w:tcPr>
            <w:tcW w:type="dxa" w:w="1644"/>
            <w:shd w:val="clear" w:color="auto" w:fill="1F3A5F"/>
          </w:tcPr>
          <w:p>
            <w:pPr>
              <w:spacing w:after="40" w:line="240" w:lineRule="auto"/>
              <w:jc w:val="center"/>
            </w:pPr>
            <w:r/>
            <w:r>
              <w:rPr>
                <w:rFonts w:ascii="Cambria" w:hAnsi="Cambria"/>
                <w:b/>
                <w:color w:val="FFFFFF"/>
                <w:sz w:val="18"/>
              </w:rPr>
              <w:t>NIRF</w:t>
            </w:r>
          </w:p>
        </w:tc>
        <w:tc>
          <w:tcPr>
            <w:tcW w:type="dxa" w:w="2438"/>
            <w:shd w:val="clear" w:color="auto" w:fill="1F3A5F"/>
          </w:tcPr>
          <w:p>
            <w:pPr>
              <w:spacing w:after="40" w:line="240" w:lineRule="auto"/>
              <w:jc w:val="center"/>
            </w:pPr>
            <w:r/>
            <w:r>
              <w:rPr>
                <w:rFonts w:ascii="Cambria" w:hAnsi="Cambria"/>
                <w:b/>
                <w:color w:val="FFFFFF"/>
                <w:sz w:val="18"/>
              </w:rPr>
              <w:t>QS I-GAUGE</w:t>
            </w:r>
          </w:p>
        </w:tc>
      </w:tr>
      <w:tr>
        <w:tc>
          <w:tcPr>
            <w:tcW w:type="dxa" w:w="2041"/>
          </w:tcPr>
          <w:p>
            <w:pPr>
              <w:spacing w:after="40" w:line="240" w:lineRule="auto"/>
              <w:jc w:val="left"/>
            </w:pPr>
            <w:r/>
            <w:r>
              <w:rPr>
                <w:rFonts w:ascii="Cambria" w:hAnsi="Cambria"/>
                <w:b w:val="0"/>
                <w:sz w:val="17"/>
              </w:rPr>
              <w:t>Dean – R&amp;D</w:t>
            </w:r>
          </w:p>
        </w:tc>
        <w:tc>
          <w:tcPr>
            <w:tcW w:type="dxa" w:w="1644"/>
          </w:tcPr>
          <w:p>
            <w:pPr>
              <w:spacing w:after="40" w:line="240" w:lineRule="auto"/>
              <w:jc w:val="left"/>
            </w:pPr>
            <w:r/>
            <w:r>
              <w:rPr>
                <w:rFonts w:ascii="Cambria" w:hAnsi="Cambria"/>
                <w:b w:val="0"/>
                <w:sz w:val="17"/>
              </w:rPr>
              <w:t>Program outcomes &amp; research-based learning</w:t>
            </w:r>
          </w:p>
        </w:tc>
        <w:tc>
          <w:tcPr>
            <w:tcW w:type="dxa" w:w="1644"/>
          </w:tcPr>
          <w:p>
            <w:pPr>
              <w:spacing w:after="40" w:line="240" w:lineRule="auto"/>
              <w:jc w:val="left"/>
            </w:pPr>
            <w:r/>
            <w:r>
              <w:rPr>
                <w:rFonts w:ascii="Cambria" w:hAnsi="Cambria"/>
                <w:b w:val="0"/>
                <w:sz w:val="17"/>
              </w:rPr>
              <w:t>Criterion III: Research, Innovation &amp; Extension</w:t>
            </w:r>
          </w:p>
        </w:tc>
        <w:tc>
          <w:tcPr>
            <w:tcW w:type="dxa" w:w="1644"/>
          </w:tcPr>
          <w:p>
            <w:pPr>
              <w:spacing w:after="40" w:line="240" w:lineRule="auto"/>
              <w:jc w:val="left"/>
            </w:pPr>
            <w:r/>
            <w:r>
              <w:rPr>
                <w:rFonts w:ascii="Cambria" w:hAnsi="Cambria"/>
                <w:b w:val="0"/>
                <w:sz w:val="17"/>
              </w:rPr>
              <w:t>Research &amp; Professional Practice</w:t>
            </w:r>
          </w:p>
        </w:tc>
        <w:tc>
          <w:tcPr>
            <w:tcW w:type="dxa" w:w="2438"/>
          </w:tcPr>
          <w:p>
            <w:pPr>
              <w:spacing w:after="40" w:line="240" w:lineRule="auto"/>
              <w:jc w:val="left"/>
            </w:pPr>
            <w:r/>
            <w:r>
              <w:rPr>
                <w:rFonts w:ascii="Cambria" w:hAnsi="Cambria"/>
                <w:b w:val="0"/>
                <w:sz w:val="17"/>
              </w:rPr>
              <w:t>Overall research governance</w:t>
            </w:r>
          </w:p>
        </w:tc>
      </w:tr>
      <w:tr>
        <w:tc>
          <w:tcPr>
            <w:tcW w:type="dxa" w:w="2041"/>
            <w:shd w:val="clear" w:color="auto" w:fill="F2F2F2"/>
          </w:tcPr>
          <w:p>
            <w:pPr>
              <w:spacing w:after="40" w:line="240" w:lineRule="auto"/>
              <w:jc w:val="left"/>
            </w:pPr>
            <w:r/>
            <w:r>
              <w:rPr>
                <w:rFonts w:ascii="Cambria" w:hAnsi="Cambria"/>
                <w:b w:val="0"/>
                <w:sz w:val="17"/>
              </w:rPr>
              <w:t>Associate Dean – Publications, Citations, Impact Factor, Books</w:t>
            </w:r>
          </w:p>
        </w:tc>
        <w:tc>
          <w:tcPr>
            <w:tcW w:type="dxa" w:w="1644"/>
            <w:shd w:val="clear" w:color="auto" w:fill="F2F2F2"/>
          </w:tcPr>
          <w:p>
            <w:pPr>
              <w:spacing w:after="40" w:line="240" w:lineRule="auto"/>
              <w:jc w:val="left"/>
            </w:pPr>
            <w:r/>
            <w:r>
              <w:rPr>
                <w:rFonts w:ascii="Cambria" w:hAnsi="Cambria"/>
                <w:b w:val="0"/>
                <w:sz w:val="17"/>
              </w:rPr>
              <w:t>Faculty research contribution</w:t>
            </w:r>
          </w:p>
        </w:tc>
        <w:tc>
          <w:tcPr>
            <w:tcW w:type="dxa" w:w="1644"/>
            <w:shd w:val="clear" w:color="auto" w:fill="F2F2F2"/>
          </w:tcPr>
          <w:p>
            <w:pPr>
              <w:spacing w:after="40" w:line="240" w:lineRule="auto"/>
              <w:jc w:val="left"/>
            </w:pPr>
            <w:r/>
            <w:r>
              <w:rPr>
                <w:rFonts w:ascii="Cambria" w:hAnsi="Cambria"/>
                <w:b w:val="0"/>
                <w:sz w:val="17"/>
              </w:rPr>
              <w:t>Research output &amp; publication quality</w:t>
            </w:r>
          </w:p>
        </w:tc>
        <w:tc>
          <w:tcPr>
            <w:tcW w:type="dxa" w:w="1644"/>
            <w:shd w:val="clear" w:color="auto" w:fill="F2F2F2"/>
          </w:tcPr>
          <w:p>
            <w:pPr>
              <w:spacing w:after="40" w:line="240" w:lineRule="auto"/>
              <w:jc w:val="left"/>
            </w:pPr>
            <w:r/>
            <w:r>
              <w:rPr>
                <w:rFonts w:ascii="Cambria" w:hAnsi="Cambria"/>
                <w:b w:val="0"/>
                <w:sz w:val="17"/>
              </w:rPr>
              <w:t>Publication and citation metrics</w:t>
            </w:r>
          </w:p>
        </w:tc>
        <w:tc>
          <w:tcPr>
            <w:tcW w:type="dxa" w:w="2438"/>
            <w:shd w:val="clear" w:color="auto" w:fill="F2F2F2"/>
          </w:tcPr>
          <w:p>
            <w:pPr>
              <w:spacing w:after="40" w:line="240" w:lineRule="auto"/>
              <w:jc w:val="left"/>
            </w:pPr>
            <w:r/>
            <w:r>
              <w:rPr>
                <w:rFonts w:ascii="Cambria" w:hAnsi="Cambria"/>
                <w:b w:val="0"/>
                <w:sz w:val="17"/>
              </w:rPr>
              <w:t>Research output indicators</w:t>
            </w:r>
          </w:p>
        </w:tc>
      </w:tr>
      <w:tr>
        <w:tc>
          <w:tcPr>
            <w:tcW w:type="dxa" w:w="2041"/>
          </w:tcPr>
          <w:p>
            <w:pPr>
              <w:spacing w:after="40" w:line="240" w:lineRule="auto"/>
              <w:jc w:val="left"/>
            </w:pPr>
            <w:r/>
            <w:r>
              <w:rPr>
                <w:rFonts w:ascii="Cambria" w:hAnsi="Cambria"/>
                <w:b w:val="0"/>
                <w:sz w:val="17"/>
              </w:rPr>
              <w:t>Associate Dean – IPR, Patents, Copyrights, Trademarks</w:t>
            </w:r>
          </w:p>
        </w:tc>
        <w:tc>
          <w:tcPr>
            <w:tcW w:type="dxa" w:w="1644"/>
          </w:tcPr>
          <w:p>
            <w:pPr>
              <w:spacing w:after="40" w:line="240" w:lineRule="auto"/>
              <w:jc w:val="left"/>
            </w:pPr>
            <w:r/>
            <w:r>
              <w:rPr>
                <w:rFonts w:ascii="Cambria" w:hAnsi="Cambria"/>
                <w:b w:val="0"/>
                <w:sz w:val="17"/>
              </w:rPr>
              <w:t>Innovation outcomes</w:t>
            </w:r>
          </w:p>
        </w:tc>
        <w:tc>
          <w:tcPr>
            <w:tcW w:type="dxa" w:w="1644"/>
          </w:tcPr>
          <w:p>
            <w:pPr>
              <w:spacing w:after="40" w:line="240" w:lineRule="auto"/>
              <w:jc w:val="left"/>
            </w:pPr>
            <w:r/>
            <w:r>
              <w:rPr>
                <w:rFonts w:ascii="Cambria" w:hAnsi="Cambria"/>
                <w:b w:val="0"/>
                <w:sz w:val="17"/>
              </w:rPr>
              <w:t>IPR and innovation indicators</w:t>
            </w:r>
          </w:p>
        </w:tc>
        <w:tc>
          <w:tcPr>
            <w:tcW w:type="dxa" w:w="1644"/>
          </w:tcPr>
          <w:p>
            <w:pPr>
              <w:spacing w:after="40" w:line="240" w:lineRule="auto"/>
              <w:jc w:val="left"/>
            </w:pPr>
            <w:r/>
            <w:r>
              <w:rPr>
                <w:rFonts w:ascii="Cambria" w:hAnsi="Cambria"/>
                <w:b w:val="0"/>
                <w:sz w:val="17"/>
              </w:rPr>
              <w:t>Patents filed/granted</w:t>
            </w:r>
          </w:p>
        </w:tc>
        <w:tc>
          <w:tcPr>
            <w:tcW w:type="dxa" w:w="2438"/>
          </w:tcPr>
          <w:p>
            <w:pPr>
              <w:spacing w:after="40" w:line="240" w:lineRule="auto"/>
              <w:jc w:val="left"/>
            </w:pPr>
            <w:r/>
            <w:r>
              <w:rPr>
                <w:rFonts w:ascii="Cambria" w:hAnsi="Cambria"/>
                <w:b w:val="0"/>
                <w:sz w:val="17"/>
              </w:rPr>
              <w:t>Innovation benchmarking</w:t>
            </w:r>
          </w:p>
        </w:tc>
      </w:tr>
      <w:tr>
        <w:tc>
          <w:tcPr>
            <w:tcW w:type="dxa" w:w="2041"/>
            <w:shd w:val="clear" w:color="auto" w:fill="F2F2F2"/>
          </w:tcPr>
          <w:p>
            <w:pPr>
              <w:spacing w:after="40" w:line="240" w:lineRule="auto"/>
              <w:jc w:val="left"/>
            </w:pPr>
            <w:r/>
            <w:r>
              <w:rPr>
                <w:rFonts w:ascii="Cambria" w:hAnsi="Cambria"/>
                <w:b w:val="0"/>
                <w:sz w:val="17"/>
              </w:rPr>
              <w:t>Associate Dean – Consultancy &amp; Industry Liaison</w:t>
            </w:r>
          </w:p>
        </w:tc>
        <w:tc>
          <w:tcPr>
            <w:tcW w:type="dxa" w:w="1644"/>
            <w:shd w:val="clear" w:color="auto" w:fill="F2F2F2"/>
          </w:tcPr>
          <w:p>
            <w:pPr>
              <w:spacing w:after="40" w:line="240" w:lineRule="auto"/>
              <w:jc w:val="left"/>
            </w:pPr>
            <w:r/>
            <w:r>
              <w:rPr>
                <w:rFonts w:ascii="Cambria" w:hAnsi="Cambria"/>
                <w:b w:val="0"/>
                <w:sz w:val="17"/>
              </w:rPr>
              <w:t>Industry engagement &amp; employability</w:t>
            </w:r>
          </w:p>
        </w:tc>
        <w:tc>
          <w:tcPr>
            <w:tcW w:type="dxa" w:w="1644"/>
            <w:shd w:val="clear" w:color="auto" w:fill="F2F2F2"/>
          </w:tcPr>
          <w:p>
            <w:pPr>
              <w:spacing w:after="40" w:line="240" w:lineRule="auto"/>
              <w:jc w:val="left"/>
            </w:pPr>
            <w:r/>
            <w:r>
              <w:rPr>
                <w:rFonts w:ascii="Cambria" w:hAnsi="Cambria"/>
                <w:b w:val="0"/>
                <w:sz w:val="17"/>
              </w:rPr>
              <w:t>Extension and collaboration activities</w:t>
            </w:r>
          </w:p>
        </w:tc>
        <w:tc>
          <w:tcPr>
            <w:tcW w:type="dxa" w:w="1644"/>
            <w:shd w:val="clear" w:color="auto" w:fill="F2F2F2"/>
          </w:tcPr>
          <w:p>
            <w:pPr>
              <w:spacing w:after="40" w:line="240" w:lineRule="auto"/>
              <w:jc w:val="left"/>
            </w:pPr>
            <w:r/>
            <w:r>
              <w:rPr>
                <w:rFonts w:ascii="Cambria" w:hAnsi="Cambria"/>
                <w:b w:val="0"/>
                <w:sz w:val="17"/>
              </w:rPr>
              <w:t>Industry collaboration metrics</w:t>
            </w:r>
          </w:p>
        </w:tc>
        <w:tc>
          <w:tcPr>
            <w:tcW w:type="dxa" w:w="2438"/>
            <w:shd w:val="clear" w:color="auto" w:fill="F2F2F2"/>
          </w:tcPr>
          <w:p>
            <w:pPr>
              <w:spacing w:after="40" w:line="240" w:lineRule="auto"/>
              <w:jc w:val="left"/>
            </w:pPr>
            <w:r/>
            <w:r>
              <w:rPr>
                <w:rFonts w:ascii="Cambria" w:hAnsi="Cambria"/>
                <w:b w:val="0"/>
                <w:sz w:val="17"/>
              </w:rPr>
              <w:t>Industry linkage indicators</w:t>
            </w:r>
          </w:p>
        </w:tc>
      </w:tr>
      <w:tr>
        <w:tc>
          <w:tcPr>
            <w:tcW w:type="dxa" w:w="2041"/>
          </w:tcPr>
          <w:p>
            <w:pPr>
              <w:spacing w:after="40" w:line="240" w:lineRule="auto"/>
              <w:jc w:val="left"/>
            </w:pPr>
            <w:r/>
            <w:r>
              <w:rPr>
                <w:rFonts w:ascii="Cambria" w:hAnsi="Cambria"/>
                <w:b w:val="0"/>
                <w:sz w:val="17"/>
              </w:rPr>
              <w:t>Associate Dean – Sponsored Research</w:t>
            </w:r>
          </w:p>
        </w:tc>
        <w:tc>
          <w:tcPr>
            <w:tcW w:type="dxa" w:w="1644"/>
          </w:tcPr>
          <w:p>
            <w:pPr>
              <w:spacing w:after="40" w:line="240" w:lineRule="auto"/>
              <w:jc w:val="left"/>
            </w:pPr>
            <w:r/>
            <w:r>
              <w:rPr>
                <w:rFonts w:ascii="Cambria" w:hAnsi="Cambria"/>
                <w:b w:val="0"/>
                <w:sz w:val="17"/>
              </w:rPr>
              <w:t>Research funding utilization</w:t>
            </w:r>
          </w:p>
        </w:tc>
        <w:tc>
          <w:tcPr>
            <w:tcW w:type="dxa" w:w="1644"/>
          </w:tcPr>
          <w:p>
            <w:pPr>
              <w:spacing w:after="40" w:line="240" w:lineRule="auto"/>
              <w:jc w:val="left"/>
            </w:pPr>
            <w:r/>
            <w:r>
              <w:rPr>
                <w:rFonts w:ascii="Cambria" w:hAnsi="Cambria"/>
                <w:b w:val="0"/>
                <w:sz w:val="17"/>
              </w:rPr>
              <w:t>Criterion III: funded research projects</w:t>
            </w:r>
          </w:p>
        </w:tc>
        <w:tc>
          <w:tcPr>
            <w:tcW w:type="dxa" w:w="1644"/>
          </w:tcPr>
          <w:p>
            <w:pPr>
              <w:spacing w:after="40" w:line="240" w:lineRule="auto"/>
              <w:jc w:val="left"/>
            </w:pPr>
            <w:r/>
            <w:r>
              <w:rPr>
                <w:rFonts w:ascii="Cambria" w:hAnsi="Cambria"/>
                <w:b w:val="0"/>
                <w:sz w:val="17"/>
              </w:rPr>
              <w:t>Research funding indicators</w:t>
            </w:r>
          </w:p>
        </w:tc>
        <w:tc>
          <w:tcPr>
            <w:tcW w:type="dxa" w:w="2438"/>
          </w:tcPr>
          <w:p>
            <w:pPr>
              <w:spacing w:after="40" w:line="240" w:lineRule="auto"/>
              <w:jc w:val="left"/>
            </w:pPr>
            <w:r/>
            <w:r>
              <w:rPr>
                <w:rFonts w:ascii="Cambria" w:hAnsi="Cambria"/>
                <w:b w:val="0"/>
                <w:sz w:val="17"/>
              </w:rPr>
              <w:t>Funding and grants benchmarking</w:t>
            </w:r>
          </w:p>
        </w:tc>
      </w:tr>
      <w:tr>
        <w:tc>
          <w:tcPr>
            <w:tcW w:type="dxa" w:w="2041"/>
            <w:shd w:val="clear" w:color="auto" w:fill="F2F2F2"/>
          </w:tcPr>
          <w:p>
            <w:pPr>
              <w:spacing w:after="40" w:line="240" w:lineRule="auto"/>
              <w:jc w:val="left"/>
            </w:pPr>
            <w:r/>
            <w:r>
              <w:rPr>
                <w:rFonts w:ascii="Cambria" w:hAnsi="Cambria"/>
                <w:b w:val="0"/>
                <w:sz w:val="17"/>
              </w:rPr>
              <w:t>Associate Dean – R&amp;D Centres</w:t>
            </w:r>
          </w:p>
        </w:tc>
        <w:tc>
          <w:tcPr>
            <w:tcW w:type="dxa" w:w="1644"/>
            <w:shd w:val="clear" w:color="auto" w:fill="F2F2F2"/>
          </w:tcPr>
          <w:p>
            <w:pPr>
              <w:spacing w:after="40" w:line="240" w:lineRule="auto"/>
              <w:jc w:val="left"/>
            </w:pPr>
            <w:r/>
            <w:r>
              <w:rPr>
                <w:rFonts w:ascii="Cambria" w:hAnsi="Cambria"/>
                <w:b w:val="0"/>
                <w:sz w:val="17"/>
              </w:rPr>
              <w:t>Research infrastructure</w:t>
            </w:r>
          </w:p>
        </w:tc>
        <w:tc>
          <w:tcPr>
            <w:tcW w:type="dxa" w:w="1644"/>
            <w:shd w:val="clear" w:color="auto" w:fill="F2F2F2"/>
          </w:tcPr>
          <w:p>
            <w:pPr>
              <w:spacing w:after="40" w:line="240" w:lineRule="auto"/>
              <w:jc w:val="left"/>
            </w:pPr>
            <w:r/>
            <w:r>
              <w:rPr>
                <w:rFonts w:ascii="Cambria" w:hAnsi="Cambria"/>
                <w:b w:val="0"/>
                <w:sz w:val="17"/>
              </w:rPr>
              <w:t>Facilities and resource indicators</w:t>
            </w:r>
          </w:p>
        </w:tc>
        <w:tc>
          <w:tcPr>
            <w:tcW w:type="dxa" w:w="1644"/>
            <w:shd w:val="clear" w:color="auto" w:fill="F2F2F2"/>
          </w:tcPr>
          <w:p>
            <w:pPr>
              <w:spacing w:after="40" w:line="240" w:lineRule="auto"/>
              <w:jc w:val="left"/>
            </w:pPr>
            <w:r/>
            <w:r>
              <w:rPr>
                <w:rFonts w:ascii="Cambria" w:hAnsi="Cambria"/>
                <w:b w:val="0"/>
                <w:sz w:val="17"/>
              </w:rPr>
              <w:t>Infrastructure for research</w:t>
            </w:r>
          </w:p>
        </w:tc>
        <w:tc>
          <w:tcPr>
            <w:tcW w:type="dxa" w:w="2438"/>
            <w:shd w:val="clear" w:color="auto" w:fill="F2F2F2"/>
          </w:tcPr>
          <w:p>
            <w:pPr>
              <w:spacing w:after="40" w:line="240" w:lineRule="auto"/>
              <w:jc w:val="left"/>
            </w:pPr>
            <w:r/>
            <w:r>
              <w:rPr>
                <w:rFonts w:ascii="Cambria" w:hAnsi="Cambria"/>
                <w:b w:val="0"/>
                <w:sz w:val="17"/>
              </w:rPr>
              <w:t>Facility and resource indicators</w:t>
            </w:r>
          </w:p>
        </w:tc>
      </w:tr>
      <w:tr>
        <w:tc>
          <w:tcPr>
            <w:tcW w:type="dxa" w:w="2041"/>
          </w:tcPr>
          <w:p>
            <w:pPr>
              <w:spacing w:after="40" w:line="240" w:lineRule="auto"/>
              <w:jc w:val="left"/>
            </w:pPr>
            <w:r/>
            <w:r>
              <w:rPr>
                <w:rFonts w:ascii="Cambria" w:hAnsi="Cambria"/>
                <w:b w:val="0"/>
                <w:sz w:val="17"/>
              </w:rPr>
              <w:t>Associate Dean – Ph.D. and Post-Doctoral Fellowship</w:t>
            </w:r>
          </w:p>
        </w:tc>
        <w:tc>
          <w:tcPr>
            <w:tcW w:type="dxa" w:w="1644"/>
          </w:tcPr>
          <w:p>
            <w:pPr>
              <w:spacing w:after="40" w:line="240" w:lineRule="auto"/>
              <w:jc w:val="left"/>
            </w:pPr>
            <w:r/>
            <w:r>
              <w:rPr>
                <w:rFonts w:ascii="Cambria" w:hAnsi="Cambria"/>
                <w:b w:val="0"/>
                <w:sz w:val="17"/>
              </w:rPr>
              <w:t>Research scholar outcomes</w:t>
            </w:r>
          </w:p>
        </w:tc>
        <w:tc>
          <w:tcPr>
            <w:tcW w:type="dxa" w:w="1644"/>
          </w:tcPr>
          <w:p>
            <w:pPr>
              <w:spacing w:after="40" w:line="240" w:lineRule="auto"/>
              <w:jc w:val="left"/>
            </w:pPr>
            <w:r/>
            <w:r>
              <w:rPr>
                <w:rFonts w:ascii="Cambria" w:hAnsi="Cambria"/>
                <w:b w:val="0"/>
                <w:sz w:val="17"/>
              </w:rPr>
              <w:t>Research scholar indicators</w:t>
            </w:r>
          </w:p>
        </w:tc>
        <w:tc>
          <w:tcPr>
            <w:tcW w:type="dxa" w:w="1644"/>
          </w:tcPr>
          <w:p>
            <w:pPr>
              <w:spacing w:after="40" w:line="240" w:lineRule="auto"/>
              <w:jc w:val="left"/>
            </w:pPr>
            <w:r/>
            <w:r>
              <w:rPr>
                <w:rFonts w:ascii="Cambria" w:hAnsi="Cambria"/>
                <w:b w:val="0"/>
                <w:sz w:val="17"/>
              </w:rPr>
              <w:t>Doctoral program quality</w:t>
            </w:r>
          </w:p>
        </w:tc>
        <w:tc>
          <w:tcPr>
            <w:tcW w:type="dxa" w:w="2438"/>
          </w:tcPr>
          <w:p>
            <w:pPr>
              <w:spacing w:after="40" w:line="240" w:lineRule="auto"/>
              <w:jc w:val="left"/>
            </w:pPr>
            <w:r/>
            <w:r>
              <w:rPr>
                <w:rFonts w:ascii="Cambria" w:hAnsi="Cambria"/>
                <w:b w:val="0"/>
                <w:sz w:val="17"/>
              </w:rPr>
              <w:t>Research talent indicators</w:t>
            </w:r>
          </w:p>
        </w:tc>
      </w:tr>
    </w:tbl>
    <w:p>
      <w:pPr>
        <w:spacing w:after="120"/>
      </w:pPr>
    </w:p>
    <w:p>
      <w:pPr>
        <w:spacing w:after="160" w:line="276" w:lineRule="auto"/>
        <w:jc w:val="both"/>
      </w:pPr>
      <w:r>
        <w:rPr>
          <w:rFonts w:ascii="Cambria" w:hAnsi="Cambria"/>
          <w:b w:val="0"/>
          <w:i w:val="0"/>
          <w:sz w:val="22"/>
        </w:rPr>
        <w:t xml:space="preserve">Key Insight: </w:t>
      </w:r>
      <w:r>
        <w:rPr>
          <w:rFonts w:ascii="Cambria" w:hAnsi="Cambria"/>
          <w:b w:val="0"/>
          <w:i w:val="0"/>
          <w:sz w:val="22"/>
        </w:rPr>
        <w:t xml:space="preserve">This mapping demonstrates that the distributed custodianship model under the Dean </w:t>
      </w:r>
      <w:r>
        <w:rPr>
          <w:rFonts w:ascii="Cambria" w:hAnsi="Cambria"/>
          <w:b w:val="0"/>
          <w:i w:val="0"/>
          <w:sz w:val="22"/>
        </w:rPr>
        <w:t>– R&amp;D comprehensively addresses every major research-related parameter across all four accreditation and ranking frameworks, ensuring that no aspect of research governance is left unaddressed.</w:t>
      </w:r>
    </w:p>
    <w:p>
      <w:pPr>
        <w:pStyle w:val="ListBullet"/>
        <w:spacing w:after="80" w:line="276" w:lineRule="auto"/>
      </w:pPr>
      <w:r>
        <w:rPr>
          <w:rFonts w:ascii="Cambria" w:hAnsi="Cambria"/>
          <w:b w:val="0"/>
          <w:i w:val="0"/>
          <w:sz w:val="22"/>
        </w:rPr>
        <w:t>Every custodial role has a direct, traceable link to specific accreditation and ranking indicators.</w:t>
      </w:r>
    </w:p>
    <w:p>
      <w:pPr>
        <w:pStyle w:val="ListBullet"/>
        <w:spacing w:after="80" w:line="276" w:lineRule="auto"/>
      </w:pPr>
      <w:r>
        <w:rPr>
          <w:rFonts w:ascii="Cambria" w:hAnsi="Cambria"/>
          <w:b w:val="0"/>
          <w:i w:val="0"/>
          <w:sz w:val="22"/>
        </w:rPr>
        <w:t>The mapping enables systematic, audit-ready documentation for accreditation visits.</w:t>
      </w:r>
    </w:p>
    <w:p>
      <w:pPr>
        <w:pStyle w:val="ListBullet"/>
        <w:spacing w:after="80" w:line="276" w:lineRule="auto"/>
      </w:pPr>
      <w:r>
        <w:rPr>
          <w:rFonts w:ascii="Cambria" w:hAnsi="Cambria"/>
          <w:b w:val="0"/>
          <w:i w:val="0"/>
          <w:sz w:val="22"/>
        </w:rPr>
        <w:t>Continuous monitoring against this mapping drives sustained institutional improvement.</w:t>
      </w:r>
    </w:p>
    <w:p>
      <w:r>
        <w:br w:type="page"/>
      </w:r>
    </w:p>
    <w:p>
      <w:pPr>
        <w:pStyle w:val="Heading1"/>
      </w:pPr>
      <w:r>
        <w:rPr>
          <w:rFonts w:ascii="Cambria" w:hAnsi="Cambria"/>
          <w:b/>
          <w:color w:val="1F3A5F"/>
          <w:sz w:val="36"/>
        </w:rPr>
        <w:t>16. References</w:t>
      </w:r>
    </w:p>
    <w:p>
      <w:pPr>
        <w:spacing w:after="40"/>
        <w:ind w:left="340" w:hanging="340"/>
      </w:pPr>
      <w:r>
        <w:rPr>
          <w:rFonts w:ascii="Cambria" w:hAnsi="Cambria" w:eastAsia="Cambria"/>
          <w:sz w:val="20"/>
        </w:rPr>
        <w:t>1. Qualitative Metrics (QIM) and Quantitative Metrics (QnM) in Higher Educational Institutions (HEIs): As Applied in NAAC, NBA, and NIRF Frameworks, Kindle Edition, ASIN: B0F6CR212X</w:t>
      </w:r>
    </w:p>
    <w:p>
      <w:pPr>
        <w:spacing w:after="120"/>
        <w:ind w:left="340"/>
      </w:pPr>
      <w:r>
        <w:rPr>
          <w:rFonts w:ascii="Cambria" w:hAnsi="Cambria"/>
          <w:color w:val="0563C1"/>
          <w:sz w:val="20"/>
          <w:u w:val="single"/>
        </w:rPr>
        <w:t>https://amzn.in/d/gUWl02e</w:t>
      </w:r>
    </w:p>
    <w:p>
      <w:pPr>
        <w:spacing w:after="40"/>
        <w:ind w:left="340" w:hanging="340"/>
      </w:pPr>
      <w:r>
        <w:rPr>
          <w:rFonts w:ascii="Cambria" w:hAnsi="Cambria" w:eastAsia="Cambria"/>
          <w:sz w:val="20"/>
        </w:rPr>
        <w:t>2. Statutory and Non-Statutory Committees in Higher Educational Institutions (HEIs): Mandatory by regulatory bodies like AICTE, UGC, NAAC, NBA, etc. Kindle Edition, ASIN: B0F7GHJ863</w:t>
      </w:r>
    </w:p>
    <w:p>
      <w:pPr>
        <w:spacing w:after="120"/>
        <w:ind w:left="340"/>
      </w:pPr>
      <w:r>
        <w:rPr>
          <w:rFonts w:ascii="Cambria" w:hAnsi="Cambria"/>
          <w:color w:val="0563C1"/>
          <w:sz w:val="20"/>
          <w:u w:val="single"/>
        </w:rPr>
        <w:t>https://amzn.in/d/gf0LiBn</w:t>
      </w:r>
    </w:p>
    <w:p>
      <w:pPr>
        <w:spacing w:after="40"/>
        <w:ind w:left="340" w:hanging="340"/>
      </w:pPr>
      <w:r>
        <w:rPr>
          <w:rFonts w:ascii="Cambria" w:hAnsi="Cambria" w:eastAsia="Cambria"/>
          <w:sz w:val="20"/>
        </w:rPr>
        <w:t>3. Empowering Academic Skilling and Mathematical Modelling through Technical Computing Languages in Higher Education Institutions, Kindle Edition, ASIN: B0FC7TNZNG</w:t>
      </w:r>
    </w:p>
    <w:p>
      <w:pPr>
        <w:spacing w:after="120"/>
        <w:ind w:left="340"/>
      </w:pPr>
      <w:r>
        <w:rPr>
          <w:rFonts w:ascii="Cambria" w:hAnsi="Cambria"/>
          <w:color w:val="0563C1"/>
          <w:sz w:val="20"/>
          <w:u w:val="single"/>
        </w:rPr>
        <w:t>https://amzn.in/d/brIlQwZ</w:t>
      </w:r>
    </w:p>
    <w:p>
      <w:pPr>
        <w:spacing w:after="40"/>
        <w:ind w:left="340" w:hanging="340"/>
      </w:pPr>
      <w:r>
        <w:rPr>
          <w:rFonts w:ascii="Cambria" w:hAnsi="Cambria" w:eastAsia="Cambria"/>
          <w:sz w:val="20"/>
        </w:rPr>
        <w:t>4. Research and Development Transformation in Higher Education Institutions, Kindle Edition, ASIN: B0FB9QFS88</w:t>
      </w:r>
    </w:p>
    <w:p>
      <w:pPr>
        <w:spacing w:after="120"/>
        <w:ind w:left="340"/>
      </w:pPr>
      <w:r>
        <w:rPr>
          <w:rFonts w:ascii="Cambria" w:hAnsi="Cambria"/>
          <w:color w:val="0563C1"/>
          <w:sz w:val="20"/>
          <w:u w:val="single"/>
        </w:rPr>
        <w:t>https://amzn.in/d/1uOQZ0o</w:t>
      </w:r>
    </w:p>
    <w:p>
      <w:pPr>
        <w:spacing w:after="40"/>
        <w:ind w:left="340" w:hanging="340"/>
      </w:pPr>
      <w:r>
        <w:rPr>
          <w:rFonts w:ascii="Cambria" w:hAnsi="Cambria" w:eastAsia="Cambria"/>
          <w:sz w:val="20"/>
        </w:rPr>
        <w:t>5. Institutional Development Plans in Higher Education: Empowering Institutions for the 21st Century, Kindle Edition, ASIN: B0FDBV6D47</w:t>
      </w:r>
    </w:p>
    <w:p>
      <w:pPr>
        <w:spacing w:after="120"/>
        <w:ind w:left="340"/>
      </w:pPr>
      <w:r>
        <w:rPr>
          <w:rFonts w:ascii="Cambria" w:hAnsi="Cambria"/>
          <w:color w:val="0563C1"/>
          <w:sz w:val="20"/>
          <w:u w:val="single"/>
        </w:rPr>
        <w:t>https://amzn.in/d/ckm98I2</w:t>
      </w:r>
    </w:p>
    <w:p>
      <w:pPr>
        <w:spacing w:after="40"/>
        <w:ind w:left="340" w:hanging="340"/>
      </w:pPr>
      <w:r>
        <w:rPr>
          <w:rFonts w:ascii="Cambria" w:hAnsi="Cambria" w:eastAsia="Cambria"/>
          <w:sz w:val="20"/>
        </w:rPr>
        <w:t>6. Comprehensive Academic System in Higher Education Institutions, Kindle Edition, ASIN: B0FF2HDMSG</w:t>
      </w:r>
    </w:p>
    <w:p>
      <w:pPr>
        <w:spacing w:after="120"/>
        <w:ind w:left="340"/>
      </w:pPr>
      <w:r>
        <w:rPr>
          <w:rFonts w:ascii="Cambria" w:hAnsi="Cambria"/>
          <w:color w:val="0563C1"/>
          <w:sz w:val="20"/>
          <w:u w:val="single"/>
        </w:rPr>
        <w:t>https://amzn.in/d/dbPMaVL</w:t>
      </w:r>
    </w:p>
    <w:p>
      <w:pPr>
        <w:spacing w:after="40"/>
        <w:ind w:left="340" w:hanging="340"/>
      </w:pPr>
      <w:r>
        <w:rPr>
          <w:rFonts w:ascii="Cambria" w:hAnsi="Cambria" w:eastAsia="Cambria"/>
          <w:sz w:val="20"/>
        </w:rPr>
        <w:t>7. Structured Approaches to Teaching, Learning, and Student Engagement in HEIs, Kindle Edition, ASIN: B0DB8QK1B4</w:t>
      </w:r>
    </w:p>
    <w:p>
      <w:pPr>
        <w:spacing w:after="120"/>
        <w:ind w:left="340"/>
      </w:pPr>
      <w:r>
        <w:rPr>
          <w:rFonts w:ascii="Cambria" w:hAnsi="Cambria"/>
          <w:color w:val="0563C1"/>
          <w:sz w:val="20"/>
          <w:u w:val="single"/>
        </w:rPr>
        <w:t>https://amzn.in/d/7jNZrQo</w:t>
      </w:r>
    </w:p>
    <w:p>
      <w:pPr>
        <w:spacing w:after="40"/>
        <w:ind w:left="340" w:hanging="340"/>
      </w:pPr>
      <w:r>
        <w:rPr>
          <w:rFonts w:ascii="Cambria" w:hAnsi="Cambria" w:eastAsia="Cambria"/>
          <w:sz w:val="20"/>
        </w:rPr>
        <w:t>8. Admission Process in Indian Higher Education: A Comprehensive Institutional Guide, Kindle Edition, ASIN: B0FFNCPP6P</w:t>
      </w:r>
    </w:p>
    <w:p>
      <w:pPr>
        <w:spacing w:after="120"/>
        <w:ind w:left="340"/>
      </w:pPr>
      <w:r>
        <w:rPr>
          <w:rFonts w:ascii="Cambria" w:hAnsi="Cambria"/>
          <w:color w:val="0563C1"/>
          <w:sz w:val="20"/>
          <w:u w:val="single"/>
        </w:rPr>
        <w:t>https://amzn.in/d/0XO6APq</w:t>
      </w:r>
    </w:p>
    <w:p>
      <w:pPr>
        <w:spacing w:after="40"/>
        <w:ind w:left="340" w:hanging="340"/>
      </w:pPr>
      <w:r>
        <w:rPr>
          <w:rFonts w:ascii="Cambria" w:hAnsi="Cambria" w:eastAsia="Cambria"/>
          <w:sz w:val="20"/>
        </w:rPr>
        <w:t>9. Strategic Implementation of Best Practices in HEIs: Enhancing Quality, Innovation, and Impact, Kindle Edition, ASIN: B0CZP85QK7</w:t>
      </w:r>
    </w:p>
    <w:p>
      <w:pPr>
        <w:spacing w:after="120"/>
        <w:ind w:left="340"/>
      </w:pPr>
      <w:r>
        <w:rPr>
          <w:rFonts w:ascii="Cambria" w:hAnsi="Cambria"/>
          <w:color w:val="0563C1"/>
          <w:sz w:val="20"/>
          <w:u w:val="single"/>
        </w:rPr>
        <w:t>https://amzn.in/d/5uj5Lkb</w:t>
      </w:r>
    </w:p>
    <w:p>
      <w:pPr>
        <w:spacing w:after="40"/>
        <w:ind w:left="340" w:hanging="340"/>
      </w:pPr>
      <w:r>
        <w:rPr>
          <w:rFonts w:ascii="Cambria" w:hAnsi="Cambria" w:eastAsia="Cambria"/>
          <w:sz w:val="20"/>
        </w:rPr>
        <w:t>10. National Education Policy 2020: A Transformative Roadmap for Holistic, Inclusive, and Future-Ready Learning in India, Kindle Edition, ASIN: B0F1L321B6</w:t>
      </w:r>
    </w:p>
    <w:p>
      <w:pPr>
        <w:spacing w:after="120"/>
        <w:ind w:left="340"/>
      </w:pPr>
      <w:r>
        <w:rPr>
          <w:rFonts w:ascii="Cambria" w:hAnsi="Cambria"/>
          <w:color w:val="0563C1"/>
          <w:sz w:val="20"/>
          <w:u w:val="single"/>
        </w:rPr>
        <w:t>https://amzn.in/d/eugIo4y</w:t>
      </w:r>
    </w:p>
    <w:p>
      <w:pPr>
        <w:spacing w:after="40"/>
        <w:ind w:left="340" w:hanging="340"/>
      </w:pPr>
      <w:r>
        <w:rPr>
          <w:rFonts w:ascii="Cambria" w:hAnsi="Cambria" w:eastAsia="Cambria"/>
          <w:sz w:val="20"/>
        </w:rPr>
        <w:t>11. Outcome-Based Education in Higher Learning: Philosophy, Design, and Impact, Kindle Edition, ASIN: B0FPCB5GHH</w:t>
      </w:r>
    </w:p>
    <w:p>
      <w:pPr>
        <w:spacing w:after="120"/>
        <w:ind w:left="340"/>
      </w:pPr>
      <w:r>
        <w:rPr>
          <w:rFonts w:ascii="Cambria" w:hAnsi="Cambria"/>
          <w:color w:val="0563C1"/>
          <w:sz w:val="20"/>
          <w:u w:val="single"/>
        </w:rPr>
        <w:t>https://amzn.in/d/3oGmnue</w:t>
      </w:r>
    </w:p>
    <w:p>
      <w:pPr>
        <w:spacing w:after="40"/>
        <w:ind w:left="340" w:hanging="340"/>
      </w:pPr>
      <w:r>
        <w:rPr>
          <w:rFonts w:ascii="Cambria" w:hAnsi="Cambria" w:eastAsia="Cambria"/>
          <w:sz w:val="20"/>
        </w:rPr>
        <w:t>12. QS I-GAUGE: An Independent Rating Framework for Indian Higher Education, Kindle Edition, ASIN: B0FN4WBGLT</w:t>
      </w:r>
    </w:p>
    <w:p>
      <w:pPr>
        <w:spacing w:after="120"/>
        <w:ind w:left="340"/>
      </w:pPr>
      <w:r>
        <w:rPr>
          <w:rFonts w:ascii="Cambria" w:hAnsi="Cambria"/>
          <w:color w:val="0563C1"/>
          <w:sz w:val="20"/>
          <w:u w:val="single"/>
        </w:rPr>
        <w:t>https://amzn.in/d/2mlYjez</w:t>
      </w:r>
    </w:p>
    <w:p>
      <w:pPr>
        <w:spacing w:after="40"/>
        <w:ind w:left="340" w:hanging="340"/>
      </w:pPr>
      <w:r>
        <w:rPr>
          <w:rFonts w:ascii="Cambria" w:hAnsi="Cambria" w:eastAsia="Cambria"/>
          <w:sz w:val="20"/>
        </w:rPr>
        <w:t>13. NBA Accreditation Process for Tier-1 Institutions – Criterion 1: Outcome-Based Curriculum: Vision, Mission, PEOs, Curriculum Structure, CO–PO–PSO Mapping, and Articulation Framework, Kindle Edition, ASIN: B0FPDCG13D</w:t>
      </w:r>
    </w:p>
    <w:p>
      <w:pPr>
        <w:spacing w:after="120"/>
        <w:ind w:left="340"/>
      </w:pPr>
      <w:r>
        <w:rPr>
          <w:rFonts w:ascii="Cambria" w:hAnsi="Cambria"/>
          <w:color w:val="0563C1"/>
          <w:sz w:val="20"/>
          <w:u w:val="single"/>
        </w:rPr>
        <w:t>https://amzn.in/d/4fcc0jE</w:t>
      </w:r>
    </w:p>
    <w:p>
      <w:pPr>
        <w:spacing w:after="40"/>
        <w:ind w:left="340" w:hanging="340"/>
      </w:pPr>
      <w:r>
        <w:rPr>
          <w:rFonts w:ascii="Cambria" w:hAnsi="Cambria" w:eastAsia="Cambria"/>
          <w:sz w:val="20"/>
        </w:rPr>
        <w:t>14. NBA Accreditation Process for Tier-1 Institutions – Criterion 2: Outcome-Based Teaching–Learning (OBTL): A Framework of Systematic Processes, Evidence-Based Practices, and CQI in OBE Kindle Edition, ASIN: B0FPG4KFB1</w:t>
      </w:r>
    </w:p>
    <w:p>
      <w:pPr>
        <w:spacing w:after="120"/>
        <w:ind w:left="340"/>
      </w:pPr>
      <w:r>
        <w:rPr>
          <w:rFonts w:ascii="Cambria" w:hAnsi="Cambria"/>
          <w:color w:val="0563C1"/>
          <w:sz w:val="20"/>
          <w:u w:val="single"/>
        </w:rPr>
        <w:t>https://amzn.in/d/g1bchNl</w:t>
      </w:r>
    </w:p>
    <w:p>
      <w:pPr>
        <w:spacing w:after="40"/>
        <w:ind w:left="340" w:hanging="340"/>
      </w:pPr>
      <w:r>
        <w:rPr>
          <w:rFonts w:ascii="Cambria" w:hAnsi="Cambria" w:eastAsia="Cambria"/>
          <w:sz w:val="20"/>
        </w:rPr>
        <w:t>15. Systematic and Transparent Feedback Mechanism in Higher Education Institutions: Ensuring Continuous Quality Improvement (CQI) and Strengthening NAAC/NBA Accreditation Kindle Edition, ASIN: B0FPGJ77RC</w:t>
      </w:r>
    </w:p>
    <w:p>
      <w:pPr>
        <w:spacing w:after="120"/>
        <w:ind w:left="340"/>
      </w:pPr>
      <w:r>
        <w:rPr>
          <w:rFonts w:ascii="Cambria" w:hAnsi="Cambria"/>
          <w:color w:val="0563C1"/>
          <w:sz w:val="20"/>
          <w:u w:val="single"/>
        </w:rPr>
        <w:t>https://amzn.in/d/emeRiJ3</w:t>
      </w:r>
    </w:p>
    <w:p>
      <w:pPr>
        <w:spacing w:after="40"/>
        <w:ind w:left="340" w:hanging="340"/>
      </w:pPr>
      <w:r>
        <w:rPr>
          <w:rFonts w:ascii="Cambria" w:hAnsi="Cambria" w:eastAsia="Cambria"/>
          <w:sz w:val="20"/>
        </w:rPr>
        <w:t>16. Internal Quality Assurance Cell (IQAC): A Framework for Sustaining and Enhancing Quality in Higher Education Kindle Edition, ASIN: B0FPLRX4YF</w:t>
      </w:r>
    </w:p>
    <w:p>
      <w:pPr>
        <w:spacing w:after="120"/>
        <w:ind w:left="340"/>
      </w:pPr>
      <w:r>
        <w:rPr>
          <w:rFonts w:ascii="Cambria" w:hAnsi="Cambria"/>
          <w:color w:val="0563C1"/>
          <w:sz w:val="20"/>
          <w:u w:val="single"/>
        </w:rPr>
        <w:t>https://amzn.in/d/8n5aQRb</w:t>
      </w:r>
    </w:p>
    <w:p>
      <w:pPr>
        <w:spacing w:after="40"/>
        <w:ind w:left="340" w:hanging="340"/>
      </w:pPr>
      <w:r>
        <w:rPr>
          <w:rFonts w:ascii="Cambria" w:hAnsi="Cambria" w:eastAsia="Cambria"/>
          <w:sz w:val="20"/>
        </w:rPr>
        <w:t>17. Comprehensive Guide for Teaching-Learning and Evaluation under NAAC Accreditation – Criterion 2 for Higher Education Institutions Kindle Edition, ASIN: B0FPRBZ2JH</w:t>
      </w:r>
    </w:p>
    <w:p>
      <w:pPr>
        <w:spacing w:after="120"/>
        <w:ind w:left="340"/>
      </w:pPr>
      <w:r>
        <w:rPr>
          <w:rFonts w:ascii="Cambria" w:hAnsi="Cambria"/>
          <w:color w:val="0563C1"/>
          <w:sz w:val="20"/>
          <w:u w:val="single"/>
        </w:rPr>
        <w:t>https://amzn.in/d/37LtI4z</w:t>
      </w:r>
    </w:p>
    <w:p>
      <w:pPr>
        <w:spacing w:after="40"/>
        <w:ind w:left="340" w:hanging="340"/>
      </w:pPr>
      <w:r>
        <w:rPr>
          <w:rFonts w:ascii="Cambria" w:hAnsi="Cambria" w:eastAsia="Cambria"/>
          <w:sz w:val="20"/>
        </w:rPr>
        <w:t>18. Curricular Aspects under NAAC Accreditation – Criterion 1 for Higher Education Institutions: Ensuring Academic Flexibility, Curriculum Enrichment, and Alignment with NEP 2020 Kindle Edition, ASIN: B0FPR342MM</w:t>
      </w:r>
    </w:p>
    <w:p>
      <w:pPr>
        <w:spacing w:after="120"/>
        <w:ind w:left="340"/>
      </w:pPr>
      <w:r>
        <w:rPr>
          <w:rFonts w:ascii="Cambria" w:hAnsi="Cambria"/>
          <w:color w:val="0563C1"/>
          <w:sz w:val="20"/>
          <w:u w:val="single"/>
        </w:rPr>
        <w:t>https://amzn.in/d/0S10khp</w:t>
      </w:r>
    </w:p>
    <w:p>
      <w:pPr>
        <w:spacing w:after="40"/>
        <w:ind w:left="340" w:hanging="340"/>
      </w:pPr>
      <w:r>
        <w:rPr>
          <w:rFonts w:ascii="Cambria" w:hAnsi="Cambria" w:eastAsia="Cambria"/>
          <w:sz w:val="20"/>
        </w:rPr>
        <w:t>19. National Institutional Ranking Framework (NIRF): Transforming Indian Higher Education: A Comprehensive Analysis of Methodology, Parameters, and Impact, Kindle Edition, ASIN: B0FQ5MNVGR</w:t>
      </w:r>
    </w:p>
    <w:p>
      <w:pPr>
        <w:spacing w:after="120"/>
        <w:ind w:left="340"/>
      </w:pPr>
      <w:r>
        <w:rPr>
          <w:rFonts w:ascii="Cambria" w:hAnsi="Cambria"/>
          <w:color w:val="0563C1"/>
          <w:sz w:val="20"/>
          <w:u w:val="single"/>
        </w:rPr>
        <w:t>https://amzn.in/d/hhrZvux</w:t>
      </w:r>
    </w:p>
    <w:p>
      <w:pPr>
        <w:spacing w:after="40"/>
        <w:ind w:left="340" w:hanging="340"/>
      </w:pPr>
      <w:r>
        <w:rPr>
          <w:rFonts w:ascii="Cambria" w:hAnsi="Cambria" w:eastAsia="Cambria"/>
          <w:sz w:val="20"/>
        </w:rPr>
        <w:t>20. NBA Accreditation Process for Tier-1 Institutions – Criterion 3: Outcome-Based Assessment: Framework for Evaluating COs, POs, and PSOs in Compliance with NBA Accreditation Standards, Kindle Edition, ASIN: B0FQBQ21S1</w:t>
      </w:r>
    </w:p>
    <w:p>
      <w:pPr>
        <w:spacing w:after="120"/>
        <w:ind w:left="340"/>
      </w:pPr>
      <w:r>
        <w:rPr>
          <w:rFonts w:ascii="Cambria" w:hAnsi="Cambria"/>
          <w:color w:val="0563C1"/>
          <w:sz w:val="20"/>
          <w:u w:val="single"/>
        </w:rPr>
        <w:t>https://amzn.in/d/a2nGhnx</w:t>
      </w:r>
    </w:p>
    <w:p>
      <w:pPr>
        <w:spacing w:after="40"/>
        <w:ind w:left="340" w:hanging="340"/>
      </w:pPr>
      <w:r>
        <w:rPr>
          <w:rFonts w:ascii="Cambria" w:hAnsi="Cambria" w:eastAsia="Cambria"/>
          <w:sz w:val="20"/>
        </w:rPr>
        <w:t>21. NBA Accreditation Process for Tier-1 Institutions – Criterion 9: Student Support System and Governance: A Framework for Student Support, Governance, and Institutional Accountability in HEIs, Kindle Edition, ASIN: B0FQJ2KHPC</w:t>
      </w:r>
    </w:p>
    <w:p>
      <w:pPr>
        <w:spacing w:after="120"/>
        <w:ind w:left="340"/>
      </w:pPr>
      <w:r>
        <w:rPr>
          <w:rFonts w:ascii="Cambria" w:hAnsi="Cambria"/>
          <w:color w:val="0563C1"/>
          <w:sz w:val="20"/>
          <w:u w:val="single"/>
        </w:rPr>
        <w:t>https://amzn.in/d/dYBQik0</w:t>
      </w:r>
    </w:p>
    <w:p>
      <w:pPr>
        <w:spacing w:after="40"/>
        <w:ind w:left="340" w:hanging="340"/>
      </w:pPr>
      <w:r>
        <w:rPr>
          <w:rFonts w:ascii="Cambria" w:hAnsi="Cambria" w:eastAsia="Cambria"/>
          <w:sz w:val="20"/>
        </w:rPr>
        <w:t>22. NBA Accreditation Process for Tier-1 Institutions – Criterion 8: Continuous Improvement: Closing the Loop in Outcome-Based Education for Quality Enhancement, Kindle Edition, ASIN: B0FQJ75CNV</w:t>
      </w:r>
    </w:p>
    <w:p>
      <w:pPr>
        <w:spacing w:after="120"/>
        <w:ind w:left="340"/>
      </w:pPr>
      <w:r>
        <w:rPr>
          <w:rFonts w:ascii="Cambria" w:hAnsi="Cambria"/>
          <w:color w:val="0563C1"/>
          <w:sz w:val="20"/>
          <w:u w:val="single"/>
        </w:rPr>
        <w:t>https://amzn.in/d/1Vco5Ye</w:t>
      </w:r>
    </w:p>
    <w:p>
      <w:pPr>
        <w:spacing w:after="40"/>
        <w:ind w:left="340" w:hanging="340"/>
      </w:pPr>
      <w:r>
        <w:rPr>
          <w:rFonts w:ascii="Cambria" w:hAnsi="Cambria" w:eastAsia="Cambria"/>
          <w:sz w:val="20"/>
        </w:rPr>
        <w:t>23. Holistic Performance Appraisal and Development: Driving Continuous Quality in Higher Education Institutions, Kindle Edition, ASIN: B0FQN2S8WH</w:t>
      </w:r>
    </w:p>
    <w:p>
      <w:pPr>
        <w:spacing w:after="120"/>
        <w:ind w:left="340"/>
      </w:pPr>
      <w:r>
        <w:rPr>
          <w:rFonts w:ascii="Cambria" w:hAnsi="Cambria"/>
          <w:color w:val="0563C1"/>
          <w:sz w:val="20"/>
          <w:u w:val="single"/>
        </w:rPr>
        <w:t>https://amzn.in/d/bipHsu8</w:t>
      </w:r>
    </w:p>
    <w:p>
      <w:pPr>
        <w:spacing w:after="40"/>
        <w:ind w:left="340" w:hanging="340"/>
      </w:pPr>
      <w:r>
        <w:rPr>
          <w:rFonts w:ascii="Cambria" w:hAnsi="Cambria" w:eastAsia="Cambria"/>
          <w:sz w:val="20"/>
        </w:rPr>
        <w:t>24. NBA Accreditation Process for Tier-1 Institutions – Criterion 7: Facilities and Technical Support: A Comprehensive Guide to Facilities, Laboratories, and Technical Support in Accreditation, Kindle Edition, ASIN: B0FQPHYBRC</w:t>
      </w:r>
    </w:p>
    <w:p>
      <w:pPr>
        <w:spacing w:after="120"/>
        <w:ind w:left="340"/>
      </w:pPr>
      <w:r>
        <w:rPr>
          <w:rFonts w:ascii="Cambria" w:hAnsi="Cambria"/>
          <w:color w:val="0563C1"/>
          <w:sz w:val="20"/>
          <w:u w:val="single"/>
        </w:rPr>
        <w:t>https://amzn.in/d/9kAkdLZ</w:t>
      </w:r>
    </w:p>
    <w:p>
      <w:pPr>
        <w:spacing w:after="40"/>
        <w:ind w:left="340" w:hanging="340"/>
      </w:pPr>
      <w:r>
        <w:rPr>
          <w:rFonts w:ascii="Cambria" w:hAnsi="Cambria" w:eastAsia="Cambria"/>
          <w:sz w:val="20"/>
        </w:rPr>
        <w:t>25. Comprehensive Code of Ethics and Conduct for Students in Higher Education Institutions, Kindle Edition, ASIN: B0FQS7V248</w:t>
      </w:r>
    </w:p>
    <w:p>
      <w:pPr>
        <w:spacing w:after="120"/>
        <w:ind w:left="340"/>
      </w:pPr>
      <w:r>
        <w:rPr>
          <w:rFonts w:ascii="Cambria" w:hAnsi="Cambria"/>
          <w:color w:val="0563C1"/>
          <w:sz w:val="20"/>
          <w:u w:val="single"/>
        </w:rPr>
        <w:t>https://amzn.in/d/6jfKQnI</w:t>
      </w:r>
    </w:p>
    <w:p>
      <w:pPr>
        <w:spacing w:after="40"/>
        <w:ind w:left="340" w:hanging="340"/>
      </w:pPr>
      <w:r>
        <w:rPr>
          <w:rFonts w:ascii="Cambria" w:hAnsi="Cambria" w:eastAsia="Cambria"/>
          <w:sz w:val="20"/>
        </w:rPr>
        <w:t>26. Industry Internship Program: Structure, Guidelines, and Evaluation Framework: Enhancing Employability and Industry Linkages in HEIs, Kindle Edition, ASIN: B0FQLF8385</w:t>
      </w:r>
    </w:p>
    <w:p>
      <w:pPr>
        <w:spacing w:after="120"/>
        <w:ind w:left="340"/>
      </w:pPr>
      <w:r>
        <w:rPr>
          <w:rFonts w:ascii="Cambria" w:hAnsi="Cambria"/>
          <w:color w:val="0563C1"/>
          <w:sz w:val="20"/>
          <w:u w:val="single"/>
        </w:rPr>
        <w:t>https://amzn.in/d/8scRAIj</w:t>
      </w:r>
    </w:p>
    <w:p>
      <w:pPr>
        <w:spacing w:after="40"/>
        <w:ind w:left="340" w:hanging="340"/>
      </w:pPr>
      <w:r>
        <w:rPr>
          <w:rFonts w:ascii="Cambria" w:hAnsi="Cambria" w:eastAsia="Cambria"/>
          <w:sz w:val="20"/>
        </w:rPr>
        <w:t>27. Energy Management and Audit in Indian Educational Institutions: A Blueprint for Sustainable Growth: Mapping Institutional Energy Management to NAAC Criteria, SDG Goals, and QS I-GAUGE Standards, Kindle Edition, ASIN: B0FQZNSBJ5</w:t>
      </w:r>
    </w:p>
    <w:p>
      <w:pPr>
        <w:spacing w:after="120"/>
        <w:ind w:left="340"/>
      </w:pPr>
      <w:r>
        <w:rPr>
          <w:rFonts w:ascii="Cambria" w:hAnsi="Cambria"/>
          <w:color w:val="0563C1"/>
          <w:sz w:val="20"/>
          <w:u w:val="single"/>
        </w:rPr>
        <w:t>https://amzn.in/d/eKx5NC9</w:t>
      </w:r>
    </w:p>
    <w:p>
      <w:pPr>
        <w:spacing w:after="40"/>
        <w:ind w:left="340" w:hanging="340"/>
      </w:pPr>
      <w:r>
        <w:rPr>
          <w:rFonts w:ascii="Cambria" w:hAnsi="Cambria" w:eastAsia="Cambria"/>
          <w:sz w:val="20"/>
        </w:rPr>
        <w:t>28. Financial Operations and Management Policy in Higher Education Institutions: A Comprehensive Framework Linking Finance Policy to NAAC, NBA, NIRF, QS I-GAUGE, and SDGs, Kindle Edition, ASIN: B0FR1P216J</w:t>
      </w:r>
    </w:p>
    <w:p>
      <w:pPr>
        <w:spacing w:after="120"/>
        <w:ind w:left="340"/>
      </w:pPr>
      <w:r>
        <w:rPr>
          <w:rFonts w:ascii="Cambria" w:hAnsi="Cambria"/>
          <w:color w:val="0563C1"/>
          <w:sz w:val="20"/>
          <w:u w:val="single"/>
        </w:rPr>
        <w:t>https://amzn.in/d/8st88zc</w:t>
      </w:r>
    </w:p>
    <w:p>
      <w:pPr>
        <w:spacing w:after="40"/>
        <w:ind w:left="340" w:hanging="340"/>
      </w:pPr>
      <w:r>
        <w:rPr>
          <w:rFonts w:ascii="Cambria" w:hAnsi="Cambria" w:eastAsia="Cambria"/>
          <w:sz w:val="20"/>
        </w:rPr>
        <w:t>29. NBA Accreditation Process for Tier-1 Institutions – Criterion 6: Faculty Contribution: Recognizing Professional Development, Research, and Institutional Growth, Kindle Edition, ASIN: B0FR1JLR73</w:t>
      </w:r>
    </w:p>
    <w:p>
      <w:pPr>
        <w:spacing w:after="120"/>
        <w:ind w:left="340"/>
      </w:pPr>
      <w:r>
        <w:rPr>
          <w:rFonts w:ascii="Cambria" w:hAnsi="Cambria"/>
          <w:color w:val="0563C1"/>
          <w:sz w:val="20"/>
          <w:u w:val="single"/>
        </w:rPr>
        <w:t>https://amzn.in/d/98KXO4k</w:t>
      </w:r>
    </w:p>
    <w:p>
      <w:pPr>
        <w:spacing w:after="40"/>
        <w:ind w:left="340" w:hanging="340"/>
      </w:pPr>
      <w:r>
        <w:rPr>
          <w:rFonts w:ascii="Cambria" w:hAnsi="Cambria" w:eastAsia="Cambria"/>
          <w:sz w:val="20"/>
        </w:rPr>
        <w:t>30. Comprehensive Policy Framework for Sustainable Water Management, Conservation, and Auditing in Higher Education Institutions, Kindle Edition, ASIN: B0FR31X1BC</w:t>
      </w:r>
    </w:p>
    <w:p>
      <w:pPr>
        <w:spacing w:after="120"/>
        <w:ind w:left="340"/>
      </w:pPr>
      <w:r>
        <w:rPr>
          <w:rFonts w:ascii="Cambria" w:hAnsi="Cambria"/>
          <w:color w:val="0563C1"/>
          <w:sz w:val="20"/>
          <w:u w:val="single"/>
        </w:rPr>
        <w:t>https://amzn.in/d/3i40Lf1</w:t>
      </w:r>
    </w:p>
    <w:p>
      <w:pPr>
        <w:spacing w:after="40"/>
        <w:ind w:left="340" w:hanging="340"/>
      </w:pPr>
      <w:r>
        <w:rPr>
          <w:rFonts w:ascii="Cambria" w:hAnsi="Cambria" w:eastAsia="Cambria"/>
          <w:sz w:val="20"/>
        </w:rPr>
        <w:t>31. NBA Accreditation Process for Tier-1 Institutions – Criterion 5: Faculty Information: Evaluating Faculty Strength, Qualifications, and Development in Higher Education Institutions, Kindle Edition, ASIN: B0FR3DBZ3B</w:t>
      </w:r>
    </w:p>
    <w:p>
      <w:pPr>
        <w:spacing w:after="120"/>
        <w:ind w:left="340"/>
      </w:pPr>
      <w:r>
        <w:rPr>
          <w:rFonts w:ascii="Cambria" w:hAnsi="Cambria"/>
          <w:color w:val="0563C1"/>
          <w:sz w:val="20"/>
          <w:u w:val="single"/>
        </w:rPr>
        <w:t>https://amzn.in/d/a1344lj</w:t>
      </w:r>
    </w:p>
    <w:p>
      <w:pPr>
        <w:spacing w:after="40"/>
        <w:ind w:left="340" w:hanging="340"/>
      </w:pPr>
      <w:r>
        <w:rPr>
          <w:rFonts w:ascii="Cambria" w:hAnsi="Cambria" w:eastAsia="Cambria"/>
          <w:sz w:val="20"/>
        </w:rPr>
        <w:t>32. NBA Accreditation Process for Tier-1 Institutions – Criterion 4: Students' Performance: Evaluating Enrolment, Academic Success, and Career Outcomes in Higher Education, Kindle Edition, ASIN: B0FR3JHMXS</w:t>
      </w:r>
    </w:p>
    <w:p>
      <w:pPr>
        <w:spacing w:after="120"/>
        <w:ind w:left="340"/>
      </w:pPr>
      <w:r>
        <w:rPr>
          <w:rFonts w:ascii="Cambria" w:hAnsi="Cambria"/>
          <w:color w:val="0563C1"/>
          <w:sz w:val="20"/>
          <w:u w:val="single"/>
        </w:rPr>
        <w:t>https://amzn.in/d/dry9lRW</w:t>
      </w:r>
    </w:p>
    <w:p>
      <w:pPr>
        <w:spacing w:after="40"/>
        <w:ind w:left="340" w:hanging="340"/>
      </w:pPr>
      <w:r>
        <w:rPr>
          <w:rFonts w:ascii="Cambria" w:hAnsi="Cambria" w:eastAsia="Cambria"/>
          <w:sz w:val="20"/>
        </w:rPr>
        <w:t>33. Comprehensive Framework for Student Grievance, Counselling, Anti-Ragging, and Internal Complaints in HEIs: Mapping Student Support and Protection Mechanisms to NAAC, NBA, NIRF, QS I-GAUGE, and SDGs, Kindle Edition, ASIN: B0FR58L1G8</w:t>
      </w:r>
    </w:p>
    <w:p>
      <w:pPr>
        <w:spacing w:after="120"/>
        <w:ind w:left="340"/>
      </w:pPr>
      <w:r>
        <w:rPr>
          <w:rFonts w:ascii="Cambria" w:hAnsi="Cambria"/>
          <w:color w:val="0563C1"/>
          <w:sz w:val="20"/>
          <w:u w:val="single"/>
        </w:rPr>
        <w:t>https://amzn.in/d/gXvdCpx</w:t>
      </w:r>
    </w:p>
    <w:p>
      <w:pPr>
        <w:spacing w:after="40"/>
        <w:ind w:left="340" w:hanging="340"/>
      </w:pPr>
      <w:r>
        <w:rPr>
          <w:rFonts w:ascii="Cambria" w:hAnsi="Cambria" w:eastAsia="Cambria"/>
          <w:sz w:val="20"/>
        </w:rPr>
        <w:t>34. Student Affairs Policy for Higher Education Institutions (HEIs): Aligning Student Development with NAAC, NBA, NIRF, QS I-GAUGE, and SDG Standards, Kindle Edition, ASIN: B0FR4GW6RB</w:t>
      </w:r>
    </w:p>
    <w:p>
      <w:pPr>
        <w:spacing w:after="120"/>
        <w:ind w:left="340"/>
      </w:pPr>
      <w:r>
        <w:rPr>
          <w:rFonts w:ascii="Cambria" w:hAnsi="Cambria"/>
          <w:color w:val="0563C1"/>
          <w:sz w:val="20"/>
          <w:u w:val="single"/>
        </w:rPr>
        <w:t>https://amzn.in/d/2zTHV0B</w:t>
      </w:r>
    </w:p>
    <w:p>
      <w:pPr>
        <w:spacing w:after="40"/>
        <w:ind w:left="340" w:hanging="340"/>
      </w:pPr>
      <w:r>
        <w:rPr>
          <w:rFonts w:ascii="Cambria" w:hAnsi="Cambria" w:eastAsia="Cambria"/>
          <w:sz w:val="20"/>
        </w:rPr>
        <w:t>35. Comprehensive Guide for Institutional Values and Best Practices under NAAC Accreditation – Criterion 7 for Higher Education Institutions: Frameworks, Case Studies, and Evidence for Quality Assurance, Kindle Edition, ASIN: B0FR7WJQJ2</w:t>
      </w:r>
    </w:p>
    <w:p>
      <w:pPr>
        <w:spacing w:after="120"/>
        <w:ind w:left="340"/>
      </w:pPr>
      <w:r>
        <w:rPr>
          <w:rFonts w:ascii="Cambria" w:hAnsi="Cambria"/>
          <w:color w:val="0563C1"/>
          <w:sz w:val="20"/>
          <w:u w:val="single"/>
        </w:rPr>
        <w:t>https://amzn.in/d/6gMGSy4</w:t>
      </w:r>
    </w:p>
    <w:p>
      <w:pPr>
        <w:spacing w:after="40"/>
        <w:ind w:left="340" w:hanging="340"/>
      </w:pPr>
      <w:r>
        <w:rPr>
          <w:rFonts w:ascii="Cambria" w:hAnsi="Cambria" w:eastAsia="Cambria"/>
          <w:sz w:val="20"/>
        </w:rPr>
        <w:t>36. Comprehensive Guide for Governance, Leadership and Management under NAAC Accreditation – Criterion 6 for Higher Education Institutions, Kindle Edition, ASIN: B0FR8KKXS4</w:t>
      </w:r>
    </w:p>
    <w:p>
      <w:pPr>
        <w:spacing w:after="120"/>
        <w:ind w:left="340"/>
      </w:pPr>
      <w:r>
        <w:rPr>
          <w:rFonts w:ascii="Cambria" w:hAnsi="Cambria"/>
          <w:color w:val="0563C1"/>
          <w:sz w:val="20"/>
          <w:u w:val="single"/>
        </w:rPr>
        <w:t>https://amzn.in/d/5dscvoN</w:t>
      </w:r>
    </w:p>
    <w:p>
      <w:pPr>
        <w:spacing w:after="40"/>
        <w:ind w:left="340" w:hanging="340"/>
      </w:pPr>
      <w:r>
        <w:rPr>
          <w:rFonts w:ascii="Cambria" w:hAnsi="Cambria" w:eastAsia="Cambria"/>
          <w:sz w:val="20"/>
        </w:rPr>
        <w:t>37. Comprehensive Guide for Research, Innovations, and Extension under NAAC Accreditation – Criterion 3 for Higher Education Institutions: Quality Assurance in Research, Innovation, and Extension, Kindle Edition, ASIN: B0FR9GFTST</w:t>
      </w:r>
    </w:p>
    <w:p>
      <w:pPr>
        <w:spacing w:after="120"/>
        <w:ind w:left="340"/>
      </w:pPr>
      <w:r>
        <w:rPr>
          <w:rFonts w:ascii="Cambria" w:hAnsi="Cambria"/>
          <w:color w:val="0563C1"/>
          <w:sz w:val="20"/>
          <w:u w:val="single"/>
        </w:rPr>
        <w:t>https://amzn.in/d/06MFYRq</w:t>
      </w:r>
    </w:p>
    <w:p>
      <w:pPr>
        <w:spacing w:after="40"/>
        <w:ind w:left="340" w:hanging="340"/>
      </w:pPr>
      <w:r>
        <w:rPr>
          <w:rFonts w:ascii="Cambria" w:hAnsi="Cambria" w:eastAsia="Cambria"/>
          <w:sz w:val="20"/>
        </w:rPr>
        <w:t>38. Comprehensive Guide for Student Support and Progression under NAAC Accreditation – Criterion 5 for Higher Education Institutions, Kindle Edition, ASIN: B0FRDZKYNG</w:t>
      </w:r>
    </w:p>
    <w:p>
      <w:pPr>
        <w:spacing w:after="120"/>
        <w:ind w:left="340"/>
      </w:pPr>
      <w:r>
        <w:rPr>
          <w:rFonts w:ascii="Cambria" w:hAnsi="Cambria"/>
          <w:color w:val="0563C1"/>
          <w:sz w:val="20"/>
          <w:u w:val="single"/>
        </w:rPr>
        <w:t>https://amzn.in/d/3zP8hvF</w:t>
      </w:r>
    </w:p>
    <w:p>
      <w:pPr>
        <w:spacing w:after="40"/>
        <w:ind w:left="340" w:hanging="340"/>
      </w:pPr>
      <w:r>
        <w:rPr>
          <w:rFonts w:ascii="Cambria" w:hAnsi="Cambria" w:eastAsia="Cambria"/>
          <w:sz w:val="20"/>
        </w:rPr>
        <w:t>39. Comprehensive Guide for Infrastructure and Learning Resources under NAAC Accreditation – Criterion 4 for Higher Education Institutions: Sustainable, Inclusive, and Future-Ready Learning Ecosystems, Kindle Edition, ASIN: B0FRFFRDPB</w:t>
      </w:r>
    </w:p>
    <w:p>
      <w:pPr>
        <w:spacing w:after="120"/>
        <w:ind w:left="340"/>
      </w:pPr>
      <w:r>
        <w:rPr>
          <w:rFonts w:ascii="Cambria" w:hAnsi="Cambria"/>
          <w:color w:val="0563C1"/>
          <w:sz w:val="20"/>
          <w:u w:val="single"/>
        </w:rPr>
        <w:t>https://amzn.in/d/5xIUunj</w:t>
      </w:r>
    </w:p>
    <w:p>
      <w:pPr>
        <w:spacing w:after="40"/>
        <w:ind w:left="340" w:hanging="340"/>
      </w:pPr>
      <w:r>
        <w:rPr>
          <w:rFonts w:ascii="Cambria" w:hAnsi="Cambria" w:eastAsia="Cambria"/>
          <w:sz w:val="20"/>
        </w:rPr>
        <w:t>40. Extension and Outreach Services in Higher Education: Leadership, Governance, and Community Engagement Strategies, Kindle Edition, ASIN: B0FRLHXR1G</w:t>
      </w:r>
    </w:p>
    <w:p>
      <w:pPr>
        <w:spacing w:after="120"/>
        <w:ind w:left="340"/>
      </w:pPr>
      <w:r>
        <w:rPr>
          <w:rFonts w:ascii="Cambria" w:hAnsi="Cambria"/>
          <w:color w:val="0563C1"/>
          <w:sz w:val="20"/>
          <w:u w:val="single"/>
        </w:rPr>
        <w:t>https://amzn.in/d/9NE2wGs</w:t>
      </w:r>
    </w:p>
    <w:p>
      <w:pPr>
        <w:spacing w:after="40"/>
        <w:ind w:left="340" w:hanging="340"/>
      </w:pPr>
      <w:r>
        <w:rPr>
          <w:rFonts w:ascii="Cambria" w:hAnsi="Cambria" w:eastAsia="Cambria"/>
          <w:sz w:val="20"/>
        </w:rPr>
        <w:t>41. Central Library: Policies, Procedures, and Best Practices in Higher Education Institutions: Aligning with NAAC, NIRF, NBA, and QS-I Gauge Standards, Kindle Edition, ASIN: B0FRMKX2BX</w:t>
      </w:r>
    </w:p>
    <w:p>
      <w:pPr>
        <w:spacing w:after="120"/>
        <w:ind w:left="340"/>
      </w:pPr>
      <w:r>
        <w:rPr>
          <w:rFonts w:ascii="Cambria" w:hAnsi="Cambria"/>
          <w:color w:val="0563C1"/>
          <w:sz w:val="20"/>
          <w:u w:val="single"/>
        </w:rPr>
        <w:t>https://amzn.in/d/9Qfr8S0</w:t>
      </w:r>
    </w:p>
    <w:p>
      <w:pPr>
        <w:spacing w:after="40"/>
        <w:ind w:left="340" w:hanging="340"/>
      </w:pPr>
      <w:r>
        <w:rPr>
          <w:rFonts w:ascii="Cambria" w:hAnsi="Cambria" w:eastAsia="Cambria"/>
          <w:sz w:val="20"/>
        </w:rPr>
        <w:t>42. Institutional Policy on Publishing in Higher Education Institutions: Frameworks, Standards, and Best Practices for NAAC, NBA, NIRF, and QS I-GAUGE Compliance, Kindle Edition, ASIN: B0FRRBM6HD</w:t>
      </w:r>
    </w:p>
    <w:p>
      <w:pPr>
        <w:spacing w:after="120"/>
        <w:ind w:left="340"/>
      </w:pPr>
      <w:r>
        <w:rPr>
          <w:rFonts w:ascii="Cambria" w:hAnsi="Cambria"/>
          <w:color w:val="0563C1"/>
          <w:sz w:val="20"/>
          <w:u w:val="single"/>
        </w:rPr>
        <w:t>https://amzn.in/d/0bYPpGu</w:t>
      </w:r>
    </w:p>
    <w:p>
      <w:pPr>
        <w:spacing w:after="40"/>
        <w:ind w:left="340" w:hanging="340"/>
      </w:pPr>
      <w:r>
        <w:rPr>
          <w:rFonts w:ascii="Cambria" w:hAnsi="Cambria" w:eastAsia="Cambria"/>
          <w:sz w:val="20"/>
        </w:rPr>
        <w:t>43. IT Services in Higher Education Institutions (HEIs): Policies, Registers, and Best Practices: Aligning IT Services in HEIs with NAAC, NBA, NIRF, and QS I-GAUGE Accreditation Frameworks, Kindle Edition, ASIN: B0FRRD3W8C</w:t>
      </w:r>
    </w:p>
    <w:p>
      <w:pPr>
        <w:spacing w:after="120"/>
        <w:ind w:left="340"/>
      </w:pPr>
      <w:r>
        <w:rPr>
          <w:rFonts w:ascii="Cambria" w:hAnsi="Cambria"/>
          <w:color w:val="0563C1"/>
          <w:sz w:val="20"/>
          <w:u w:val="single"/>
        </w:rPr>
        <w:t>https://amzn.in/d/5wXPUFs</w:t>
      </w:r>
    </w:p>
    <w:p>
      <w:pPr>
        <w:spacing w:after="40"/>
        <w:ind w:left="340" w:hanging="340"/>
      </w:pPr>
      <w:r>
        <w:rPr>
          <w:rFonts w:ascii="Cambria" w:hAnsi="Cambria" w:eastAsia="Cambria"/>
          <w:sz w:val="20"/>
        </w:rPr>
        <w:t>44. Dean of Academic Affairs: Custodian of Academic Excellence: The Role of the Dean and Associate Deans in Governance, Quality, and Global Benchmarks, Kindle Edition, ASIN: B0FRY8N2SD</w:t>
      </w:r>
    </w:p>
    <w:p>
      <w:pPr>
        <w:spacing w:after="120"/>
        <w:ind w:left="340"/>
      </w:pPr>
      <w:r>
        <w:rPr>
          <w:rFonts w:ascii="Cambria" w:hAnsi="Cambria"/>
          <w:color w:val="0563C1"/>
          <w:sz w:val="20"/>
          <w:u w:val="single"/>
        </w:rPr>
        <w:t>https://amzn.in/d/6Fh0u3I</w:t>
      </w:r>
    </w:p>
    <w:p>
      <w:pPr>
        <w:spacing w:after="40"/>
        <w:ind w:left="340" w:hanging="340"/>
      </w:pPr>
      <w:r>
        <w:rPr>
          <w:rFonts w:ascii="Cambria" w:hAnsi="Cambria" w:eastAsia="Cambria"/>
          <w:sz w:val="20"/>
        </w:rPr>
        <w:t>45. Physical Facilities, Maintenance, and Construction in Higher Education Institutions (HEIs): Registers, Audit Frameworks, and Accreditation Evidence for NAAC, NIRF, QS I-GAUGE, and NBA, Kindle Edition, ASIN: B0FRYFGLHC</w:t>
      </w:r>
    </w:p>
    <w:p>
      <w:pPr>
        <w:spacing w:after="120"/>
        <w:ind w:left="340"/>
      </w:pPr>
      <w:r>
        <w:rPr>
          <w:rFonts w:ascii="Cambria" w:hAnsi="Cambria"/>
          <w:color w:val="0563C1"/>
          <w:sz w:val="20"/>
          <w:u w:val="single"/>
        </w:rPr>
        <w:t>https://amzn.in/d/fdm0ipL</w:t>
      </w:r>
    </w:p>
    <w:p>
      <w:pPr>
        <w:spacing w:after="40"/>
        <w:ind w:left="340" w:hanging="340"/>
      </w:pPr>
      <w:r>
        <w:rPr>
          <w:rFonts w:ascii="Cambria" w:hAnsi="Cambria" w:eastAsia="Cambria"/>
          <w:sz w:val="20"/>
        </w:rPr>
        <w:t>46. SDG-2: Zero Hunger in Higher Education Institutions: Aligning with NAAC, NIRF, NBA, and QS I-GAUGE Frameworks, Kindle Edition, ASIN: B0FRYWPQ1N</w:t>
      </w:r>
    </w:p>
    <w:p>
      <w:pPr>
        <w:spacing w:after="120"/>
        <w:ind w:left="340"/>
      </w:pPr>
      <w:r>
        <w:rPr>
          <w:rFonts w:ascii="Cambria" w:hAnsi="Cambria"/>
          <w:color w:val="0563C1"/>
          <w:sz w:val="20"/>
          <w:u w:val="single"/>
        </w:rPr>
        <w:t>https://amzn.in/d/2RlKCrz</w:t>
      </w:r>
    </w:p>
    <w:p>
      <w:pPr>
        <w:spacing w:after="40"/>
        <w:ind w:left="340" w:hanging="340"/>
      </w:pPr>
      <w:r>
        <w:rPr>
          <w:rFonts w:ascii="Cambria" w:hAnsi="Cambria" w:eastAsia="Cambria"/>
          <w:sz w:val="20"/>
        </w:rPr>
        <w:t>47. SDG-1: No Poverty in Higher Education Institutions: Aligning with NAAC, NIRF, NBA, and QS I-GAUGE Frameworks, Kindle Edition, ASIN: B0FRYTT6B1</w:t>
      </w:r>
    </w:p>
    <w:p>
      <w:pPr>
        <w:spacing w:after="120"/>
        <w:ind w:left="340"/>
      </w:pPr>
      <w:r>
        <w:rPr>
          <w:rFonts w:ascii="Cambria" w:hAnsi="Cambria"/>
          <w:color w:val="0563C1"/>
          <w:sz w:val="20"/>
          <w:u w:val="single"/>
        </w:rPr>
        <w:t>https://amzn.in/d/1oTu188</w:t>
      </w:r>
    </w:p>
    <w:p>
      <w:pPr>
        <w:spacing w:after="40"/>
        <w:ind w:left="340" w:hanging="340"/>
      </w:pPr>
      <w:r>
        <w:rPr>
          <w:rFonts w:ascii="Cambria" w:hAnsi="Cambria" w:eastAsia="Cambria"/>
          <w:sz w:val="20"/>
        </w:rPr>
        <w:t>48. Dean of Planning &amp; Development (DoPD): Architect of Institutional Growth in Higher Education: Institutional Planning, Sustainability, and Accreditation Alignment with NAAC, NBA, NIRF, and QS I-GAUGE, Kindle Edition, ASIN: B0FRZZGMF8</w:t>
      </w:r>
    </w:p>
    <w:p>
      <w:pPr>
        <w:spacing w:after="120"/>
        <w:ind w:left="340"/>
      </w:pPr>
      <w:r>
        <w:rPr>
          <w:rFonts w:ascii="Cambria" w:hAnsi="Cambria"/>
          <w:color w:val="0563C1"/>
          <w:sz w:val="20"/>
          <w:u w:val="single"/>
        </w:rPr>
        <w:t>https://amzn.in/d/cbSxKTJ</w:t>
      </w:r>
    </w:p>
    <w:p>
      <w:pPr>
        <w:spacing w:after="40"/>
        <w:ind w:left="340" w:hanging="340"/>
      </w:pPr>
      <w:r>
        <w:rPr>
          <w:rFonts w:ascii="Cambria" w:hAnsi="Cambria" w:eastAsia="Cambria"/>
          <w:sz w:val="20"/>
        </w:rPr>
        <w:t>49. SDG-11: Sustainable Cities and Communities in Higher Education Institutions: Aligning with NAAC, NIRF, NBA, and QS I-GAUGE Frameworks, Kindle Edition, ASIN: B0FS181B2</w:t>
      </w:r>
    </w:p>
    <w:p>
      <w:pPr>
        <w:spacing w:after="120"/>
        <w:ind w:left="340"/>
      </w:pPr>
      <w:r>
        <w:rPr>
          <w:rFonts w:ascii="Cambria" w:hAnsi="Cambria"/>
          <w:color w:val="0563C1"/>
          <w:sz w:val="20"/>
          <w:u w:val="single"/>
        </w:rPr>
        <w:t>https://amzn.in/d/3sv8FFT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Cambria" w:hAnsi="Cambria"/>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mbria" w:hAnsi="Cambria"/>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Cambria" w:hAnsi="Cambria"/>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