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76" w:lineRule="auto"/>
      </w:pPr>
    </w:p>
    <w:p>
      <w:pPr>
        <w:spacing w:after="40" w:line="276" w:lineRule="auto"/>
        <w:jc w:val="center"/>
      </w:pPr>
      <w:r>
        <w:rPr>
          <w:rFonts w:ascii="Cambria" w:hAnsi="Cambria"/>
          <w:b/>
          <w:i w:val="0"/>
          <w:color w:val="FF0000"/>
          <w:sz w:val="48"/>
        </w:rPr>
        <w:t>Dean of Academic</w:t>
      </w:r>
    </w:p>
    <w:p>
      <w:pPr>
        <w:spacing w:after="40" w:line="276" w:lineRule="auto"/>
        <w:jc w:val="center"/>
      </w:pPr>
      <w:r>
        <w:rPr>
          <w:rFonts w:ascii="Cambria" w:hAnsi="Cambria"/>
          <w:b/>
          <w:i w:val="0"/>
          <w:color w:val="FF0000"/>
          <w:sz w:val="48"/>
        </w:rPr>
        <w:t>Affairs: Custodian of</w:t>
      </w:r>
    </w:p>
    <w:p>
      <w:pPr>
        <w:spacing w:after="40" w:line="276" w:lineRule="auto"/>
        <w:jc w:val="center"/>
      </w:pPr>
      <w:r>
        <w:rPr>
          <w:rFonts w:ascii="Cambria" w:hAnsi="Cambria"/>
          <w:b/>
          <w:i w:val="0"/>
          <w:color w:val="FF0000"/>
          <w:sz w:val="48"/>
        </w:rPr>
        <w:t>Academic Excellence</w:t>
      </w:r>
    </w:p>
    <w:p>
      <w:pPr>
        <w:spacing w:after="200" w:line="276" w:lineRule="auto"/>
      </w:pPr>
    </w:p>
    <w:p>
      <w:pPr>
        <w:spacing w:after="480" w:line="276" w:lineRule="auto"/>
        <w:jc w:val="center"/>
      </w:pPr>
      <w:r>
        <w:rPr>
          <w:rFonts w:ascii="Cambria" w:hAnsi="Cambria"/>
          <w:b/>
          <w:i w:val="0"/>
          <w:color w:val="1F3A5F"/>
          <w:sz w:val="28"/>
        </w:rPr>
        <w:t>The Role of the Dean and Associate Deans in Governance, Quality, and Global Benchmarks</w:t>
      </w:r>
    </w:p>
    <w:p>
      <w:pPr>
        <w:spacing w:after="200" w:line="276" w:lineRule="auto"/>
        <w:jc w:val="center"/>
      </w:pPr>
      <w:r>
        <w:rPr>
          <w:rFonts w:ascii="Cambria" w:hAnsi="Cambria"/>
          <w:b/>
          <w:i w:val="0"/>
          <w:sz w:val="22"/>
        </w:rPr>
        <w:t>Dr Venkata Rama Krishna Tottempudi</w:t>
      </w:r>
    </w:p>
    <w:p>
      <w:pPr>
        <w:spacing w:after="200" w:line="276" w:lineRule="auto"/>
        <w:jc w:val="center"/>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ACKNOWLEDGEMENT</w:t>
      </w:r>
    </w:p>
    <w:p>
      <w:pPr>
        <w:spacing w:after="160" w:line="276" w:lineRule="auto"/>
        <w:jc w:val="both"/>
      </w:pPr>
      <w:r>
        <w:rPr>
          <w:rFonts w:ascii="Cambria" w:hAnsi="Cambria"/>
          <w:b w:val="0"/>
          <w:i w:val="0"/>
          <w:sz w:val="22"/>
        </w:rPr>
        <w:t xml:space="preserve">I would like to express my sincere gratitude to all those who have contributed to the development of this work, </w:t>
      </w:r>
      <w:r>
        <w:rPr>
          <w:rFonts w:ascii="Cambria" w:hAnsi="Cambria"/>
          <w:b w:val="0"/>
          <w:i/>
          <w:sz w:val="22"/>
        </w:rPr>
        <w:t>Dean of Academic Affairs: Custodian of Academic Excellence</w:t>
      </w:r>
      <w:r>
        <w:rPr>
          <w:rFonts w:ascii="Cambria" w:hAnsi="Cambria"/>
          <w:b w:val="0"/>
          <w:i w:val="0"/>
          <w:sz w:val="22"/>
        </w:rPr>
        <w:t>. This book is the result of the collective wisdom, experiences, and insights drawn from academia, administrators, and quality assurance frameworks that guide higher education institutions at national and global levels.</w:t>
      </w:r>
    </w:p>
    <w:p>
      <w:pPr>
        <w:spacing w:after="160" w:line="276" w:lineRule="auto"/>
        <w:jc w:val="both"/>
      </w:pPr>
      <w:r>
        <w:rPr>
          <w:rFonts w:ascii="Cambria" w:hAnsi="Cambria"/>
          <w:b w:val="0"/>
          <w:i w:val="0"/>
          <w:sz w:val="22"/>
        </w:rPr>
        <w:t>My deepest appreciation goes to the Vice-Chancellors, Registrars, Deans, and Associate Deans whose leadership practices and documented responsibilities have served as a foundation for this study. Their roles as custodians of academic excellence inspired this work and highlighted the importance of aligning academic integrity, innovation, and quality assurance with institutional growth.</w:t>
      </w:r>
    </w:p>
    <w:p>
      <w:pPr>
        <w:spacing w:after="160" w:line="276" w:lineRule="auto"/>
        <w:jc w:val="both"/>
      </w:pPr>
      <w:r>
        <w:rPr>
          <w:rFonts w:ascii="Cambria" w:hAnsi="Cambria"/>
          <w:b w:val="0"/>
          <w:i w:val="0"/>
          <w:sz w:val="22"/>
        </w:rPr>
        <w:t>I am grateful to the various accreditation and ranking bodies</w:t>
      </w:r>
      <w:r>
        <w:rPr>
          <w:rFonts w:ascii="Cambria" w:hAnsi="Cambria"/>
          <w:b w:val="0"/>
          <w:i w:val="0"/>
          <w:sz w:val="22"/>
        </w:rPr>
        <w:t>—NAAC, NBA, NIRF, and QS I-GAUGE—</w:t>
      </w:r>
      <w:r>
        <w:rPr>
          <w:rFonts w:ascii="Cambria" w:hAnsi="Cambria"/>
          <w:b w:val="0"/>
          <w:i w:val="0"/>
          <w:sz w:val="22"/>
        </w:rPr>
        <w:t>for providing robust benchmarks that shape higher education governance and academic quality. These frameworks have provided valuable direction in conceptualizing the responsibilities of the Dean (Academics) and the Associate Deans as functional custodians of quality and innovation.</w:t>
      </w:r>
    </w:p>
    <w:p>
      <w:pPr>
        <w:spacing w:after="160" w:line="276" w:lineRule="auto"/>
        <w:jc w:val="both"/>
      </w:pPr>
      <w:r>
        <w:rPr>
          <w:rFonts w:ascii="Cambria" w:hAnsi="Cambria"/>
          <w:b w:val="0"/>
          <w:i w:val="0"/>
          <w:sz w:val="22"/>
        </w:rPr>
        <w:t>Special thanks are due to faculty colleagues, administrators, and student support staff who have shared their experiences and perspectives on academic governance. Their inputs reinforced the importance of collaboration, curriculum innovation, student progression, and digital learning as pillars of academic excellence.</w:t>
      </w:r>
    </w:p>
    <w:p>
      <w:pPr>
        <w:spacing w:after="160" w:line="276" w:lineRule="auto"/>
        <w:jc w:val="both"/>
      </w:pPr>
      <w:r>
        <w:rPr>
          <w:rFonts w:ascii="Cambria" w:hAnsi="Cambria"/>
          <w:b w:val="0"/>
          <w:i w:val="0"/>
          <w:sz w:val="22"/>
        </w:rPr>
        <w:t>I also acknowledge the unwavering support of my family, mentors, and peers, whose encouragement and feedback have been instrumental in the completion of this work.</w:t>
      </w:r>
    </w:p>
    <w:p>
      <w:pPr>
        <w:spacing w:after="160" w:line="276" w:lineRule="auto"/>
        <w:jc w:val="both"/>
      </w:pPr>
      <w:r>
        <w:rPr>
          <w:rFonts w:ascii="Cambria" w:hAnsi="Cambria"/>
          <w:b w:val="0"/>
          <w:i w:val="0"/>
          <w:sz w:val="22"/>
        </w:rPr>
        <w:t>Finally, this book is dedicated to all those who strive to build universities that stand as centres of excellence, integrity, and innovation, where the Dean of Academic Affairs and Associate Deans serve as true custodians of higher education quality and student success.</w:t>
      </w:r>
    </w:p>
    <w:p>
      <w:pPr>
        <w:spacing w:after="160" w:line="276" w:lineRule="auto"/>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6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6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6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line="276" w:lineRule="auto"/>
      </w:pPr>
      <w:r>
        <w:rPr>
          <w:rFonts w:ascii="Cambria" w:hAnsi="Cambria"/>
          <w:b/>
          <w:i w:val="0"/>
          <w:sz w:val="22"/>
        </w:rPr>
        <w:t>Dr. V. Rama Krishna Tottempudi</w:t>
      </w:r>
    </w:p>
    <w:p>
      <w:pPr>
        <w:spacing w:after="200" w:line="276" w:lineRule="auto"/>
      </w:pPr>
      <w:r>
        <w:rPr>
          <w:rFonts w:ascii="Cambria" w:hAnsi="Cambria"/>
          <w:b/>
          <w:i w:val="0"/>
          <w:sz w:val="22"/>
        </w:rPr>
        <w:t>Sai Saran Tottempudi</w:t>
      </w:r>
    </w:p>
    <w:p>
      <w:pPr>
        <w:pStyle w:val="Heading2"/>
      </w:pPr>
      <w:r>
        <w:rPr>
          <w:rFonts w:ascii="Cambria" w:hAnsi="Cambria"/>
          <w:b/>
          <w:color w:val="1F3A5F"/>
          <w:sz w:val="30"/>
        </w:rPr>
        <w:t>About Dr. T. V. Rama Krishna</w:t>
      </w:r>
    </w:p>
    <w:p>
      <w:pPr>
        <w:spacing w:after="16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6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6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xml:space="preserve">. His research expertise is widely recognized, and his profile can be accessed here: </w:t>
      </w:r>
      <w:r>
        <w:rPr>
          <w:rFonts w:ascii="Cambria" w:hAnsi="Cambria"/>
          <w:b w:val="0"/>
          <w:i w:val="0"/>
          <w:sz w:val="22"/>
        </w:rPr>
        <w:t>Scopus Author ID – 56397099300.</w:t>
      </w:r>
    </w:p>
    <w:p>
      <w:pPr>
        <w:spacing w:after="16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6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6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6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6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200" w:line="276" w:lineRule="auto"/>
        <w:jc w:val="both"/>
      </w:pPr>
      <w:r>
        <w:rPr>
          <w:rFonts w:ascii="Cambria" w:hAnsi="Cambria"/>
          <w:b w:val="0"/>
          <w:i w:val="0"/>
          <w:sz w:val="22"/>
        </w:rPr>
        <w:t>LinkedIn Profile: Dr. Tottempudi Venkata Rama Krishna</w:t>
      </w:r>
    </w:p>
    <w:p>
      <w:r>
        <w:br w:type="page"/>
      </w:r>
    </w:p>
    <w:p>
      <w:pPr>
        <w:spacing w:after="240" w:line="276" w:lineRule="auto"/>
        <w:jc w:val="center"/>
      </w:pPr>
      <w:r>
        <w:rPr>
          <w:rFonts w:ascii="Cambria" w:hAnsi="Cambria"/>
          <w:b/>
          <w:i w:val="0"/>
          <w:color w:val="FF0000"/>
          <w:sz w:val="26"/>
        </w:rPr>
        <w:t>Abstract</w:t>
      </w:r>
    </w:p>
    <w:p>
      <w:pPr>
        <w:spacing w:after="160" w:line="276" w:lineRule="auto"/>
        <w:jc w:val="both"/>
      </w:pPr>
      <w:r>
        <w:rPr>
          <w:rFonts w:ascii="Cambria" w:hAnsi="Cambria"/>
          <w:b w:val="0"/>
          <w:i w:val="0"/>
          <w:sz w:val="22"/>
        </w:rPr>
        <w:t>The Dean of Academic Affairs (DOAA) holds one of the most pivotal leadership positions in higher education institutions, serving as the chief custodian of academic excellence, integrity, and innovation. This book explores the multifaceted roles, responsibilities, and strategic impact of the DOAA, highlighting how this position bridges institutional leadership, faculty, students, and external quality assurance frameworks. As universities navigate the rapidly evolving landscape of higher education, the DOAA ensures that academic programs remain relevant, future-oriented, and globally competitive, while upholding national and international benchmarks such as NAAC, NBA, NIRF, and QS I-GAUGE.</w:t>
      </w:r>
    </w:p>
    <w:p>
      <w:pPr>
        <w:spacing w:after="160" w:line="276" w:lineRule="auto"/>
        <w:jc w:val="both"/>
      </w:pPr>
      <w:r>
        <w:rPr>
          <w:rFonts w:ascii="Cambria" w:hAnsi="Cambria"/>
          <w:b w:val="0"/>
          <w:i w:val="0"/>
          <w:sz w:val="22"/>
        </w:rPr>
        <w:t>The book situates the DOAA at the center of institutional governance, overseeing curriculum design, teaching–learning processes, student progression, research integration, skilling, employability, and digital transformation. With direct supervision of eight Associate Deans</w:t>
      </w:r>
      <w:r>
        <w:rPr>
          <w:rFonts w:ascii="Cambria" w:hAnsi="Cambria"/>
          <w:b w:val="0"/>
          <w:i w:val="0"/>
          <w:sz w:val="22"/>
        </w:rPr>
        <w:t>—covering portfolios such as Projects and Research, OBE Implementation, Student Progression, Curriculum and Feedback, Academic Registration, Skilling and VAC/CC, Time Tables and Teaching Monitoring, and MOOC Creation</w:t>
      </w:r>
      <w:r>
        <w:rPr>
          <w:rFonts w:ascii="Cambria" w:hAnsi="Cambria"/>
          <w:b w:val="0"/>
          <w:i w:val="0"/>
          <w:sz w:val="22"/>
        </w:rPr>
        <w:t>—the DOAA orchestrates a holistic framework for academic leadership. Each of these Associate Deans functions as a functional custodian of a vital academic pillar, collectively ensuring that the university delivers high-quality, outcome-driven, and student-centric education.</w:t>
      </w:r>
    </w:p>
    <w:p>
      <w:pPr>
        <w:spacing w:after="160" w:line="276" w:lineRule="auto"/>
        <w:jc w:val="both"/>
      </w:pPr>
      <w:r>
        <w:rPr>
          <w:rFonts w:ascii="Cambria" w:hAnsi="Cambria"/>
          <w:b w:val="0"/>
          <w:i w:val="0"/>
          <w:sz w:val="22"/>
        </w:rPr>
        <w:t>A key emphasis of the book is the alignment of institutional practices with Outcome-Based Education (OBE) and continuous improvement cycles. By embedding feedback from students, faculty, alumni, industry, and accreditation agencies, the DOAA ensures that curricula remain dynamic, teaching quality is monitored and enhanced, and student pathways are supported from admission to alumni success. The DOAA's role extends beyond administration to strategic foresight</w:t>
      </w:r>
      <w:r>
        <w:rPr>
          <w:rFonts w:ascii="Cambria" w:hAnsi="Cambria"/>
          <w:b w:val="0"/>
          <w:i w:val="0"/>
          <w:sz w:val="22"/>
        </w:rPr>
        <w:t>—preparing universities to adapt to digital learning, global competition, and societal challenges through innovation, research, and collaboration.</w:t>
      </w:r>
    </w:p>
    <w:p>
      <w:pPr>
        <w:spacing w:after="160" w:line="276" w:lineRule="auto"/>
        <w:jc w:val="both"/>
      </w:pPr>
      <w:r>
        <w:rPr>
          <w:rFonts w:ascii="Cambria" w:hAnsi="Cambria"/>
          <w:b w:val="0"/>
          <w:i w:val="0"/>
          <w:sz w:val="22"/>
        </w:rPr>
        <w:t>Moreover, the book underscores how the DOAA contributes to institutional credibility and reputation. By ensuring transparency in evaluation, integrity in academic records, inclusivity in student support, and excellence in teaching and research, the DOAA becomes the guardian of trust for all stakeholders. This custodianship is not only operational but symbolic, representing the values of academic rigor, accountability, and visionary leadership.</w:t>
      </w:r>
    </w:p>
    <w:p>
      <w:pPr>
        <w:spacing w:after="200" w:line="276" w:lineRule="auto"/>
        <w:jc w:val="both"/>
      </w:pPr>
      <w:r>
        <w:rPr>
          <w:rFonts w:ascii="Cambria" w:hAnsi="Cambria"/>
          <w:b w:val="0"/>
          <w:i w:val="0"/>
          <w:sz w:val="22"/>
        </w:rPr>
        <w:t xml:space="preserve">In essence, </w:t>
      </w:r>
      <w:r>
        <w:rPr>
          <w:rFonts w:ascii="Cambria" w:hAnsi="Cambria"/>
          <w:b w:val="0"/>
          <w:i/>
          <w:sz w:val="22"/>
        </w:rPr>
        <w:t>Dean of Academic Affairs: Custodian of Academic Excellence</w:t>
      </w:r>
      <w:r>
        <w:rPr>
          <w:rFonts w:ascii="Cambria" w:hAnsi="Cambria"/>
          <w:b w:val="0"/>
          <w:i w:val="0"/>
          <w:sz w:val="22"/>
        </w:rPr>
        <w:t xml:space="preserve"> positions the DOAA as the anchor of academic governance in higher education. It provides a comprehensive framework for understanding how academic leadership aligns policies with practice, national mandates with global aspirations, and institutional vision with student success, ultimately ensuring that universities thrive as centres of excellence and innovation.</w:t>
      </w:r>
    </w:p>
    <w:p>
      <w:r>
        <w:br w:type="page"/>
      </w:r>
    </w:p>
    <w:p>
      <w:pPr>
        <w:spacing w:after="240" w:line="276" w:lineRule="auto"/>
        <w:jc w:val="center"/>
      </w:pPr>
      <w:r>
        <w:rPr>
          <w:rFonts w:ascii="Cambria" w:hAnsi="Cambria"/>
          <w:b/>
          <w:i w:val="0"/>
          <w:color w:val="FF0000"/>
          <w:sz w:val="26"/>
        </w:rPr>
        <w:t>Table of 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tcPr>
          <w:p>
            <w:pPr>
              <w:spacing w:after="40" w:line="240" w:lineRule="auto"/>
              <w:jc w:val="left"/>
            </w:pPr>
            <w:r/>
            <w:r>
              <w:rPr>
                <w:rFonts w:ascii="Cambria" w:hAnsi="Cambria"/>
                <w:b/>
                <w:sz w:val="21"/>
              </w:rPr>
              <w:t>S. No</w:t>
            </w:r>
          </w:p>
        </w:tc>
        <w:tc>
          <w:tcPr>
            <w:tcW w:type="dxa" w:w="7540"/>
          </w:tcPr>
          <w:p>
            <w:pPr>
              <w:spacing w:after="40" w:line="240" w:lineRule="auto"/>
              <w:jc w:val="left"/>
            </w:pPr>
            <w:r/>
            <w:r>
              <w:rPr>
                <w:rFonts w:ascii="Cambria" w:hAnsi="Cambria"/>
                <w:b/>
                <w:sz w:val="21"/>
              </w:rPr>
              <w:t>Name of the Content</w:t>
            </w:r>
          </w:p>
        </w:tc>
        <w:tc>
          <w:tcPr>
            <w:tcW w:type="dxa" w:w="1020"/>
          </w:tcPr>
          <w:p>
            <w:pPr>
              <w:spacing w:after="40" w:line="240" w:lineRule="auto"/>
              <w:jc w:val="left"/>
            </w:pPr>
            <w:r/>
            <w:r>
              <w:rPr>
                <w:rFonts w:ascii="Cambria" w:hAnsi="Cambria"/>
                <w:b/>
                <w:sz w:val="21"/>
              </w:rPr>
              <w:t>Pg.No</w:t>
            </w:r>
          </w:p>
        </w:tc>
      </w:tr>
      <w:tr>
        <w:tc>
          <w:tcPr>
            <w:tcW w:type="dxa" w:w="850"/>
          </w:tcPr>
          <w:p>
            <w:pPr>
              <w:spacing w:after="40" w:line="240" w:lineRule="auto"/>
              <w:jc w:val="left"/>
            </w:pPr>
            <w:r/>
            <w:r>
              <w:rPr>
                <w:rFonts w:ascii="Cambria" w:hAnsi="Cambria"/>
                <w:b/>
                <w:sz w:val="21"/>
              </w:rPr>
              <w:t>1</w:t>
            </w:r>
          </w:p>
        </w:tc>
        <w:tc>
          <w:tcPr>
            <w:tcW w:type="dxa" w:w="7540"/>
          </w:tcPr>
          <w:p>
            <w:pPr>
              <w:spacing w:after="40" w:line="240" w:lineRule="auto"/>
              <w:jc w:val="left"/>
            </w:pPr>
            <w:r/>
            <w:r>
              <w:rPr>
                <w:rFonts w:ascii="Cambria" w:hAnsi="Cambria"/>
                <w:b/>
                <w:sz w:val="21"/>
              </w:rPr>
              <w:t>Introduction</w:t>
            </w:r>
          </w:p>
        </w:tc>
        <w:tc>
          <w:tcPr>
            <w:tcW w:type="dxa" w:w="1020"/>
          </w:tcPr>
          <w:p>
            <w:pPr>
              <w:spacing w:after="40" w:line="240" w:lineRule="auto"/>
              <w:jc w:val="left"/>
            </w:pPr>
            <w:r/>
            <w:r>
              <w:rPr>
                <w:rFonts w:ascii="Cambria" w:hAnsi="Cambria"/>
                <w:b/>
                <w:sz w:val="21"/>
              </w:rPr>
              <w:t>01</w:t>
            </w:r>
          </w:p>
        </w:tc>
      </w:tr>
      <w:tr>
        <w:tc>
          <w:tcPr>
            <w:tcW w:type="dxa" w:w="850"/>
          </w:tcPr>
          <w:p>
            <w:pPr>
              <w:spacing w:after="40" w:line="240" w:lineRule="auto"/>
              <w:jc w:val="left"/>
            </w:pPr>
            <w:r/>
            <w:r>
              <w:rPr>
                <w:rFonts w:ascii="Cambria" w:hAnsi="Cambria"/>
                <w:b/>
                <w:sz w:val="21"/>
              </w:rPr>
              <w:t>2</w:t>
            </w:r>
          </w:p>
        </w:tc>
        <w:tc>
          <w:tcPr>
            <w:tcW w:type="dxa" w:w="7540"/>
          </w:tcPr>
          <w:p>
            <w:pPr>
              <w:spacing w:after="40" w:line="240" w:lineRule="auto"/>
              <w:jc w:val="left"/>
            </w:pPr>
            <w:r/>
            <w:r>
              <w:rPr>
                <w:rFonts w:ascii="Cambria" w:hAnsi="Cambria"/>
                <w:b/>
                <w:sz w:val="21"/>
              </w:rPr>
              <w:t>Dean – Academic Affairs (DOAA)</w:t>
            </w:r>
          </w:p>
        </w:tc>
        <w:tc>
          <w:tcPr>
            <w:tcW w:type="dxa" w:w="1020"/>
          </w:tcPr>
          <w:p>
            <w:pPr>
              <w:spacing w:after="40" w:line="240" w:lineRule="auto"/>
              <w:jc w:val="left"/>
            </w:pPr>
            <w:r/>
            <w:r>
              <w:rPr>
                <w:rFonts w:ascii="Cambria" w:hAnsi="Cambria"/>
                <w:b/>
                <w:sz w:val="21"/>
              </w:rPr>
              <w:t>03</w:t>
            </w:r>
          </w:p>
        </w:tc>
      </w:tr>
      <w:tr>
        <w:tc>
          <w:tcPr>
            <w:tcW w:type="dxa" w:w="850"/>
          </w:tcPr>
          <w:p>
            <w:pPr>
              <w:spacing w:after="40" w:line="240" w:lineRule="auto"/>
              <w:jc w:val="left"/>
            </w:pPr>
            <w:r/>
            <w:r>
              <w:rPr>
                <w:rFonts w:ascii="Cambria" w:hAnsi="Cambria"/>
                <w:b/>
                <w:sz w:val="21"/>
              </w:rPr>
              <w:t>3</w:t>
            </w:r>
          </w:p>
        </w:tc>
        <w:tc>
          <w:tcPr>
            <w:tcW w:type="dxa" w:w="7540"/>
          </w:tcPr>
          <w:p>
            <w:pPr>
              <w:spacing w:after="40" w:line="240" w:lineRule="auto"/>
              <w:jc w:val="left"/>
            </w:pPr>
            <w:r/>
            <w:r>
              <w:rPr>
                <w:rFonts w:ascii="Cambria" w:hAnsi="Cambria"/>
                <w:b/>
                <w:sz w:val="21"/>
              </w:rPr>
              <w:t>Chief custodian of academic integrity, innovation, and quality assurance in a university</w:t>
            </w:r>
          </w:p>
        </w:tc>
        <w:tc>
          <w:tcPr>
            <w:tcW w:type="dxa" w:w="1020"/>
          </w:tcPr>
          <w:p>
            <w:pPr>
              <w:spacing w:after="40" w:line="240" w:lineRule="auto"/>
              <w:jc w:val="left"/>
            </w:pPr>
            <w:r/>
            <w:r>
              <w:rPr>
                <w:rFonts w:ascii="Cambria" w:hAnsi="Cambria"/>
                <w:b/>
                <w:sz w:val="21"/>
              </w:rPr>
              <w:t>07</w:t>
            </w:r>
          </w:p>
        </w:tc>
      </w:tr>
      <w:tr>
        <w:tc>
          <w:tcPr>
            <w:tcW w:type="dxa" w:w="850"/>
          </w:tcPr>
          <w:p>
            <w:pPr>
              <w:spacing w:after="40" w:line="240" w:lineRule="auto"/>
              <w:jc w:val="left"/>
            </w:pPr>
            <w:r/>
            <w:r>
              <w:rPr>
                <w:rFonts w:ascii="Cambria" w:hAnsi="Cambria"/>
                <w:b/>
                <w:sz w:val="21"/>
              </w:rPr>
              <w:t>4</w:t>
            </w:r>
          </w:p>
        </w:tc>
        <w:tc>
          <w:tcPr>
            <w:tcW w:type="dxa" w:w="7540"/>
          </w:tcPr>
          <w:p>
            <w:pPr>
              <w:spacing w:after="40" w:line="240" w:lineRule="auto"/>
              <w:jc w:val="left"/>
            </w:pPr>
            <w:r/>
            <w:r>
              <w:rPr>
                <w:rFonts w:ascii="Cambria" w:hAnsi="Cambria"/>
                <w:b/>
                <w:sz w:val="21"/>
              </w:rPr>
              <w:t>Responsibilities of the Dean (Academics)</w:t>
            </w:r>
          </w:p>
        </w:tc>
        <w:tc>
          <w:tcPr>
            <w:tcW w:type="dxa" w:w="1020"/>
          </w:tcPr>
          <w:p>
            <w:pPr>
              <w:spacing w:after="40" w:line="240" w:lineRule="auto"/>
              <w:jc w:val="left"/>
            </w:pPr>
            <w:r/>
            <w:r>
              <w:rPr>
                <w:rFonts w:ascii="Cambria" w:hAnsi="Cambria"/>
                <w:b/>
                <w:sz w:val="21"/>
              </w:rPr>
              <w:t>09</w:t>
            </w:r>
          </w:p>
        </w:tc>
      </w:tr>
      <w:tr>
        <w:tc>
          <w:tcPr>
            <w:tcW w:type="dxa" w:w="850"/>
          </w:tcPr>
          <w:p>
            <w:pPr>
              <w:spacing w:after="40" w:line="240" w:lineRule="auto"/>
              <w:jc w:val="left"/>
            </w:pPr>
            <w:r/>
            <w:r>
              <w:rPr>
                <w:rFonts w:ascii="Cambria" w:hAnsi="Cambria"/>
                <w:b/>
                <w:sz w:val="21"/>
              </w:rPr>
              <w:t>5</w:t>
            </w:r>
          </w:p>
        </w:tc>
        <w:tc>
          <w:tcPr>
            <w:tcW w:type="dxa" w:w="7540"/>
          </w:tcPr>
          <w:p>
            <w:pPr>
              <w:spacing w:after="40" w:line="240" w:lineRule="auto"/>
              <w:jc w:val="left"/>
            </w:pPr>
            <w:r/>
            <w:r>
              <w:rPr>
                <w:rFonts w:ascii="Cambria" w:hAnsi="Cambria"/>
                <w:b/>
                <w:sz w:val="21"/>
              </w:rPr>
              <w:t>Associate Dean – Projects and Academic Research</w:t>
            </w:r>
          </w:p>
        </w:tc>
        <w:tc>
          <w:tcPr>
            <w:tcW w:type="dxa" w:w="1020"/>
          </w:tcPr>
          <w:p>
            <w:pPr>
              <w:spacing w:after="40" w:line="240" w:lineRule="auto"/>
              <w:jc w:val="left"/>
            </w:pPr>
            <w:r/>
            <w:r>
              <w:rPr>
                <w:rFonts w:ascii="Cambria" w:hAnsi="Cambria"/>
                <w:b/>
                <w:sz w:val="21"/>
              </w:rPr>
              <w:t>12</w:t>
            </w:r>
          </w:p>
        </w:tc>
      </w:tr>
      <w:tr>
        <w:tc>
          <w:tcPr>
            <w:tcW w:type="dxa" w:w="850"/>
          </w:tcPr>
          <w:p>
            <w:pPr>
              <w:spacing w:after="40" w:line="240" w:lineRule="auto"/>
              <w:jc w:val="left"/>
            </w:pPr>
            <w:r/>
            <w:r>
              <w:rPr>
                <w:rFonts w:ascii="Cambria" w:hAnsi="Cambria"/>
                <w:b/>
                <w:sz w:val="21"/>
              </w:rPr>
              <w:t>6</w:t>
            </w:r>
          </w:p>
        </w:tc>
        <w:tc>
          <w:tcPr>
            <w:tcW w:type="dxa" w:w="7540"/>
          </w:tcPr>
          <w:p>
            <w:pPr>
              <w:spacing w:after="40" w:line="240" w:lineRule="auto"/>
              <w:jc w:val="left"/>
            </w:pPr>
            <w:r/>
            <w:r>
              <w:rPr>
                <w:rFonts w:ascii="Cambria" w:hAnsi="Cambria"/>
                <w:b/>
                <w:sz w:val="21"/>
              </w:rPr>
              <w:t>Associate Dean – Projects and Academic Research serves as a bridge between academia, research, and industry</w:t>
            </w:r>
          </w:p>
        </w:tc>
        <w:tc>
          <w:tcPr>
            <w:tcW w:type="dxa" w:w="1020"/>
          </w:tcPr>
          <w:p>
            <w:pPr>
              <w:spacing w:after="40" w:line="240" w:lineRule="auto"/>
              <w:jc w:val="left"/>
            </w:pPr>
            <w:r/>
            <w:r>
              <w:rPr>
                <w:rFonts w:ascii="Cambria" w:hAnsi="Cambria"/>
                <w:b/>
                <w:sz w:val="21"/>
              </w:rPr>
              <w:t>15</w:t>
            </w:r>
          </w:p>
        </w:tc>
      </w:tr>
      <w:tr>
        <w:tc>
          <w:tcPr>
            <w:tcW w:type="dxa" w:w="850"/>
          </w:tcPr>
          <w:p>
            <w:pPr>
              <w:spacing w:after="40" w:line="240" w:lineRule="auto"/>
              <w:jc w:val="left"/>
            </w:pPr>
            <w:r/>
            <w:r>
              <w:rPr>
                <w:rFonts w:ascii="Cambria" w:hAnsi="Cambria"/>
                <w:b/>
                <w:sz w:val="21"/>
              </w:rPr>
              <w:t>7</w:t>
            </w:r>
          </w:p>
        </w:tc>
        <w:tc>
          <w:tcPr>
            <w:tcW w:type="dxa" w:w="7540"/>
          </w:tcPr>
          <w:p>
            <w:pPr>
              <w:spacing w:after="40" w:line="240" w:lineRule="auto"/>
              <w:jc w:val="left"/>
            </w:pPr>
            <w:r/>
            <w:r>
              <w:rPr>
                <w:rFonts w:ascii="Cambria" w:hAnsi="Cambria"/>
                <w:b/>
                <w:sz w:val="21"/>
              </w:rPr>
              <w:t>Associate Dean – OBE (Outcome-Based Education) Implementation</w:t>
            </w:r>
          </w:p>
        </w:tc>
        <w:tc>
          <w:tcPr>
            <w:tcW w:type="dxa" w:w="1020"/>
          </w:tcPr>
          <w:p>
            <w:pPr>
              <w:spacing w:after="40" w:line="240" w:lineRule="auto"/>
              <w:jc w:val="left"/>
            </w:pPr>
            <w:r/>
            <w:r>
              <w:rPr>
                <w:rFonts w:ascii="Cambria" w:hAnsi="Cambria"/>
                <w:b/>
                <w:sz w:val="21"/>
              </w:rPr>
              <w:t>17</w:t>
            </w:r>
          </w:p>
        </w:tc>
      </w:tr>
      <w:tr>
        <w:tc>
          <w:tcPr>
            <w:tcW w:type="dxa" w:w="850"/>
          </w:tcPr>
          <w:p>
            <w:pPr>
              <w:spacing w:after="40" w:line="240" w:lineRule="auto"/>
              <w:jc w:val="left"/>
            </w:pPr>
            <w:r/>
            <w:r>
              <w:rPr>
                <w:rFonts w:ascii="Cambria" w:hAnsi="Cambria"/>
                <w:b/>
                <w:sz w:val="21"/>
              </w:rPr>
              <w:t>8</w:t>
            </w:r>
          </w:p>
        </w:tc>
        <w:tc>
          <w:tcPr>
            <w:tcW w:type="dxa" w:w="7540"/>
          </w:tcPr>
          <w:p>
            <w:pPr>
              <w:spacing w:after="40" w:line="240" w:lineRule="auto"/>
              <w:jc w:val="left"/>
            </w:pPr>
            <w:r/>
            <w:r>
              <w:rPr>
                <w:rFonts w:ascii="Cambria" w:hAnsi="Cambria"/>
                <w:b/>
                <w:sz w:val="21"/>
              </w:rPr>
              <w:t>Associate Dean – OBE Implementation: Custodian of Outcome-Driven Education</w:t>
            </w:r>
          </w:p>
        </w:tc>
        <w:tc>
          <w:tcPr>
            <w:tcW w:type="dxa" w:w="1020"/>
          </w:tcPr>
          <w:p>
            <w:pPr>
              <w:spacing w:after="40" w:line="240" w:lineRule="auto"/>
              <w:jc w:val="left"/>
            </w:pPr>
            <w:r/>
            <w:r>
              <w:rPr>
                <w:rFonts w:ascii="Cambria" w:hAnsi="Cambria"/>
                <w:b/>
                <w:sz w:val="21"/>
              </w:rPr>
              <w:t>20</w:t>
            </w:r>
          </w:p>
        </w:tc>
      </w:tr>
      <w:tr>
        <w:tc>
          <w:tcPr>
            <w:tcW w:type="dxa" w:w="850"/>
          </w:tcPr>
          <w:p>
            <w:pPr>
              <w:spacing w:after="40" w:line="240" w:lineRule="auto"/>
              <w:jc w:val="left"/>
            </w:pPr>
            <w:r/>
            <w:r>
              <w:rPr>
                <w:rFonts w:ascii="Cambria" w:hAnsi="Cambria"/>
                <w:b/>
                <w:sz w:val="21"/>
              </w:rPr>
              <w:t>9</w:t>
            </w:r>
          </w:p>
        </w:tc>
        <w:tc>
          <w:tcPr>
            <w:tcW w:type="dxa" w:w="7540"/>
          </w:tcPr>
          <w:p>
            <w:pPr>
              <w:spacing w:after="40" w:line="240" w:lineRule="auto"/>
              <w:jc w:val="left"/>
            </w:pPr>
            <w:r/>
            <w:r>
              <w:rPr>
                <w:rFonts w:ascii="Cambria" w:hAnsi="Cambria"/>
                <w:b/>
                <w:sz w:val="21"/>
              </w:rPr>
              <w:t>Integrating OBE Practices into Curriculum, Teaching, and Assessment</w:t>
            </w:r>
          </w:p>
        </w:tc>
        <w:tc>
          <w:tcPr>
            <w:tcW w:type="dxa" w:w="1020"/>
          </w:tcPr>
          <w:p>
            <w:pPr>
              <w:spacing w:after="40" w:line="240" w:lineRule="auto"/>
              <w:jc w:val="left"/>
            </w:pPr>
            <w:r/>
            <w:r>
              <w:rPr>
                <w:rFonts w:ascii="Cambria" w:hAnsi="Cambria"/>
                <w:b/>
                <w:sz w:val="21"/>
              </w:rPr>
              <w:t>22</w:t>
            </w:r>
          </w:p>
        </w:tc>
      </w:tr>
      <w:tr>
        <w:tc>
          <w:tcPr>
            <w:tcW w:type="dxa" w:w="850"/>
          </w:tcPr>
          <w:p>
            <w:pPr>
              <w:spacing w:after="40" w:line="240" w:lineRule="auto"/>
              <w:jc w:val="left"/>
            </w:pPr>
            <w:r/>
            <w:r>
              <w:rPr>
                <w:rFonts w:ascii="Cambria" w:hAnsi="Cambria"/>
                <w:b/>
                <w:sz w:val="21"/>
              </w:rPr>
              <w:t>10</w:t>
            </w:r>
          </w:p>
        </w:tc>
        <w:tc>
          <w:tcPr>
            <w:tcW w:type="dxa" w:w="7540"/>
          </w:tcPr>
          <w:p>
            <w:pPr>
              <w:spacing w:after="40" w:line="240" w:lineRule="auto"/>
              <w:jc w:val="left"/>
            </w:pPr>
            <w:r/>
            <w:r>
              <w:rPr>
                <w:rFonts w:ascii="Cambria" w:hAnsi="Cambria"/>
                <w:b/>
                <w:sz w:val="21"/>
              </w:rPr>
              <w:t>Associate Dean – Student Progression</w:t>
            </w:r>
          </w:p>
        </w:tc>
        <w:tc>
          <w:tcPr>
            <w:tcW w:type="dxa" w:w="1020"/>
          </w:tcPr>
          <w:p>
            <w:pPr>
              <w:spacing w:after="40" w:line="240" w:lineRule="auto"/>
              <w:jc w:val="left"/>
            </w:pPr>
            <w:r/>
            <w:r>
              <w:rPr>
                <w:rFonts w:ascii="Cambria" w:hAnsi="Cambria"/>
                <w:b/>
                <w:sz w:val="21"/>
              </w:rPr>
              <w:t>24</w:t>
            </w:r>
          </w:p>
        </w:tc>
      </w:tr>
      <w:tr>
        <w:tc>
          <w:tcPr>
            <w:tcW w:type="dxa" w:w="850"/>
          </w:tcPr>
          <w:p>
            <w:pPr>
              <w:spacing w:after="40" w:line="240" w:lineRule="auto"/>
              <w:jc w:val="left"/>
            </w:pPr>
            <w:r/>
            <w:r>
              <w:rPr>
                <w:rFonts w:ascii="Cambria" w:hAnsi="Cambria"/>
                <w:b/>
                <w:sz w:val="21"/>
              </w:rPr>
              <w:t>11</w:t>
            </w:r>
          </w:p>
        </w:tc>
        <w:tc>
          <w:tcPr>
            <w:tcW w:type="dxa" w:w="7540"/>
          </w:tcPr>
          <w:p>
            <w:pPr>
              <w:spacing w:after="40" w:line="240" w:lineRule="auto"/>
              <w:jc w:val="left"/>
            </w:pPr>
            <w:r/>
            <w:r>
              <w:rPr>
                <w:rFonts w:ascii="Cambria" w:hAnsi="Cambria"/>
                <w:b/>
                <w:sz w:val="21"/>
              </w:rPr>
              <w:t>Associate Dean – Student Progression: Custodian of Student Success Pathways</w:t>
            </w:r>
          </w:p>
        </w:tc>
        <w:tc>
          <w:tcPr>
            <w:tcW w:type="dxa" w:w="1020"/>
          </w:tcPr>
          <w:p>
            <w:pPr>
              <w:spacing w:after="40" w:line="240" w:lineRule="auto"/>
              <w:jc w:val="left"/>
            </w:pPr>
            <w:r/>
            <w:r>
              <w:rPr>
                <w:rFonts w:ascii="Cambria" w:hAnsi="Cambria"/>
                <w:b/>
                <w:sz w:val="21"/>
              </w:rPr>
              <w:t>26</w:t>
            </w:r>
          </w:p>
        </w:tc>
      </w:tr>
      <w:tr>
        <w:tc>
          <w:tcPr>
            <w:tcW w:type="dxa" w:w="850"/>
          </w:tcPr>
          <w:p>
            <w:pPr>
              <w:spacing w:after="40" w:line="240" w:lineRule="auto"/>
              <w:jc w:val="left"/>
            </w:pPr>
            <w:r/>
            <w:r>
              <w:rPr>
                <w:rFonts w:ascii="Cambria" w:hAnsi="Cambria"/>
                <w:b/>
                <w:sz w:val="21"/>
              </w:rPr>
              <w:t>12</w:t>
            </w:r>
          </w:p>
        </w:tc>
        <w:tc>
          <w:tcPr>
            <w:tcW w:type="dxa" w:w="7540"/>
          </w:tcPr>
          <w:p>
            <w:pPr>
              <w:spacing w:after="40" w:line="240" w:lineRule="auto"/>
              <w:jc w:val="left"/>
            </w:pPr>
            <w:r/>
            <w:r>
              <w:rPr>
                <w:rFonts w:ascii="Cambria" w:hAnsi="Cambria"/>
                <w:b/>
                <w:sz w:val="21"/>
              </w:rPr>
              <w:t>Associate Dean – Curriculum &amp; Academic Programs, Academic Feedback</w:t>
            </w:r>
          </w:p>
        </w:tc>
        <w:tc>
          <w:tcPr>
            <w:tcW w:type="dxa" w:w="1020"/>
          </w:tcPr>
          <w:p>
            <w:pPr>
              <w:spacing w:after="40" w:line="240" w:lineRule="auto"/>
              <w:jc w:val="left"/>
            </w:pPr>
            <w:r/>
            <w:r>
              <w:rPr>
                <w:rFonts w:ascii="Cambria" w:hAnsi="Cambria"/>
                <w:b/>
                <w:sz w:val="21"/>
              </w:rPr>
              <w:t>28</w:t>
            </w:r>
          </w:p>
        </w:tc>
      </w:tr>
      <w:tr>
        <w:tc>
          <w:tcPr>
            <w:tcW w:type="dxa" w:w="850"/>
          </w:tcPr>
          <w:p>
            <w:pPr>
              <w:spacing w:after="40" w:line="240" w:lineRule="auto"/>
              <w:jc w:val="left"/>
            </w:pPr>
            <w:r/>
            <w:r>
              <w:rPr>
                <w:rFonts w:ascii="Cambria" w:hAnsi="Cambria"/>
                <w:b/>
                <w:sz w:val="21"/>
              </w:rPr>
              <w:t>13</w:t>
            </w:r>
          </w:p>
        </w:tc>
        <w:tc>
          <w:tcPr>
            <w:tcW w:type="dxa" w:w="7540"/>
          </w:tcPr>
          <w:p>
            <w:pPr>
              <w:spacing w:after="40" w:line="240" w:lineRule="auto"/>
              <w:jc w:val="left"/>
            </w:pPr>
            <w:r/>
            <w:r>
              <w:rPr>
                <w:rFonts w:ascii="Cambria" w:hAnsi="Cambria"/>
                <w:b/>
                <w:sz w:val="21"/>
              </w:rPr>
              <w:t>Associate Dean – Curriculum &amp; Academic Programs, Academic Feedback: Custodian of Curricular Relevance and Innovation</w:t>
            </w:r>
          </w:p>
        </w:tc>
        <w:tc>
          <w:tcPr>
            <w:tcW w:type="dxa" w:w="1020"/>
          </w:tcPr>
          <w:p>
            <w:pPr>
              <w:spacing w:after="40" w:line="240" w:lineRule="auto"/>
              <w:jc w:val="left"/>
            </w:pPr>
            <w:r/>
            <w:r>
              <w:rPr>
                <w:rFonts w:ascii="Cambria" w:hAnsi="Cambria"/>
                <w:b/>
                <w:sz w:val="21"/>
              </w:rPr>
              <w:t>31</w:t>
            </w:r>
          </w:p>
        </w:tc>
      </w:tr>
      <w:tr>
        <w:tc>
          <w:tcPr>
            <w:tcW w:type="dxa" w:w="850"/>
          </w:tcPr>
          <w:p>
            <w:pPr>
              <w:spacing w:after="40" w:line="240" w:lineRule="auto"/>
              <w:jc w:val="left"/>
            </w:pPr>
            <w:r/>
            <w:r>
              <w:rPr>
                <w:rFonts w:ascii="Cambria" w:hAnsi="Cambria"/>
                <w:b/>
                <w:sz w:val="21"/>
              </w:rPr>
              <w:t>14</w:t>
            </w:r>
          </w:p>
        </w:tc>
        <w:tc>
          <w:tcPr>
            <w:tcW w:type="dxa" w:w="7540"/>
          </w:tcPr>
          <w:p>
            <w:pPr>
              <w:spacing w:after="40" w:line="240" w:lineRule="auto"/>
              <w:jc w:val="left"/>
            </w:pPr>
            <w:r/>
            <w:r>
              <w:rPr>
                <w:rFonts w:ascii="Cambria" w:hAnsi="Cambria"/>
                <w:b/>
                <w:sz w:val="21"/>
              </w:rPr>
              <w:t>Associate Dean – Academic Registration</w:t>
            </w:r>
          </w:p>
        </w:tc>
        <w:tc>
          <w:tcPr>
            <w:tcW w:type="dxa" w:w="1020"/>
          </w:tcPr>
          <w:p>
            <w:pPr>
              <w:spacing w:after="40" w:line="240" w:lineRule="auto"/>
              <w:jc w:val="left"/>
            </w:pPr>
            <w:r/>
            <w:r>
              <w:rPr>
                <w:rFonts w:ascii="Cambria" w:hAnsi="Cambria"/>
                <w:b/>
                <w:sz w:val="21"/>
              </w:rPr>
              <w:t>33</w:t>
            </w:r>
          </w:p>
        </w:tc>
      </w:tr>
      <w:tr>
        <w:tc>
          <w:tcPr>
            <w:tcW w:type="dxa" w:w="850"/>
          </w:tcPr>
          <w:p>
            <w:pPr>
              <w:spacing w:after="40" w:line="240" w:lineRule="auto"/>
              <w:jc w:val="left"/>
            </w:pPr>
            <w:r/>
            <w:r>
              <w:rPr>
                <w:rFonts w:ascii="Cambria" w:hAnsi="Cambria"/>
                <w:b/>
                <w:sz w:val="21"/>
              </w:rPr>
              <w:t>15</w:t>
            </w:r>
          </w:p>
        </w:tc>
        <w:tc>
          <w:tcPr>
            <w:tcW w:type="dxa" w:w="7540"/>
          </w:tcPr>
          <w:p>
            <w:pPr>
              <w:spacing w:after="40" w:line="240" w:lineRule="auto"/>
              <w:jc w:val="left"/>
            </w:pPr>
            <w:r/>
            <w:r>
              <w:rPr>
                <w:rFonts w:ascii="Cambria" w:hAnsi="Cambria"/>
                <w:b/>
                <w:sz w:val="21"/>
              </w:rPr>
              <w:t>Associate Dean – Academic Registration: Custodian of Academic Enrollment and Student Record Integrity</w:t>
            </w:r>
          </w:p>
        </w:tc>
        <w:tc>
          <w:tcPr>
            <w:tcW w:type="dxa" w:w="1020"/>
          </w:tcPr>
          <w:p>
            <w:pPr>
              <w:spacing w:after="40" w:line="240" w:lineRule="auto"/>
              <w:jc w:val="left"/>
            </w:pPr>
            <w:r/>
            <w:r>
              <w:rPr>
                <w:rFonts w:ascii="Cambria" w:hAnsi="Cambria"/>
                <w:b/>
                <w:sz w:val="21"/>
              </w:rPr>
              <w:t>36</w:t>
            </w:r>
          </w:p>
        </w:tc>
      </w:tr>
      <w:tr>
        <w:tc>
          <w:tcPr>
            <w:tcW w:type="dxa" w:w="850"/>
          </w:tcPr>
          <w:p>
            <w:pPr>
              <w:spacing w:after="40" w:line="240" w:lineRule="auto"/>
              <w:jc w:val="left"/>
            </w:pPr>
            <w:r/>
            <w:r>
              <w:rPr>
                <w:rFonts w:ascii="Cambria" w:hAnsi="Cambria"/>
                <w:b/>
                <w:sz w:val="21"/>
              </w:rPr>
              <w:t>16</w:t>
            </w:r>
          </w:p>
        </w:tc>
        <w:tc>
          <w:tcPr>
            <w:tcW w:type="dxa" w:w="7540"/>
          </w:tcPr>
          <w:p>
            <w:pPr>
              <w:spacing w:after="40" w:line="240" w:lineRule="auto"/>
              <w:jc w:val="left"/>
            </w:pPr>
            <w:r/>
            <w:r>
              <w:rPr>
                <w:rFonts w:ascii="Cambria" w:hAnsi="Cambria"/>
                <w:b/>
                <w:sz w:val="21"/>
              </w:rPr>
              <w:t>Associate Dean – Skilling and VAC/CC</w:t>
            </w:r>
          </w:p>
        </w:tc>
        <w:tc>
          <w:tcPr>
            <w:tcW w:type="dxa" w:w="1020"/>
          </w:tcPr>
          <w:p>
            <w:pPr>
              <w:spacing w:after="40" w:line="240" w:lineRule="auto"/>
              <w:jc w:val="left"/>
            </w:pPr>
            <w:r/>
            <w:r>
              <w:rPr>
                <w:rFonts w:ascii="Cambria" w:hAnsi="Cambria"/>
                <w:b/>
                <w:sz w:val="21"/>
              </w:rPr>
              <w:t>38</w:t>
            </w:r>
          </w:p>
        </w:tc>
      </w:tr>
      <w:tr>
        <w:tc>
          <w:tcPr>
            <w:tcW w:type="dxa" w:w="850"/>
          </w:tcPr>
          <w:p>
            <w:pPr>
              <w:spacing w:after="40" w:line="240" w:lineRule="auto"/>
              <w:jc w:val="left"/>
            </w:pPr>
            <w:r/>
            <w:r>
              <w:rPr>
                <w:rFonts w:ascii="Cambria" w:hAnsi="Cambria"/>
                <w:b/>
                <w:sz w:val="21"/>
              </w:rPr>
              <w:t>17</w:t>
            </w:r>
          </w:p>
        </w:tc>
        <w:tc>
          <w:tcPr>
            <w:tcW w:type="dxa" w:w="7540"/>
          </w:tcPr>
          <w:p>
            <w:pPr>
              <w:spacing w:after="40" w:line="240" w:lineRule="auto"/>
              <w:jc w:val="left"/>
            </w:pPr>
            <w:r/>
            <w:r>
              <w:rPr>
                <w:rFonts w:ascii="Cambria" w:hAnsi="Cambria"/>
                <w:b/>
                <w:sz w:val="21"/>
              </w:rPr>
              <w:t>Associate Dean – Skilling and VAC/CC: Custodian of Skill-Based Learning and Employability Readiness</w:t>
            </w:r>
          </w:p>
        </w:tc>
        <w:tc>
          <w:tcPr>
            <w:tcW w:type="dxa" w:w="1020"/>
          </w:tcPr>
          <w:p>
            <w:pPr>
              <w:spacing w:after="40" w:line="240" w:lineRule="auto"/>
              <w:jc w:val="left"/>
            </w:pPr>
            <w:r/>
            <w:r>
              <w:rPr>
                <w:rFonts w:ascii="Cambria" w:hAnsi="Cambria"/>
                <w:b/>
                <w:sz w:val="21"/>
              </w:rPr>
              <w:t>41</w:t>
            </w:r>
          </w:p>
        </w:tc>
      </w:tr>
      <w:tr>
        <w:tc>
          <w:tcPr>
            <w:tcW w:type="dxa" w:w="850"/>
          </w:tcPr>
          <w:p>
            <w:pPr>
              <w:spacing w:after="40" w:line="240" w:lineRule="auto"/>
              <w:jc w:val="left"/>
            </w:pPr>
            <w:r/>
            <w:r>
              <w:rPr>
                <w:rFonts w:ascii="Cambria" w:hAnsi="Cambria"/>
                <w:b/>
                <w:sz w:val="21"/>
              </w:rPr>
              <w:t>18</w:t>
            </w:r>
          </w:p>
        </w:tc>
        <w:tc>
          <w:tcPr>
            <w:tcW w:type="dxa" w:w="7540"/>
          </w:tcPr>
          <w:p>
            <w:pPr>
              <w:spacing w:after="40" w:line="240" w:lineRule="auto"/>
              <w:jc w:val="left"/>
            </w:pPr>
            <w:r/>
            <w:r>
              <w:rPr>
                <w:rFonts w:ascii="Cambria" w:hAnsi="Cambria"/>
                <w:b/>
                <w:sz w:val="21"/>
              </w:rPr>
              <w:t>Associate Dean – Time Tables and Monitoring of Teaching</w:t>
            </w:r>
          </w:p>
        </w:tc>
        <w:tc>
          <w:tcPr>
            <w:tcW w:type="dxa" w:w="1020"/>
          </w:tcPr>
          <w:p>
            <w:pPr>
              <w:spacing w:after="40" w:line="240" w:lineRule="auto"/>
              <w:jc w:val="left"/>
            </w:pPr>
            <w:r/>
            <w:r>
              <w:rPr>
                <w:rFonts w:ascii="Cambria" w:hAnsi="Cambria"/>
                <w:b/>
                <w:sz w:val="21"/>
              </w:rPr>
              <w:t>43</w:t>
            </w:r>
          </w:p>
        </w:tc>
      </w:tr>
      <w:tr>
        <w:tc>
          <w:tcPr>
            <w:tcW w:type="dxa" w:w="850"/>
          </w:tcPr>
          <w:p>
            <w:pPr>
              <w:spacing w:after="40" w:line="240" w:lineRule="auto"/>
              <w:jc w:val="left"/>
            </w:pPr>
            <w:r/>
            <w:r>
              <w:rPr>
                <w:rFonts w:ascii="Cambria" w:hAnsi="Cambria"/>
                <w:b/>
                <w:sz w:val="21"/>
              </w:rPr>
              <w:t>19</w:t>
            </w:r>
          </w:p>
        </w:tc>
        <w:tc>
          <w:tcPr>
            <w:tcW w:type="dxa" w:w="7540"/>
          </w:tcPr>
          <w:p>
            <w:pPr>
              <w:spacing w:after="40" w:line="240" w:lineRule="auto"/>
              <w:jc w:val="left"/>
            </w:pPr>
            <w:r/>
            <w:r>
              <w:rPr>
                <w:rFonts w:ascii="Cambria" w:hAnsi="Cambria"/>
                <w:b/>
                <w:sz w:val="21"/>
              </w:rPr>
              <w:t>Associate Dean – Time Tables and Monitoring of Teaching: Custodian of Academic Discipline and Teaching Quality</w:t>
            </w:r>
          </w:p>
        </w:tc>
        <w:tc>
          <w:tcPr>
            <w:tcW w:type="dxa" w:w="1020"/>
          </w:tcPr>
          <w:p>
            <w:pPr>
              <w:spacing w:after="40" w:line="240" w:lineRule="auto"/>
              <w:jc w:val="left"/>
            </w:pPr>
            <w:r/>
            <w:r>
              <w:rPr>
                <w:rFonts w:ascii="Cambria" w:hAnsi="Cambria"/>
                <w:b/>
                <w:sz w:val="21"/>
              </w:rPr>
              <w:t>46</w:t>
            </w:r>
          </w:p>
        </w:tc>
      </w:tr>
      <w:tr>
        <w:tc>
          <w:tcPr>
            <w:tcW w:type="dxa" w:w="850"/>
          </w:tcPr>
          <w:p>
            <w:pPr>
              <w:spacing w:after="40" w:line="240" w:lineRule="auto"/>
              <w:jc w:val="left"/>
            </w:pPr>
            <w:r/>
            <w:r>
              <w:rPr>
                <w:rFonts w:ascii="Cambria" w:hAnsi="Cambria"/>
                <w:b/>
                <w:sz w:val="21"/>
              </w:rPr>
              <w:t>20</w:t>
            </w:r>
          </w:p>
        </w:tc>
        <w:tc>
          <w:tcPr>
            <w:tcW w:type="dxa" w:w="7540"/>
          </w:tcPr>
          <w:p>
            <w:pPr>
              <w:spacing w:after="40" w:line="240" w:lineRule="auto"/>
              <w:jc w:val="left"/>
            </w:pPr>
            <w:r/>
            <w:r>
              <w:rPr>
                <w:rFonts w:ascii="Cambria" w:hAnsi="Cambria"/>
                <w:b/>
                <w:sz w:val="21"/>
              </w:rPr>
              <w:t>Associate Dean – MOOC Creation</w:t>
            </w:r>
          </w:p>
        </w:tc>
        <w:tc>
          <w:tcPr>
            <w:tcW w:type="dxa" w:w="1020"/>
          </w:tcPr>
          <w:p>
            <w:pPr>
              <w:spacing w:after="40" w:line="240" w:lineRule="auto"/>
              <w:jc w:val="left"/>
            </w:pPr>
            <w:r/>
            <w:r>
              <w:rPr>
                <w:rFonts w:ascii="Cambria" w:hAnsi="Cambria"/>
                <w:b/>
                <w:sz w:val="21"/>
              </w:rPr>
              <w:t>47</w:t>
            </w:r>
          </w:p>
        </w:tc>
      </w:tr>
      <w:tr>
        <w:tc>
          <w:tcPr>
            <w:tcW w:type="dxa" w:w="850"/>
          </w:tcPr>
          <w:p>
            <w:pPr>
              <w:spacing w:after="40" w:line="240" w:lineRule="auto"/>
              <w:jc w:val="left"/>
            </w:pPr>
            <w:r/>
            <w:r>
              <w:rPr>
                <w:rFonts w:ascii="Cambria" w:hAnsi="Cambria"/>
                <w:b/>
                <w:sz w:val="21"/>
              </w:rPr>
              <w:t>21</w:t>
            </w:r>
          </w:p>
        </w:tc>
        <w:tc>
          <w:tcPr>
            <w:tcW w:type="dxa" w:w="7540"/>
          </w:tcPr>
          <w:p>
            <w:pPr>
              <w:spacing w:after="40" w:line="240" w:lineRule="auto"/>
              <w:jc w:val="left"/>
            </w:pPr>
            <w:r/>
            <w:r>
              <w:rPr>
                <w:rFonts w:ascii="Cambria" w:hAnsi="Cambria"/>
                <w:b/>
                <w:sz w:val="21"/>
              </w:rPr>
              <w:t>Associate Dean – MOOC Creation: Custodian of Digital Learning and Online Academic Innovation</w:t>
            </w:r>
          </w:p>
        </w:tc>
        <w:tc>
          <w:tcPr>
            <w:tcW w:type="dxa" w:w="1020"/>
          </w:tcPr>
          <w:p>
            <w:pPr>
              <w:spacing w:after="40" w:line="240" w:lineRule="auto"/>
              <w:jc w:val="left"/>
            </w:pPr>
            <w:r/>
            <w:r>
              <w:rPr>
                <w:rFonts w:ascii="Cambria" w:hAnsi="Cambria"/>
                <w:b/>
                <w:sz w:val="21"/>
              </w:rPr>
              <w:t>51</w:t>
            </w:r>
          </w:p>
        </w:tc>
      </w:tr>
      <w:tr>
        <w:tc>
          <w:tcPr>
            <w:tcW w:type="dxa" w:w="850"/>
          </w:tcPr>
          <w:p>
            <w:pPr>
              <w:spacing w:after="40" w:line="240" w:lineRule="auto"/>
              <w:jc w:val="left"/>
            </w:pPr>
            <w:r/>
            <w:r>
              <w:rPr>
                <w:rFonts w:ascii="Cambria" w:hAnsi="Cambria"/>
                <w:b/>
                <w:sz w:val="21"/>
              </w:rPr>
              <w:t>22</w:t>
            </w:r>
          </w:p>
        </w:tc>
        <w:tc>
          <w:tcPr>
            <w:tcW w:type="dxa" w:w="7540"/>
          </w:tcPr>
          <w:p>
            <w:pPr>
              <w:spacing w:after="40" w:line="240" w:lineRule="auto"/>
              <w:jc w:val="left"/>
            </w:pPr>
            <w:r/>
            <w:r>
              <w:rPr>
                <w:rFonts w:ascii="Cambria" w:hAnsi="Cambria"/>
                <w:b/>
                <w:sz w:val="21"/>
              </w:rPr>
              <w:t>Mapping of Associate Deans to NBA, NAAC, NIRF, and QS I-GAUGE</w:t>
            </w:r>
          </w:p>
        </w:tc>
        <w:tc>
          <w:tcPr>
            <w:tcW w:type="dxa" w:w="1020"/>
          </w:tcPr>
          <w:p>
            <w:pPr>
              <w:spacing w:after="40" w:line="240" w:lineRule="auto"/>
              <w:jc w:val="left"/>
            </w:pPr>
            <w:r/>
            <w:r>
              <w:rPr>
                <w:rFonts w:ascii="Cambria" w:hAnsi="Cambria"/>
                <w:b/>
                <w:sz w:val="21"/>
              </w:rPr>
              <w:t>53</w:t>
            </w:r>
          </w:p>
        </w:tc>
      </w:tr>
      <w:tr>
        <w:tc>
          <w:tcPr>
            <w:tcW w:type="dxa" w:w="850"/>
          </w:tcPr>
          <w:p>
            <w:pPr>
              <w:spacing w:after="40" w:line="240" w:lineRule="auto"/>
              <w:jc w:val="left"/>
            </w:pPr>
            <w:r/>
            <w:r>
              <w:rPr>
                <w:rFonts w:ascii="Cambria" w:hAnsi="Cambria"/>
                <w:b/>
                <w:sz w:val="21"/>
              </w:rPr>
              <w:t>23</w:t>
            </w:r>
          </w:p>
        </w:tc>
        <w:tc>
          <w:tcPr>
            <w:tcW w:type="dxa" w:w="7540"/>
          </w:tcPr>
          <w:p>
            <w:pPr>
              <w:spacing w:after="40" w:line="240" w:lineRule="auto"/>
              <w:jc w:val="left"/>
            </w:pPr>
            <w:r/>
            <w:r>
              <w:rPr>
                <w:rFonts w:ascii="Cambria" w:hAnsi="Cambria"/>
                <w:b/>
                <w:sz w:val="21"/>
              </w:rPr>
              <w:t>National and Global Quality Benchmarks in Higher Education</w:t>
            </w:r>
          </w:p>
        </w:tc>
        <w:tc>
          <w:tcPr>
            <w:tcW w:type="dxa" w:w="1020"/>
          </w:tcPr>
          <w:p>
            <w:pPr>
              <w:spacing w:after="40" w:line="240" w:lineRule="auto"/>
              <w:jc w:val="left"/>
            </w:pPr>
            <w:r/>
            <w:r>
              <w:rPr>
                <w:rFonts w:ascii="Cambria" w:hAnsi="Cambria"/>
                <w:b/>
                <w:sz w:val="21"/>
              </w:rPr>
              <w:t>55</w:t>
            </w:r>
          </w:p>
        </w:tc>
      </w:tr>
      <w:tr>
        <w:tc>
          <w:tcPr>
            <w:tcW w:type="dxa" w:w="850"/>
          </w:tcPr>
          <w:p>
            <w:pPr>
              <w:spacing w:after="40" w:line="240" w:lineRule="auto"/>
              <w:jc w:val="left"/>
            </w:pPr>
            <w:r/>
            <w:r>
              <w:rPr>
                <w:rFonts w:ascii="Cambria" w:hAnsi="Cambria"/>
                <w:b/>
                <w:sz w:val="21"/>
              </w:rPr>
              <w:t>24</w:t>
            </w:r>
          </w:p>
        </w:tc>
        <w:tc>
          <w:tcPr>
            <w:tcW w:type="dxa" w:w="7540"/>
          </w:tcPr>
          <w:p>
            <w:pPr>
              <w:spacing w:after="40" w:line="240" w:lineRule="auto"/>
              <w:jc w:val="left"/>
            </w:pPr>
            <w:r/>
            <w:r>
              <w:rPr>
                <w:rFonts w:ascii="Cambria" w:hAnsi="Cambria"/>
                <w:b/>
                <w:sz w:val="21"/>
              </w:rPr>
              <w:t>Custodians: DOAA &amp; Associate Deans</w:t>
            </w:r>
          </w:p>
        </w:tc>
        <w:tc>
          <w:tcPr>
            <w:tcW w:type="dxa" w:w="1020"/>
          </w:tcPr>
          <w:p>
            <w:pPr>
              <w:spacing w:after="40" w:line="240" w:lineRule="auto"/>
              <w:jc w:val="left"/>
            </w:pPr>
            <w:r/>
            <w:r>
              <w:rPr>
                <w:rFonts w:ascii="Cambria" w:hAnsi="Cambria"/>
                <w:b/>
                <w:sz w:val="21"/>
              </w:rPr>
              <w:t>57</w:t>
            </w:r>
          </w:p>
        </w:tc>
      </w:tr>
      <w:tr>
        <w:tc>
          <w:tcPr>
            <w:tcW w:type="dxa" w:w="850"/>
          </w:tcPr>
          <w:p>
            <w:pPr>
              <w:spacing w:after="40" w:line="240" w:lineRule="auto"/>
              <w:jc w:val="left"/>
            </w:pPr>
            <w:r/>
            <w:r>
              <w:rPr>
                <w:rFonts w:ascii="Cambria" w:hAnsi="Cambria"/>
                <w:b/>
                <w:sz w:val="21"/>
              </w:rPr>
              <w:t>25</w:t>
            </w:r>
          </w:p>
        </w:tc>
        <w:tc>
          <w:tcPr>
            <w:tcW w:type="dxa" w:w="7540"/>
          </w:tcPr>
          <w:p>
            <w:pPr>
              <w:spacing w:after="40" w:line="240" w:lineRule="auto"/>
              <w:jc w:val="left"/>
            </w:pPr>
            <w:r/>
            <w:r>
              <w:rPr>
                <w:rFonts w:ascii="Cambria" w:hAnsi="Cambria"/>
                <w:b/>
                <w:sz w:val="21"/>
              </w:rPr>
              <w:t>References</w:t>
            </w:r>
          </w:p>
        </w:tc>
        <w:tc>
          <w:tcPr>
            <w:tcW w:type="dxa" w:w="1020"/>
          </w:tcPr>
          <w:p>
            <w:pPr>
              <w:spacing w:after="40" w:line="240" w:lineRule="auto"/>
              <w:jc w:val="left"/>
            </w:pPr>
            <w:r/>
            <w:r>
              <w:rPr>
                <w:rFonts w:ascii="Cambria" w:hAnsi="Cambria"/>
                <w:b/>
                <w:sz w:val="21"/>
              </w:rPr>
              <w:t>59</w:t>
            </w:r>
          </w:p>
        </w:tc>
      </w:tr>
    </w:tbl>
    <w:p>
      <w:pPr>
        <w:spacing w:after="40"/>
      </w:pPr>
    </w:p>
    <w:p>
      <w:r>
        <w:br w:type="page"/>
      </w:r>
    </w:p>
    <w:p>
      <w:pPr>
        <w:pStyle w:val="Heading1"/>
      </w:pPr>
      <w:r>
        <w:rPr>
          <w:rFonts w:ascii="Cambria" w:hAnsi="Cambria"/>
          <w:b/>
          <w:color w:val="1F3A5F"/>
          <w:sz w:val="36"/>
        </w:rPr>
        <w:t>1. Introduction</w:t>
      </w:r>
    </w:p>
    <w:p>
      <w:pPr>
        <w:spacing w:after="160" w:line="276" w:lineRule="auto"/>
        <w:jc w:val="both"/>
      </w:pPr>
      <w:r>
        <w:rPr>
          <w:rFonts w:ascii="Cambria" w:hAnsi="Cambria"/>
          <w:b w:val="0"/>
          <w:i w:val="0"/>
          <w:sz w:val="22"/>
        </w:rPr>
        <w:t>In the rapidly evolving landscape of higher education, institutions are no longer judged solely on the number of students they enroll or the infrastructure they provide. Instead, they are evaluated by their ability to maintain academic integrity, deliver quality teaching, nurture innovation, and align with national and global benchmarks. At the heart of this process lies the role of the Dean of Academic Affairs (DOAA), a senior academic leader tasked with guiding institutions through the challenges and opportunities of the twenty-first century. The DOAA functions as the chief custodian of academic excellence, balancing tradition with innovation and policy with practice. The position carries significant weight, not just administratively but symbolically, representing the institution's commitment to quality education, research, and student success. This role is essential in an era where accreditation, rankings, digital learning, student employability, and global competitiveness define the success of universities and colleges.</w:t>
      </w:r>
    </w:p>
    <w:p>
      <w:pPr>
        <w:spacing w:after="160" w:line="276" w:lineRule="auto"/>
        <w:jc w:val="both"/>
      </w:pPr>
      <w:r>
        <w:rPr>
          <w:rFonts w:ascii="Cambria" w:hAnsi="Cambria"/>
          <w:b w:val="0"/>
          <w:i w:val="0"/>
          <w:sz w:val="22"/>
        </w:rPr>
        <w:t>The DOAA is strategically positioned between the Vice-Chancellor or President, who provides the overall vision, and the Registrar and Heads of Departments, who manage operational delivery. This middle space makes the Dean a bridge between leadership and faculty, ensuring that academic strategies are effectively translated into teaching, research, and student services. In most higher education systems, the DOAA oversees curriculum development and academic programs, teaching–learning quality and faculty development, student progression, retention and employability, research integration and innovation, skilling initiatives and VAC/CC programs, digital learning through MOOCs, as well as academic records, timetabling, and evaluation processes. This breadth of responsibilities means the DOAA is not confined to a single aspect of governance but instead operates as the integrative force that unites multiple dimensions of academic life.</w:t>
      </w:r>
    </w:p>
    <w:p>
      <w:pPr>
        <w:spacing w:after="160" w:line="276" w:lineRule="auto"/>
        <w:jc w:val="both"/>
      </w:pPr>
      <w:r>
        <w:rPr>
          <w:rFonts w:ascii="Cambria" w:hAnsi="Cambria"/>
          <w:b w:val="0"/>
          <w:i w:val="0"/>
          <w:sz w:val="22"/>
        </w:rPr>
        <w:t>The word custodian captures the true essence of the Dean's role. Unlike managers who focus primarily on administration, custodians safeguard values, integrity, and trust. The DOAA is the guardian of academic standards, ensuring that programs remain aligned with the university's mission, national regulations, and global frameworks such as NAAC, NBA, NIRF, QS, and THE rankings. This custodianship involves protecting the credibility of academic records and evaluations, ensuring fairness and transparency in teaching and assessment, monitoring continuous improvement cycles in curriculum and pedagogy, and guaranteeing that students graduate with defined competencies and employability skills. By embodying this role, the Dean becomes the anchor of institutional trust for students, faculty, administrators, and external stakeholders alike.</w:t>
      </w:r>
    </w:p>
    <w:p>
      <w:pPr>
        <w:spacing w:after="160" w:line="276" w:lineRule="auto"/>
        <w:jc w:val="both"/>
      </w:pPr>
      <w:r>
        <w:rPr>
          <w:rFonts w:ascii="Cambria" w:hAnsi="Cambria"/>
          <w:b w:val="0"/>
          <w:i w:val="0"/>
          <w:sz w:val="22"/>
        </w:rPr>
        <w:t>To operationalize its vast mandate, the DOAA works through a team of Associate Deans, each serving as a functional custodian of a critical academic domain. The Associate Dean for Projects and Academic Research oversees research excellence and innovation. The Associate Dean for OBE Implementation safeguards the Outcome-Based Education framework, ensuring CO–PO–PSO attainment. The Associate Dean for Student Progression ensures student success pathways and employability readiness. The Associate Dean for Curriculum and Academic Programs, Academic Feedback, is the custodian of curricular relevance and innovation. The Associate Dean for Academic Registration ensures enrollment integrity and the reliability of academic records. The Associate Dean for Skilling and VAC/CC oversees skill-based learning and career readiness. The Associate Dean for Time Tables and Monitoring of Teaching safeguards academic discipline and teaching quality. Finally, the Associate Dean for MOOC Creation ensures digital learning and online innovation. Together, these eight Associate Deans form a custodial ecosystem under the guidance of the DOAA. This structure ensures that the University's academic mission is pursued holistically, balancing research, teaching, student development, and digital transformation.</w:t>
      </w:r>
    </w:p>
    <w:p>
      <w:pPr>
        <w:spacing w:after="160" w:line="276" w:lineRule="auto"/>
        <w:jc w:val="both"/>
      </w:pPr>
      <w:r>
        <w:rPr>
          <w:rFonts w:ascii="Cambria" w:hAnsi="Cambria"/>
          <w:b w:val="0"/>
          <w:i w:val="0"/>
          <w:sz w:val="22"/>
        </w:rPr>
        <w:t>In today's competitive academic environment, benchmarks and accreditation frameworks act as the yardstick by which institutions are measured. The DOAA, with the support of Associate Deans, ensures alignment with NBA, which emphasizes Outcome-Based Education, CO–PO–PSO attainment, employability, and continuous improvement; NAAC, which adopts a holistic approach covering curriculum, teaching, research, governance, student support, and institutional innovation; NIRF, which relies on data-driven parameters such as teaching–learning resources, research and professional practice, graduation outcomes, outreach and inclusivity, and perception; and QS I-GAUGE and QS/THE World Rankings, which apply internationally benchmarked indicators for faculty quality, employability, diversity, research impact, and digital readiness. By integrating these frameworks, the DOAA not only ensures compliance but also drives excellence and competitiveness, positioning the institution as a leader both nationally and globally.</w:t>
      </w:r>
    </w:p>
    <w:p>
      <w:pPr>
        <w:spacing w:after="160" w:line="276" w:lineRule="auto"/>
        <w:jc w:val="both"/>
      </w:pPr>
      <w:r>
        <w:rPr>
          <w:rFonts w:ascii="Cambria" w:hAnsi="Cambria"/>
          <w:b w:val="0"/>
          <w:i w:val="0"/>
          <w:sz w:val="22"/>
        </w:rPr>
        <w:t>Beyond compliance, the DOAA plays a proactive role as a strategic leader and change agent. The higher education sector is undergoing rapid transformation due to the digitalization of learning, increasing focus on employability and entrepreneurship, global competition for rankings and visibility, and the adoption of student-centric models that emphasize flexibility and lifelong learning. The DOAA must anticipate these changes, guide faculty in adapting pedagogies, promote innovation in curriculum, and support students in acquiring future-ready skills. This requires visionary leadership, adaptability, and the ability to balance long-term strategy with immediate operational needs.</w:t>
      </w:r>
    </w:p>
    <w:p>
      <w:pPr>
        <w:spacing w:after="160" w:line="276" w:lineRule="auto"/>
        <w:jc w:val="both"/>
      </w:pPr>
      <w:r>
        <w:rPr>
          <w:rFonts w:ascii="Cambria" w:hAnsi="Cambria"/>
          <w:b w:val="0"/>
          <w:i w:val="0"/>
          <w:sz w:val="22"/>
        </w:rPr>
        <w:t>Symbolically, the DOAA represents the institution's commitment to academic integrity, quality, and accountability. Practically, the DOAA coordinates people, processes, and policies to ensure smooth academic functioning. The dual nature of the role</w:t>
      </w:r>
      <w:r>
        <w:rPr>
          <w:rFonts w:ascii="Cambria" w:hAnsi="Cambria"/>
          <w:b w:val="0"/>
          <w:i w:val="0"/>
          <w:sz w:val="22"/>
        </w:rPr>
        <w:t>—symbolic custodian and operational leader—</w:t>
      </w:r>
      <w:r>
        <w:rPr>
          <w:rFonts w:ascii="Cambria" w:hAnsi="Cambria"/>
          <w:b w:val="0"/>
          <w:i w:val="0"/>
          <w:sz w:val="22"/>
        </w:rPr>
        <w:t>makes the Dean indispensable in building trust with students, parents, and employers, maintaining faculty morale and professional development, demonstrating accountability to regulators, accreditation agencies, and ranking bodies, and enhancing the institution's credibility and reputation.</w:t>
      </w:r>
    </w:p>
    <w:p>
      <w:pPr>
        <w:spacing w:after="160" w:line="276" w:lineRule="auto"/>
        <w:jc w:val="both"/>
      </w:pPr>
      <w:r>
        <w:rPr>
          <w:rFonts w:ascii="Cambria" w:hAnsi="Cambria"/>
          <w:b w:val="0"/>
          <w:i w:val="0"/>
          <w:sz w:val="22"/>
        </w:rPr>
        <w:t xml:space="preserve">This book, </w:t>
      </w:r>
      <w:r>
        <w:rPr>
          <w:rFonts w:ascii="Cambria" w:hAnsi="Cambria"/>
          <w:b w:val="0"/>
          <w:i/>
          <w:sz w:val="22"/>
        </w:rPr>
        <w:t>Dean of Academic Affairs: Custodian of Academic Excellence</w:t>
      </w:r>
      <w:r>
        <w:rPr>
          <w:rFonts w:ascii="Cambria" w:hAnsi="Cambria"/>
          <w:b w:val="0"/>
          <w:i w:val="0"/>
          <w:sz w:val="22"/>
        </w:rPr>
        <w:t>, aims to provide a comprehensive exploration of the role of DOAA and Associate Deans in higher education governance. It brings together theoretical insights, practical frameworks, and benchmark mappings to present a clear picture of how academic custodianship is operationalized. The chapters highlight each Associate Dean's portfolio in detail, mapping their responsibilities to NBA, NAAC, NIRF, and QS I-GAUGE criteria, and presenting them as functional custodians of research, OBE, student progression, curriculum, registration, skilling, teaching, and digital learning. By doing so, the book provides institutions with a framework for academic leadership that is both nationally compliant and globally competitive.</w:t>
      </w:r>
    </w:p>
    <w:p>
      <w:pPr>
        <w:spacing w:after="200" w:line="276" w:lineRule="auto"/>
        <w:jc w:val="both"/>
      </w:pPr>
      <w:r>
        <w:rPr>
          <w:rFonts w:ascii="Cambria" w:hAnsi="Cambria"/>
          <w:b w:val="0"/>
          <w:i w:val="0"/>
          <w:sz w:val="22"/>
        </w:rPr>
        <w:t>The role of the Dean of Academic Affairs extends far beyond administrative oversight; it is about custodianship, vision, and accountability. By coordinating multiple dimensions of academic life and aligning them with quality benchmarks, the DOAA ensures that institutions fulfill their mission of educating students, advancing knowledge, and contributing to society. The Dean, together with the Associate Deans, safeguards the academic values that define the identity and reputation of the university. As higher education continues to evolve, the DOAA will remain the anchor of academic excellence and innovation, ensuring that institutions are prepared not just to adapt to change but to lead it.</w:t>
      </w:r>
    </w:p>
    <w:p>
      <w:r>
        <w:br w:type="page"/>
      </w:r>
    </w:p>
    <w:p>
      <w:pPr>
        <w:pStyle w:val="Heading1"/>
      </w:pPr>
      <w:r>
        <w:rPr>
          <w:rFonts w:ascii="Cambria" w:hAnsi="Cambria"/>
          <w:b/>
          <w:color w:val="1F3A5F"/>
          <w:sz w:val="36"/>
        </w:rPr>
        <w:t>2. Dean – Academic Affairs (DOAA)</w:t>
      </w:r>
    </w:p>
    <w:p>
      <w:pPr>
        <w:spacing w:after="160" w:line="276" w:lineRule="auto"/>
        <w:jc w:val="both"/>
      </w:pPr>
      <w:r>
        <w:rPr>
          <w:rFonts w:ascii="Cambria" w:hAnsi="Cambria"/>
          <w:b w:val="0"/>
          <w:i w:val="0"/>
          <w:sz w:val="22"/>
        </w:rPr>
        <w:t>The Dean of Academic Affairs (DOAA) is a senior-level academic leader who plays a pivotal role in shaping the intellectual and educational framework of a university or college. This position carries the primary responsibility for the strategic direction, effective administration, and quality assurance of all academic programs, courses, and policies. Acting as the bridge between the institution's top leadership and its faculty, the Dean ensures that the university's academic mission is translated into practice with integrity, innovation, and accountability. The DOAA provides oversight in critical areas such as curriculum design, teaching quality, research integration, accreditation compliance, student progression, and faculty development, making the role central to sustaining academic excellence. Beyond routine administration, the Dean sets the tone for academic culture and discipline, ensuring that programs are aligned with national and international standards (NEP-2020, NAAC, NBA, NIRF, QS rankings) and remain responsive to emerging global trends. By coordinating with Associate Deans, Heads of Departments, and Boards of Studies, the DOAA fosters collaboration across disciplines, encourages outcome-based learning, and drives digital and skill-based education initiatives. In this way, the Dean of Academic Affairs not only safeguards academic standards but also champions innovation, global competitiveness, and student success, ensuring that the institution's educational mission is continuously fulfilled and advanced.</w:t>
      </w:r>
    </w:p>
    <w:p>
      <w:pPr>
        <w:spacing w:after="120" w:line="276" w:lineRule="auto"/>
        <w:jc w:val="center"/>
      </w:pPr>
      <w:r>
        <w:rPr>
          <w:rFonts w:ascii="Cambria" w:hAnsi="Cambria"/>
          <w:b/>
          <w:i w:val="0"/>
          <w:sz w:val="22"/>
        </w:rPr>
        <w:t>Flow Diagram: Dean – Academics and Associate Deans</w:t>
      </w:r>
    </w:p>
    <w:p>
      <w:pPr>
        <w:spacing w:after="200" w:line="276" w:lineRule="auto"/>
        <w:jc w:val="center"/>
      </w:pPr>
      <w:r>
        <w:rPr>
          <w:rFonts w:ascii="Cambria" w:hAnsi="Cambria"/>
          <w:b w:val="0"/>
          <w:i/>
          <w:sz w:val="22"/>
        </w:rPr>
        <w:t>[Flow diagram: "Dean – Academics" at the centre, with eight Associate Dean portfolios arranged radially around it — Associate Dean – Student Progression, Associate Dean – OBE Implementation, Associate Dean – Projects &amp; Academic Research, Associate Dean – MOOC Creation, Associate Dean – Time Tables &amp; Monitoring of Teaching, Associate Dean – Skilling and VAC/CC, Associate Dean – Academic Registration, and Associate Dean – Curriculum &amp; Academic Programs, Feedback — each connected to the Dean – Academics by a line, showing the DOAA as the coordinating hub of all eight custodial portfolios.]</w:t>
      </w:r>
    </w:p>
    <w:p>
      <w:pPr>
        <w:pStyle w:val="ListBullet"/>
        <w:spacing w:after="80" w:line="276" w:lineRule="auto"/>
      </w:pPr>
      <w:r>
        <w:rPr>
          <w:rFonts w:ascii="Cambria" w:hAnsi="Cambria"/>
          <w:b/>
          <w:i w:val="0"/>
          <w:sz w:val="22"/>
        </w:rPr>
        <w:t>Strategic Position:</w:t>
      </w:r>
    </w:p>
    <w:p>
      <w:pPr>
        <w:pStyle w:val="ListBullet2"/>
        <w:spacing w:after="80" w:line="276" w:lineRule="auto"/>
      </w:pPr>
      <w:r>
        <w:rPr>
          <w:rFonts w:ascii="Cambria" w:hAnsi="Cambria"/>
          <w:b w:val="0"/>
          <w:i w:val="0"/>
          <w:sz w:val="22"/>
        </w:rPr>
        <w:t>Second only to the Vice-Chancellor in academic hierarchy.</w:t>
      </w:r>
    </w:p>
    <w:p>
      <w:pPr>
        <w:pStyle w:val="ListBullet2"/>
        <w:spacing w:after="80" w:line="276" w:lineRule="auto"/>
      </w:pPr>
      <w:r>
        <w:rPr>
          <w:rFonts w:ascii="Cambria" w:hAnsi="Cambria"/>
          <w:b w:val="0"/>
          <w:i w:val="0"/>
          <w:sz w:val="22"/>
        </w:rPr>
        <w:t>Works as the chief architect of academic policy and guardian of quality standards.</w:t>
      </w:r>
    </w:p>
    <w:p>
      <w:pPr>
        <w:pStyle w:val="ListBullet"/>
        <w:spacing w:after="80" w:line="276" w:lineRule="auto"/>
      </w:pPr>
      <w:r>
        <w:rPr>
          <w:rFonts w:ascii="Cambria" w:hAnsi="Cambria"/>
          <w:b/>
          <w:i w:val="0"/>
          <w:sz w:val="22"/>
        </w:rPr>
        <w:t>Core Responsibilities:</w:t>
      </w:r>
    </w:p>
    <w:p>
      <w:pPr>
        <w:pStyle w:val="ListBullet2"/>
        <w:spacing w:after="80" w:line="276" w:lineRule="auto"/>
      </w:pPr>
      <w:r>
        <w:rPr>
          <w:rFonts w:ascii="Cambria" w:hAnsi="Cambria"/>
          <w:b w:val="0"/>
          <w:i w:val="0"/>
          <w:sz w:val="22"/>
        </w:rPr>
        <w:t xml:space="preserve">Academic Planning: </w:t>
      </w:r>
      <w:r>
        <w:rPr>
          <w:rFonts w:ascii="Cambria" w:hAnsi="Cambria"/>
          <w:b w:val="0"/>
          <w:i w:val="0"/>
          <w:sz w:val="22"/>
        </w:rPr>
        <w:t>Aligns institutional curriculum with NEP-2020, UGC/AICTE frameworks, and global best practices.</w:t>
      </w:r>
    </w:p>
    <w:p>
      <w:pPr>
        <w:pStyle w:val="ListBullet2"/>
        <w:spacing w:after="80" w:line="276" w:lineRule="auto"/>
      </w:pPr>
      <w:r>
        <w:rPr>
          <w:rFonts w:ascii="Cambria" w:hAnsi="Cambria"/>
          <w:b w:val="0"/>
          <w:i w:val="0"/>
          <w:sz w:val="22"/>
        </w:rPr>
        <w:t xml:space="preserve">Integration of Roles: </w:t>
      </w:r>
      <w:r>
        <w:rPr>
          <w:rFonts w:ascii="Cambria" w:hAnsi="Cambria"/>
          <w:b w:val="0"/>
          <w:i w:val="0"/>
          <w:sz w:val="22"/>
        </w:rPr>
        <w:t>Coordinates Associate Deans' activities to avoid duplication and ensure holistic academic development.</w:t>
      </w:r>
    </w:p>
    <w:p>
      <w:pPr>
        <w:pStyle w:val="ListBullet2"/>
        <w:spacing w:after="80" w:line="276" w:lineRule="auto"/>
      </w:pPr>
      <w:r>
        <w:rPr>
          <w:rFonts w:ascii="Cambria" w:hAnsi="Cambria"/>
          <w:b w:val="0"/>
          <w:i w:val="0"/>
          <w:sz w:val="22"/>
        </w:rPr>
        <w:t xml:space="preserve">Policy Execution: </w:t>
      </w:r>
      <w:r>
        <w:rPr>
          <w:rFonts w:ascii="Cambria" w:hAnsi="Cambria"/>
          <w:b w:val="0"/>
          <w:i w:val="0"/>
          <w:sz w:val="22"/>
        </w:rPr>
        <w:t>Ensures decisions of Academic Council, Board of Management, and statutory bodies are implemented.</w:t>
      </w:r>
    </w:p>
    <w:p>
      <w:pPr>
        <w:pStyle w:val="ListBullet2"/>
        <w:spacing w:after="80" w:line="276" w:lineRule="auto"/>
      </w:pPr>
      <w:r>
        <w:rPr>
          <w:rFonts w:ascii="Cambria" w:hAnsi="Cambria"/>
          <w:b w:val="0"/>
          <w:i w:val="0"/>
          <w:sz w:val="22"/>
        </w:rPr>
        <w:t xml:space="preserve">Quality Assurance: </w:t>
      </w:r>
      <w:r>
        <w:rPr>
          <w:rFonts w:ascii="Cambria" w:hAnsi="Cambria"/>
          <w:b w:val="0"/>
          <w:i w:val="0"/>
          <w:sz w:val="22"/>
        </w:rPr>
        <w:t>Oversees accreditation readiness (NAAC, NBA, NIRF, QS I-GAUGE).</w:t>
      </w:r>
    </w:p>
    <w:p>
      <w:pPr>
        <w:pStyle w:val="ListBullet2"/>
        <w:spacing w:after="80" w:line="276" w:lineRule="auto"/>
      </w:pPr>
      <w:r>
        <w:rPr>
          <w:rFonts w:ascii="Cambria" w:hAnsi="Cambria"/>
          <w:b w:val="0"/>
          <w:i w:val="0"/>
          <w:sz w:val="22"/>
        </w:rPr>
        <w:t xml:space="preserve">Reporting: </w:t>
      </w:r>
      <w:r>
        <w:rPr>
          <w:rFonts w:ascii="Cambria" w:hAnsi="Cambria"/>
          <w:b w:val="0"/>
          <w:i w:val="0"/>
          <w:sz w:val="22"/>
        </w:rPr>
        <w:t>Prepares periodic reports on academic outcomes, student performance, and curriculum reforms for the VC and governing bodies.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Acts as the central anchor of academic excellence, ensuring synergy between teaching, research, student services, and global outreach.</w:t>
      </w:r>
    </w:p>
    <w:p>
      <w:pPr>
        <w:spacing w:after="120" w:line="276" w:lineRule="auto"/>
      </w:pPr>
      <w:r>
        <w:rPr>
          <w:rFonts w:ascii="Cambria" w:hAnsi="Cambria"/>
          <w:b/>
          <w:i w:val="0"/>
          <w:sz w:val="23"/>
        </w:rPr>
        <w:t>Associate Deans – Responsibilities</w:t>
      </w:r>
    </w:p>
    <w:p>
      <w:pPr>
        <w:pStyle w:val="Heading3"/>
      </w:pPr>
      <w:r>
        <w:rPr>
          <w:rFonts w:ascii="Cambria" w:hAnsi="Cambria"/>
          <w:b/>
          <w:color w:val="1F3A5F"/>
          <w:sz w:val="26"/>
        </w:rPr>
        <w:t>1. Associate Dean – Projects and Academic Research</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Oversees capstone projects, final year dissertations, and industrial projects.</w:t>
      </w:r>
    </w:p>
    <w:p>
      <w:pPr>
        <w:pStyle w:val="ListBullet2"/>
        <w:spacing w:after="80" w:line="276" w:lineRule="auto"/>
      </w:pPr>
      <w:r>
        <w:rPr>
          <w:rFonts w:ascii="Cambria" w:hAnsi="Cambria"/>
          <w:b w:val="0"/>
          <w:i w:val="0"/>
          <w:sz w:val="22"/>
        </w:rPr>
        <w:t>Coordinates faculty and student research projects, ensuring alignment with institutional thrust areas.</w:t>
      </w:r>
    </w:p>
    <w:p>
      <w:pPr>
        <w:pStyle w:val="ListBullet2"/>
        <w:spacing w:after="80" w:line="276" w:lineRule="auto"/>
      </w:pPr>
      <w:r>
        <w:rPr>
          <w:rFonts w:ascii="Cambria" w:hAnsi="Cambria"/>
          <w:b w:val="0"/>
          <w:i w:val="0"/>
          <w:sz w:val="22"/>
        </w:rPr>
        <w:t>Develops policies for plagiarism checks, ethics approvals, and IPR filings.</w:t>
      </w:r>
    </w:p>
    <w:p>
      <w:pPr>
        <w:pStyle w:val="ListBullet2"/>
        <w:spacing w:after="80" w:line="276" w:lineRule="auto"/>
      </w:pPr>
      <w:r>
        <w:rPr>
          <w:rFonts w:ascii="Cambria" w:hAnsi="Cambria"/>
          <w:b w:val="0"/>
          <w:i w:val="0"/>
          <w:sz w:val="22"/>
        </w:rPr>
        <w:t>Encourages inter-disciplinary research, consultancy projects, and research centres of excellence.</w:t>
      </w:r>
    </w:p>
    <w:p>
      <w:pPr>
        <w:pStyle w:val="ListBullet2"/>
        <w:spacing w:after="80" w:line="276" w:lineRule="auto"/>
      </w:pPr>
      <w:r>
        <w:rPr>
          <w:rFonts w:ascii="Cambria" w:hAnsi="Cambria"/>
          <w:b w:val="0"/>
          <w:i w:val="0"/>
          <w:sz w:val="22"/>
        </w:rPr>
        <w:t>Builds collaborations with national funding agencies (UGC, DST, AICTE, DBT) and industries.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Strengthens research ecosystem.</w:t>
      </w:r>
    </w:p>
    <w:p>
      <w:pPr>
        <w:pStyle w:val="ListBullet2"/>
        <w:spacing w:after="80" w:line="276" w:lineRule="auto"/>
      </w:pPr>
      <w:r>
        <w:rPr>
          <w:rFonts w:ascii="Cambria" w:hAnsi="Cambria"/>
          <w:b w:val="0"/>
          <w:i w:val="0"/>
          <w:sz w:val="22"/>
        </w:rPr>
        <w:t>Enhances global ranking metrics (research publications, citations, patents).</w:t>
      </w:r>
    </w:p>
    <w:p>
      <w:pPr>
        <w:pStyle w:val="ListBullet2"/>
        <w:spacing w:after="80" w:line="276" w:lineRule="auto"/>
      </w:pPr>
      <w:r>
        <w:rPr>
          <w:rFonts w:ascii="Cambria" w:hAnsi="Cambria"/>
          <w:b w:val="0"/>
          <w:i w:val="0"/>
          <w:sz w:val="22"/>
        </w:rPr>
        <w:t>Promotes a culture of innovation and knowledge creation.</w:t>
      </w:r>
    </w:p>
    <w:p>
      <w:pPr>
        <w:pStyle w:val="Heading3"/>
      </w:pPr>
      <w:r>
        <w:rPr>
          <w:rFonts w:ascii="Cambria" w:hAnsi="Cambria"/>
          <w:b/>
          <w:color w:val="1F3A5F"/>
          <w:sz w:val="26"/>
        </w:rPr>
        <w:t>2. Associate Dean – OBE (Outcome-Based Education) Implementation</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Ensures full adoption of OBE framework across departments.</w:t>
      </w:r>
    </w:p>
    <w:p>
      <w:pPr>
        <w:pStyle w:val="ListBullet2"/>
        <w:spacing w:after="80" w:line="276" w:lineRule="auto"/>
      </w:pPr>
      <w:r>
        <w:rPr>
          <w:rFonts w:ascii="Cambria" w:hAnsi="Cambria"/>
          <w:b w:val="0"/>
          <w:i w:val="0"/>
          <w:sz w:val="22"/>
        </w:rPr>
        <w:t>Leads CO-PO-PSO mapping and attainment analysis.</w:t>
      </w:r>
    </w:p>
    <w:p>
      <w:pPr>
        <w:pStyle w:val="ListBullet2"/>
        <w:spacing w:after="80" w:line="276" w:lineRule="auto"/>
      </w:pPr>
      <w:r>
        <w:rPr>
          <w:rFonts w:ascii="Cambria" w:hAnsi="Cambria"/>
          <w:b w:val="0"/>
          <w:i w:val="0"/>
          <w:sz w:val="22"/>
        </w:rPr>
        <w:t>Establishes rubrics for assessment aligned to Bloom's Taxonomy.</w:t>
      </w:r>
    </w:p>
    <w:p>
      <w:pPr>
        <w:pStyle w:val="ListBullet2"/>
        <w:spacing w:after="80" w:line="276" w:lineRule="auto"/>
      </w:pPr>
      <w:r>
        <w:rPr>
          <w:rFonts w:ascii="Cambria" w:hAnsi="Cambria"/>
          <w:b w:val="0"/>
          <w:i w:val="0"/>
          <w:sz w:val="22"/>
        </w:rPr>
        <w:t>Prepares outcome attainment reports for NBA accreditation.</w:t>
      </w:r>
    </w:p>
    <w:p>
      <w:pPr>
        <w:pStyle w:val="ListBullet2"/>
        <w:spacing w:after="80" w:line="276" w:lineRule="auto"/>
      </w:pPr>
      <w:r>
        <w:rPr>
          <w:rFonts w:ascii="Cambria" w:hAnsi="Cambria"/>
          <w:b w:val="0"/>
          <w:i w:val="0"/>
          <w:sz w:val="22"/>
        </w:rPr>
        <w:t>Conducts faculty development workshops on OBE pedagogy and assessment tools.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Guarantees academic programs meet global benchmarks (Washington Accord).</w:t>
      </w:r>
    </w:p>
    <w:p>
      <w:pPr>
        <w:pStyle w:val="ListBullet2"/>
        <w:spacing w:after="80" w:line="276" w:lineRule="auto"/>
      </w:pPr>
      <w:r>
        <w:rPr>
          <w:rFonts w:ascii="Cambria" w:hAnsi="Cambria"/>
          <w:b w:val="0"/>
          <w:i w:val="0"/>
          <w:sz w:val="22"/>
        </w:rPr>
        <w:t>Improves accountability in teaching and evaluation.</w:t>
      </w:r>
    </w:p>
    <w:p>
      <w:pPr>
        <w:pStyle w:val="ListBullet2"/>
        <w:spacing w:after="80" w:line="276" w:lineRule="auto"/>
      </w:pPr>
      <w:r>
        <w:rPr>
          <w:rFonts w:ascii="Cambria" w:hAnsi="Cambria"/>
          <w:b w:val="0"/>
          <w:i w:val="0"/>
          <w:sz w:val="22"/>
        </w:rPr>
        <w:t>Enhances student skills, competencies, and employability outcomes.</w:t>
      </w:r>
    </w:p>
    <w:p>
      <w:pPr>
        <w:pStyle w:val="Heading3"/>
      </w:pPr>
      <w:r>
        <w:rPr>
          <w:rFonts w:ascii="Cambria" w:hAnsi="Cambria"/>
          <w:b/>
          <w:color w:val="1F3A5F"/>
          <w:sz w:val="26"/>
        </w:rPr>
        <w:t>3. Associate Dean – Student Progression</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 xml:space="preserve">Tracks student lifecycle </w:t>
      </w:r>
      <w:r>
        <w:rPr>
          <w:rFonts w:ascii="Cambria" w:hAnsi="Cambria"/>
          <w:b w:val="0"/>
          <w:i w:val="0"/>
          <w:sz w:val="22"/>
        </w:rPr>
        <w:t>– admission, performance, retention, graduation, employment, higher education.</w:t>
      </w:r>
    </w:p>
    <w:p>
      <w:pPr>
        <w:pStyle w:val="ListBullet2"/>
        <w:spacing w:after="80" w:line="276" w:lineRule="auto"/>
      </w:pPr>
      <w:r>
        <w:rPr>
          <w:rFonts w:ascii="Cambria" w:hAnsi="Cambria"/>
          <w:b w:val="0"/>
          <w:i w:val="0"/>
          <w:sz w:val="22"/>
        </w:rPr>
        <w:t>Collects and analyses data for NIRF, NAAC, UGC compliance.</w:t>
      </w:r>
    </w:p>
    <w:p>
      <w:pPr>
        <w:pStyle w:val="ListBullet2"/>
        <w:spacing w:after="80" w:line="276" w:lineRule="auto"/>
      </w:pPr>
      <w:r>
        <w:rPr>
          <w:rFonts w:ascii="Cambria" w:hAnsi="Cambria"/>
          <w:b w:val="0"/>
          <w:i w:val="0"/>
          <w:sz w:val="22"/>
        </w:rPr>
        <w:t>Coordinates academic counseling, mentoring programs, and remedial measures.</w:t>
      </w:r>
    </w:p>
    <w:p>
      <w:pPr>
        <w:pStyle w:val="ListBullet2"/>
        <w:spacing w:after="80" w:line="276" w:lineRule="auto"/>
      </w:pPr>
      <w:r>
        <w:rPr>
          <w:rFonts w:ascii="Cambria" w:hAnsi="Cambria"/>
          <w:b w:val="0"/>
          <w:i w:val="0"/>
          <w:sz w:val="22"/>
        </w:rPr>
        <w:t>Identifies at-risk students and implements corrective strategies.</w:t>
      </w:r>
    </w:p>
    <w:p>
      <w:pPr>
        <w:pStyle w:val="ListBullet2"/>
        <w:spacing w:after="80" w:line="276" w:lineRule="auto"/>
      </w:pPr>
      <w:r>
        <w:rPr>
          <w:rFonts w:ascii="Cambria" w:hAnsi="Cambria"/>
          <w:b w:val="0"/>
          <w:i w:val="0"/>
          <w:sz w:val="22"/>
        </w:rPr>
        <w:t>Oversees alumni data for long-term progression tracking.</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Improves graduation rates and placement percentages.</w:t>
      </w:r>
    </w:p>
    <w:p>
      <w:pPr>
        <w:pStyle w:val="ListBullet2"/>
        <w:spacing w:after="80" w:line="276" w:lineRule="auto"/>
      </w:pPr>
      <w:r>
        <w:rPr>
          <w:rFonts w:ascii="Cambria" w:hAnsi="Cambria"/>
          <w:b w:val="0"/>
          <w:i w:val="0"/>
          <w:sz w:val="22"/>
        </w:rPr>
        <w:t>Strengthens student support ecosystem.</w:t>
      </w:r>
    </w:p>
    <w:p>
      <w:pPr>
        <w:pStyle w:val="ListBullet2"/>
        <w:spacing w:after="80" w:line="276" w:lineRule="auto"/>
      </w:pPr>
      <w:r>
        <w:rPr>
          <w:rFonts w:ascii="Cambria" w:hAnsi="Cambria"/>
          <w:b w:val="0"/>
          <w:i w:val="0"/>
          <w:sz w:val="22"/>
        </w:rPr>
        <w:t>Enhances institutional reputation through success stories and progression evidence.</w:t>
      </w:r>
    </w:p>
    <w:p>
      <w:pPr>
        <w:pStyle w:val="Heading3"/>
      </w:pPr>
      <w:r>
        <w:rPr>
          <w:rFonts w:ascii="Cambria" w:hAnsi="Cambria"/>
          <w:b/>
          <w:color w:val="1F3A5F"/>
          <w:sz w:val="26"/>
        </w:rPr>
        <w:t>4. Associate Dean – Curriculum &amp; Academic Programs, Academic Feedback</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Leads curriculum design and periodic revisions with inputs from Boards of Studies.</w:t>
      </w:r>
    </w:p>
    <w:p>
      <w:pPr>
        <w:pStyle w:val="ListBullet2"/>
        <w:spacing w:after="80" w:line="276" w:lineRule="auto"/>
      </w:pPr>
      <w:r>
        <w:rPr>
          <w:rFonts w:ascii="Cambria" w:hAnsi="Cambria"/>
          <w:b w:val="0"/>
          <w:i w:val="0"/>
          <w:sz w:val="22"/>
        </w:rPr>
        <w:t>Introduces multidisciplinary, vocational, and flexible courses per NEP-2020.</w:t>
      </w:r>
    </w:p>
    <w:p>
      <w:pPr>
        <w:pStyle w:val="ListBullet2"/>
        <w:spacing w:after="80" w:line="276" w:lineRule="auto"/>
      </w:pPr>
      <w:r>
        <w:rPr>
          <w:rFonts w:ascii="Cambria" w:hAnsi="Cambria"/>
          <w:b w:val="0"/>
          <w:i w:val="0"/>
          <w:sz w:val="22"/>
        </w:rPr>
        <w:t xml:space="preserve">Establishes feedback mechanisms </w:t>
      </w:r>
      <w:r>
        <w:rPr>
          <w:rFonts w:ascii="Cambria" w:hAnsi="Cambria"/>
          <w:b w:val="0"/>
          <w:i w:val="0"/>
          <w:sz w:val="22"/>
        </w:rPr>
        <w:t>– student satisfaction surveys, alumni feedback, industry consultations.</w:t>
      </w:r>
    </w:p>
    <w:p>
      <w:pPr>
        <w:pStyle w:val="ListBullet2"/>
        <w:spacing w:after="80" w:line="276" w:lineRule="auto"/>
      </w:pPr>
      <w:r>
        <w:rPr>
          <w:rFonts w:ascii="Cambria" w:hAnsi="Cambria"/>
          <w:b w:val="0"/>
          <w:i w:val="0"/>
          <w:sz w:val="22"/>
        </w:rPr>
        <w:t>Integrates vocational training, internships, and experiential learning.</w:t>
      </w:r>
    </w:p>
    <w:p>
      <w:pPr>
        <w:pStyle w:val="ListBullet2"/>
        <w:spacing w:after="80" w:line="276" w:lineRule="auto"/>
      </w:pPr>
      <w:r>
        <w:rPr>
          <w:rFonts w:ascii="Cambria" w:hAnsi="Cambria"/>
          <w:b w:val="0"/>
          <w:i w:val="0"/>
          <w:sz w:val="22"/>
        </w:rPr>
        <w:t>Ensures curriculum is future-ready and industry-aligned.</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Keeps curriculum dynamic and adaptive to change.</w:t>
      </w:r>
    </w:p>
    <w:p>
      <w:pPr>
        <w:pStyle w:val="ListBullet2"/>
        <w:spacing w:after="80" w:line="276" w:lineRule="auto"/>
      </w:pPr>
      <w:r>
        <w:rPr>
          <w:rFonts w:ascii="Cambria" w:hAnsi="Cambria"/>
          <w:b w:val="0"/>
          <w:i w:val="0"/>
          <w:sz w:val="22"/>
        </w:rPr>
        <w:t>Ensures feedback-driven continuous improvement.</w:t>
      </w:r>
    </w:p>
    <w:p>
      <w:pPr>
        <w:pStyle w:val="ListBullet2"/>
        <w:spacing w:after="80" w:line="276" w:lineRule="auto"/>
      </w:pPr>
      <w:r>
        <w:rPr>
          <w:rFonts w:ascii="Cambria" w:hAnsi="Cambria"/>
          <w:b w:val="0"/>
          <w:i w:val="0"/>
          <w:sz w:val="22"/>
        </w:rPr>
        <w:t>Strengthens employability and academic relevance.</w:t>
      </w:r>
    </w:p>
    <w:p>
      <w:pPr>
        <w:pStyle w:val="Heading3"/>
      </w:pPr>
      <w:r>
        <w:rPr>
          <w:rFonts w:ascii="Cambria" w:hAnsi="Cambria"/>
          <w:b/>
          <w:color w:val="1F3A5F"/>
          <w:sz w:val="26"/>
        </w:rPr>
        <w:t>5. Associate Dean – Academic Registration</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Oversees student academic registration each semester.</w:t>
      </w:r>
    </w:p>
    <w:p>
      <w:pPr>
        <w:pStyle w:val="ListBullet2"/>
        <w:spacing w:after="80" w:line="276" w:lineRule="auto"/>
      </w:pPr>
      <w:r>
        <w:rPr>
          <w:rFonts w:ascii="Cambria" w:hAnsi="Cambria"/>
          <w:b w:val="0"/>
          <w:i w:val="0"/>
          <w:sz w:val="22"/>
        </w:rPr>
        <w:t>Manages course enrolment, add/drop policies, attendance, credit transfers.</w:t>
      </w:r>
    </w:p>
    <w:p>
      <w:pPr>
        <w:pStyle w:val="ListBullet2"/>
        <w:spacing w:after="80" w:line="276" w:lineRule="auto"/>
      </w:pPr>
      <w:r>
        <w:rPr>
          <w:rFonts w:ascii="Cambria" w:hAnsi="Cambria"/>
          <w:b w:val="0"/>
          <w:i w:val="0"/>
          <w:sz w:val="22"/>
        </w:rPr>
        <w:t>Ensures ERP/academic systems are effectively used.</w:t>
      </w:r>
    </w:p>
    <w:p>
      <w:pPr>
        <w:pStyle w:val="ListBullet2"/>
        <w:spacing w:after="80" w:line="276" w:lineRule="auto"/>
      </w:pPr>
      <w:r>
        <w:rPr>
          <w:rFonts w:ascii="Cambria" w:hAnsi="Cambria"/>
          <w:b w:val="0"/>
          <w:i w:val="0"/>
          <w:sz w:val="22"/>
        </w:rPr>
        <w:t>Coordinates with Controller of Examinations for examination readiness.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Ensures smooth functioning of academic operations.</w:t>
      </w:r>
    </w:p>
    <w:p>
      <w:pPr>
        <w:pStyle w:val="ListBullet2"/>
        <w:spacing w:after="80" w:line="276" w:lineRule="auto"/>
      </w:pPr>
      <w:r>
        <w:rPr>
          <w:rFonts w:ascii="Cambria" w:hAnsi="Cambria"/>
          <w:b w:val="0"/>
          <w:i w:val="0"/>
          <w:sz w:val="22"/>
        </w:rPr>
        <w:t>Minimizes errors and disputes in registration and eligibility.</w:t>
      </w:r>
    </w:p>
    <w:p>
      <w:pPr>
        <w:pStyle w:val="ListBullet2"/>
        <w:spacing w:after="80" w:line="276" w:lineRule="auto"/>
      </w:pPr>
      <w:r>
        <w:rPr>
          <w:rFonts w:ascii="Cambria" w:hAnsi="Cambria"/>
          <w:b w:val="0"/>
          <w:i w:val="0"/>
          <w:sz w:val="22"/>
        </w:rPr>
        <w:t>Provides accurate academic data for decision-making and accreditation.</w:t>
      </w:r>
    </w:p>
    <w:p>
      <w:pPr>
        <w:pStyle w:val="Heading3"/>
      </w:pPr>
      <w:r>
        <w:rPr>
          <w:rFonts w:ascii="Cambria" w:hAnsi="Cambria"/>
          <w:b/>
          <w:color w:val="1F3A5F"/>
          <w:sz w:val="26"/>
        </w:rPr>
        <w:t>6. Associate Dean – Skilling and VAC/CC</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Introduces Value-Added Courses (VAC) and Credit Courses (CC) aligned to industry needs.</w:t>
      </w:r>
    </w:p>
    <w:p>
      <w:pPr>
        <w:pStyle w:val="ListBullet2"/>
        <w:spacing w:after="80" w:line="276" w:lineRule="auto"/>
      </w:pPr>
      <w:r>
        <w:rPr>
          <w:rFonts w:ascii="Cambria" w:hAnsi="Cambria"/>
          <w:b w:val="0"/>
          <w:i w:val="0"/>
          <w:sz w:val="22"/>
        </w:rPr>
        <w:t>Partners with skill development agencies (NSDC, Sector Skill Councils).</w:t>
      </w:r>
    </w:p>
    <w:p>
      <w:pPr>
        <w:pStyle w:val="ListBullet2"/>
        <w:spacing w:after="80" w:line="276" w:lineRule="auto"/>
      </w:pPr>
      <w:r>
        <w:rPr>
          <w:rFonts w:ascii="Cambria" w:hAnsi="Cambria"/>
          <w:b w:val="0"/>
          <w:i w:val="0"/>
          <w:sz w:val="22"/>
        </w:rPr>
        <w:t>Promotes adoption of MOOCs (SWAYAM, NPTEL, Coursera, edX).</w:t>
      </w:r>
    </w:p>
    <w:p>
      <w:pPr>
        <w:pStyle w:val="ListBullet2"/>
        <w:spacing w:after="80" w:line="276" w:lineRule="auto"/>
      </w:pPr>
      <w:r>
        <w:rPr>
          <w:rFonts w:ascii="Cambria" w:hAnsi="Cambria"/>
          <w:b w:val="0"/>
          <w:i w:val="0"/>
          <w:sz w:val="22"/>
        </w:rPr>
        <w:t>Organizes skill enhancement workshops in soft skills, coding, analytics, etc.</w:t>
      </w:r>
    </w:p>
    <w:p>
      <w:pPr>
        <w:pStyle w:val="ListBullet2"/>
        <w:spacing w:after="80" w:line="276" w:lineRule="auto"/>
      </w:pPr>
      <w:r>
        <w:rPr>
          <w:rFonts w:ascii="Cambria" w:hAnsi="Cambria"/>
          <w:b w:val="0"/>
          <w:i w:val="0"/>
          <w:sz w:val="22"/>
        </w:rPr>
        <w:t>Integrates vocational training into academic programs.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Enhances student employability and industry readiness.</w:t>
      </w:r>
    </w:p>
    <w:p>
      <w:pPr>
        <w:pStyle w:val="ListBullet2"/>
        <w:spacing w:after="80" w:line="276" w:lineRule="auto"/>
      </w:pPr>
      <w:r>
        <w:rPr>
          <w:rFonts w:ascii="Cambria" w:hAnsi="Cambria"/>
          <w:b w:val="0"/>
          <w:i w:val="0"/>
          <w:sz w:val="22"/>
        </w:rPr>
        <w:t>Builds bridges between academia and workplace skills.</w:t>
      </w:r>
    </w:p>
    <w:p>
      <w:pPr>
        <w:pStyle w:val="ListBullet2"/>
        <w:spacing w:after="80" w:line="276" w:lineRule="auto"/>
      </w:pPr>
      <w:r>
        <w:rPr>
          <w:rFonts w:ascii="Cambria" w:hAnsi="Cambria"/>
          <w:b w:val="0"/>
          <w:i w:val="0"/>
          <w:sz w:val="22"/>
        </w:rPr>
        <w:t>Positions the university as skill-driven and industry-linked.</w:t>
      </w:r>
    </w:p>
    <w:p>
      <w:pPr>
        <w:pStyle w:val="Heading3"/>
      </w:pPr>
      <w:r>
        <w:rPr>
          <w:rFonts w:ascii="Cambria" w:hAnsi="Cambria"/>
          <w:b/>
          <w:color w:val="1F3A5F"/>
          <w:sz w:val="26"/>
        </w:rPr>
        <w:t>7. Associate Dean – Time Tables and Monitoring of Teaching</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Monitors teaching delivery across departments.</w:t>
      </w:r>
    </w:p>
    <w:p>
      <w:pPr>
        <w:pStyle w:val="ListBullet2"/>
        <w:spacing w:after="80" w:line="276" w:lineRule="auto"/>
      </w:pPr>
      <w:r>
        <w:rPr>
          <w:rFonts w:ascii="Cambria" w:hAnsi="Cambria"/>
          <w:b w:val="0"/>
          <w:i w:val="0"/>
          <w:sz w:val="22"/>
        </w:rPr>
        <w:t>Collects and analyses student feedback on teaching effectiveness.</w:t>
      </w:r>
    </w:p>
    <w:p>
      <w:pPr>
        <w:pStyle w:val="ListBullet2"/>
        <w:spacing w:after="80" w:line="276" w:lineRule="auto"/>
      </w:pPr>
      <w:r>
        <w:rPr>
          <w:rFonts w:ascii="Cambria" w:hAnsi="Cambria"/>
          <w:b w:val="0"/>
          <w:i w:val="0"/>
          <w:sz w:val="22"/>
        </w:rPr>
        <w:t>Implements peer reviews and classroom audits.</w:t>
      </w:r>
    </w:p>
    <w:p>
      <w:pPr>
        <w:pStyle w:val="ListBullet2"/>
        <w:spacing w:after="80" w:line="276" w:lineRule="auto"/>
      </w:pPr>
      <w:r>
        <w:rPr>
          <w:rFonts w:ascii="Cambria" w:hAnsi="Cambria"/>
          <w:b w:val="0"/>
          <w:i w:val="0"/>
          <w:sz w:val="22"/>
        </w:rPr>
        <w:t>Organizes faculty development on teaching methodologies, ICT tools, blended learning.</w:t>
      </w:r>
    </w:p>
    <w:p>
      <w:pPr>
        <w:pStyle w:val="ListBullet2"/>
        <w:spacing w:after="80" w:line="276" w:lineRule="auto"/>
      </w:pPr>
      <w:r>
        <w:rPr>
          <w:rFonts w:ascii="Cambria" w:hAnsi="Cambria"/>
          <w:b w:val="0"/>
          <w:i w:val="0"/>
          <w:sz w:val="22"/>
        </w:rPr>
        <w:t>Aligns teaching with OBE outcomes.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Ensures teaching quality is continuously improved.</w:t>
      </w:r>
    </w:p>
    <w:p>
      <w:pPr>
        <w:pStyle w:val="ListBullet2"/>
        <w:spacing w:after="80" w:line="276" w:lineRule="auto"/>
      </w:pPr>
      <w:r>
        <w:rPr>
          <w:rFonts w:ascii="Cambria" w:hAnsi="Cambria"/>
          <w:b w:val="0"/>
          <w:i w:val="0"/>
          <w:sz w:val="22"/>
        </w:rPr>
        <w:t>Creates a culture of reflective teaching practices.</w:t>
      </w:r>
    </w:p>
    <w:p>
      <w:pPr>
        <w:pStyle w:val="ListBullet2"/>
        <w:spacing w:after="80" w:line="276" w:lineRule="auto"/>
      </w:pPr>
      <w:r>
        <w:rPr>
          <w:rFonts w:ascii="Cambria" w:hAnsi="Cambria"/>
          <w:b w:val="0"/>
          <w:i w:val="0"/>
          <w:sz w:val="22"/>
        </w:rPr>
        <w:t>Improves student satisfaction and learning effectiveness.</w:t>
      </w:r>
    </w:p>
    <w:p>
      <w:pPr>
        <w:pStyle w:val="Heading3"/>
      </w:pPr>
      <w:r>
        <w:rPr>
          <w:rFonts w:ascii="Cambria" w:hAnsi="Cambria"/>
          <w:b/>
          <w:color w:val="1F3A5F"/>
          <w:sz w:val="26"/>
        </w:rPr>
        <w:t>8. Associate Dean – MOOC Creation</w:t>
      </w:r>
    </w:p>
    <w:p>
      <w:pPr>
        <w:pStyle w:val="ListBullet"/>
        <w:spacing w:after="80" w:line="276" w:lineRule="auto"/>
      </w:pPr>
      <w:r>
        <w:rPr>
          <w:rFonts w:ascii="Cambria" w:hAnsi="Cambria"/>
          <w:b/>
          <w:i w:val="0"/>
          <w:sz w:val="22"/>
        </w:rPr>
        <w:t>Responsibilities:</w:t>
      </w:r>
    </w:p>
    <w:p>
      <w:pPr>
        <w:pStyle w:val="ListBullet2"/>
        <w:spacing w:after="80" w:line="276" w:lineRule="auto"/>
      </w:pPr>
      <w:r>
        <w:rPr>
          <w:rFonts w:ascii="Cambria" w:hAnsi="Cambria"/>
          <w:b w:val="0"/>
          <w:i w:val="0"/>
          <w:sz w:val="22"/>
        </w:rPr>
        <w:t>Leads design and development of MOOCs for online and global learning.</w:t>
      </w:r>
    </w:p>
    <w:p>
      <w:pPr>
        <w:pStyle w:val="ListBullet2"/>
        <w:spacing w:after="80" w:line="276" w:lineRule="auto"/>
      </w:pPr>
      <w:r>
        <w:rPr>
          <w:rFonts w:ascii="Cambria" w:hAnsi="Cambria"/>
          <w:b w:val="0"/>
          <w:i w:val="0"/>
          <w:sz w:val="22"/>
        </w:rPr>
        <w:t>Encourages faculty to create digital courses on platforms (SWAYAM, edX, Coursera).</w:t>
      </w:r>
    </w:p>
    <w:p>
      <w:pPr>
        <w:pStyle w:val="ListBullet2"/>
        <w:spacing w:after="80" w:line="276" w:lineRule="auto"/>
      </w:pPr>
      <w:r>
        <w:rPr>
          <w:rFonts w:ascii="Cambria" w:hAnsi="Cambria"/>
          <w:b w:val="0"/>
          <w:i w:val="0"/>
          <w:sz w:val="22"/>
        </w:rPr>
        <w:t>Develops in-house LMS-integrated e-learning modules.</w:t>
      </w:r>
    </w:p>
    <w:p>
      <w:pPr>
        <w:pStyle w:val="ListBullet2"/>
        <w:spacing w:after="80" w:line="276" w:lineRule="auto"/>
      </w:pPr>
      <w:r>
        <w:rPr>
          <w:rFonts w:ascii="Cambria" w:hAnsi="Cambria"/>
          <w:b w:val="0"/>
          <w:i w:val="0"/>
          <w:sz w:val="22"/>
        </w:rPr>
        <w:t>Ensures MOOCs align with curriculum and employability skills.</w:t>
      </w:r>
    </w:p>
    <w:p>
      <w:pPr>
        <w:pStyle w:val="ListBullet2"/>
        <w:spacing w:after="80" w:line="276" w:lineRule="auto"/>
      </w:pPr>
      <w:r>
        <w:rPr>
          <w:rFonts w:ascii="Cambria" w:hAnsi="Cambria"/>
          <w:b w:val="0"/>
          <w:i w:val="0"/>
          <w:sz w:val="22"/>
        </w:rPr>
        <w:t>Promotes blended and flipped classrooms using MOOCs.</w:t>
      </w:r>
    </w:p>
    <w:p>
      <w:pPr>
        <w:pStyle w:val="ListBullet"/>
        <w:spacing w:after="80" w:line="276" w:lineRule="auto"/>
      </w:pPr>
      <w:r>
        <w:rPr>
          <w:rFonts w:ascii="Cambria" w:hAnsi="Cambria"/>
          <w:b/>
          <w:i w:val="0"/>
          <w:sz w:val="22"/>
        </w:rPr>
        <w:t>Impact:</w:t>
      </w:r>
    </w:p>
    <w:p>
      <w:pPr>
        <w:pStyle w:val="ListBullet2"/>
        <w:spacing w:after="80" w:line="276" w:lineRule="auto"/>
      </w:pPr>
      <w:r>
        <w:rPr>
          <w:rFonts w:ascii="Cambria" w:hAnsi="Cambria"/>
          <w:b w:val="0"/>
          <w:i w:val="0"/>
          <w:sz w:val="22"/>
        </w:rPr>
        <w:t>Expands university's global digital presence.</w:t>
      </w:r>
    </w:p>
    <w:p>
      <w:pPr>
        <w:pStyle w:val="ListBullet2"/>
        <w:spacing w:after="80" w:line="276" w:lineRule="auto"/>
      </w:pPr>
      <w:r>
        <w:rPr>
          <w:rFonts w:ascii="Cambria" w:hAnsi="Cambria"/>
          <w:b w:val="0"/>
          <w:i w:val="0"/>
          <w:sz w:val="22"/>
        </w:rPr>
        <w:t>Provides flexible learning opportunities for students.</w:t>
      </w:r>
    </w:p>
    <w:p>
      <w:pPr>
        <w:pStyle w:val="ListBullet2"/>
        <w:spacing w:after="80" w:line="276" w:lineRule="auto"/>
      </w:pPr>
      <w:r>
        <w:rPr>
          <w:rFonts w:ascii="Cambria" w:hAnsi="Cambria"/>
          <w:b w:val="0"/>
          <w:i w:val="0"/>
          <w:sz w:val="22"/>
        </w:rPr>
        <w:t>Generates potential revenue and reputation from MOOCs.</w:t>
      </w:r>
    </w:p>
    <w:p>
      <w:pPr>
        <w:spacing w:after="120" w:line="276" w:lineRule="auto"/>
      </w:pPr>
      <w:r>
        <w:rPr>
          <w:rFonts w:ascii="Cambria" w:hAnsi="Cambria"/>
          <w:b/>
          <w:i w:val="0"/>
          <w:sz w:val="23"/>
        </w:rPr>
        <w:t>Final Synthesis</w:t>
      </w:r>
    </w:p>
    <w:p>
      <w:pPr>
        <w:pStyle w:val="ListBullet"/>
        <w:spacing w:after="80" w:line="276" w:lineRule="auto"/>
      </w:pPr>
      <w:r>
        <w:rPr>
          <w:rFonts w:ascii="Cambria" w:hAnsi="Cambria"/>
          <w:b w:val="0"/>
          <w:i w:val="0"/>
          <w:sz w:val="22"/>
        </w:rPr>
        <w:t>The DOAA provides policy and strategic leadership.</w:t>
      </w:r>
    </w:p>
    <w:p>
      <w:pPr>
        <w:pStyle w:val="ListBullet"/>
        <w:spacing w:after="80" w:line="276" w:lineRule="auto"/>
      </w:pPr>
      <w:r>
        <w:rPr>
          <w:rFonts w:ascii="Cambria" w:hAnsi="Cambria"/>
          <w:b w:val="0"/>
          <w:i w:val="0"/>
          <w:sz w:val="22"/>
        </w:rPr>
        <w:t>The eight Associate Deans focus on specialized functional areas to:</w:t>
      </w:r>
    </w:p>
    <w:p>
      <w:pPr>
        <w:pStyle w:val="ListBullet2"/>
        <w:spacing w:after="80" w:line="276" w:lineRule="auto"/>
      </w:pPr>
      <w:r>
        <w:rPr>
          <w:rFonts w:ascii="Cambria" w:hAnsi="Cambria"/>
          <w:b w:val="0"/>
          <w:i w:val="0"/>
          <w:sz w:val="22"/>
        </w:rPr>
        <w:t>Build research strength.</w:t>
      </w:r>
    </w:p>
    <w:p>
      <w:pPr>
        <w:pStyle w:val="ListBullet2"/>
        <w:spacing w:after="80" w:line="276" w:lineRule="auto"/>
      </w:pPr>
      <w:r>
        <w:rPr>
          <w:rFonts w:ascii="Cambria" w:hAnsi="Cambria"/>
          <w:b w:val="0"/>
          <w:i w:val="0"/>
          <w:sz w:val="22"/>
        </w:rPr>
        <w:t>Ensure OBE compliance.</w:t>
      </w:r>
    </w:p>
    <w:p>
      <w:pPr>
        <w:pStyle w:val="ListBullet2"/>
        <w:spacing w:after="80" w:line="276" w:lineRule="auto"/>
      </w:pPr>
      <w:r>
        <w:rPr>
          <w:rFonts w:ascii="Cambria" w:hAnsi="Cambria"/>
          <w:b w:val="0"/>
          <w:i w:val="0"/>
          <w:sz w:val="22"/>
        </w:rPr>
        <w:t>Monitor student progression.</w:t>
      </w:r>
    </w:p>
    <w:p>
      <w:pPr>
        <w:pStyle w:val="ListBullet2"/>
        <w:spacing w:after="80" w:line="276" w:lineRule="auto"/>
      </w:pPr>
      <w:r>
        <w:rPr>
          <w:rFonts w:ascii="Cambria" w:hAnsi="Cambria"/>
          <w:b w:val="0"/>
          <w:i w:val="0"/>
          <w:sz w:val="22"/>
        </w:rPr>
        <w:t>Keep curriculum modern and relevant.</w:t>
      </w:r>
    </w:p>
    <w:p>
      <w:pPr>
        <w:pStyle w:val="ListBullet2"/>
        <w:spacing w:after="80" w:line="276" w:lineRule="auto"/>
      </w:pPr>
      <w:r>
        <w:rPr>
          <w:rFonts w:ascii="Cambria" w:hAnsi="Cambria"/>
          <w:b w:val="0"/>
          <w:i w:val="0"/>
          <w:sz w:val="22"/>
        </w:rPr>
        <w:t>Streamline academic registration.</w:t>
      </w:r>
    </w:p>
    <w:p>
      <w:pPr>
        <w:pStyle w:val="ListBullet2"/>
        <w:spacing w:after="80" w:line="276" w:lineRule="auto"/>
      </w:pPr>
      <w:r>
        <w:rPr>
          <w:rFonts w:ascii="Cambria" w:hAnsi="Cambria"/>
          <w:b w:val="0"/>
          <w:i w:val="0"/>
          <w:sz w:val="22"/>
        </w:rPr>
        <w:t>Drive skilling and employability.</w:t>
      </w:r>
    </w:p>
    <w:p>
      <w:pPr>
        <w:pStyle w:val="ListBullet2"/>
        <w:spacing w:after="80" w:line="276" w:lineRule="auto"/>
      </w:pPr>
      <w:r>
        <w:rPr>
          <w:rFonts w:ascii="Cambria" w:hAnsi="Cambria"/>
          <w:b w:val="0"/>
          <w:i w:val="0"/>
          <w:sz w:val="22"/>
        </w:rPr>
        <w:t>Improve teaching quality.</w:t>
      </w:r>
    </w:p>
    <w:p>
      <w:pPr>
        <w:pStyle w:val="ListBullet2"/>
        <w:spacing w:after="80" w:line="276" w:lineRule="auto"/>
      </w:pPr>
      <w:r>
        <w:rPr>
          <w:rFonts w:ascii="Cambria" w:hAnsi="Cambria"/>
          <w:b w:val="0"/>
          <w:i w:val="0"/>
          <w:sz w:val="22"/>
        </w:rPr>
        <w:t>Expand into digital and global education (MOOCs).</w:t>
      </w:r>
    </w:p>
    <w:p>
      <w:pPr>
        <w:spacing w:after="200" w:line="276" w:lineRule="auto"/>
        <w:jc w:val="both"/>
      </w:pPr>
      <w:r>
        <w:rPr>
          <w:rFonts w:ascii="Cambria" w:hAnsi="Cambria"/>
          <w:b w:val="0"/>
          <w:i w:val="0"/>
          <w:sz w:val="22"/>
        </w:rPr>
        <w:t>Together, they create a holistic academic governance ecosystem.</w:t>
      </w:r>
    </w:p>
    <w:p>
      <w:r>
        <w:br w:type="page"/>
      </w:r>
    </w:p>
    <w:p>
      <w:pPr>
        <w:pStyle w:val="Heading1"/>
      </w:pPr>
      <w:r>
        <w:rPr>
          <w:rFonts w:ascii="Cambria" w:hAnsi="Cambria"/>
          <w:b/>
          <w:color w:val="1F3A5F"/>
          <w:sz w:val="36"/>
        </w:rPr>
        <w:t>3. Chief custodian of academic integrity, innovation, and quality assurance in a university</w:t>
      </w:r>
    </w:p>
    <w:p>
      <w:pPr>
        <w:pStyle w:val="Heading3"/>
      </w:pPr>
      <w:r>
        <w:rPr>
          <w:rFonts w:ascii="Cambria" w:hAnsi="Cambria"/>
          <w:b/>
          <w:color w:val="1F3A5F"/>
          <w:sz w:val="26"/>
        </w:rPr>
        <w:t>1. Custodian of Academic Integrity</w:t>
      </w:r>
    </w:p>
    <w:p>
      <w:pPr>
        <w:pStyle w:val="ListBullet"/>
        <w:spacing w:after="80" w:line="276" w:lineRule="auto"/>
      </w:pPr>
      <w:r>
        <w:rPr>
          <w:rFonts w:ascii="Cambria" w:hAnsi="Cambria"/>
          <w:b/>
          <w:i w:val="0"/>
          <w:sz w:val="22"/>
        </w:rPr>
        <w:t>Integrity in Teaching and Learning:</w:t>
      </w:r>
    </w:p>
    <w:p>
      <w:pPr>
        <w:pStyle w:val="ListBullet2"/>
        <w:spacing w:after="80" w:line="276" w:lineRule="auto"/>
      </w:pPr>
      <w:r>
        <w:rPr>
          <w:rFonts w:ascii="Cambria" w:hAnsi="Cambria"/>
          <w:b w:val="0"/>
          <w:i w:val="0"/>
          <w:sz w:val="22"/>
        </w:rPr>
        <w:t>Ensures that all teaching faculty adhere to academic rules, regulations, and codes of conduct.</w:t>
      </w:r>
    </w:p>
    <w:p>
      <w:pPr>
        <w:pStyle w:val="ListBullet2"/>
        <w:spacing w:after="80" w:line="276" w:lineRule="auto"/>
      </w:pPr>
      <w:r>
        <w:rPr>
          <w:rFonts w:ascii="Cambria" w:hAnsi="Cambria"/>
          <w:b w:val="0"/>
          <w:i w:val="0"/>
          <w:sz w:val="22"/>
        </w:rPr>
        <w:t>Maintains fairness and accountability in the conduct of classes, examinations, and evaluation systems.</w:t>
      </w:r>
    </w:p>
    <w:p>
      <w:pPr>
        <w:pStyle w:val="ListBullet"/>
        <w:spacing w:after="80" w:line="276" w:lineRule="auto"/>
      </w:pPr>
      <w:r>
        <w:rPr>
          <w:rFonts w:ascii="Cambria" w:hAnsi="Cambria"/>
          <w:b/>
          <w:i w:val="0"/>
          <w:sz w:val="22"/>
        </w:rPr>
        <w:t>Transparency in Evaluation:</w:t>
      </w:r>
    </w:p>
    <w:p>
      <w:pPr>
        <w:pStyle w:val="ListBullet2"/>
        <w:spacing w:after="80" w:line="276" w:lineRule="auto"/>
      </w:pPr>
      <w:r>
        <w:rPr>
          <w:rFonts w:ascii="Cambria" w:hAnsi="Cambria"/>
          <w:b w:val="0"/>
          <w:i w:val="0"/>
          <w:sz w:val="22"/>
        </w:rPr>
        <w:t>Implements evaluation systems with objectivity, fairness, and transparency, preventing bias or malpractice.</w:t>
      </w:r>
    </w:p>
    <w:p>
      <w:pPr>
        <w:pStyle w:val="ListBullet2"/>
        <w:spacing w:after="80" w:line="276" w:lineRule="auto"/>
      </w:pPr>
      <w:r>
        <w:rPr>
          <w:rFonts w:ascii="Cambria" w:hAnsi="Cambria"/>
          <w:b w:val="0"/>
          <w:i w:val="0"/>
          <w:sz w:val="22"/>
        </w:rPr>
        <w:t>Coordinates with Dean (Evaluation &amp; Academic Registration) to ensure results reflect true academic performance.</w:t>
      </w:r>
    </w:p>
    <w:p>
      <w:pPr>
        <w:pStyle w:val="ListBullet"/>
        <w:spacing w:after="80" w:line="276" w:lineRule="auto"/>
      </w:pPr>
      <w:r>
        <w:rPr>
          <w:rFonts w:ascii="Cambria" w:hAnsi="Cambria"/>
          <w:b/>
          <w:i w:val="0"/>
          <w:sz w:val="22"/>
        </w:rPr>
        <w:t>Upholding Ethical Standards:</w:t>
      </w:r>
    </w:p>
    <w:p>
      <w:pPr>
        <w:pStyle w:val="ListBullet2"/>
        <w:spacing w:after="80" w:line="276" w:lineRule="auto"/>
      </w:pPr>
      <w:r>
        <w:rPr>
          <w:rFonts w:ascii="Cambria" w:hAnsi="Cambria"/>
          <w:b w:val="0"/>
          <w:i w:val="0"/>
          <w:sz w:val="22"/>
        </w:rPr>
        <w:t>Promotes use of plagiarism checks, research ethics committees, and intellectual honesty in research and student projects.</w:t>
      </w:r>
    </w:p>
    <w:p>
      <w:pPr>
        <w:pStyle w:val="ListBullet2"/>
        <w:spacing w:after="80" w:line="276" w:lineRule="auto"/>
      </w:pPr>
      <w:r>
        <w:rPr>
          <w:rFonts w:ascii="Cambria" w:hAnsi="Cambria"/>
          <w:b w:val="0"/>
          <w:i w:val="0"/>
          <w:sz w:val="22"/>
        </w:rPr>
        <w:t>Safeguards the credibility of degrees, diplomas, and certifications issued by the University.</w:t>
      </w:r>
    </w:p>
    <w:p>
      <w:pPr>
        <w:pStyle w:val="Heading3"/>
      </w:pPr>
      <w:r>
        <w:rPr>
          <w:rFonts w:ascii="Cambria" w:hAnsi="Cambria"/>
          <w:b/>
          <w:color w:val="1F3A5F"/>
          <w:sz w:val="26"/>
        </w:rPr>
        <w:t>2. Driver of Academic Innovation</w:t>
      </w:r>
    </w:p>
    <w:p>
      <w:pPr>
        <w:pStyle w:val="ListBullet"/>
        <w:spacing w:after="80" w:line="276" w:lineRule="auto"/>
      </w:pPr>
      <w:r>
        <w:rPr>
          <w:rFonts w:ascii="Cambria" w:hAnsi="Cambria"/>
          <w:b/>
          <w:i w:val="0"/>
          <w:sz w:val="22"/>
        </w:rPr>
        <w:t>Curriculum Modernization:</w:t>
      </w:r>
    </w:p>
    <w:p>
      <w:pPr>
        <w:pStyle w:val="ListBullet2"/>
        <w:spacing w:after="80" w:line="276" w:lineRule="auto"/>
      </w:pPr>
      <w:r>
        <w:rPr>
          <w:rFonts w:ascii="Cambria" w:hAnsi="Cambria"/>
          <w:b w:val="0"/>
          <w:i w:val="0"/>
          <w:sz w:val="22"/>
        </w:rPr>
        <w:t>Leads the launch of new academic programmes and upgradation of existing ones to meet emerging global standards.</w:t>
      </w:r>
    </w:p>
    <w:p>
      <w:pPr>
        <w:pStyle w:val="ListBullet2"/>
        <w:spacing w:after="80" w:line="276" w:lineRule="auto"/>
      </w:pPr>
      <w:r>
        <w:rPr>
          <w:rFonts w:ascii="Cambria" w:hAnsi="Cambria"/>
          <w:b w:val="0"/>
          <w:i w:val="0"/>
          <w:sz w:val="22"/>
        </w:rPr>
        <w:t>Introduces multidisciplinary, skill-based, and experiential learning courses in line with NEP-2020.</w:t>
      </w:r>
    </w:p>
    <w:p>
      <w:pPr>
        <w:pStyle w:val="ListBullet"/>
        <w:spacing w:after="80" w:line="276" w:lineRule="auto"/>
      </w:pPr>
      <w:r>
        <w:rPr>
          <w:rFonts w:ascii="Cambria" w:hAnsi="Cambria"/>
          <w:b/>
          <w:i w:val="0"/>
          <w:sz w:val="22"/>
        </w:rPr>
        <w:t>Pedagogical Innovation:</w:t>
      </w:r>
    </w:p>
    <w:p>
      <w:pPr>
        <w:pStyle w:val="ListBullet2"/>
        <w:spacing w:after="80" w:line="276" w:lineRule="auto"/>
      </w:pPr>
      <w:r>
        <w:rPr>
          <w:rFonts w:ascii="Cambria" w:hAnsi="Cambria"/>
          <w:b w:val="0"/>
          <w:i w:val="0"/>
          <w:sz w:val="22"/>
        </w:rPr>
        <w:t>Encourages adoption of blended learning, MOOCs, flipped classrooms, and digital tools.</w:t>
      </w:r>
    </w:p>
    <w:p>
      <w:pPr>
        <w:pStyle w:val="ListBullet2"/>
        <w:spacing w:after="80" w:line="276" w:lineRule="auto"/>
      </w:pPr>
      <w:r>
        <w:rPr>
          <w:rFonts w:ascii="Cambria" w:hAnsi="Cambria"/>
          <w:b w:val="0"/>
          <w:i w:val="0"/>
          <w:sz w:val="22"/>
        </w:rPr>
        <w:t>Promotes faculty development programs to upgrade teaching methodologies.</w:t>
      </w:r>
    </w:p>
    <w:p>
      <w:pPr>
        <w:pStyle w:val="ListBullet"/>
        <w:spacing w:after="80" w:line="276" w:lineRule="auto"/>
      </w:pPr>
      <w:r>
        <w:rPr>
          <w:rFonts w:ascii="Cambria" w:hAnsi="Cambria"/>
          <w:b/>
          <w:i w:val="0"/>
          <w:sz w:val="22"/>
        </w:rPr>
        <w:t>Research and Knowledge Creation:</w:t>
      </w:r>
    </w:p>
    <w:p>
      <w:pPr>
        <w:pStyle w:val="ListBullet2"/>
        <w:spacing w:after="80" w:line="276" w:lineRule="auto"/>
      </w:pPr>
      <w:r>
        <w:rPr>
          <w:rFonts w:ascii="Cambria" w:hAnsi="Cambria"/>
          <w:b w:val="0"/>
          <w:i w:val="0"/>
          <w:sz w:val="22"/>
        </w:rPr>
        <w:t>Facilitates student projects, academic research, patents, and publications.</w:t>
      </w:r>
    </w:p>
    <w:p>
      <w:pPr>
        <w:pStyle w:val="ListBullet2"/>
        <w:spacing w:after="80" w:line="276" w:lineRule="auto"/>
      </w:pPr>
      <w:r>
        <w:rPr>
          <w:rFonts w:ascii="Cambria" w:hAnsi="Cambria"/>
          <w:b w:val="0"/>
          <w:i w:val="0"/>
          <w:sz w:val="22"/>
        </w:rPr>
        <w:t>Strengthens links between industry, research centres, and academic delivery.</w:t>
      </w:r>
    </w:p>
    <w:p>
      <w:pPr>
        <w:pStyle w:val="Heading3"/>
      </w:pPr>
      <w:r>
        <w:rPr>
          <w:rFonts w:ascii="Cambria" w:hAnsi="Cambria"/>
          <w:b/>
          <w:color w:val="1F3A5F"/>
          <w:sz w:val="26"/>
        </w:rPr>
        <w:t>3. Guardian of Quality Assurance</w:t>
      </w:r>
    </w:p>
    <w:p>
      <w:pPr>
        <w:pStyle w:val="ListBullet"/>
        <w:spacing w:after="80" w:line="276" w:lineRule="auto"/>
      </w:pPr>
      <w:r>
        <w:rPr>
          <w:rFonts w:ascii="Cambria" w:hAnsi="Cambria"/>
          <w:b/>
          <w:i w:val="0"/>
          <w:sz w:val="22"/>
        </w:rPr>
        <w:t>Outcome-Based Education (OBE):</w:t>
      </w:r>
    </w:p>
    <w:p>
      <w:pPr>
        <w:pStyle w:val="ListBullet2"/>
        <w:spacing w:after="80" w:line="276" w:lineRule="auto"/>
      </w:pPr>
      <w:r>
        <w:rPr>
          <w:rFonts w:ascii="Cambria" w:hAnsi="Cambria"/>
          <w:b w:val="0"/>
          <w:i w:val="0"/>
          <w:sz w:val="22"/>
        </w:rPr>
        <w:t>Ensures CO-PO-PSO mapping, attainment calculation, and reporting for all courses.</w:t>
      </w:r>
    </w:p>
    <w:p>
      <w:pPr>
        <w:pStyle w:val="ListBullet2"/>
        <w:spacing w:after="80" w:line="276" w:lineRule="auto"/>
      </w:pPr>
      <w:r>
        <w:rPr>
          <w:rFonts w:ascii="Cambria" w:hAnsi="Cambria"/>
          <w:b w:val="0"/>
          <w:i w:val="0"/>
          <w:sz w:val="22"/>
        </w:rPr>
        <w:t>Aligns teaching-learning processes with NBA, NAAC, and Washington Accord standards.</w:t>
      </w:r>
    </w:p>
    <w:p>
      <w:pPr>
        <w:pStyle w:val="ListBullet"/>
        <w:spacing w:after="80" w:line="276" w:lineRule="auto"/>
      </w:pPr>
      <w:r>
        <w:rPr>
          <w:rFonts w:ascii="Cambria" w:hAnsi="Cambria"/>
          <w:b/>
          <w:i w:val="0"/>
          <w:sz w:val="22"/>
        </w:rPr>
        <w:t>Continuous Monitoring:</w:t>
      </w:r>
    </w:p>
    <w:p>
      <w:pPr>
        <w:pStyle w:val="ListBullet2"/>
        <w:spacing w:after="80" w:line="276" w:lineRule="auto"/>
      </w:pPr>
      <w:r>
        <w:rPr>
          <w:rFonts w:ascii="Cambria" w:hAnsi="Cambria"/>
          <w:b w:val="0"/>
          <w:i w:val="0"/>
          <w:sz w:val="22"/>
        </w:rPr>
        <w:t>Collects and analyzes student feedback, alumni input, and employer surveys to improve programs.</w:t>
      </w:r>
    </w:p>
    <w:p>
      <w:pPr>
        <w:pStyle w:val="ListBullet2"/>
        <w:spacing w:after="80" w:line="276" w:lineRule="auto"/>
      </w:pPr>
      <w:r>
        <w:rPr>
          <w:rFonts w:ascii="Cambria" w:hAnsi="Cambria"/>
          <w:b w:val="0"/>
          <w:i w:val="0"/>
          <w:sz w:val="22"/>
        </w:rPr>
        <w:t>Conducts academic audits, peer reviews, and classroom inspections.</w:t>
      </w:r>
    </w:p>
    <w:p>
      <w:pPr>
        <w:pStyle w:val="ListBullet"/>
        <w:spacing w:after="80" w:line="276" w:lineRule="auto"/>
      </w:pPr>
      <w:r>
        <w:rPr>
          <w:rFonts w:ascii="Cambria" w:hAnsi="Cambria"/>
          <w:b/>
          <w:i w:val="0"/>
          <w:sz w:val="22"/>
        </w:rPr>
        <w:t>Accreditation and Ranking Readiness:</w:t>
      </w:r>
    </w:p>
    <w:p>
      <w:pPr>
        <w:pStyle w:val="ListBullet2"/>
        <w:spacing w:after="80" w:line="276" w:lineRule="auto"/>
      </w:pPr>
      <w:r>
        <w:rPr>
          <w:rFonts w:ascii="Cambria" w:hAnsi="Cambria"/>
          <w:b w:val="0"/>
          <w:i w:val="0"/>
          <w:sz w:val="22"/>
        </w:rPr>
        <w:t>Leads preparation for NAAC, NBA, NIRF, QS I-GAUGE, and international rankings.</w:t>
      </w:r>
    </w:p>
    <w:p>
      <w:pPr>
        <w:pStyle w:val="ListBullet2"/>
        <w:spacing w:after="80" w:line="276" w:lineRule="auto"/>
      </w:pPr>
      <w:r>
        <w:rPr>
          <w:rFonts w:ascii="Cambria" w:hAnsi="Cambria"/>
          <w:b w:val="0"/>
          <w:i w:val="0"/>
          <w:sz w:val="22"/>
        </w:rPr>
        <w:t>Provides evidence-based documentation for quality benchmarks.</w:t>
      </w:r>
    </w:p>
    <w:p>
      <w:pPr>
        <w:pStyle w:val="Heading3"/>
      </w:pPr>
      <w:r>
        <w:rPr>
          <w:rFonts w:ascii="Cambria" w:hAnsi="Cambria"/>
          <w:b/>
          <w:color w:val="1F3A5F"/>
          <w:sz w:val="26"/>
        </w:rPr>
        <w:t>4. Strategic Role in University Ecosystem</w:t>
      </w:r>
    </w:p>
    <w:p>
      <w:pPr>
        <w:pStyle w:val="ListBullet"/>
        <w:spacing w:after="80" w:line="276" w:lineRule="auto"/>
      </w:pPr>
      <w:r>
        <w:rPr>
          <w:rFonts w:ascii="Cambria" w:hAnsi="Cambria"/>
          <w:b/>
          <w:i w:val="0"/>
          <w:sz w:val="22"/>
        </w:rPr>
        <w:t>Policy Leadership:</w:t>
      </w:r>
    </w:p>
    <w:p>
      <w:pPr>
        <w:pStyle w:val="ListBullet2"/>
        <w:spacing w:after="80" w:line="276" w:lineRule="auto"/>
      </w:pPr>
      <w:r>
        <w:rPr>
          <w:rFonts w:ascii="Cambria" w:hAnsi="Cambria"/>
          <w:b w:val="0"/>
          <w:i w:val="0"/>
          <w:sz w:val="22"/>
        </w:rPr>
        <w:t>Advises Vice-Chancellor and Academic Council on matters of academic policy and strategy.</w:t>
      </w:r>
    </w:p>
    <w:p>
      <w:pPr>
        <w:pStyle w:val="ListBullet2"/>
        <w:spacing w:after="80" w:line="276" w:lineRule="auto"/>
      </w:pPr>
      <w:r>
        <w:rPr>
          <w:rFonts w:ascii="Cambria" w:hAnsi="Cambria"/>
          <w:b w:val="0"/>
          <w:i w:val="0"/>
          <w:sz w:val="22"/>
        </w:rPr>
        <w:t>Ensures university-wide compliance with UGC, AICTE, and regulatory guidelines.</w:t>
      </w:r>
    </w:p>
    <w:p>
      <w:pPr>
        <w:pStyle w:val="ListBullet"/>
        <w:spacing w:after="80" w:line="276" w:lineRule="auto"/>
      </w:pPr>
      <w:r>
        <w:rPr>
          <w:rFonts w:ascii="Cambria" w:hAnsi="Cambria"/>
          <w:b/>
          <w:i w:val="0"/>
          <w:sz w:val="22"/>
        </w:rPr>
        <w:t>Resource Planning:</w:t>
      </w:r>
    </w:p>
    <w:p>
      <w:pPr>
        <w:pStyle w:val="ListBullet2"/>
        <w:spacing w:after="80" w:line="276" w:lineRule="auto"/>
      </w:pPr>
      <w:r>
        <w:rPr>
          <w:rFonts w:ascii="Cambria" w:hAnsi="Cambria"/>
          <w:b w:val="0"/>
          <w:i w:val="0"/>
          <w:sz w:val="22"/>
        </w:rPr>
        <w:t>Prepares budget proposals for academic needs, faculty development, and research support.</w:t>
      </w:r>
    </w:p>
    <w:p>
      <w:pPr>
        <w:pStyle w:val="ListBullet2"/>
        <w:spacing w:after="80" w:line="276" w:lineRule="auto"/>
      </w:pPr>
      <w:r>
        <w:rPr>
          <w:rFonts w:ascii="Cambria" w:hAnsi="Cambria"/>
          <w:b w:val="0"/>
          <w:i w:val="0"/>
          <w:sz w:val="22"/>
        </w:rPr>
        <w:t>Ensures optimal utilization of resources for teaching and learning.</w:t>
      </w:r>
    </w:p>
    <w:p>
      <w:pPr>
        <w:pStyle w:val="ListBullet"/>
        <w:spacing w:after="80" w:line="276" w:lineRule="auto"/>
      </w:pPr>
      <w:r>
        <w:rPr>
          <w:rFonts w:ascii="Cambria" w:hAnsi="Cambria"/>
          <w:b/>
          <w:i w:val="0"/>
          <w:sz w:val="22"/>
        </w:rPr>
        <w:t>Human Resource Development:</w:t>
      </w:r>
    </w:p>
    <w:p>
      <w:pPr>
        <w:pStyle w:val="ListBullet2"/>
        <w:spacing w:after="80" w:line="276" w:lineRule="auto"/>
      </w:pPr>
      <w:r>
        <w:rPr>
          <w:rFonts w:ascii="Cambria" w:hAnsi="Cambria"/>
          <w:b w:val="0"/>
          <w:i w:val="0"/>
          <w:sz w:val="22"/>
        </w:rPr>
        <w:t>Oversees training and professional growth of teaching and non-teaching technical staff.</w:t>
      </w:r>
    </w:p>
    <w:p>
      <w:pPr>
        <w:pStyle w:val="ListBullet2"/>
        <w:spacing w:after="80" w:line="276" w:lineRule="auto"/>
      </w:pPr>
      <w:r>
        <w:rPr>
          <w:rFonts w:ascii="Cambria" w:hAnsi="Cambria"/>
          <w:b w:val="0"/>
          <w:i w:val="0"/>
          <w:sz w:val="22"/>
        </w:rPr>
        <w:t>Builds a culture of academic excellence and accountability.</w:t>
      </w:r>
    </w:p>
    <w:p>
      <w:pPr>
        <w:pStyle w:val="Heading3"/>
      </w:pPr>
      <w:r>
        <w:rPr>
          <w:rFonts w:ascii="Cambria" w:hAnsi="Cambria"/>
          <w:b/>
          <w:color w:val="1F3A5F"/>
          <w:sz w:val="26"/>
        </w:rPr>
        <w:t>5. Symbolic and Practical Custodianship</w:t>
      </w:r>
    </w:p>
    <w:p>
      <w:pPr>
        <w:pStyle w:val="ListBullet"/>
        <w:spacing w:after="80" w:line="276" w:lineRule="auto"/>
      </w:pPr>
      <w:r>
        <w:rPr>
          <w:rFonts w:ascii="Cambria" w:hAnsi="Cambria"/>
          <w:b w:val="0"/>
          <w:i w:val="0"/>
          <w:sz w:val="22"/>
        </w:rPr>
        <w:t>The Vice-Chancellor is the visionary leader,</w:t>
      </w:r>
    </w:p>
    <w:p>
      <w:pPr>
        <w:pStyle w:val="ListBullet"/>
        <w:spacing w:after="80" w:line="276" w:lineRule="auto"/>
      </w:pPr>
      <w:r>
        <w:rPr>
          <w:rFonts w:ascii="Cambria" w:hAnsi="Cambria"/>
          <w:b w:val="0"/>
          <w:i w:val="0"/>
          <w:sz w:val="22"/>
        </w:rPr>
        <w:t>The Registrar is the administrative backbone,</w:t>
      </w:r>
    </w:p>
    <w:p>
      <w:pPr>
        <w:pStyle w:val="ListBullet"/>
        <w:spacing w:after="80" w:line="276" w:lineRule="auto"/>
      </w:pPr>
      <w:r>
        <w:rPr>
          <w:rFonts w:ascii="Cambria" w:hAnsi="Cambria"/>
          <w:b w:val="0"/>
          <w:i w:val="0"/>
          <w:sz w:val="22"/>
        </w:rPr>
        <w:t>The Dean (Academics) is the chief custodian of academic integrity, innovation, and quality assurance, ensuring that:</w:t>
      </w:r>
    </w:p>
    <w:p>
      <w:pPr>
        <w:pStyle w:val="ListBullet2"/>
        <w:spacing w:after="80" w:line="276" w:lineRule="auto"/>
      </w:pPr>
      <w:r>
        <w:rPr>
          <w:rFonts w:ascii="Cambria" w:hAnsi="Cambria"/>
          <w:b w:val="0"/>
          <w:i w:val="0"/>
          <w:sz w:val="22"/>
        </w:rPr>
        <w:t>Students receive high-quality, ethical, and future-ready education.</w:t>
      </w:r>
    </w:p>
    <w:p>
      <w:pPr>
        <w:pStyle w:val="ListBullet2"/>
        <w:spacing w:after="80" w:line="276" w:lineRule="auto"/>
      </w:pPr>
      <w:r>
        <w:rPr>
          <w:rFonts w:ascii="Cambria" w:hAnsi="Cambria"/>
          <w:b w:val="0"/>
          <w:i w:val="0"/>
          <w:sz w:val="22"/>
        </w:rPr>
        <w:t>Faculty are empowered to innovate while maintaining standards.</w:t>
      </w:r>
    </w:p>
    <w:p>
      <w:pPr>
        <w:pStyle w:val="ListBullet2"/>
        <w:spacing w:after="80" w:line="276" w:lineRule="auto"/>
      </w:pPr>
      <w:r>
        <w:rPr>
          <w:rFonts w:ascii="Cambria" w:hAnsi="Cambria"/>
          <w:b w:val="0"/>
          <w:i w:val="0"/>
          <w:sz w:val="22"/>
        </w:rPr>
        <w:t>The institution sustains trust, credibility, and competitiveness in the global academic arena.</w:t>
      </w:r>
    </w:p>
    <w:p>
      <w:r>
        <w:br w:type="page"/>
      </w:r>
    </w:p>
    <w:p>
      <w:pPr>
        <w:pStyle w:val="Heading1"/>
      </w:pPr>
      <w:r>
        <w:rPr>
          <w:rFonts w:ascii="Cambria" w:hAnsi="Cambria"/>
          <w:b/>
          <w:color w:val="1F3A5F"/>
          <w:sz w:val="36"/>
        </w:rPr>
        <w:t>4. Responsibilities of the Dean (Academics)</w:t>
      </w:r>
    </w:p>
    <w:p>
      <w:pPr>
        <w:pStyle w:val="Heading3"/>
      </w:pPr>
      <w:r>
        <w:rPr>
          <w:rFonts w:ascii="Cambria" w:hAnsi="Cambria"/>
          <w:b/>
          <w:color w:val="1F3A5F"/>
          <w:sz w:val="26"/>
        </w:rPr>
        <w:t>1. Academic Leadership and Policy</w:t>
      </w:r>
    </w:p>
    <w:p>
      <w:pPr>
        <w:pStyle w:val="ListBullet"/>
        <w:spacing w:after="80" w:line="276" w:lineRule="auto"/>
      </w:pPr>
      <w:r>
        <w:rPr>
          <w:rFonts w:ascii="Cambria" w:hAnsi="Cambria"/>
          <w:b w:val="0"/>
          <w:i w:val="0"/>
          <w:sz w:val="22"/>
        </w:rPr>
        <w:t>Formulates and executes academic policies, guidelines, and strategies aligned with university vision and regulatory frameworks (NEP-2020, UGC, AICTE, NAAC, NBA, NIRF).</w:t>
      </w:r>
    </w:p>
    <w:p>
      <w:pPr>
        <w:pStyle w:val="ListBullet"/>
        <w:spacing w:after="80" w:line="276" w:lineRule="auto"/>
      </w:pPr>
      <w:r>
        <w:rPr>
          <w:rFonts w:ascii="Cambria" w:hAnsi="Cambria"/>
          <w:b w:val="0"/>
          <w:i w:val="0"/>
          <w:sz w:val="22"/>
        </w:rPr>
        <w:t>Provides academic direction in consultation with Vice-Chancellor, Registrar, and Academic Council.</w:t>
      </w:r>
    </w:p>
    <w:p>
      <w:pPr>
        <w:pStyle w:val="ListBullet"/>
        <w:spacing w:after="80" w:line="276" w:lineRule="auto"/>
      </w:pPr>
      <w:r>
        <w:rPr>
          <w:rFonts w:ascii="Cambria" w:hAnsi="Cambria"/>
          <w:b w:val="0"/>
          <w:i w:val="0"/>
          <w:sz w:val="22"/>
        </w:rPr>
        <w:t>Supervises Associate Deans and Heads of Departments to ensure smooth academic governance.</w:t>
      </w:r>
    </w:p>
    <w:p>
      <w:pPr>
        <w:pStyle w:val="ListBullet"/>
        <w:spacing w:after="80" w:line="276" w:lineRule="auto"/>
      </w:pPr>
      <w:r>
        <w:rPr>
          <w:rFonts w:ascii="Cambria" w:hAnsi="Cambria"/>
          <w:b w:val="0"/>
          <w:i w:val="0"/>
          <w:sz w:val="22"/>
        </w:rPr>
        <w:t>Reports academic progress and outcomes to the Vice-Chancellor and governing bodies.</w:t>
      </w:r>
    </w:p>
    <w:p>
      <w:pPr>
        <w:pStyle w:val="Heading3"/>
      </w:pPr>
      <w:r>
        <w:rPr>
          <w:rFonts w:ascii="Cambria" w:hAnsi="Cambria"/>
          <w:b/>
          <w:color w:val="1F3A5F"/>
          <w:sz w:val="26"/>
        </w:rPr>
        <w:t>2. Curriculum Development and Programme Innovation</w:t>
      </w:r>
    </w:p>
    <w:p>
      <w:pPr>
        <w:pStyle w:val="ListBullet"/>
        <w:spacing w:after="80" w:line="276" w:lineRule="auto"/>
      </w:pPr>
      <w:r>
        <w:rPr>
          <w:rFonts w:ascii="Cambria" w:hAnsi="Cambria"/>
          <w:b w:val="0"/>
          <w:i w:val="0"/>
          <w:sz w:val="22"/>
        </w:rPr>
        <w:t>Designs, reviews, and updates curriculum frameworks in line with national and global best practices.</w:t>
      </w:r>
    </w:p>
    <w:p>
      <w:pPr>
        <w:pStyle w:val="ListBullet"/>
        <w:spacing w:after="80" w:line="276" w:lineRule="auto"/>
      </w:pPr>
      <w:r>
        <w:rPr>
          <w:rFonts w:ascii="Cambria" w:hAnsi="Cambria"/>
          <w:b w:val="0"/>
          <w:i w:val="0"/>
          <w:sz w:val="22"/>
        </w:rPr>
        <w:t>Oversees the launch of new academic programmes, upgrading existing programmes, and revising course content</w:t>
      </w:r>
    </w:p>
    <w:p>
      <w:pPr>
        <w:pStyle w:val="ListBullet"/>
        <w:spacing w:after="80" w:line="276" w:lineRule="auto"/>
      </w:pPr>
      <w:r>
        <w:rPr>
          <w:rFonts w:ascii="Cambria" w:hAnsi="Cambria"/>
          <w:b w:val="0"/>
          <w:i w:val="0"/>
          <w:sz w:val="22"/>
        </w:rPr>
        <w:t>Ensures curriculum integrates multidisciplinary, vocational, and skill-based learning.</w:t>
      </w:r>
    </w:p>
    <w:p>
      <w:pPr>
        <w:pStyle w:val="ListBullet"/>
        <w:spacing w:after="80" w:line="276" w:lineRule="auto"/>
      </w:pPr>
      <w:r>
        <w:rPr>
          <w:rFonts w:ascii="Cambria" w:hAnsi="Cambria"/>
          <w:b w:val="0"/>
          <w:i w:val="0"/>
          <w:sz w:val="22"/>
        </w:rPr>
        <w:t>Coordinates with Boards of Studies and Academic Council for approvals.</w:t>
      </w:r>
    </w:p>
    <w:p>
      <w:pPr>
        <w:pStyle w:val="Heading3"/>
      </w:pPr>
      <w:r>
        <w:rPr>
          <w:rFonts w:ascii="Cambria" w:hAnsi="Cambria"/>
          <w:b/>
          <w:color w:val="1F3A5F"/>
          <w:sz w:val="26"/>
        </w:rPr>
        <w:t>3. Academic Planning and Administration</w:t>
      </w:r>
    </w:p>
    <w:p>
      <w:pPr>
        <w:pStyle w:val="ListBullet"/>
        <w:spacing w:after="80" w:line="276" w:lineRule="auto"/>
      </w:pPr>
      <w:r>
        <w:rPr>
          <w:rFonts w:ascii="Cambria" w:hAnsi="Cambria"/>
          <w:b w:val="0"/>
          <w:i w:val="0"/>
          <w:sz w:val="22"/>
        </w:rPr>
        <w:t>Decides the number of sections and batches for each theory and lab course</w:t>
      </w:r>
    </w:p>
    <w:p>
      <w:pPr>
        <w:pStyle w:val="ListBullet"/>
        <w:spacing w:after="80" w:line="276" w:lineRule="auto"/>
      </w:pPr>
      <w:r>
        <w:rPr>
          <w:rFonts w:ascii="Cambria" w:hAnsi="Cambria"/>
          <w:b w:val="0"/>
          <w:i w:val="0"/>
          <w:sz w:val="22"/>
        </w:rPr>
        <w:t>Prepares and monitors the academic timetable for all courses</w:t>
      </w:r>
    </w:p>
    <w:p>
      <w:pPr>
        <w:pStyle w:val="ListBullet"/>
        <w:spacing w:after="80" w:line="276" w:lineRule="auto"/>
      </w:pPr>
      <w:r>
        <w:rPr>
          <w:rFonts w:ascii="Cambria" w:hAnsi="Cambria"/>
          <w:b w:val="0"/>
          <w:i w:val="0"/>
          <w:sz w:val="22"/>
        </w:rPr>
        <w:t>Ensures adherence to academic rules by teaching faculty</w:t>
      </w:r>
    </w:p>
    <w:p>
      <w:pPr>
        <w:pStyle w:val="ListBullet"/>
        <w:spacing w:after="80" w:line="276" w:lineRule="auto"/>
      </w:pPr>
      <w:r>
        <w:rPr>
          <w:rFonts w:ascii="Cambria" w:hAnsi="Cambria"/>
          <w:b w:val="0"/>
          <w:i w:val="0"/>
          <w:sz w:val="22"/>
        </w:rPr>
        <w:t>Supervises the regular and effective conduct of classes by faculty</w:t>
      </w:r>
    </w:p>
    <w:p>
      <w:pPr>
        <w:pStyle w:val="ListBullet"/>
        <w:spacing w:after="80" w:line="276" w:lineRule="auto"/>
      </w:pPr>
      <w:r>
        <w:rPr>
          <w:rFonts w:ascii="Cambria" w:hAnsi="Cambria"/>
          <w:b w:val="0"/>
          <w:i w:val="0"/>
          <w:sz w:val="22"/>
        </w:rPr>
        <w:t>Coordinates academic operations with Dean (Evaluation &amp; Academic Registration) for evaluation matters</w:t>
      </w:r>
    </w:p>
    <w:p>
      <w:pPr>
        <w:pStyle w:val="ListBullet"/>
        <w:spacing w:after="80" w:line="276" w:lineRule="auto"/>
      </w:pPr>
      <w:r>
        <w:rPr>
          <w:rFonts w:ascii="Cambria" w:hAnsi="Cambria"/>
          <w:b w:val="0"/>
          <w:i w:val="0"/>
          <w:sz w:val="22"/>
        </w:rPr>
        <w:t>Maintains attendance and leave records of staff under his/her control</w:t>
      </w:r>
    </w:p>
    <w:p>
      <w:pPr>
        <w:pStyle w:val="Heading3"/>
      </w:pPr>
      <w:r>
        <w:rPr>
          <w:rFonts w:ascii="Cambria" w:hAnsi="Cambria"/>
          <w:b/>
          <w:color w:val="1F3A5F"/>
          <w:sz w:val="26"/>
        </w:rPr>
        <w:t>4. Quality Assurance and Evaluation</w:t>
      </w:r>
    </w:p>
    <w:p>
      <w:pPr>
        <w:pStyle w:val="ListBullet"/>
        <w:spacing w:after="80" w:line="276" w:lineRule="auto"/>
      </w:pPr>
      <w:r>
        <w:rPr>
          <w:rFonts w:ascii="Cambria" w:hAnsi="Cambria"/>
          <w:b w:val="0"/>
          <w:i w:val="0"/>
          <w:sz w:val="22"/>
        </w:rPr>
        <w:t>Implements Outcome-Based Education (OBE) framework (CO-PO-PSO mapping, attainment analysis).</w:t>
      </w:r>
    </w:p>
    <w:p>
      <w:pPr>
        <w:pStyle w:val="ListBullet"/>
        <w:spacing w:after="80" w:line="276" w:lineRule="auto"/>
      </w:pPr>
      <w:r>
        <w:rPr>
          <w:rFonts w:ascii="Cambria" w:hAnsi="Cambria"/>
          <w:b w:val="0"/>
          <w:i w:val="0"/>
          <w:sz w:val="22"/>
        </w:rPr>
        <w:t>Monitors transparency in evaluation systems and ensures adherence to rules.</w:t>
      </w:r>
    </w:p>
    <w:p>
      <w:pPr>
        <w:pStyle w:val="ListBullet"/>
        <w:spacing w:after="80" w:line="276" w:lineRule="auto"/>
      </w:pPr>
      <w:r>
        <w:rPr>
          <w:rFonts w:ascii="Cambria" w:hAnsi="Cambria"/>
          <w:b w:val="0"/>
          <w:i w:val="0"/>
          <w:sz w:val="22"/>
        </w:rPr>
        <w:t>Oversees continuous assessment, examinations, grading, and reporting.</w:t>
      </w:r>
    </w:p>
    <w:p>
      <w:pPr>
        <w:pStyle w:val="ListBullet"/>
        <w:spacing w:after="80" w:line="276" w:lineRule="auto"/>
      </w:pPr>
      <w:r>
        <w:rPr>
          <w:rFonts w:ascii="Cambria" w:hAnsi="Cambria"/>
          <w:b w:val="0"/>
          <w:i w:val="0"/>
          <w:sz w:val="22"/>
        </w:rPr>
        <w:t>Promotes data-driven evaluation and accreditation compliance.</w:t>
      </w:r>
    </w:p>
    <w:p>
      <w:pPr>
        <w:pStyle w:val="Heading3"/>
      </w:pPr>
      <w:r>
        <w:rPr>
          <w:rFonts w:ascii="Cambria" w:hAnsi="Cambria"/>
          <w:b/>
          <w:color w:val="1F3A5F"/>
          <w:sz w:val="26"/>
        </w:rPr>
        <w:t>5. Student-Centric Responsibilities</w:t>
      </w:r>
    </w:p>
    <w:p>
      <w:pPr>
        <w:pStyle w:val="ListBullet"/>
        <w:spacing w:after="80" w:line="276" w:lineRule="auto"/>
      </w:pPr>
      <w:r>
        <w:rPr>
          <w:rFonts w:ascii="Cambria" w:hAnsi="Cambria"/>
          <w:b w:val="0"/>
          <w:i w:val="0"/>
          <w:sz w:val="22"/>
        </w:rPr>
        <w:t>Collects and analyses student feedback and ensures corrective actions</w:t>
      </w:r>
    </w:p>
    <w:p>
      <w:pPr>
        <w:pStyle w:val="ListBullet"/>
        <w:spacing w:after="80" w:line="276" w:lineRule="auto"/>
      </w:pPr>
      <w:r>
        <w:rPr>
          <w:rFonts w:ascii="Cambria" w:hAnsi="Cambria"/>
          <w:b w:val="0"/>
          <w:i w:val="0"/>
          <w:sz w:val="22"/>
        </w:rPr>
        <w:t>Supports mentoring, remedial teaching, and student counseling systems.</w:t>
      </w:r>
    </w:p>
    <w:p>
      <w:pPr>
        <w:pStyle w:val="ListBullet"/>
        <w:spacing w:after="80" w:line="276" w:lineRule="auto"/>
      </w:pPr>
      <w:r>
        <w:rPr>
          <w:rFonts w:ascii="Cambria" w:hAnsi="Cambria"/>
          <w:b w:val="0"/>
          <w:i w:val="0"/>
          <w:sz w:val="22"/>
        </w:rPr>
        <w:t>Tracks progression, retention, graduation rates, and placements.</w:t>
      </w:r>
    </w:p>
    <w:p>
      <w:pPr>
        <w:pStyle w:val="ListBullet"/>
        <w:spacing w:after="80" w:line="276" w:lineRule="auto"/>
      </w:pPr>
      <w:r>
        <w:rPr>
          <w:rFonts w:ascii="Cambria" w:hAnsi="Cambria"/>
          <w:b w:val="0"/>
          <w:i w:val="0"/>
          <w:sz w:val="22"/>
        </w:rPr>
        <w:t>Promotes inclusivity and equity in academic opportunities.</w:t>
      </w:r>
    </w:p>
    <w:p>
      <w:pPr>
        <w:pStyle w:val="Heading3"/>
      </w:pPr>
      <w:r>
        <w:rPr>
          <w:rFonts w:ascii="Cambria" w:hAnsi="Cambria"/>
          <w:b/>
          <w:color w:val="1F3A5F"/>
          <w:sz w:val="26"/>
        </w:rPr>
        <w:t>6. Faculty Development and Human Resource Management</w:t>
      </w:r>
    </w:p>
    <w:p>
      <w:pPr>
        <w:pStyle w:val="ListBullet"/>
        <w:spacing w:after="80" w:line="276" w:lineRule="auto"/>
      </w:pPr>
      <w:r>
        <w:rPr>
          <w:rFonts w:ascii="Cambria" w:hAnsi="Cambria"/>
          <w:b w:val="0"/>
          <w:i w:val="0"/>
          <w:sz w:val="22"/>
        </w:rPr>
        <w:t>Ensures professional growth of teaching and non-teaching technical staff through training and development programs</w:t>
      </w:r>
    </w:p>
    <w:p>
      <w:pPr>
        <w:pStyle w:val="ListBullet"/>
        <w:spacing w:after="80" w:line="276" w:lineRule="auto"/>
      </w:pPr>
      <w:r>
        <w:rPr>
          <w:rFonts w:ascii="Cambria" w:hAnsi="Cambria"/>
          <w:b w:val="0"/>
          <w:i w:val="0"/>
          <w:sz w:val="22"/>
        </w:rPr>
        <w:t>Organizes Faculty Development Programs (FDPs), workshops, and seminars to enhance teaching quality.</w:t>
      </w:r>
    </w:p>
    <w:p>
      <w:pPr>
        <w:pStyle w:val="ListBullet"/>
        <w:spacing w:after="80" w:line="276" w:lineRule="auto"/>
      </w:pPr>
      <w:r>
        <w:rPr>
          <w:rFonts w:ascii="Cambria" w:hAnsi="Cambria"/>
          <w:b w:val="0"/>
          <w:i w:val="0"/>
          <w:sz w:val="22"/>
        </w:rPr>
        <w:t>Encourages innovative pedagogy, blended learning, and digital tools.</w:t>
      </w:r>
    </w:p>
    <w:p>
      <w:pPr>
        <w:pStyle w:val="Heading3"/>
      </w:pPr>
      <w:r>
        <w:rPr>
          <w:rFonts w:ascii="Cambria" w:hAnsi="Cambria"/>
          <w:b/>
          <w:color w:val="1F3A5F"/>
          <w:sz w:val="26"/>
        </w:rPr>
        <w:t>7. Research and Projects</w:t>
      </w:r>
    </w:p>
    <w:p>
      <w:pPr>
        <w:pStyle w:val="ListBullet"/>
        <w:spacing w:after="80" w:line="276" w:lineRule="auto"/>
      </w:pPr>
      <w:r>
        <w:rPr>
          <w:rFonts w:ascii="Cambria" w:hAnsi="Cambria"/>
          <w:b w:val="0"/>
          <w:i w:val="0"/>
          <w:sz w:val="22"/>
        </w:rPr>
        <w:t>Facilitates student projects, dissertations, and capstone initiatives.</w:t>
      </w:r>
    </w:p>
    <w:p>
      <w:pPr>
        <w:pStyle w:val="ListBullet"/>
        <w:spacing w:after="80" w:line="276" w:lineRule="auto"/>
      </w:pPr>
      <w:r>
        <w:rPr>
          <w:rFonts w:ascii="Cambria" w:hAnsi="Cambria"/>
          <w:b w:val="0"/>
          <w:i w:val="0"/>
          <w:sz w:val="22"/>
        </w:rPr>
        <w:t>Encourages faculty-led research projects, funded proposals, patents, and publications.</w:t>
      </w:r>
    </w:p>
    <w:p>
      <w:pPr>
        <w:pStyle w:val="ListBullet"/>
        <w:spacing w:after="80" w:line="276" w:lineRule="auto"/>
      </w:pPr>
      <w:r>
        <w:rPr>
          <w:rFonts w:ascii="Cambria" w:hAnsi="Cambria"/>
          <w:b w:val="0"/>
          <w:i w:val="0"/>
          <w:sz w:val="22"/>
        </w:rPr>
        <w:t>Strengthens industry</w:t>
      </w:r>
      <w:r>
        <w:rPr>
          <w:rFonts w:ascii="Cambria" w:hAnsi="Cambria"/>
          <w:b w:val="0"/>
          <w:i w:val="0"/>
          <w:sz w:val="22"/>
        </w:rPr>
        <w:t>–academia partnerships, consultancy, and innovation centres.</w:t>
      </w:r>
    </w:p>
    <w:p>
      <w:pPr>
        <w:pStyle w:val="ListBullet"/>
        <w:spacing w:after="80" w:line="276" w:lineRule="auto"/>
      </w:pPr>
      <w:r>
        <w:rPr>
          <w:rFonts w:ascii="Cambria" w:hAnsi="Cambria"/>
          <w:b w:val="0"/>
          <w:i w:val="0"/>
          <w:sz w:val="22"/>
        </w:rPr>
        <w:t>Promotes incubation cells and IPR culture.</w:t>
      </w:r>
    </w:p>
    <w:p>
      <w:pPr>
        <w:pStyle w:val="Heading3"/>
      </w:pPr>
      <w:r>
        <w:rPr>
          <w:rFonts w:ascii="Cambria" w:hAnsi="Cambria"/>
          <w:b/>
          <w:color w:val="1F3A5F"/>
          <w:sz w:val="26"/>
        </w:rPr>
        <w:t>8. Skilling and Employability</w:t>
      </w:r>
    </w:p>
    <w:p>
      <w:pPr>
        <w:pStyle w:val="ListBullet"/>
        <w:spacing w:after="80" w:line="276" w:lineRule="auto"/>
      </w:pPr>
      <w:r>
        <w:rPr>
          <w:rFonts w:ascii="Cambria" w:hAnsi="Cambria"/>
          <w:b w:val="0"/>
          <w:i w:val="0"/>
          <w:sz w:val="22"/>
        </w:rPr>
        <w:t>Introduces Value-Added Courses (VACs) and Credit Courses (CCs) aligned with employability needs.</w:t>
      </w:r>
    </w:p>
    <w:p>
      <w:pPr>
        <w:pStyle w:val="ListBullet"/>
        <w:spacing w:after="80" w:line="276" w:lineRule="auto"/>
      </w:pPr>
      <w:r>
        <w:rPr>
          <w:rFonts w:ascii="Cambria" w:hAnsi="Cambria"/>
          <w:b w:val="0"/>
          <w:i w:val="0"/>
          <w:sz w:val="22"/>
        </w:rPr>
        <w:t>Promotes skill development programs, MOOCs, and industry certifications.</w:t>
      </w:r>
    </w:p>
    <w:p>
      <w:pPr>
        <w:pStyle w:val="ListBullet"/>
        <w:spacing w:after="80" w:line="276" w:lineRule="auto"/>
      </w:pPr>
      <w:r>
        <w:rPr>
          <w:rFonts w:ascii="Cambria" w:hAnsi="Cambria"/>
          <w:b w:val="0"/>
          <w:i w:val="0"/>
          <w:sz w:val="22"/>
        </w:rPr>
        <w:t>Encourages integration of internships, entrepreneurship, and training programs.</w:t>
      </w:r>
    </w:p>
    <w:p>
      <w:pPr>
        <w:pStyle w:val="Heading3"/>
      </w:pPr>
      <w:r>
        <w:rPr>
          <w:rFonts w:ascii="Cambria" w:hAnsi="Cambria"/>
          <w:b/>
          <w:color w:val="1F3A5F"/>
          <w:sz w:val="26"/>
        </w:rPr>
        <w:t>9. Budgeting and Resource Planning</w:t>
      </w:r>
    </w:p>
    <w:p>
      <w:pPr>
        <w:pStyle w:val="ListBullet"/>
        <w:spacing w:after="80" w:line="276" w:lineRule="auto"/>
      </w:pPr>
      <w:r>
        <w:rPr>
          <w:rFonts w:ascii="Cambria" w:hAnsi="Cambria"/>
          <w:b w:val="0"/>
          <w:i w:val="0"/>
          <w:sz w:val="22"/>
        </w:rPr>
        <w:t>Prepares the budget proposal for academic activities, infrastructure, and faculty development (Point XI).</w:t>
      </w:r>
    </w:p>
    <w:p>
      <w:pPr>
        <w:pStyle w:val="ListBullet"/>
        <w:spacing w:after="80" w:line="276" w:lineRule="auto"/>
      </w:pPr>
      <w:r>
        <w:rPr>
          <w:rFonts w:ascii="Cambria" w:hAnsi="Cambria"/>
          <w:b w:val="0"/>
          <w:i w:val="0"/>
          <w:sz w:val="22"/>
        </w:rPr>
        <w:t>Ensures effective allocation of resources to departments and programmes.</w:t>
      </w:r>
    </w:p>
    <w:p>
      <w:pPr>
        <w:pStyle w:val="ListBullet"/>
        <w:spacing w:after="80" w:line="276" w:lineRule="auto"/>
      </w:pPr>
      <w:r>
        <w:rPr>
          <w:rFonts w:ascii="Cambria" w:hAnsi="Cambria"/>
          <w:b w:val="0"/>
          <w:i w:val="0"/>
          <w:sz w:val="22"/>
        </w:rPr>
        <w:t>Works with Finance and Administrative units to ensure fiscal accountability.</w:t>
      </w:r>
    </w:p>
    <w:p>
      <w:pPr>
        <w:pStyle w:val="Heading3"/>
      </w:pPr>
      <w:r>
        <w:rPr>
          <w:rFonts w:ascii="Cambria" w:hAnsi="Cambria"/>
          <w:b/>
          <w:color w:val="1F3A5F"/>
          <w:sz w:val="26"/>
        </w:rPr>
        <w:t>10. Governance and Institutional Roles</w:t>
      </w:r>
    </w:p>
    <w:p>
      <w:pPr>
        <w:pStyle w:val="ListBullet"/>
        <w:spacing w:after="80" w:line="276" w:lineRule="auto"/>
      </w:pPr>
      <w:r>
        <w:rPr>
          <w:rFonts w:ascii="Cambria" w:hAnsi="Cambria"/>
          <w:b w:val="0"/>
          <w:i w:val="0"/>
          <w:sz w:val="22"/>
        </w:rPr>
        <w:t>Participates actively in University committees where he/she is ex-officio, nominated, or elected</w:t>
      </w:r>
    </w:p>
    <w:p>
      <w:pPr>
        <w:pStyle w:val="ListBullet"/>
        <w:spacing w:after="80" w:line="276" w:lineRule="auto"/>
      </w:pPr>
      <w:r>
        <w:rPr>
          <w:rFonts w:ascii="Cambria" w:hAnsi="Cambria"/>
          <w:b w:val="0"/>
          <w:i w:val="0"/>
          <w:sz w:val="22"/>
        </w:rPr>
        <w:t>Ensures decisions of Academic Council, Boards of Studies, and governing bodies are executed effectively.</w:t>
      </w:r>
    </w:p>
    <w:p>
      <w:pPr>
        <w:pStyle w:val="ListBullet"/>
        <w:spacing w:after="80" w:line="276" w:lineRule="auto"/>
      </w:pPr>
      <w:r>
        <w:rPr>
          <w:rFonts w:ascii="Cambria" w:hAnsi="Cambria"/>
          <w:b w:val="0"/>
          <w:i w:val="0"/>
          <w:sz w:val="22"/>
        </w:rPr>
        <w:t>Acts as a key advisor to the Vice-Chancellor on academic strategy, accreditation, and rankings.</w:t>
      </w:r>
    </w:p>
    <w:p>
      <w:pPr>
        <w:pStyle w:val="Heading3"/>
      </w:pPr>
      <w:r>
        <w:rPr>
          <w:rFonts w:ascii="Cambria" w:hAnsi="Cambria"/>
          <w:b/>
          <w:color w:val="1F3A5F"/>
          <w:sz w:val="26"/>
        </w:rPr>
        <w:t>11. Digital Learning and Global Outreach</w:t>
      </w:r>
    </w:p>
    <w:p>
      <w:pPr>
        <w:pStyle w:val="ListBullet"/>
        <w:spacing w:after="80" w:line="276" w:lineRule="auto"/>
      </w:pPr>
      <w:r>
        <w:rPr>
          <w:rFonts w:ascii="Cambria" w:hAnsi="Cambria"/>
          <w:b w:val="0"/>
          <w:i w:val="0"/>
          <w:sz w:val="22"/>
        </w:rPr>
        <w:t>Promotes MOOC creation, blended learning, and e-learning systems.</w:t>
      </w:r>
    </w:p>
    <w:p>
      <w:pPr>
        <w:pStyle w:val="ListBullet"/>
        <w:spacing w:after="80" w:line="276" w:lineRule="auto"/>
      </w:pPr>
      <w:r>
        <w:rPr>
          <w:rFonts w:ascii="Cambria" w:hAnsi="Cambria"/>
          <w:b w:val="0"/>
          <w:i w:val="0"/>
          <w:sz w:val="22"/>
        </w:rPr>
        <w:t>Encourages faculty to contribute to SWAYAM, Coursera, edX, and NPTEL platforms.</w:t>
      </w:r>
    </w:p>
    <w:p>
      <w:pPr>
        <w:pStyle w:val="ListBullet"/>
        <w:spacing w:after="80" w:line="276" w:lineRule="auto"/>
      </w:pPr>
      <w:r>
        <w:rPr>
          <w:rFonts w:ascii="Cambria" w:hAnsi="Cambria"/>
          <w:b w:val="0"/>
          <w:i w:val="0"/>
          <w:sz w:val="22"/>
        </w:rPr>
        <w:t>Expands global reach through international collaborations and online courses.</w:t>
      </w:r>
    </w:p>
    <w:p>
      <w:pPr>
        <w:pStyle w:val="Heading3"/>
      </w:pPr>
      <w:r>
        <w:rPr>
          <w:rFonts w:ascii="Cambria" w:hAnsi="Cambria"/>
          <w:b/>
          <w:color w:val="1F3A5F"/>
          <w:sz w:val="26"/>
        </w:rPr>
        <w:t>12. Overall Impact</w:t>
      </w:r>
    </w:p>
    <w:p>
      <w:pPr>
        <w:pStyle w:val="ListBullet"/>
        <w:spacing w:after="80" w:line="276" w:lineRule="auto"/>
      </w:pPr>
      <w:r>
        <w:rPr>
          <w:rFonts w:ascii="Cambria" w:hAnsi="Cambria"/>
          <w:b w:val="0"/>
          <w:i w:val="0"/>
          <w:sz w:val="22"/>
        </w:rPr>
        <w:t>The Dean (Academics) ensures:</w:t>
      </w:r>
    </w:p>
    <w:p>
      <w:pPr>
        <w:pStyle w:val="ListBullet2"/>
        <w:spacing w:after="80" w:line="276" w:lineRule="auto"/>
      </w:pPr>
      <w:r>
        <w:rPr>
          <w:rFonts w:ascii="Cambria" w:hAnsi="Cambria"/>
          <w:b w:val="0"/>
          <w:i w:val="0"/>
          <w:sz w:val="22"/>
        </w:rPr>
        <w:t>Academic rules and quality standards are strictly followed.</w:t>
      </w:r>
    </w:p>
    <w:p>
      <w:pPr>
        <w:pStyle w:val="ListBullet2"/>
        <w:spacing w:after="80" w:line="276" w:lineRule="auto"/>
      </w:pPr>
      <w:r>
        <w:rPr>
          <w:rFonts w:ascii="Cambria" w:hAnsi="Cambria"/>
          <w:b w:val="0"/>
          <w:i w:val="0"/>
          <w:sz w:val="22"/>
        </w:rPr>
        <w:t>Students receive high-quality, industry-relevant education.</w:t>
      </w:r>
    </w:p>
    <w:p>
      <w:pPr>
        <w:pStyle w:val="ListBullet2"/>
        <w:spacing w:after="80" w:line="276" w:lineRule="auto"/>
      </w:pPr>
      <w:r>
        <w:rPr>
          <w:rFonts w:ascii="Cambria" w:hAnsi="Cambria"/>
          <w:b w:val="0"/>
          <w:i w:val="0"/>
          <w:sz w:val="22"/>
        </w:rPr>
        <w:t>Faculty and staff are continuously developed and supported.</w:t>
      </w:r>
    </w:p>
    <w:p>
      <w:pPr>
        <w:pStyle w:val="ListBullet2"/>
        <w:spacing w:after="80" w:line="276" w:lineRule="auto"/>
      </w:pPr>
      <w:r>
        <w:rPr>
          <w:rFonts w:ascii="Cambria" w:hAnsi="Cambria"/>
          <w:b w:val="0"/>
          <w:i w:val="0"/>
          <w:sz w:val="22"/>
        </w:rPr>
        <w:t>University maintains excellence in accreditation, rankings, and global outreach.</w:t>
      </w:r>
    </w:p>
    <w:p>
      <w:pPr>
        <w:spacing w:after="120" w:line="276" w:lineRule="auto"/>
      </w:pPr>
      <w:r>
        <w:rPr>
          <w:rFonts w:ascii="Cambria" w:hAnsi="Cambria"/>
          <w:b/>
          <w:i w:val="0"/>
          <w:sz w:val="23"/>
        </w:rPr>
        <w:t>Responsibilities of the Dean (Academics)</w:t>
      </w:r>
    </w:p>
    <w:tbl>
      <w:tblPr>
        <w:tblStyle w:val="TableGrid"/>
        <w:tblW w:type="auto" w:w="0"/>
        <w:jc w:val="center"/>
        <w:tblLayout w:type="fixed"/>
        <w:tblLook w:firstColumn="1" w:firstRow="1" w:lastColumn="0" w:lastRow="0" w:noHBand="0" w:noVBand="1" w:val="04A0"/>
        <w:tblLayout w:type="fixed"/>
      </w:tblPr>
      <w:tblGrid>
        <w:gridCol w:w="3118"/>
        <w:gridCol w:w="6293"/>
      </w:tblGrid>
      <w:tr>
        <w:tc>
          <w:tcPr>
            <w:tcW w:type="dxa" w:w="3118"/>
            <w:shd w:val="clear" w:color="auto" w:fill="1F3A5F"/>
          </w:tcPr>
          <w:p>
            <w:pPr>
              <w:spacing w:after="40" w:line="240" w:lineRule="auto"/>
              <w:jc w:val="center"/>
            </w:pPr>
            <w:r/>
            <w:r>
              <w:rPr>
                <w:rFonts w:ascii="Cambria" w:hAnsi="Cambria"/>
                <w:b/>
                <w:color w:val="FFFFFF"/>
                <w:sz w:val="19"/>
              </w:rPr>
              <w:t>Category</w:t>
            </w:r>
          </w:p>
        </w:tc>
        <w:tc>
          <w:tcPr>
            <w:tcW w:type="dxa" w:w="6293"/>
            <w:shd w:val="clear" w:color="auto" w:fill="1F3A5F"/>
          </w:tcPr>
          <w:p>
            <w:pPr>
              <w:spacing w:after="40" w:line="240" w:lineRule="auto"/>
              <w:jc w:val="center"/>
            </w:pPr>
            <w:r/>
            <w:r>
              <w:rPr>
                <w:rFonts w:ascii="Cambria" w:hAnsi="Cambria"/>
                <w:b/>
                <w:color w:val="FFFFFF"/>
                <w:sz w:val="19"/>
              </w:rPr>
              <w:t>Responsibilities</w:t>
            </w:r>
          </w:p>
        </w:tc>
      </w:tr>
      <w:tr>
        <w:tc>
          <w:tcPr>
            <w:tcW w:type="dxa" w:w="3118"/>
          </w:tcPr>
          <w:p>
            <w:pPr>
              <w:spacing w:after="40" w:line="240" w:lineRule="auto"/>
              <w:jc w:val="left"/>
            </w:pPr>
            <w:r/>
            <w:r>
              <w:rPr>
                <w:rFonts w:ascii="Cambria" w:hAnsi="Cambria"/>
                <w:b w:val="0"/>
                <w:sz w:val="18"/>
              </w:rPr>
              <w:t>Academic Planning &amp; Governance</w:t>
            </w:r>
          </w:p>
        </w:tc>
        <w:tc>
          <w:tcPr>
            <w:tcW w:type="dxa" w:w="6293"/>
          </w:tcPr>
          <w:p>
            <w:pPr>
              <w:spacing w:after="40" w:line="240" w:lineRule="auto"/>
              <w:jc w:val="left"/>
            </w:pPr>
            <w:r/>
            <w:r>
              <w:rPr>
                <w:rFonts w:ascii="Cambria" w:hAnsi="Cambria"/>
                <w:b w:val="0"/>
                <w:sz w:val="18"/>
              </w:rPr>
              <w:t>- Provides academic leadership and policy direction.</w:t>
            </w:r>
          </w:p>
          <w:p>
            <w:pPr>
              <w:spacing w:after="40" w:line="240" w:lineRule="auto"/>
              <w:jc w:val="left"/>
            </w:pPr>
            <w:r>
              <w:rPr>
                <w:rFonts w:ascii="Cambria" w:hAnsi="Cambria"/>
                <w:b w:val="0"/>
                <w:sz w:val="18"/>
              </w:rPr>
              <w:t>- Coordinates academic policies with Vice-Chancellor, Registrar, and Boards of Studies.</w:t>
            </w:r>
          </w:p>
          <w:p>
            <w:pPr>
              <w:spacing w:after="40" w:line="240" w:lineRule="auto"/>
              <w:jc w:val="left"/>
            </w:pPr>
            <w:r>
              <w:rPr>
                <w:rFonts w:ascii="Cambria" w:hAnsi="Cambria"/>
                <w:b w:val="0"/>
                <w:sz w:val="18"/>
              </w:rPr>
              <w:t>- Aligns programs with NEP-2020, UGC, AICTE, NAAC, NBA, and NIRF benchmarks.</w:t>
            </w:r>
          </w:p>
        </w:tc>
      </w:tr>
      <w:tr>
        <w:tc>
          <w:tcPr>
            <w:tcW w:type="dxa" w:w="3118"/>
            <w:shd w:val="clear" w:color="auto" w:fill="F2F2F2"/>
          </w:tcPr>
          <w:p>
            <w:pPr>
              <w:spacing w:after="40" w:line="240" w:lineRule="auto"/>
              <w:jc w:val="left"/>
            </w:pPr>
            <w:r/>
            <w:r>
              <w:rPr>
                <w:rFonts w:ascii="Cambria" w:hAnsi="Cambria"/>
                <w:b w:val="0"/>
                <w:sz w:val="18"/>
              </w:rPr>
              <w:t>Curriculum &amp; Program Development</w:t>
            </w:r>
          </w:p>
        </w:tc>
        <w:tc>
          <w:tcPr>
            <w:tcW w:type="dxa" w:w="6293"/>
            <w:shd w:val="clear" w:color="auto" w:fill="F2F2F2"/>
          </w:tcPr>
          <w:p>
            <w:pPr>
              <w:spacing w:after="40" w:line="240" w:lineRule="auto"/>
              <w:jc w:val="left"/>
            </w:pPr>
            <w:r/>
            <w:r>
              <w:rPr>
                <w:rFonts w:ascii="Cambria" w:hAnsi="Cambria"/>
                <w:b w:val="0"/>
                <w:sz w:val="18"/>
              </w:rPr>
              <w:t>- Oversees curriculum design, revision, and approval.</w:t>
            </w:r>
          </w:p>
          <w:p>
            <w:pPr>
              <w:spacing w:after="40" w:line="240" w:lineRule="auto"/>
              <w:jc w:val="left"/>
            </w:pPr>
            <w:r>
              <w:rPr>
                <w:rFonts w:ascii="Cambria" w:hAnsi="Cambria"/>
                <w:b w:val="0"/>
                <w:sz w:val="18"/>
              </w:rPr>
              <w:t>- Launches new academic programs and upgrades existing ones.</w:t>
            </w:r>
          </w:p>
          <w:p>
            <w:pPr>
              <w:spacing w:after="40" w:line="240" w:lineRule="auto"/>
              <w:jc w:val="left"/>
            </w:pPr>
            <w:r>
              <w:rPr>
                <w:rFonts w:ascii="Cambria" w:hAnsi="Cambria"/>
                <w:b w:val="0"/>
                <w:sz w:val="18"/>
              </w:rPr>
              <w:t>- Ensures integration of interdisciplinary, skill-based, and digital learning components.</w:t>
            </w:r>
          </w:p>
          <w:p>
            <w:pPr>
              <w:spacing w:after="40" w:line="240" w:lineRule="auto"/>
              <w:jc w:val="left"/>
            </w:pPr>
            <w:r>
              <w:rPr>
                <w:rFonts w:ascii="Cambria" w:hAnsi="Cambria"/>
                <w:b w:val="0"/>
                <w:sz w:val="18"/>
              </w:rPr>
              <w:t>- Embeds Outcome-Based Education (OBE) practices.</w:t>
            </w:r>
          </w:p>
        </w:tc>
      </w:tr>
      <w:tr>
        <w:tc>
          <w:tcPr>
            <w:tcW w:type="dxa" w:w="3118"/>
          </w:tcPr>
          <w:p>
            <w:pPr>
              <w:spacing w:after="40" w:line="240" w:lineRule="auto"/>
              <w:jc w:val="left"/>
            </w:pPr>
            <w:r/>
            <w:r>
              <w:rPr>
                <w:rFonts w:ascii="Cambria" w:hAnsi="Cambria"/>
                <w:b w:val="0"/>
                <w:sz w:val="18"/>
              </w:rPr>
              <w:t>Time Table &amp; Teaching Oversight</w:t>
            </w:r>
          </w:p>
        </w:tc>
        <w:tc>
          <w:tcPr>
            <w:tcW w:type="dxa" w:w="6293"/>
          </w:tcPr>
          <w:p>
            <w:pPr>
              <w:spacing w:after="40" w:line="240" w:lineRule="auto"/>
              <w:jc w:val="left"/>
            </w:pPr>
            <w:r/>
            <w:r>
              <w:rPr>
                <w:rFonts w:ascii="Cambria" w:hAnsi="Cambria"/>
                <w:b w:val="0"/>
                <w:sz w:val="18"/>
              </w:rPr>
              <w:t>- Decides the number of sections and batches for theory and lab courses.</w:t>
            </w:r>
          </w:p>
          <w:p>
            <w:pPr>
              <w:spacing w:after="40" w:line="240" w:lineRule="auto"/>
              <w:jc w:val="left"/>
            </w:pPr>
            <w:r>
              <w:rPr>
                <w:rFonts w:ascii="Cambria" w:hAnsi="Cambria"/>
                <w:b w:val="0"/>
                <w:sz w:val="18"/>
              </w:rPr>
              <w:t>- Prepares the academic timetable.</w:t>
            </w:r>
          </w:p>
          <w:p>
            <w:pPr>
              <w:spacing w:after="40" w:line="240" w:lineRule="auto"/>
              <w:jc w:val="left"/>
            </w:pPr>
            <w:r>
              <w:rPr>
                <w:rFonts w:ascii="Cambria" w:hAnsi="Cambria"/>
                <w:b w:val="0"/>
                <w:sz w:val="18"/>
              </w:rPr>
              <w:t>- Ensures regular and effective conduct of classes.</w:t>
            </w:r>
          </w:p>
          <w:p>
            <w:pPr>
              <w:spacing w:after="40" w:line="240" w:lineRule="auto"/>
              <w:jc w:val="left"/>
            </w:pPr>
            <w:r>
              <w:rPr>
                <w:rFonts w:ascii="Cambria" w:hAnsi="Cambria"/>
                <w:b w:val="0"/>
                <w:sz w:val="18"/>
              </w:rPr>
              <w:t>- Monitors teaching quality, punctuality, and discipline.</w:t>
            </w:r>
          </w:p>
        </w:tc>
      </w:tr>
      <w:tr>
        <w:tc>
          <w:tcPr>
            <w:tcW w:type="dxa" w:w="3118"/>
            <w:shd w:val="clear" w:color="auto" w:fill="F2F2F2"/>
          </w:tcPr>
          <w:p>
            <w:pPr>
              <w:spacing w:after="40" w:line="240" w:lineRule="auto"/>
              <w:jc w:val="left"/>
            </w:pPr>
            <w:r/>
            <w:r>
              <w:rPr>
                <w:rFonts w:ascii="Cambria" w:hAnsi="Cambria"/>
                <w:b w:val="0"/>
                <w:sz w:val="18"/>
              </w:rPr>
              <w:t>Evaluation &amp; Academic Integrity</w:t>
            </w:r>
          </w:p>
        </w:tc>
        <w:tc>
          <w:tcPr>
            <w:tcW w:type="dxa" w:w="6293"/>
            <w:shd w:val="clear" w:color="auto" w:fill="F2F2F2"/>
          </w:tcPr>
          <w:p>
            <w:pPr>
              <w:spacing w:after="40" w:line="240" w:lineRule="auto"/>
              <w:jc w:val="left"/>
            </w:pPr>
            <w:r/>
            <w:r>
              <w:rPr>
                <w:rFonts w:ascii="Cambria" w:hAnsi="Cambria"/>
                <w:b w:val="0"/>
                <w:sz w:val="18"/>
              </w:rPr>
              <w:t>- Oversees the evaluation system with transparency.</w:t>
            </w:r>
          </w:p>
          <w:p>
            <w:pPr>
              <w:spacing w:after="40" w:line="240" w:lineRule="auto"/>
              <w:jc w:val="left"/>
            </w:pPr>
            <w:r>
              <w:rPr>
                <w:rFonts w:ascii="Cambria" w:hAnsi="Cambria"/>
                <w:b w:val="0"/>
                <w:sz w:val="18"/>
              </w:rPr>
              <w:t>- Ensures adherence to academic rules by faculty.</w:t>
            </w:r>
          </w:p>
          <w:p>
            <w:pPr>
              <w:spacing w:after="40" w:line="240" w:lineRule="auto"/>
              <w:jc w:val="left"/>
            </w:pPr>
            <w:r>
              <w:rPr>
                <w:rFonts w:ascii="Cambria" w:hAnsi="Cambria"/>
                <w:b w:val="0"/>
                <w:sz w:val="18"/>
              </w:rPr>
              <w:t>- Maintains liaison with Dean (Evaluation &amp; Academic Registration).</w:t>
            </w:r>
          </w:p>
          <w:p>
            <w:pPr>
              <w:spacing w:after="40" w:line="240" w:lineRule="auto"/>
              <w:jc w:val="left"/>
            </w:pPr>
            <w:r>
              <w:rPr>
                <w:rFonts w:ascii="Cambria" w:hAnsi="Cambria"/>
                <w:b w:val="0"/>
                <w:sz w:val="18"/>
              </w:rPr>
              <w:t>- Ensures accountability in assessment and grading practices.</w:t>
            </w:r>
          </w:p>
        </w:tc>
      </w:tr>
      <w:tr>
        <w:tc>
          <w:tcPr>
            <w:tcW w:type="dxa" w:w="3118"/>
          </w:tcPr>
          <w:p>
            <w:pPr>
              <w:spacing w:after="40" w:line="240" w:lineRule="auto"/>
              <w:jc w:val="left"/>
            </w:pPr>
            <w:r/>
            <w:r>
              <w:rPr>
                <w:rFonts w:ascii="Cambria" w:hAnsi="Cambria"/>
                <w:b w:val="0"/>
                <w:sz w:val="18"/>
              </w:rPr>
              <w:t>Student Progression &amp; Feedback</w:t>
            </w:r>
          </w:p>
        </w:tc>
        <w:tc>
          <w:tcPr>
            <w:tcW w:type="dxa" w:w="6293"/>
          </w:tcPr>
          <w:p>
            <w:pPr>
              <w:spacing w:after="40" w:line="240" w:lineRule="auto"/>
              <w:jc w:val="left"/>
            </w:pPr>
            <w:r/>
            <w:r>
              <w:rPr>
                <w:rFonts w:ascii="Cambria" w:hAnsi="Cambria"/>
                <w:b w:val="0"/>
                <w:sz w:val="18"/>
              </w:rPr>
              <w:t>- Tracks student academic performance and progression.</w:t>
            </w:r>
          </w:p>
          <w:p>
            <w:pPr>
              <w:spacing w:after="40" w:line="240" w:lineRule="auto"/>
              <w:jc w:val="left"/>
            </w:pPr>
            <w:r>
              <w:rPr>
                <w:rFonts w:ascii="Cambria" w:hAnsi="Cambria"/>
                <w:b w:val="0"/>
                <w:sz w:val="18"/>
              </w:rPr>
              <w:t>- Collects, analyzes, and acts on student feedback.</w:t>
            </w:r>
          </w:p>
          <w:p>
            <w:pPr>
              <w:spacing w:after="40" w:line="240" w:lineRule="auto"/>
              <w:jc w:val="left"/>
            </w:pPr>
            <w:r>
              <w:rPr>
                <w:rFonts w:ascii="Cambria" w:hAnsi="Cambria"/>
                <w:b w:val="0"/>
                <w:sz w:val="18"/>
              </w:rPr>
              <w:t>- Implements mentoring, counseling, and remedial support systems.</w:t>
            </w:r>
          </w:p>
          <w:p>
            <w:pPr>
              <w:spacing w:after="40" w:line="240" w:lineRule="auto"/>
              <w:jc w:val="left"/>
            </w:pPr>
            <w:r>
              <w:rPr>
                <w:rFonts w:ascii="Cambria" w:hAnsi="Cambria"/>
                <w:b w:val="0"/>
                <w:sz w:val="18"/>
              </w:rPr>
              <w:t>- Ensures employability and career readiness of graduates.</w:t>
            </w:r>
          </w:p>
        </w:tc>
      </w:tr>
      <w:tr>
        <w:tc>
          <w:tcPr>
            <w:tcW w:type="dxa" w:w="3118"/>
            <w:shd w:val="clear" w:color="auto" w:fill="F2F2F2"/>
          </w:tcPr>
          <w:p>
            <w:pPr>
              <w:spacing w:after="40" w:line="240" w:lineRule="auto"/>
              <w:jc w:val="left"/>
            </w:pPr>
            <w:r/>
            <w:r>
              <w:rPr>
                <w:rFonts w:ascii="Cambria" w:hAnsi="Cambria"/>
                <w:b w:val="0"/>
                <w:sz w:val="18"/>
              </w:rPr>
              <w:t>Faculty &amp; Staff Development</w:t>
            </w:r>
          </w:p>
        </w:tc>
        <w:tc>
          <w:tcPr>
            <w:tcW w:type="dxa" w:w="6293"/>
            <w:shd w:val="clear" w:color="auto" w:fill="F2F2F2"/>
          </w:tcPr>
          <w:p>
            <w:pPr>
              <w:spacing w:after="40" w:line="240" w:lineRule="auto"/>
              <w:jc w:val="left"/>
            </w:pPr>
            <w:r/>
            <w:r>
              <w:rPr>
                <w:rFonts w:ascii="Cambria" w:hAnsi="Cambria"/>
                <w:b w:val="0"/>
                <w:sz w:val="18"/>
              </w:rPr>
              <w:t>- Maintains attendance and leave records of staff under control.</w:t>
            </w:r>
          </w:p>
          <w:p>
            <w:pPr>
              <w:spacing w:after="40" w:line="240" w:lineRule="auto"/>
              <w:jc w:val="left"/>
            </w:pPr>
            <w:r>
              <w:rPr>
                <w:rFonts w:ascii="Cambria" w:hAnsi="Cambria"/>
                <w:b w:val="0"/>
                <w:sz w:val="18"/>
              </w:rPr>
              <w:t>- Promotes faculty development programs, workshops, and research training.</w:t>
            </w:r>
          </w:p>
          <w:p>
            <w:pPr>
              <w:spacing w:after="40" w:line="240" w:lineRule="auto"/>
              <w:jc w:val="left"/>
            </w:pPr>
            <w:r>
              <w:rPr>
                <w:rFonts w:ascii="Cambria" w:hAnsi="Cambria"/>
                <w:b w:val="0"/>
                <w:sz w:val="18"/>
              </w:rPr>
              <w:t>- Develops human resources including non-teaching staff.</w:t>
            </w:r>
          </w:p>
          <w:p>
            <w:pPr>
              <w:spacing w:after="40" w:line="240" w:lineRule="auto"/>
              <w:jc w:val="left"/>
            </w:pPr>
            <w:r>
              <w:rPr>
                <w:rFonts w:ascii="Cambria" w:hAnsi="Cambria"/>
                <w:b w:val="0"/>
                <w:sz w:val="18"/>
              </w:rPr>
              <w:t>- Encourages innovative pedagogy and ICT-enabled teaching.</w:t>
            </w:r>
          </w:p>
        </w:tc>
      </w:tr>
      <w:tr>
        <w:tc>
          <w:tcPr>
            <w:tcW w:type="dxa" w:w="3118"/>
          </w:tcPr>
          <w:p>
            <w:pPr>
              <w:spacing w:after="40" w:line="240" w:lineRule="auto"/>
              <w:jc w:val="left"/>
            </w:pPr>
            <w:r/>
            <w:r>
              <w:rPr>
                <w:rFonts w:ascii="Cambria" w:hAnsi="Cambria"/>
                <w:b w:val="0"/>
                <w:sz w:val="18"/>
              </w:rPr>
              <w:t>Budgeting &amp; Resource Management</w:t>
            </w:r>
          </w:p>
        </w:tc>
        <w:tc>
          <w:tcPr>
            <w:tcW w:type="dxa" w:w="6293"/>
          </w:tcPr>
          <w:p>
            <w:pPr>
              <w:spacing w:after="40" w:line="240" w:lineRule="auto"/>
              <w:jc w:val="left"/>
            </w:pPr>
            <w:r/>
            <w:r>
              <w:rPr>
                <w:rFonts w:ascii="Cambria" w:hAnsi="Cambria"/>
                <w:b w:val="0"/>
                <w:sz w:val="18"/>
              </w:rPr>
              <w:t>- Prepares annual budget proposals for academic activities.</w:t>
            </w:r>
          </w:p>
          <w:p>
            <w:pPr>
              <w:spacing w:after="40" w:line="240" w:lineRule="auto"/>
              <w:jc w:val="left"/>
            </w:pPr>
            <w:r>
              <w:rPr>
                <w:rFonts w:ascii="Cambria" w:hAnsi="Cambria"/>
                <w:b w:val="0"/>
                <w:sz w:val="18"/>
              </w:rPr>
              <w:t>- Ensures optimal utilization of academic resources.</w:t>
            </w:r>
          </w:p>
          <w:p>
            <w:pPr>
              <w:spacing w:after="40" w:line="240" w:lineRule="auto"/>
              <w:jc w:val="left"/>
            </w:pPr>
            <w:r>
              <w:rPr>
                <w:rFonts w:ascii="Cambria" w:hAnsi="Cambria"/>
                <w:b w:val="0"/>
                <w:sz w:val="18"/>
              </w:rPr>
              <w:t>- Aligns financial planning with academic goals.</w:t>
            </w:r>
          </w:p>
        </w:tc>
      </w:tr>
      <w:tr>
        <w:tc>
          <w:tcPr>
            <w:tcW w:type="dxa" w:w="3118"/>
            <w:shd w:val="clear" w:color="auto" w:fill="F2F2F2"/>
          </w:tcPr>
          <w:p>
            <w:pPr>
              <w:spacing w:after="40" w:line="240" w:lineRule="auto"/>
              <w:jc w:val="left"/>
            </w:pPr>
            <w:r/>
            <w:r>
              <w:rPr>
                <w:rFonts w:ascii="Cambria" w:hAnsi="Cambria"/>
                <w:b w:val="0"/>
                <w:sz w:val="18"/>
              </w:rPr>
              <w:t>Research &amp; Innovation</w:t>
            </w:r>
          </w:p>
        </w:tc>
        <w:tc>
          <w:tcPr>
            <w:tcW w:type="dxa" w:w="6293"/>
            <w:shd w:val="clear" w:color="auto" w:fill="F2F2F2"/>
          </w:tcPr>
          <w:p>
            <w:pPr>
              <w:spacing w:after="40" w:line="240" w:lineRule="auto"/>
              <w:jc w:val="left"/>
            </w:pPr>
            <w:r/>
            <w:r>
              <w:rPr>
                <w:rFonts w:ascii="Cambria" w:hAnsi="Cambria"/>
                <w:b w:val="0"/>
                <w:sz w:val="18"/>
              </w:rPr>
              <w:t>- Promotes academic research integration into teaching.</w:t>
            </w:r>
          </w:p>
          <w:p>
            <w:pPr>
              <w:spacing w:after="40" w:line="240" w:lineRule="auto"/>
              <w:jc w:val="left"/>
            </w:pPr>
            <w:r>
              <w:rPr>
                <w:rFonts w:ascii="Cambria" w:hAnsi="Cambria"/>
                <w:b w:val="0"/>
                <w:sz w:val="18"/>
              </w:rPr>
              <w:t>- Supports projects, dissertations, and faculty–industry collaborations.</w:t>
            </w:r>
          </w:p>
          <w:p>
            <w:pPr>
              <w:spacing w:after="40" w:line="240" w:lineRule="auto"/>
              <w:jc w:val="left"/>
            </w:pPr>
            <w:r>
              <w:rPr>
                <w:rFonts w:ascii="Cambria" w:hAnsi="Cambria"/>
                <w:b w:val="0"/>
                <w:sz w:val="18"/>
              </w:rPr>
              <w:t>- Encourages innovation, patents, and incubation activities.</w:t>
            </w:r>
          </w:p>
        </w:tc>
      </w:tr>
      <w:tr>
        <w:tc>
          <w:tcPr>
            <w:tcW w:type="dxa" w:w="3118"/>
          </w:tcPr>
          <w:p>
            <w:pPr>
              <w:spacing w:after="40" w:line="240" w:lineRule="auto"/>
              <w:jc w:val="left"/>
            </w:pPr>
            <w:r/>
            <w:r>
              <w:rPr>
                <w:rFonts w:ascii="Cambria" w:hAnsi="Cambria"/>
                <w:b w:val="0"/>
                <w:sz w:val="18"/>
              </w:rPr>
              <w:t>Committees &amp; Institutional Participation</w:t>
            </w:r>
          </w:p>
        </w:tc>
        <w:tc>
          <w:tcPr>
            <w:tcW w:type="dxa" w:w="6293"/>
          </w:tcPr>
          <w:p>
            <w:pPr>
              <w:spacing w:after="40" w:line="240" w:lineRule="auto"/>
              <w:jc w:val="left"/>
            </w:pPr>
            <w:r/>
            <w:r>
              <w:rPr>
                <w:rFonts w:ascii="Cambria" w:hAnsi="Cambria"/>
                <w:b w:val="0"/>
                <w:sz w:val="18"/>
              </w:rPr>
              <w:t>- Serves as ex-officio member in statutory committees.</w:t>
            </w:r>
          </w:p>
          <w:p>
            <w:pPr>
              <w:spacing w:after="40" w:line="240" w:lineRule="auto"/>
              <w:jc w:val="left"/>
            </w:pPr>
            <w:r>
              <w:rPr>
                <w:rFonts w:ascii="Cambria" w:hAnsi="Cambria"/>
                <w:b w:val="0"/>
                <w:sz w:val="18"/>
              </w:rPr>
              <w:t>- Participates in governance, academic council, IQAC, and accreditation committees.</w:t>
            </w:r>
          </w:p>
          <w:p>
            <w:pPr>
              <w:spacing w:after="40" w:line="240" w:lineRule="auto"/>
              <w:jc w:val="left"/>
            </w:pPr>
            <w:r>
              <w:rPr>
                <w:rFonts w:ascii="Cambria" w:hAnsi="Cambria"/>
                <w:b w:val="0"/>
                <w:sz w:val="18"/>
              </w:rPr>
              <w:t>- Represents academics in institutional policy-making.</w:t>
            </w:r>
          </w:p>
        </w:tc>
      </w:tr>
      <w:tr>
        <w:tc>
          <w:tcPr>
            <w:tcW w:type="dxa" w:w="3118"/>
            <w:shd w:val="clear" w:color="auto" w:fill="F2F2F2"/>
          </w:tcPr>
          <w:p>
            <w:pPr>
              <w:spacing w:after="40" w:line="240" w:lineRule="auto"/>
              <w:jc w:val="left"/>
            </w:pPr>
            <w:r/>
            <w:r>
              <w:rPr>
                <w:rFonts w:ascii="Cambria" w:hAnsi="Cambria"/>
                <w:b w:val="0"/>
                <w:sz w:val="18"/>
              </w:rPr>
              <w:t>Quality Assurance &amp; Accreditation</w:t>
            </w:r>
          </w:p>
        </w:tc>
        <w:tc>
          <w:tcPr>
            <w:tcW w:type="dxa" w:w="6293"/>
            <w:shd w:val="clear" w:color="auto" w:fill="F2F2F2"/>
          </w:tcPr>
          <w:p>
            <w:pPr>
              <w:spacing w:after="40" w:line="240" w:lineRule="auto"/>
              <w:jc w:val="left"/>
            </w:pPr>
            <w:r/>
            <w:r>
              <w:rPr>
                <w:rFonts w:ascii="Cambria" w:hAnsi="Cambria"/>
                <w:b w:val="0"/>
                <w:sz w:val="18"/>
              </w:rPr>
              <w:t>- Ensures compliance with NAAC, NBA, NIRF, and QS standards.</w:t>
            </w:r>
          </w:p>
          <w:p>
            <w:pPr>
              <w:spacing w:after="40" w:line="240" w:lineRule="auto"/>
              <w:jc w:val="left"/>
            </w:pPr>
            <w:r>
              <w:rPr>
                <w:rFonts w:ascii="Cambria" w:hAnsi="Cambria"/>
                <w:b w:val="0"/>
                <w:sz w:val="18"/>
              </w:rPr>
              <w:t>- Implements internal academic audits and reviews.</w:t>
            </w:r>
          </w:p>
          <w:p>
            <w:pPr>
              <w:spacing w:after="40" w:line="240" w:lineRule="auto"/>
              <w:jc w:val="left"/>
            </w:pPr>
            <w:r>
              <w:rPr>
                <w:rFonts w:ascii="Cambria" w:hAnsi="Cambria"/>
                <w:b w:val="0"/>
                <w:sz w:val="18"/>
              </w:rPr>
              <w:t>- Promotes continuous improvement in teaching, curriculum, and student learning outcomes.</w:t>
            </w:r>
          </w:p>
        </w:tc>
      </w:tr>
    </w:tbl>
    <w:p>
      <w:pPr>
        <w:spacing w:after="40"/>
      </w:pPr>
    </w:p>
    <w:p>
      <w:r>
        <w:br w:type="page"/>
      </w:r>
    </w:p>
    <w:p>
      <w:pPr>
        <w:pStyle w:val="Heading1"/>
      </w:pPr>
      <w:r>
        <w:rPr>
          <w:rFonts w:ascii="Cambria" w:hAnsi="Cambria"/>
          <w:b/>
          <w:color w:val="1F3A5F"/>
          <w:sz w:val="36"/>
        </w:rPr>
        <w:t>5. Associate Dean – Projects and Academic Research</w:t>
      </w:r>
    </w:p>
    <w:p>
      <w:pPr>
        <w:spacing w:after="160" w:line="276" w:lineRule="auto"/>
        <w:jc w:val="both"/>
      </w:pPr>
      <w:r>
        <w:rPr>
          <w:rFonts w:ascii="Cambria" w:hAnsi="Cambria"/>
          <w:b w:val="0"/>
          <w:i w:val="0"/>
          <w:sz w:val="22"/>
        </w:rPr>
        <w:t>An Associate Dean of Projects and Academic Research is a senior-level academic administrator who plays a critical role in strengthening the research and innovation ecosystem of a university or college. Reporting directly to the Dean of Academic Affairs, this position is entrusted with the responsibility of fostering, facilitating, and managing the institution's research enterprise, ensuring that faculty, scholars, and students are supported in pursuing high-quality research. The Associate Dean serves as a key liaison between faculty, administration, and external funding agencies, thereby bridging institutional priorities with national and international research opportunities.</w:t>
      </w:r>
    </w:p>
    <w:p>
      <w:pPr>
        <w:spacing w:after="160" w:line="276" w:lineRule="auto"/>
        <w:jc w:val="both"/>
      </w:pPr>
      <w:r>
        <w:rPr>
          <w:rFonts w:ascii="Cambria" w:hAnsi="Cambria"/>
          <w:b w:val="0"/>
          <w:i w:val="0"/>
          <w:sz w:val="22"/>
        </w:rPr>
        <w:t>The role involves identifying and promoting research opportunities, managing externally funded projects, and ensuring compliance with regulatory and ethical standards. It requires close collaboration with faculty to develop strong project proposals, build interdisciplinary research teams, and attract funding from government bodies, industry partners, and international organizations. Additionally, the Associate Dean oversees the implementation, monitoring, and reporting of funded projects, ensuring accountability, efficiency, and alignment with the university's strategic goals.</w:t>
      </w:r>
    </w:p>
    <w:p>
      <w:pPr>
        <w:spacing w:after="160" w:line="276" w:lineRule="auto"/>
        <w:jc w:val="both"/>
      </w:pPr>
      <w:r>
        <w:rPr>
          <w:rFonts w:ascii="Cambria" w:hAnsi="Cambria"/>
          <w:b w:val="0"/>
          <w:i w:val="0"/>
          <w:sz w:val="22"/>
        </w:rPr>
        <w:t>Beyond administration, the Associate Dean of Projects and Academic Research actively contributes to building a culture of research and innovation, encouraging faculty and students to engage in cutting-edge inquiry, publications, patents, and technology transfer. By integrating research into the academic mission and strengthening linkages with industry, government, and global partners, this role ensures that the institution not only advances knowledge but also addresses societal challenges and enhances its visibility and reputation in the national and international academic landscape</w:t>
      </w:r>
    </w:p>
    <w:p>
      <w:pPr>
        <w:pStyle w:val="Heading3"/>
      </w:pPr>
      <w:r>
        <w:rPr>
          <w:rFonts w:ascii="Cambria" w:hAnsi="Cambria"/>
          <w:b/>
          <w:color w:val="1F3A5F"/>
          <w:sz w:val="26"/>
        </w:rPr>
        <w:t>1. Position and Purpose</w:t>
      </w:r>
    </w:p>
    <w:p>
      <w:pPr>
        <w:pStyle w:val="ListBullet"/>
        <w:spacing w:after="80" w:line="276" w:lineRule="auto"/>
      </w:pPr>
      <w:r>
        <w:rPr>
          <w:rFonts w:ascii="Cambria" w:hAnsi="Cambria"/>
          <w:b w:val="0"/>
          <w:i w:val="0"/>
          <w:sz w:val="22"/>
        </w:rPr>
        <w:t xml:space="preserve">Functions directly under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Main responsibility is to bridge academics with research, projects, and innovation.</w:t>
      </w:r>
    </w:p>
    <w:p>
      <w:pPr>
        <w:pStyle w:val="ListBullet"/>
        <w:spacing w:after="80" w:line="276" w:lineRule="auto"/>
      </w:pPr>
      <w:r>
        <w:rPr>
          <w:rFonts w:ascii="Cambria" w:hAnsi="Cambria"/>
          <w:b w:val="0"/>
          <w:i w:val="0"/>
          <w:sz w:val="22"/>
        </w:rPr>
        <w:t>Ensures that students and faculty integrate theory with practice, creating knowledge that is socially relevant, industry-oriented, and globally recognized.</w:t>
      </w:r>
    </w:p>
    <w:p>
      <w:pPr>
        <w:pStyle w:val="Heading3"/>
      </w:pPr>
      <w:r>
        <w:rPr>
          <w:rFonts w:ascii="Cambria" w:hAnsi="Cambria"/>
          <w:b/>
          <w:color w:val="1F3A5F"/>
          <w:sz w:val="26"/>
        </w:rPr>
        <w:t>2. Detailed Responsibilities</w:t>
      </w:r>
    </w:p>
    <w:p>
      <w:pPr>
        <w:spacing w:after="80" w:line="276" w:lineRule="auto"/>
      </w:pPr>
      <w:r>
        <w:rPr>
          <w:rFonts w:ascii="Cambria" w:hAnsi="Cambria"/>
          <w:b/>
          <w:i w:val="0"/>
          <w:sz w:val="22"/>
        </w:rPr>
        <w:t>A. Student Academic Projects</w:t>
      </w:r>
    </w:p>
    <w:p>
      <w:pPr>
        <w:pStyle w:val="ListBullet"/>
        <w:spacing w:after="80" w:line="276" w:lineRule="auto"/>
      </w:pPr>
      <w:r>
        <w:rPr>
          <w:rFonts w:ascii="Cambria" w:hAnsi="Cambria"/>
          <w:b/>
          <w:i w:val="0"/>
          <w:sz w:val="22"/>
        </w:rPr>
        <w:t>Capstone Projects &amp; Dissertations</w:t>
      </w:r>
    </w:p>
    <w:p>
      <w:pPr>
        <w:pStyle w:val="ListBullet2"/>
        <w:spacing w:after="80" w:line="276" w:lineRule="auto"/>
      </w:pPr>
      <w:r>
        <w:rPr>
          <w:rFonts w:ascii="Cambria" w:hAnsi="Cambria"/>
          <w:b w:val="0"/>
          <w:i w:val="0"/>
          <w:sz w:val="22"/>
        </w:rPr>
        <w:t>Supervises the planning, execution, and evaluation of UG, PG, and PhD projects.</w:t>
      </w:r>
    </w:p>
    <w:p>
      <w:pPr>
        <w:pStyle w:val="ListBullet2"/>
        <w:spacing w:after="80" w:line="276" w:lineRule="auto"/>
      </w:pPr>
      <w:r>
        <w:rPr>
          <w:rFonts w:ascii="Cambria" w:hAnsi="Cambria"/>
          <w:b w:val="0"/>
          <w:i w:val="0"/>
          <w:sz w:val="22"/>
        </w:rPr>
        <w:t>Ensures projects follow academic standards, originality, and ethical practices.</w:t>
      </w:r>
    </w:p>
    <w:p>
      <w:pPr>
        <w:pStyle w:val="ListBullet"/>
        <w:spacing w:after="80" w:line="276" w:lineRule="auto"/>
      </w:pPr>
      <w:r>
        <w:rPr>
          <w:rFonts w:ascii="Cambria" w:hAnsi="Cambria"/>
          <w:b/>
          <w:i w:val="0"/>
          <w:sz w:val="22"/>
        </w:rPr>
        <w:t>Industry-linked Projects</w:t>
      </w:r>
    </w:p>
    <w:p>
      <w:pPr>
        <w:pStyle w:val="ListBullet2"/>
        <w:spacing w:after="80" w:line="276" w:lineRule="auto"/>
      </w:pPr>
      <w:r>
        <w:rPr>
          <w:rFonts w:ascii="Cambria" w:hAnsi="Cambria"/>
          <w:b w:val="0"/>
          <w:i w:val="0"/>
          <w:sz w:val="22"/>
        </w:rPr>
        <w:t>Collaborates with industries to design projects that solve real-world problems.</w:t>
      </w:r>
    </w:p>
    <w:p>
      <w:pPr>
        <w:pStyle w:val="ListBullet2"/>
        <w:spacing w:after="80" w:line="276" w:lineRule="auto"/>
      </w:pPr>
      <w:r>
        <w:rPr>
          <w:rFonts w:ascii="Cambria" w:hAnsi="Cambria"/>
          <w:b w:val="0"/>
          <w:i w:val="0"/>
          <w:sz w:val="22"/>
        </w:rPr>
        <w:t>Encourages students to pursue internship-based projects aligned with employability.</w:t>
      </w:r>
    </w:p>
    <w:p>
      <w:pPr>
        <w:pStyle w:val="ListBullet"/>
        <w:spacing w:after="80" w:line="276" w:lineRule="auto"/>
      </w:pPr>
      <w:r>
        <w:rPr>
          <w:rFonts w:ascii="Cambria" w:hAnsi="Cambria"/>
          <w:b/>
          <w:i w:val="0"/>
          <w:sz w:val="22"/>
        </w:rPr>
        <w:t>Multidisciplinary Projects</w:t>
      </w:r>
    </w:p>
    <w:p>
      <w:pPr>
        <w:pStyle w:val="ListBullet2"/>
        <w:spacing w:after="80" w:line="276" w:lineRule="auto"/>
      </w:pPr>
      <w:r>
        <w:rPr>
          <w:rFonts w:ascii="Cambria" w:hAnsi="Cambria"/>
          <w:b w:val="0"/>
          <w:i w:val="0"/>
          <w:sz w:val="22"/>
        </w:rPr>
        <w:t>Promotes collaboration across departments (e.g., Engineering + Business + Social Sciences).</w:t>
      </w:r>
    </w:p>
    <w:p>
      <w:pPr>
        <w:pStyle w:val="ListBullet2"/>
        <w:spacing w:after="80" w:line="276" w:lineRule="auto"/>
      </w:pPr>
      <w:r>
        <w:rPr>
          <w:rFonts w:ascii="Cambria" w:hAnsi="Cambria"/>
          <w:b w:val="0"/>
          <w:i w:val="0"/>
          <w:sz w:val="22"/>
        </w:rPr>
        <w:t>Encourages innovation through interdisciplinary hackathons and competitions.</w:t>
      </w:r>
    </w:p>
    <w:p>
      <w:pPr>
        <w:pStyle w:val="ListBullet"/>
        <w:spacing w:after="80" w:line="276" w:lineRule="auto"/>
      </w:pPr>
      <w:r>
        <w:rPr>
          <w:rFonts w:ascii="Cambria" w:hAnsi="Cambria"/>
          <w:b/>
          <w:i w:val="0"/>
          <w:sz w:val="22"/>
        </w:rPr>
        <w:t>Monitoring &amp; Assessment</w:t>
      </w:r>
    </w:p>
    <w:p>
      <w:pPr>
        <w:pStyle w:val="ListBullet2"/>
        <w:spacing w:after="80" w:line="276" w:lineRule="auto"/>
      </w:pPr>
      <w:r>
        <w:rPr>
          <w:rFonts w:ascii="Cambria" w:hAnsi="Cambria"/>
          <w:b w:val="0"/>
          <w:i w:val="0"/>
          <w:sz w:val="22"/>
        </w:rPr>
        <w:t>Establishes rubrics for project evaluation.</w:t>
      </w:r>
    </w:p>
    <w:p>
      <w:pPr>
        <w:pStyle w:val="ListBullet2"/>
        <w:spacing w:after="80" w:line="276" w:lineRule="auto"/>
      </w:pPr>
      <w:r>
        <w:rPr>
          <w:rFonts w:ascii="Cambria" w:hAnsi="Cambria"/>
          <w:b w:val="0"/>
          <w:i w:val="0"/>
          <w:sz w:val="22"/>
        </w:rPr>
        <w:t>Coordinates with the Dean (Evaluation) for credit allocation and grading.</w:t>
      </w:r>
    </w:p>
    <w:p>
      <w:pPr>
        <w:spacing w:after="80" w:line="276" w:lineRule="auto"/>
      </w:pPr>
      <w:r>
        <w:rPr>
          <w:rFonts w:ascii="Cambria" w:hAnsi="Cambria"/>
          <w:b/>
          <w:i w:val="0"/>
          <w:sz w:val="22"/>
        </w:rPr>
        <w:t>B. Faculty Research Development</w:t>
      </w:r>
    </w:p>
    <w:p>
      <w:pPr>
        <w:pStyle w:val="ListBullet"/>
        <w:spacing w:after="80" w:line="276" w:lineRule="auto"/>
      </w:pPr>
      <w:r>
        <w:rPr>
          <w:rFonts w:ascii="Cambria" w:hAnsi="Cambria"/>
          <w:b/>
          <w:i w:val="0"/>
          <w:sz w:val="22"/>
        </w:rPr>
        <w:t>Proposal Guidance</w:t>
      </w:r>
    </w:p>
    <w:p>
      <w:pPr>
        <w:pStyle w:val="ListBullet2"/>
        <w:spacing w:after="80" w:line="276" w:lineRule="auto"/>
      </w:pPr>
      <w:r>
        <w:rPr>
          <w:rFonts w:ascii="Cambria" w:hAnsi="Cambria"/>
          <w:b w:val="0"/>
          <w:i w:val="0"/>
          <w:sz w:val="22"/>
        </w:rPr>
        <w:t>Trains faculty to prepare research proposals for funding agencies (UGC, DST, DBT, AICTE, ICSSR, etc.).</w:t>
      </w:r>
    </w:p>
    <w:p>
      <w:pPr>
        <w:pStyle w:val="ListBullet2"/>
        <w:spacing w:after="80" w:line="276" w:lineRule="auto"/>
      </w:pPr>
      <w:r>
        <w:rPr>
          <w:rFonts w:ascii="Cambria" w:hAnsi="Cambria"/>
          <w:b w:val="0"/>
          <w:i w:val="0"/>
          <w:sz w:val="22"/>
        </w:rPr>
        <w:t>Ensures compliance with funding norms, budgets, and reporting formats.</w:t>
      </w:r>
    </w:p>
    <w:p>
      <w:pPr>
        <w:pStyle w:val="ListBullet"/>
        <w:spacing w:after="80" w:line="276" w:lineRule="auto"/>
      </w:pPr>
      <w:r>
        <w:rPr>
          <w:rFonts w:ascii="Cambria" w:hAnsi="Cambria"/>
          <w:b/>
          <w:i w:val="0"/>
          <w:sz w:val="22"/>
        </w:rPr>
        <w:t>Publications</w:t>
      </w:r>
    </w:p>
    <w:p>
      <w:pPr>
        <w:pStyle w:val="ListBullet2"/>
        <w:spacing w:after="80" w:line="276" w:lineRule="auto"/>
      </w:pPr>
      <w:r>
        <w:rPr>
          <w:rFonts w:ascii="Cambria" w:hAnsi="Cambria"/>
          <w:b w:val="0"/>
          <w:i w:val="0"/>
          <w:sz w:val="22"/>
        </w:rPr>
        <w:t>Motivates faculty to publish in Scopus, Web of Science, UGC-CARE, ABDC-listed journals.</w:t>
      </w:r>
    </w:p>
    <w:p>
      <w:pPr>
        <w:pStyle w:val="ListBullet2"/>
        <w:spacing w:after="80" w:line="276" w:lineRule="auto"/>
      </w:pPr>
      <w:r>
        <w:rPr>
          <w:rFonts w:ascii="Cambria" w:hAnsi="Cambria"/>
          <w:b w:val="0"/>
          <w:i w:val="0"/>
          <w:sz w:val="22"/>
        </w:rPr>
        <w:t>Conducts workshops on writing for high-impact journals, avoiding plagiarism, and citation management.</w:t>
      </w:r>
    </w:p>
    <w:p>
      <w:pPr>
        <w:pStyle w:val="ListBullet"/>
        <w:spacing w:after="80" w:line="276" w:lineRule="auto"/>
      </w:pPr>
      <w:r>
        <w:rPr>
          <w:rFonts w:ascii="Cambria" w:hAnsi="Cambria"/>
          <w:b/>
          <w:i w:val="0"/>
          <w:sz w:val="22"/>
        </w:rPr>
        <w:t>IPR and Patents</w:t>
      </w:r>
    </w:p>
    <w:p>
      <w:pPr>
        <w:pStyle w:val="ListBullet2"/>
        <w:spacing w:after="80" w:line="276" w:lineRule="auto"/>
      </w:pPr>
      <w:r>
        <w:rPr>
          <w:rFonts w:ascii="Cambria" w:hAnsi="Cambria"/>
          <w:b w:val="0"/>
          <w:i w:val="0"/>
          <w:sz w:val="22"/>
        </w:rPr>
        <w:t>Provides support for patent filing, copyright, and licensing.</w:t>
      </w:r>
    </w:p>
    <w:p>
      <w:pPr>
        <w:pStyle w:val="ListBullet2"/>
        <w:spacing w:after="80" w:line="276" w:lineRule="auto"/>
      </w:pPr>
      <w:r>
        <w:rPr>
          <w:rFonts w:ascii="Cambria" w:hAnsi="Cambria"/>
          <w:b w:val="0"/>
          <w:i w:val="0"/>
          <w:sz w:val="22"/>
        </w:rPr>
        <w:t>Establishes linkages with IPR cells and technology transfer offices.</w:t>
      </w:r>
    </w:p>
    <w:p>
      <w:pPr>
        <w:pStyle w:val="ListBullet"/>
        <w:spacing w:after="80" w:line="276" w:lineRule="auto"/>
      </w:pPr>
      <w:r>
        <w:rPr>
          <w:rFonts w:ascii="Cambria" w:hAnsi="Cambria"/>
          <w:b/>
          <w:i w:val="0"/>
          <w:sz w:val="22"/>
        </w:rPr>
        <w:t>Research Collaboration</w:t>
      </w:r>
    </w:p>
    <w:p>
      <w:pPr>
        <w:pStyle w:val="ListBullet2"/>
        <w:spacing w:after="80" w:line="276" w:lineRule="auto"/>
      </w:pPr>
      <w:r>
        <w:rPr>
          <w:rFonts w:ascii="Cambria" w:hAnsi="Cambria"/>
          <w:b w:val="0"/>
          <w:i w:val="0"/>
          <w:sz w:val="22"/>
        </w:rPr>
        <w:t>Facilitates joint research projects with industry, NGOs, and international universities.</w:t>
      </w:r>
    </w:p>
    <w:p>
      <w:pPr>
        <w:pStyle w:val="ListBullet2"/>
        <w:spacing w:after="80" w:line="276" w:lineRule="auto"/>
      </w:pPr>
      <w:r>
        <w:rPr>
          <w:rFonts w:ascii="Cambria" w:hAnsi="Cambria"/>
          <w:b w:val="0"/>
          <w:i w:val="0"/>
          <w:sz w:val="22"/>
        </w:rPr>
        <w:t>Signs MoUs for collaborative research ventures.</w:t>
      </w:r>
    </w:p>
    <w:p>
      <w:pPr>
        <w:spacing w:after="80" w:line="276" w:lineRule="auto"/>
      </w:pPr>
      <w:r>
        <w:rPr>
          <w:rFonts w:ascii="Cambria" w:hAnsi="Cambria"/>
          <w:b/>
          <w:i w:val="0"/>
          <w:sz w:val="22"/>
        </w:rPr>
        <w:t>C. Research Infrastructure and Capacity Building</w:t>
      </w:r>
    </w:p>
    <w:p>
      <w:pPr>
        <w:pStyle w:val="ListBullet"/>
        <w:spacing w:after="80" w:line="276" w:lineRule="auto"/>
      </w:pPr>
      <w:r>
        <w:rPr>
          <w:rFonts w:ascii="Cambria" w:hAnsi="Cambria"/>
          <w:b w:val="0"/>
          <w:i w:val="0"/>
          <w:sz w:val="22"/>
        </w:rPr>
        <w:t>Establishes and upgrades research centres, labs, incubation hubs, and innovation cells.</w:t>
      </w:r>
    </w:p>
    <w:p>
      <w:pPr>
        <w:pStyle w:val="ListBullet"/>
        <w:spacing w:after="80" w:line="276" w:lineRule="auto"/>
      </w:pPr>
      <w:r>
        <w:rPr>
          <w:rFonts w:ascii="Cambria" w:hAnsi="Cambria"/>
          <w:b w:val="0"/>
          <w:i w:val="0"/>
          <w:sz w:val="22"/>
        </w:rPr>
        <w:t>Ensures faculty and students have access to:</w:t>
      </w:r>
    </w:p>
    <w:p>
      <w:pPr>
        <w:pStyle w:val="ListBullet2"/>
        <w:spacing w:after="80" w:line="276" w:lineRule="auto"/>
      </w:pPr>
      <w:r>
        <w:rPr>
          <w:rFonts w:ascii="Cambria" w:hAnsi="Cambria"/>
          <w:b w:val="0"/>
          <w:i w:val="0"/>
          <w:sz w:val="22"/>
        </w:rPr>
        <w:t>Research databases (Scopus, Web of Science, JSTOR).</w:t>
      </w:r>
    </w:p>
    <w:p>
      <w:pPr>
        <w:pStyle w:val="ListBullet2"/>
        <w:spacing w:after="80" w:line="276" w:lineRule="auto"/>
      </w:pPr>
      <w:r>
        <w:rPr>
          <w:rFonts w:ascii="Cambria" w:hAnsi="Cambria"/>
          <w:b w:val="0"/>
          <w:i w:val="0"/>
          <w:sz w:val="22"/>
        </w:rPr>
        <w:t>Software tools (SPSS, MATLAB, R, Python for data analytics).</w:t>
      </w:r>
    </w:p>
    <w:p>
      <w:pPr>
        <w:pStyle w:val="ListBullet2"/>
        <w:spacing w:after="80" w:line="276" w:lineRule="auto"/>
      </w:pPr>
      <w:r>
        <w:rPr>
          <w:rFonts w:ascii="Cambria" w:hAnsi="Cambria"/>
          <w:b w:val="0"/>
          <w:i w:val="0"/>
          <w:sz w:val="22"/>
        </w:rPr>
        <w:t>High-end lab facilities for experimental research.</w:t>
      </w:r>
    </w:p>
    <w:p>
      <w:pPr>
        <w:pStyle w:val="ListBullet"/>
        <w:spacing w:after="80" w:line="276" w:lineRule="auto"/>
      </w:pPr>
      <w:r>
        <w:rPr>
          <w:rFonts w:ascii="Cambria" w:hAnsi="Cambria"/>
          <w:b w:val="0"/>
          <w:i w:val="0"/>
          <w:sz w:val="22"/>
        </w:rPr>
        <w:t>Organizes capacity-building programs:</w:t>
      </w:r>
    </w:p>
    <w:p>
      <w:pPr>
        <w:pStyle w:val="ListBullet2"/>
        <w:spacing w:after="80" w:line="276" w:lineRule="auto"/>
      </w:pPr>
      <w:r>
        <w:rPr>
          <w:rFonts w:ascii="Cambria" w:hAnsi="Cambria"/>
          <w:b w:val="0"/>
          <w:i w:val="0"/>
          <w:sz w:val="22"/>
        </w:rPr>
        <w:t>Research methodology workshops.</w:t>
      </w:r>
    </w:p>
    <w:p>
      <w:pPr>
        <w:pStyle w:val="ListBullet2"/>
        <w:spacing w:after="80" w:line="276" w:lineRule="auto"/>
      </w:pPr>
      <w:r>
        <w:rPr>
          <w:rFonts w:ascii="Cambria" w:hAnsi="Cambria"/>
          <w:b w:val="0"/>
          <w:i w:val="0"/>
          <w:sz w:val="22"/>
        </w:rPr>
        <w:t>FDPs on advanced statistical tools.</w:t>
      </w:r>
    </w:p>
    <w:p>
      <w:pPr>
        <w:pStyle w:val="ListBullet2"/>
        <w:spacing w:after="80" w:line="276" w:lineRule="auto"/>
      </w:pPr>
      <w:r>
        <w:rPr>
          <w:rFonts w:ascii="Cambria" w:hAnsi="Cambria"/>
          <w:b w:val="0"/>
          <w:i w:val="0"/>
          <w:sz w:val="22"/>
        </w:rPr>
        <w:t>Seminars on emerging research areas (AI, data science, climate change, sustainability, etc.).</w:t>
      </w:r>
    </w:p>
    <w:p>
      <w:pPr>
        <w:spacing w:after="80" w:line="276" w:lineRule="auto"/>
      </w:pPr>
      <w:r>
        <w:rPr>
          <w:rFonts w:ascii="Cambria" w:hAnsi="Cambria"/>
          <w:b/>
          <w:i w:val="0"/>
          <w:sz w:val="22"/>
        </w:rPr>
        <w:t>D. Innovation, Start-ups, and Knowledge Transfer</w:t>
      </w:r>
    </w:p>
    <w:p>
      <w:pPr>
        <w:pStyle w:val="ListBullet"/>
        <w:spacing w:after="80" w:line="276" w:lineRule="auto"/>
      </w:pPr>
      <w:r>
        <w:rPr>
          <w:rFonts w:ascii="Cambria" w:hAnsi="Cambria"/>
          <w:b w:val="0"/>
          <w:i w:val="0"/>
          <w:sz w:val="22"/>
        </w:rPr>
        <w:t>Promotes innovation culture among faculty and students.</w:t>
      </w:r>
    </w:p>
    <w:p>
      <w:pPr>
        <w:pStyle w:val="ListBullet"/>
        <w:spacing w:after="80" w:line="276" w:lineRule="auto"/>
      </w:pPr>
      <w:r>
        <w:rPr>
          <w:rFonts w:ascii="Cambria" w:hAnsi="Cambria"/>
          <w:b w:val="0"/>
          <w:i w:val="0"/>
          <w:sz w:val="22"/>
        </w:rPr>
        <w:t>Coordinates activities of Innovation Cells, Incubators, and Start-up Hubs.</w:t>
      </w:r>
    </w:p>
    <w:p>
      <w:pPr>
        <w:pStyle w:val="ListBullet"/>
        <w:spacing w:after="80" w:line="276" w:lineRule="auto"/>
      </w:pPr>
      <w:r>
        <w:rPr>
          <w:rFonts w:ascii="Cambria" w:hAnsi="Cambria"/>
          <w:b w:val="0"/>
          <w:i w:val="0"/>
          <w:sz w:val="22"/>
        </w:rPr>
        <w:t>Encourages participation in hackathons, innovation challenges, national competitions (Smart India Hackathon, Toycathon, etc.).</w:t>
      </w:r>
    </w:p>
    <w:p>
      <w:pPr>
        <w:pStyle w:val="ListBullet"/>
        <w:spacing w:after="80" w:line="276" w:lineRule="auto"/>
      </w:pPr>
      <w:r>
        <w:rPr>
          <w:rFonts w:ascii="Cambria" w:hAnsi="Cambria"/>
          <w:b w:val="0"/>
          <w:i w:val="0"/>
          <w:sz w:val="22"/>
        </w:rPr>
        <w:t>Guides students and faculty to transform research outcomes into:</w:t>
      </w:r>
    </w:p>
    <w:p>
      <w:pPr>
        <w:pStyle w:val="ListBullet2"/>
        <w:spacing w:after="80" w:line="276" w:lineRule="auto"/>
      </w:pPr>
      <w:r>
        <w:rPr>
          <w:rFonts w:ascii="Cambria" w:hAnsi="Cambria"/>
          <w:b w:val="0"/>
          <w:i w:val="0"/>
          <w:sz w:val="22"/>
        </w:rPr>
        <w:t>Patents</w:t>
      </w:r>
    </w:p>
    <w:p>
      <w:pPr>
        <w:pStyle w:val="ListBullet2"/>
        <w:spacing w:after="80" w:line="276" w:lineRule="auto"/>
      </w:pPr>
      <w:r>
        <w:rPr>
          <w:rFonts w:ascii="Cambria" w:hAnsi="Cambria"/>
          <w:b w:val="0"/>
          <w:i w:val="0"/>
          <w:sz w:val="22"/>
        </w:rPr>
        <w:t>Prototypes</w:t>
      </w:r>
    </w:p>
    <w:p>
      <w:pPr>
        <w:pStyle w:val="ListBullet2"/>
        <w:spacing w:after="80" w:line="276" w:lineRule="auto"/>
      </w:pPr>
      <w:r>
        <w:rPr>
          <w:rFonts w:ascii="Cambria" w:hAnsi="Cambria"/>
          <w:b w:val="0"/>
          <w:i w:val="0"/>
          <w:sz w:val="22"/>
        </w:rPr>
        <w:t>Commercial products or services</w:t>
      </w:r>
    </w:p>
    <w:p>
      <w:pPr>
        <w:pStyle w:val="ListBullet2"/>
        <w:spacing w:after="80" w:line="276" w:lineRule="auto"/>
      </w:pPr>
      <w:r>
        <w:rPr>
          <w:rFonts w:ascii="Cambria" w:hAnsi="Cambria"/>
          <w:b w:val="0"/>
          <w:i w:val="0"/>
          <w:sz w:val="22"/>
        </w:rPr>
        <w:t>Consultancy projects for industry</w:t>
      </w:r>
    </w:p>
    <w:p>
      <w:pPr>
        <w:pStyle w:val="ListBullet"/>
        <w:spacing w:after="80" w:line="276" w:lineRule="auto"/>
      </w:pPr>
      <w:r>
        <w:rPr>
          <w:rFonts w:ascii="Cambria" w:hAnsi="Cambria"/>
          <w:b w:val="0"/>
          <w:i w:val="0"/>
          <w:sz w:val="22"/>
        </w:rPr>
        <w:t>Facilitates technology transfer and entrepreneurship development.</w:t>
      </w:r>
    </w:p>
    <w:p>
      <w:pPr>
        <w:spacing w:after="80" w:line="276" w:lineRule="auto"/>
      </w:pPr>
      <w:r>
        <w:rPr>
          <w:rFonts w:ascii="Cambria" w:hAnsi="Cambria"/>
          <w:b/>
          <w:i w:val="0"/>
          <w:sz w:val="22"/>
        </w:rPr>
        <w:t>E. Research Governance and Compliance</w:t>
      </w:r>
    </w:p>
    <w:p>
      <w:pPr>
        <w:pStyle w:val="ListBullet"/>
        <w:spacing w:after="80" w:line="276" w:lineRule="auto"/>
      </w:pPr>
      <w:r>
        <w:rPr>
          <w:rFonts w:ascii="Cambria" w:hAnsi="Cambria"/>
          <w:b w:val="0"/>
          <w:i w:val="0"/>
          <w:sz w:val="22"/>
        </w:rPr>
        <w:t>Ensures all research projects adhere to:</w:t>
      </w:r>
    </w:p>
    <w:p>
      <w:pPr>
        <w:pStyle w:val="ListBullet2"/>
        <w:spacing w:after="80" w:line="276" w:lineRule="auto"/>
      </w:pPr>
      <w:r>
        <w:rPr>
          <w:rFonts w:ascii="Cambria" w:hAnsi="Cambria"/>
          <w:b w:val="0"/>
          <w:i w:val="0"/>
          <w:sz w:val="22"/>
        </w:rPr>
        <w:t>Ethical guidelines (IRB, research ethics committees).</w:t>
      </w:r>
    </w:p>
    <w:p>
      <w:pPr>
        <w:pStyle w:val="ListBullet2"/>
        <w:spacing w:after="80" w:line="276" w:lineRule="auto"/>
      </w:pPr>
      <w:r>
        <w:rPr>
          <w:rFonts w:ascii="Cambria" w:hAnsi="Cambria"/>
          <w:b w:val="0"/>
          <w:i w:val="0"/>
          <w:sz w:val="22"/>
        </w:rPr>
        <w:t>Anti-plagiarism standards (Turnitin/Drillbit checks).</w:t>
      </w:r>
    </w:p>
    <w:p>
      <w:pPr>
        <w:pStyle w:val="ListBullet2"/>
        <w:spacing w:after="80" w:line="276" w:lineRule="auto"/>
      </w:pPr>
      <w:r>
        <w:rPr>
          <w:rFonts w:ascii="Cambria" w:hAnsi="Cambria"/>
          <w:b w:val="0"/>
          <w:i w:val="0"/>
          <w:sz w:val="22"/>
        </w:rPr>
        <w:t>Financial accountability in funded projects.</w:t>
      </w:r>
    </w:p>
    <w:p>
      <w:pPr>
        <w:pStyle w:val="ListBullet"/>
        <w:spacing w:after="80" w:line="276" w:lineRule="auto"/>
      </w:pPr>
      <w:r>
        <w:rPr>
          <w:rFonts w:ascii="Cambria" w:hAnsi="Cambria"/>
          <w:b w:val="0"/>
          <w:i w:val="0"/>
          <w:sz w:val="22"/>
        </w:rPr>
        <w:t>Maintains database of ongoing and completed research projects.</w:t>
      </w:r>
    </w:p>
    <w:p>
      <w:pPr>
        <w:pStyle w:val="ListBullet"/>
        <w:spacing w:after="80" w:line="276" w:lineRule="auto"/>
      </w:pPr>
      <w:r>
        <w:rPr>
          <w:rFonts w:ascii="Cambria" w:hAnsi="Cambria"/>
          <w:b w:val="0"/>
          <w:i w:val="0"/>
          <w:sz w:val="22"/>
        </w:rPr>
        <w:t>Submits periodic reports to Dean (Academics), Academic Council, and funding agencies.</w:t>
      </w:r>
    </w:p>
    <w:p>
      <w:pPr>
        <w:pStyle w:val="Heading3"/>
      </w:pPr>
      <w:r>
        <w:rPr>
          <w:rFonts w:ascii="Cambria" w:hAnsi="Cambria"/>
          <w:b/>
          <w:color w:val="1F3A5F"/>
          <w:sz w:val="26"/>
        </w:rPr>
        <w:t>3. Liaison and Coordination</w:t>
      </w:r>
    </w:p>
    <w:p>
      <w:pPr>
        <w:pStyle w:val="ListBullet"/>
        <w:spacing w:after="80" w:line="276" w:lineRule="auto"/>
      </w:pPr>
      <w:r>
        <w:rPr>
          <w:rFonts w:ascii="Cambria" w:hAnsi="Cambria"/>
          <w:b w:val="0"/>
          <w:i w:val="0"/>
          <w:sz w:val="22"/>
        </w:rPr>
        <w:t>Internal: Works with Dean (Academics), Dean (Evaluation), Heads of Departments, and Controllers of Examination.</w:t>
      </w:r>
    </w:p>
    <w:p>
      <w:pPr>
        <w:pStyle w:val="ListBullet"/>
        <w:spacing w:after="80" w:line="276" w:lineRule="auto"/>
      </w:pPr>
      <w:r>
        <w:rPr>
          <w:rFonts w:ascii="Cambria" w:hAnsi="Cambria"/>
          <w:b w:val="0"/>
          <w:i w:val="0"/>
          <w:sz w:val="22"/>
        </w:rPr>
        <w:t>External: Maintains active links with:</w:t>
      </w:r>
    </w:p>
    <w:p>
      <w:pPr>
        <w:pStyle w:val="ListBullet2"/>
        <w:spacing w:after="80" w:line="276" w:lineRule="auto"/>
      </w:pPr>
      <w:r>
        <w:rPr>
          <w:rFonts w:ascii="Cambria" w:hAnsi="Cambria"/>
          <w:b w:val="0"/>
          <w:i w:val="0"/>
          <w:sz w:val="22"/>
        </w:rPr>
        <w:t>Government funding agencies (UGC, AICTE, DST, DBT, ICSSR, etc.).</w:t>
      </w:r>
    </w:p>
    <w:p>
      <w:pPr>
        <w:pStyle w:val="ListBullet2"/>
        <w:spacing w:after="80" w:line="276" w:lineRule="auto"/>
      </w:pPr>
      <w:r>
        <w:rPr>
          <w:rFonts w:ascii="Cambria" w:hAnsi="Cambria"/>
          <w:b w:val="0"/>
          <w:i w:val="0"/>
          <w:sz w:val="22"/>
        </w:rPr>
        <w:t>Private industries, chambers of commerce, and research consortia.</w:t>
      </w:r>
    </w:p>
    <w:p>
      <w:pPr>
        <w:pStyle w:val="ListBullet2"/>
        <w:spacing w:after="80" w:line="276" w:lineRule="auto"/>
      </w:pPr>
      <w:r>
        <w:rPr>
          <w:rFonts w:ascii="Cambria" w:hAnsi="Cambria"/>
          <w:b w:val="0"/>
          <w:i w:val="0"/>
          <w:sz w:val="22"/>
        </w:rPr>
        <w:t>International research universities and collaborative networks.</w:t>
      </w:r>
    </w:p>
    <w:p>
      <w:pPr>
        <w:pStyle w:val="Heading3"/>
      </w:pPr>
      <w:r>
        <w:rPr>
          <w:rFonts w:ascii="Cambria" w:hAnsi="Cambria"/>
          <w:b/>
          <w:color w:val="1F3A5F"/>
          <w:sz w:val="26"/>
        </w:rPr>
        <w:t>4. Strategic Impact</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Gains exposure to real-world problems and research culture.</w:t>
      </w:r>
    </w:p>
    <w:p>
      <w:pPr>
        <w:pStyle w:val="ListBullet2"/>
        <w:spacing w:after="80" w:line="276" w:lineRule="auto"/>
      </w:pPr>
      <w:r>
        <w:rPr>
          <w:rFonts w:ascii="Cambria" w:hAnsi="Cambria"/>
          <w:b w:val="0"/>
          <w:i w:val="0"/>
          <w:sz w:val="22"/>
        </w:rPr>
        <w:t>Develops analytical skills, innovation mindset, and employability.</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Access to funding and resources for research.</w:t>
      </w:r>
    </w:p>
    <w:p>
      <w:pPr>
        <w:pStyle w:val="ListBullet2"/>
        <w:spacing w:after="80" w:line="276" w:lineRule="auto"/>
      </w:pPr>
      <w:r>
        <w:rPr>
          <w:rFonts w:ascii="Cambria" w:hAnsi="Cambria"/>
          <w:b w:val="0"/>
          <w:i w:val="0"/>
          <w:sz w:val="22"/>
        </w:rPr>
        <w:t>Recognition through publications, patents, and consultancy.</w:t>
      </w:r>
    </w:p>
    <w:p>
      <w:pPr>
        <w:pStyle w:val="ListBullet"/>
        <w:spacing w:after="80" w:line="276" w:lineRule="auto"/>
      </w:pPr>
      <w:r>
        <w:rPr>
          <w:rFonts w:ascii="Cambria" w:hAnsi="Cambria"/>
          <w:b/>
          <w:i w:val="0"/>
          <w:sz w:val="22"/>
        </w:rPr>
        <w:t>For University:</w:t>
      </w:r>
    </w:p>
    <w:p>
      <w:pPr>
        <w:pStyle w:val="ListBullet2"/>
        <w:spacing w:after="80" w:line="276" w:lineRule="auto"/>
      </w:pPr>
      <w:r>
        <w:rPr>
          <w:rFonts w:ascii="Cambria" w:hAnsi="Cambria"/>
          <w:b w:val="0"/>
          <w:i w:val="0"/>
          <w:sz w:val="22"/>
        </w:rPr>
        <w:t>Strengthens NAAC/NBA accreditation metrics (research, innovation, consultancy).</w:t>
      </w:r>
    </w:p>
    <w:p>
      <w:pPr>
        <w:pStyle w:val="ListBullet2"/>
        <w:spacing w:after="80" w:line="276" w:lineRule="auto"/>
      </w:pPr>
      <w:r>
        <w:rPr>
          <w:rFonts w:ascii="Cambria" w:hAnsi="Cambria"/>
          <w:b w:val="0"/>
          <w:i w:val="0"/>
          <w:sz w:val="22"/>
        </w:rPr>
        <w:t>Enhances ranking in NIRF, QS, THE through research output.</w:t>
      </w:r>
    </w:p>
    <w:p>
      <w:pPr>
        <w:pStyle w:val="ListBullet2"/>
        <w:spacing w:after="80" w:line="276" w:lineRule="auto"/>
      </w:pPr>
      <w:r>
        <w:rPr>
          <w:rFonts w:ascii="Cambria" w:hAnsi="Cambria"/>
          <w:b w:val="0"/>
          <w:i w:val="0"/>
          <w:sz w:val="22"/>
        </w:rPr>
        <w:t>Builds a reputation as a research-intensive, industry-linked university.</w:t>
      </w:r>
    </w:p>
    <w:p>
      <w:pPr>
        <w:pStyle w:val="ListBullet"/>
        <w:spacing w:after="80" w:line="276" w:lineRule="auto"/>
      </w:pPr>
      <w:r>
        <w:rPr>
          <w:rFonts w:ascii="Cambria" w:hAnsi="Cambria"/>
          <w:b/>
          <w:i w:val="0"/>
          <w:sz w:val="22"/>
        </w:rPr>
        <w:t>For Society and Industry:</w:t>
      </w:r>
    </w:p>
    <w:p>
      <w:pPr>
        <w:pStyle w:val="ListBullet2"/>
        <w:spacing w:after="80" w:line="276" w:lineRule="auto"/>
      </w:pPr>
      <w:r>
        <w:rPr>
          <w:rFonts w:ascii="Cambria" w:hAnsi="Cambria"/>
          <w:b w:val="0"/>
          <w:i w:val="0"/>
          <w:sz w:val="22"/>
        </w:rPr>
        <w:t>Provides solutions to societal challenges through applied research.</w:t>
      </w:r>
    </w:p>
    <w:p>
      <w:pPr>
        <w:pStyle w:val="ListBullet2"/>
        <w:spacing w:after="80" w:line="276" w:lineRule="auto"/>
      </w:pPr>
      <w:r>
        <w:rPr>
          <w:rFonts w:ascii="Cambria" w:hAnsi="Cambria"/>
          <w:b w:val="0"/>
          <w:i w:val="0"/>
          <w:sz w:val="22"/>
        </w:rPr>
        <w:t>Promotes knowledge transfer, entrepreneurship, and innovation-driven economy.</w:t>
      </w:r>
    </w:p>
    <w:p>
      <w:r>
        <w:br w:type="page"/>
      </w:r>
    </w:p>
    <w:p>
      <w:pPr>
        <w:pStyle w:val="Heading1"/>
      </w:pPr>
      <w:r>
        <w:rPr>
          <w:rFonts w:ascii="Cambria" w:hAnsi="Cambria"/>
          <w:b/>
          <w:color w:val="1F3A5F"/>
          <w:sz w:val="36"/>
        </w:rPr>
        <w:t>6. Associate Dean – Projects and Academic Research serves as a bridge between academia, research, and industry</w:t>
      </w:r>
    </w:p>
    <w:p>
      <w:pPr>
        <w:pStyle w:val="Heading3"/>
      </w:pPr>
      <w:r>
        <w:rPr>
          <w:rFonts w:ascii="Cambria" w:hAnsi="Cambria"/>
          <w:b/>
          <w:color w:val="1F3A5F"/>
          <w:sz w:val="26"/>
        </w:rPr>
        <w:t>1. Bridge between Academia and Research</w:t>
      </w:r>
    </w:p>
    <w:p>
      <w:pPr>
        <w:pStyle w:val="ListBullet"/>
        <w:spacing w:after="80" w:line="276" w:lineRule="auto"/>
      </w:pPr>
      <w:r>
        <w:rPr>
          <w:rFonts w:ascii="Cambria" w:hAnsi="Cambria"/>
          <w:b/>
          <w:i w:val="0"/>
          <w:sz w:val="22"/>
        </w:rPr>
        <w:t>Integration with Teaching:</w:t>
      </w:r>
    </w:p>
    <w:p>
      <w:pPr>
        <w:pStyle w:val="ListBullet2"/>
        <w:spacing w:after="80" w:line="276" w:lineRule="auto"/>
      </w:pPr>
      <w:r>
        <w:rPr>
          <w:rFonts w:ascii="Cambria" w:hAnsi="Cambria"/>
          <w:b w:val="0"/>
          <w:i w:val="0"/>
          <w:sz w:val="22"/>
        </w:rPr>
        <w:t>Ensures student projects, dissertations, and capstones are directly linked with research themes.</w:t>
      </w:r>
    </w:p>
    <w:p>
      <w:pPr>
        <w:pStyle w:val="ListBullet2"/>
        <w:spacing w:after="80" w:line="276" w:lineRule="auto"/>
      </w:pPr>
      <w:r>
        <w:rPr>
          <w:rFonts w:ascii="Cambria" w:hAnsi="Cambria"/>
          <w:b w:val="0"/>
          <w:i w:val="0"/>
          <w:sz w:val="22"/>
        </w:rPr>
        <w:t>Embeds research methodology and critical inquiry into academic programs.</w:t>
      </w:r>
    </w:p>
    <w:p>
      <w:pPr>
        <w:pStyle w:val="ListBullet"/>
        <w:spacing w:after="80" w:line="276" w:lineRule="auto"/>
      </w:pPr>
      <w:r>
        <w:rPr>
          <w:rFonts w:ascii="Cambria" w:hAnsi="Cambria"/>
          <w:b/>
          <w:i w:val="0"/>
          <w:sz w:val="22"/>
        </w:rPr>
        <w:t>Faculty Development:</w:t>
      </w:r>
    </w:p>
    <w:p>
      <w:pPr>
        <w:pStyle w:val="ListBullet2"/>
        <w:spacing w:after="80" w:line="276" w:lineRule="auto"/>
      </w:pPr>
      <w:r>
        <w:rPr>
          <w:rFonts w:ascii="Cambria" w:hAnsi="Cambria"/>
          <w:b w:val="0"/>
          <w:i w:val="0"/>
          <w:sz w:val="22"/>
        </w:rPr>
        <w:t>Guides faculty to transform classroom teaching into applied research.</w:t>
      </w:r>
    </w:p>
    <w:p>
      <w:pPr>
        <w:pStyle w:val="ListBullet2"/>
        <w:spacing w:after="80" w:line="276" w:lineRule="auto"/>
      </w:pPr>
      <w:r>
        <w:rPr>
          <w:rFonts w:ascii="Cambria" w:hAnsi="Cambria"/>
          <w:b w:val="0"/>
          <w:i w:val="0"/>
          <w:sz w:val="22"/>
        </w:rPr>
        <w:t>Encourages publications, patents, and knowledge dissemination.</w:t>
      </w:r>
    </w:p>
    <w:p>
      <w:pPr>
        <w:pStyle w:val="ListBullet"/>
        <w:spacing w:after="80" w:line="276" w:lineRule="auto"/>
      </w:pPr>
      <w:r>
        <w:rPr>
          <w:rFonts w:ascii="Cambria" w:hAnsi="Cambria"/>
          <w:b/>
          <w:i w:val="0"/>
          <w:sz w:val="22"/>
        </w:rPr>
        <w:t>Research Ecosystem:</w:t>
      </w:r>
    </w:p>
    <w:p>
      <w:pPr>
        <w:pStyle w:val="ListBullet2"/>
        <w:spacing w:after="80" w:line="276" w:lineRule="auto"/>
      </w:pPr>
      <w:r>
        <w:rPr>
          <w:rFonts w:ascii="Cambria" w:hAnsi="Cambria"/>
          <w:b w:val="0"/>
          <w:i w:val="0"/>
          <w:sz w:val="22"/>
        </w:rPr>
        <w:t>Establishes research centres, digital libraries, labs, and incubation cells.</w:t>
      </w:r>
    </w:p>
    <w:p>
      <w:pPr>
        <w:pStyle w:val="ListBullet2"/>
        <w:spacing w:after="80" w:line="276" w:lineRule="auto"/>
      </w:pPr>
      <w:r>
        <w:rPr>
          <w:rFonts w:ascii="Cambria" w:hAnsi="Cambria"/>
          <w:b w:val="0"/>
          <w:i w:val="0"/>
          <w:sz w:val="22"/>
        </w:rPr>
        <w:t>Promotes academic collaborations across disciplines, schools, and departments.</w:t>
      </w:r>
    </w:p>
    <w:p>
      <w:pPr>
        <w:pStyle w:val="Heading3"/>
      </w:pPr>
      <w:r>
        <w:rPr>
          <w:rFonts w:ascii="Cambria" w:hAnsi="Cambria"/>
          <w:b/>
          <w:color w:val="1F3A5F"/>
          <w:sz w:val="26"/>
        </w:rPr>
        <w:t>2. Bridge between Research and Industry</w:t>
      </w:r>
    </w:p>
    <w:p>
      <w:pPr>
        <w:pStyle w:val="ListBullet"/>
        <w:spacing w:after="80" w:line="276" w:lineRule="auto"/>
      </w:pPr>
      <w:r>
        <w:rPr>
          <w:rFonts w:ascii="Cambria" w:hAnsi="Cambria"/>
          <w:b/>
          <w:i w:val="0"/>
          <w:sz w:val="22"/>
        </w:rPr>
        <w:t>Industry-Oriented Projects:</w:t>
      </w:r>
    </w:p>
    <w:p>
      <w:pPr>
        <w:pStyle w:val="ListBullet2"/>
        <w:spacing w:after="80" w:line="276" w:lineRule="auto"/>
      </w:pPr>
      <w:r>
        <w:rPr>
          <w:rFonts w:ascii="Cambria" w:hAnsi="Cambria"/>
          <w:b w:val="0"/>
          <w:i w:val="0"/>
          <w:sz w:val="22"/>
        </w:rPr>
        <w:t>Connects faculty and student projects to real-world industrial problems.</w:t>
      </w:r>
    </w:p>
    <w:p>
      <w:pPr>
        <w:pStyle w:val="ListBullet2"/>
        <w:spacing w:after="80" w:line="276" w:lineRule="auto"/>
      </w:pPr>
      <w:r>
        <w:rPr>
          <w:rFonts w:ascii="Cambria" w:hAnsi="Cambria"/>
          <w:b w:val="0"/>
          <w:i w:val="0"/>
          <w:sz w:val="22"/>
        </w:rPr>
        <w:t>Encourages internships and live projects with companies, start-ups, and research labs.</w:t>
      </w:r>
    </w:p>
    <w:p>
      <w:pPr>
        <w:pStyle w:val="ListBullet"/>
        <w:spacing w:after="80" w:line="276" w:lineRule="auto"/>
      </w:pPr>
      <w:r>
        <w:rPr>
          <w:rFonts w:ascii="Cambria" w:hAnsi="Cambria"/>
          <w:b/>
          <w:i w:val="0"/>
          <w:sz w:val="22"/>
        </w:rPr>
        <w:t>Consultancy and Innovation:</w:t>
      </w:r>
    </w:p>
    <w:p>
      <w:pPr>
        <w:pStyle w:val="ListBullet2"/>
        <w:spacing w:after="80" w:line="276" w:lineRule="auto"/>
      </w:pPr>
      <w:r>
        <w:rPr>
          <w:rFonts w:ascii="Cambria" w:hAnsi="Cambria"/>
          <w:b w:val="0"/>
          <w:i w:val="0"/>
          <w:sz w:val="22"/>
        </w:rPr>
        <w:t>Supports faculty consultancy projects with industries.</w:t>
      </w:r>
    </w:p>
    <w:p>
      <w:pPr>
        <w:pStyle w:val="ListBullet2"/>
        <w:spacing w:after="80" w:line="276" w:lineRule="auto"/>
      </w:pPr>
      <w:r>
        <w:rPr>
          <w:rFonts w:ascii="Cambria" w:hAnsi="Cambria"/>
          <w:b w:val="0"/>
          <w:i w:val="0"/>
          <w:sz w:val="22"/>
        </w:rPr>
        <w:t>Facilitates patent filing, technology transfer, and commercialization.</w:t>
      </w:r>
    </w:p>
    <w:p>
      <w:pPr>
        <w:pStyle w:val="ListBullet"/>
        <w:spacing w:after="80" w:line="276" w:lineRule="auto"/>
      </w:pPr>
      <w:r>
        <w:rPr>
          <w:rFonts w:ascii="Cambria" w:hAnsi="Cambria"/>
          <w:b/>
          <w:i w:val="0"/>
          <w:sz w:val="22"/>
        </w:rPr>
        <w:t>Collaborative Research:</w:t>
      </w:r>
    </w:p>
    <w:p>
      <w:pPr>
        <w:pStyle w:val="ListBullet2"/>
        <w:spacing w:after="80" w:line="276" w:lineRule="auto"/>
      </w:pPr>
      <w:r>
        <w:rPr>
          <w:rFonts w:ascii="Cambria" w:hAnsi="Cambria"/>
          <w:b w:val="0"/>
          <w:i w:val="0"/>
          <w:sz w:val="22"/>
        </w:rPr>
        <w:t>Establishes MoUs with industries for joint research, product development, and testing.</w:t>
      </w:r>
    </w:p>
    <w:p>
      <w:pPr>
        <w:pStyle w:val="ListBullet2"/>
        <w:spacing w:after="80" w:line="276" w:lineRule="auto"/>
      </w:pPr>
      <w:r>
        <w:rPr>
          <w:rFonts w:ascii="Cambria" w:hAnsi="Cambria"/>
          <w:b w:val="0"/>
          <w:i w:val="0"/>
          <w:sz w:val="22"/>
        </w:rPr>
        <w:t>Promotes funded projects supported by corporate R&amp;D.</w:t>
      </w:r>
    </w:p>
    <w:p>
      <w:pPr>
        <w:pStyle w:val="Heading3"/>
      </w:pPr>
      <w:r>
        <w:rPr>
          <w:rFonts w:ascii="Cambria" w:hAnsi="Cambria"/>
          <w:b/>
          <w:color w:val="1F3A5F"/>
          <w:sz w:val="26"/>
        </w:rPr>
        <w:t>3. Bridge between Academia and Industry</w:t>
      </w:r>
    </w:p>
    <w:p>
      <w:pPr>
        <w:pStyle w:val="ListBullet"/>
        <w:spacing w:after="80" w:line="276" w:lineRule="auto"/>
      </w:pPr>
      <w:r>
        <w:rPr>
          <w:rFonts w:ascii="Cambria" w:hAnsi="Cambria"/>
          <w:b/>
          <w:i w:val="0"/>
          <w:sz w:val="22"/>
        </w:rPr>
        <w:t>Curriculum Relevance:</w:t>
      </w:r>
    </w:p>
    <w:p>
      <w:pPr>
        <w:pStyle w:val="ListBullet2"/>
        <w:spacing w:after="80" w:line="276" w:lineRule="auto"/>
      </w:pPr>
      <w:r>
        <w:rPr>
          <w:rFonts w:ascii="Cambria" w:hAnsi="Cambria"/>
          <w:b w:val="0"/>
          <w:i w:val="0"/>
          <w:sz w:val="22"/>
        </w:rPr>
        <w:t>Ensures academic programs are aligned with employability skills, industry needs, and global trends.</w:t>
      </w:r>
    </w:p>
    <w:p>
      <w:pPr>
        <w:pStyle w:val="ListBullet2"/>
        <w:spacing w:after="80" w:line="276" w:lineRule="auto"/>
      </w:pPr>
      <w:r>
        <w:rPr>
          <w:rFonts w:ascii="Cambria" w:hAnsi="Cambria"/>
          <w:b w:val="0"/>
          <w:i w:val="0"/>
          <w:sz w:val="22"/>
        </w:rPr>
        <w:t>Incorporates skill-based courses, MOOCs, and vocational modules in curriculum.</w:t>
      </w:r>
    </w:p>
    <w:p>
      <w:pPr>
        <w:pStyle w:val="ListBullet"/>
        <w:spacing w:after="80" w:line="276" w:lineRule="auto"/>
      </w:pPr>
      <w:r>
        <w:rPr>
          <w:rFonts w:ascii="Cambria" w:hAnsi="Cambria"/>
          <w:b/>
          <w:i w:val="0"/>
          <w:sz w:val="22"/>
        </w:rPr>
        <w:t>Skill Development:</w:t>
      </w:r>
    </w:p>
    <w:p>
      <w:pPr>
        <w:pStyle w:val="ListBullet2"/>
        <w:spacing w:after="80" w:line="276" w:lineRule="auto"/>
      </w:pPr>
      <w:r>
        <w:rPr>
          <w:rFonts w:ascii="Cambria" w:hAnsi="Cambria"/>
          <w:b w:val="0"/>
          <w:i w:val="0"/>
          <w:sz w:val="22"/>
        </w:rPr>
        <w:t>Works with skill councils and industry partners to provide value-added training and certifications.</w:t>
      </w:r>
    </w:p>
    <w:p>
      <w:pPr>
        <w:pStyle w:val="ListBullet2"/>
        <w:spacing w:after="80" w:line="276" w:lineRule="auto"/>
      </w:pPr>
      <w:r>
        <w:rPr>
          <w:rFonts w:ascii="Cambria" w:hAnsi="Cambria"/>
          <w:b w:val="0"/>
          <w:i w:val="0"/>
          <w:sz w:val="22"/>
        </w:rPr>
        <w:t>Organizes workshops, hackathons, and innovation challenges with industry mentors.</w:t>
      </w:r>
    </w:p>
    <w:p>
      <w:pPr>
        <w:pStyle w:val="ListBullet"/>
        <w:spacing w:after="80" w:line="276" w:lineRule="auto"/>
      </w:pPr>
      <w:r>
        <w:rPr>
          <w:rFonts w:ascii="Cambria" w:hAnsi="Cambria"/>
          <w:b/>
          <w:i w:val="0"/>
          <w:sz w:val="22"/>
        </w:rPr>
        <w:t>Placements and Employability:</w:t>
      </w:r>
    </w:p>
    <w:p>
      <w:pPr>
        <w:pStyle w:val="ListBullet2"/>
        <w:spacing w:after="80" w:line="276" w:lineRule="auto"/>
      </w:pPr>
      <w:r>
        <w:rPr>
          <w:rFonts w:ascii="Cambria" w:hAnsi="Cambria"/>
          <w:b w:val="0"/>
          <w:i w:val="0"/>
          <w:sz w:val="22"/>
        </w:rPr>
        <w:t>Helps students gain industry exposure through internships, live projects, and collaborations.</w:t>
      </w:r>
    </w:p>
    <w:p>
      <w:pPr>
        <w:pStyle w:val="ListBullet2"/>
        <w:spacing w:after="80" w:line="276" w:lineRule="auto"/>
      </w:pPr>
      <w:r>
        <w:rPr>
          <w:rFonts w:ascii="Cambria" w:hAnsi="Cambria"/>
          <w:b w:val="0"/>
          <w:i w:val="0"/>
          <w:sz w:val="22"/>
        </w:rPr>
        <w:t>Bridges the gap between theory learned in classrooms and skills demanded by employers.</w:t>
      </w:r>
    </w:p>
    <w:p>
      <w:pPr>
        <w:pStyle w:val="Heading3"/>
      </w:pPr>
      <w:r>
        <w:rPr>
          <w:rFonts w:ascii="Cambria" w:hAnsi="Cambria"/>
          <w:b/>
          <w:color w:val="1F3A5F"/>
          <w:sz w:val="26"/>
        </w:rPr>
        <w:t>4. Strategic Outcomes of the Bridge Role</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Opportunities to work on real-world projects and cutting-edge research.</w:t>
      </w:r>
    </w:p>
    <w:p>
      <w:pPr>
        <w:pStyle w:val="ListBullet2"/>
        <w:spacing w:after="80" w:line="276" w:lineRule="auto"/>
      </w:pPr>
      <w:r>
        <w:rPr>
          <w:rFonts w:ascii="Cambria" w:hAnsi="Cambria"/>
          <w:b w:val="0"/>
          <w:i w:val="0"/>
          <w:sz w:val="22"/>
        </w:rPr>
        <w:t>Gain skills, innovation mindset, and employability advantage.</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Access to research funding, consultancy projects, and collaborations.</w:t>
      </w:r>
    </w:p>
    <w:p>
      <w:pPr>
        <w:pStyle w:val="ListBullet2"/>
        <w:spacing w:after="80" w:line="276" w:lineRule="auto"/>
      </w:pPr>
      <w:r>
        <w:rPr>
          <w:rFonts w:ascii="Cambria" w:hAnsi="Cambria"/>
          <w:b w:val="0"/>
          <w:i w:val="0"/>
          <w:sz w:val="22"/>
        </w:rPr>
        <w:t>Recognition through publications, patents, and technology transfer.</w:t>
      </w:r>
    </w:p>
    <w:p>
      <w:pPr>
        <w:pStyle w:val="ListBullet"/>
        <w:spacing w:after="80" w:line="276" w:lineRule="auto"/>
      </w:pPr>
      <w:r>
        <w:rPr>
          <w:rFonts w:ascii="Cambria" w:hAnsi="Cambria"/>
          <w:b/>
          <w:i w:val="0"/>
          <w:sz w:val="22"/>
        </w:rPr>
        <w:t>For Industry:</w:t>
      </w:r>
    </w:p>
    <w:p>
      <w:pPr>
        <w:pStyle w:val="ListBullet2"/>
        <w:spacing w:after="80" w:line="276" w:lineRule="auto"/>
      </w:pPr>
      <w:r>
        <w:rPr>
          <w:rFonts w:ascii="Cambria" w:hAnsi="Cambria"/>
          <w:b w:val="0"/>
          <w:i w:val="0"/>
          <w:sz w:val="22"/>
        </w:rPr>
        <w:t>Access to university talent pool, research expertise, and innovation hubs.</w:t>
      </w:r>
    </w:p>
    <w:p>
      <w:pPr>
        <w:pStyle w:val="ListBullet2"/>
        <w:spacing w:after="80" w:line="276" w:lineRule="auto"/>
      </w:pPr>
      <w:r>
        <w:rPr>
          <w:rFonts w:ascii="Cambria" w:hAnsi="Cambria"/>
          <w:b w:val="0"/>
          <w:i w:val="0"/>
          <w:sz w:val="22"/>
        </w:rPr>
        <w:t>Cost-effective solutions for R&amp;D, prototypes, and process improvement.</w:t>
      </w:r>
    </w:p>
    <w:p>
      <w:pPr>
        <w:pStyle w:val="ListBullet"/>
        <w:spacing w:after="80" w:line="276" w:lineRule="auto"/>
      </w:pPr>
      <w:r>
        <w:rPr>
          <w:rFonts w:ascii="Cambria" w:hAnsi="Cambria"/>
          <w:b/>
          <w:i w:val="0"/>
          <w:sz w:val="22"/>
        </w:rPr>
        <w:t>For University:</w:t>
      </w:r>
    </w:p>
    <w:p>
      <w:pPr>
        <w:pStyle w:val="ListBullet2"/>
        <w:spacing w:after="80" w:line="276" w:lineRule="auto"/>
      </w:pPr>
      <w:r>
        <w:rPr>
          <w:rFonts w:ascii="Cambria" w:hAnsi="Cambria"/>
          <w:b w:val="0"/>
          <w:i w:val="0"/>
          <w:sz w:val="22"/>
        </w:rPr>
        <w:t>Enhanced performance in accreditation frameworks (NAAC/NBA) and global rankings.</w:t>
      </w:r>
    </w:p>
    <w:p>
      <w:pPr>
        <w:pStyle w:val="ListBullet2"/>
        <w:spacing w:after="80" w:line="276" w:lineRule="auto"/>
      </w:pPr>
      <w:r>
        <w:rPr>
          <w:rFonts w:ascii="Cambria" w:hAnsi="Cambria"/>
          <w:b w:val="0"/>
          <w:i w:val="0"/>
          <w:sz w:val="22"/>
        </w:rPr>
        <w:t>Establishes identity as a research-driven, industry-linked university.</w:t>
      </w:r>
    </w:p>
    <w:p>
      <w:pPr>
        <w:spacing w:after="80" w:line="276" w:lineRule="auto"/>
      </w:pPr>
      <w:r>
        <w:rPr>
          <w:rFonts w:ascii="Cambria" w:hAnsi="Cambria"/>
          <w:b/>
          <w:i w:val="0"/>
          <w:sz w:val="22"/>
        </w:rPr>
        <w:t>In essence: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Projects and Academic Research acts as a knowledge mediator:</w:t>
      </w:r>
    </w:p>
    <w:p>
      <w:pPr>
        <w:pStyle w:val="ListBullet"/>
        <w:spacing w:after="80" w:line="276" w:lineRule="auto"/>
      </w:pPr>
      <w:r>
        <w:rPr>
          <w:rFonts w:ascii="Cambria" w:hAnsi="Cambria"/>
          <w:b w:val="0"/>
          <w:i w:val="0"/>
          <w:sz w:val="22"/>
        </w:rPr>
        <w:t xml:space="preserve">From classroom to laboratory (academia </w:t>
      </w:r>
      <w:r>
        <w:rPr>
          <w:rFonts w:ascii="Cambria" w:hAnsi="Cambria"/>
          <w:b w:val="0"/>
          <w:i w:val="0"/>
          <w:sz w:val="22"/>
        </w:rPr>
        <w:t>→ research),</w:t>
      </w:r>
    </w:p>
    <w:p>
      <w:pPr>
        <w:pStyle w:val="ListBullet"/>
        <w:spacing w:after="80" w:line="276" w:lineRule="auto"/>
      </w:pPr>
      <w:r>
        <w:rPr>
          <w:rFonts w:ascii="Cambria" w:hAnsi="Cambria"/>
          <w:b w:val="0"/>
          <w:i w:val="0"/>
          <w:sz w:val="22"/>
        </w:rPr>
        <w:t xml:space="preserve">From laboratory to marketplace (research </w:t>
      </w:r>
      <w:r>
        <w:rPr>
          <w:rFonts w:ascii="Cambria" w:hAnsi="Cambria"/>
          <w:b w:val="0"/>
          <w:i w:val="0"/>
          <w:sz w:val="22"/>
        </w:rPr>
        <w:t>→ industry),</w:t>
      </w:r>
    </w:p>
    <w:p>
      <w:pPr>
        <w:pStyle w:val="ListBullet"/>
        <w:spacing w:after="80" w:line="276" w:lineRule="auto"/>
      </w:pPr>
      <w:r>
        <w:rPr>
          <w:rFonts w:ascii="Cambria" w:hAnsi="Cambria"/>
          <w:b w:val="0"/>
          <w:i w:val="0"/>
          <w:sz w:val="22"/>
        </w:rPr>
        <w:t xml:space="preserve">And back to curriculum design (industry </w:t>
      </w:r>
      <w:r>
        <w:rPr>
          <w:rFonts w:ascii="Cambria" w:hAnsi="Cambria"/>
          <w:b w:val="0"/>
          <w:i w:val="0"/>
          <w:sz w:val="22"/>
        </w:rPr>
        <w:t>→ academia).</w:t>
      </w:r>
    </w:p>
    <w:p>
      <w:pPr>
        <w:spacing w:after="200" w:line="276" w:lineRule="auto"/>
        <w:jc w:val="both"/>
      </w:pPr>
      <w:r>
        <w:rPr>
          <w:rFonts w:ascii="Cambria" w:hAnsi="Cambria"/>
          <w:b w:val="0"/>
          <w:i w:val="0"/>
          <w:sz w:val="22"/>
        </w:rPr>
        <w:t>This cyclic knowledge flow ensures the University remains a hub of academic integrity, applied research, and industrial relevance.</w:t>
      </w:r>
    </w:p>
    <w:p>
      <w:r>
        <w:br w:type="page"/>
      </w:r>
    </w:p>
    <w:p>
      <w:pPr>
        <w:pStyle w:val="Heading1"/>
      </w:pPr>
      <w:r>
        <w:rPr>
          <w:rFonts w:ascii="Cambria" w:hAnsi="Cambria"/>
          <w:b/>
          <w:color w:val="1F3A5F"/>
          <w:sz w:val="36"/>
        </w:rPr>
        <w:t>7. Associate Dean – OBE (Outcome-Based Education) Implementation</w:t>
      </w:r>
    </w:p>
    <w:p>
      <w:pPr>
        <w:spacing w:after="160" w:line="276" w:lineRule="auto"/>
        <w:jc w:val="both"/>
      </w:pPr>
      <w:r>
        <w:rPr>
          <w:rFonts w:ascii="Cambria" w:hAnsi="Cambria"/>
          <w:b w:val="0"/>
          <w:i w:val="0"/>
          <w:sz w:val="22"/>
        </w:rPr>
        <w:t>An Associate Dean for OBE Implementation is a senior academic administrator who plays a pivotal role in guiding a university or college through the transition to an Outcome-Based Education (OBE) framework. This position is central to ensuring that the institution's academic programs are not only designed but also delivered and assessed in alignment with clearly defined learning outcomes at the course, program, and institutional levels. Reporting to the Dean of Academic Affairs, the Associate Dean provides both academic leadership and strategic oversight in embedding OBE principles into the institution's teaching–learning ecosystem.</w:t>
      </w:r>
    </w:p>
    <w:p>
      <w:pPr>
        <w:spacing w:after="160" w:line="276" w:lineRule="auto"/>
        <w:jc w:val="both"/>
      </w:pPr>
      <w:r>
        <w:rPr>
          <w:rFonts w:ascii="Cambria" w:hAnsi="Cambria"/>
          <w:b w:val="0"/>
          <w:i w:val="0"/>
          <w:sz w:val="22"/>
        </w:rPr>
        <w:t>The responsibilities of this role extend across the design, development, monitoring, and continuous improvement of academic programs. This includes ensuring that Course Outcomes (COs) map coherently to Program Outcomes (POs) and Program-Specific Outcomes (PSOs), and that each of these outcomes is measurable, assessable, and aligned with national accreditation requirements (NBA, NAAC) as well as global quality frameworks. The Associate Dean coordinates with faculty, curriculum committees, and accreditation bodies to establish robust systems for curriculum planning, outcome mapping, attainment analysis, and data-driven decision-making.</w:t>
      </w:r>
    </w:p>
    <w:p>
      <w:pPr>
        <w:spacing w:after="160" w:line="276" w:lineRule="auto"/>
        <w:jc w:val="both"/>
      </w:pPr>
      <w:r>
        <w:rPr>
          <w:rFonts w:ascii="Cambria" w:hAnsi="Cambria"/>
          <w:b w:val="0"/>
          <w:i w:val="0"/>
          <w:sz w:val="22"/>
        </w:rPr>
        <w:t>In addition to technical expertise, the position requires strong strategic planning, academic leadership, and change management skills, as shifting to OBE demands a transformation in institutional culture. Faculty members must be trained to adopt new pedagogical approaches, design outcome-oriented assessments, and use learning analytics to evaluate student performance against desired outcomes. The Associate Dean thus also functions as a capacity builder and change agent, equipping faculty with the tools and support needed for effective OBE adoption.</w:t>
      </w:r>
    </w:p>
    <w:p>
      <w:pPr>
        <w:spacing w:after="160" w:line="276" w:lineRule="auto"/>
        <w:jc w:val="both"/>
      </w:pPr>
      <w:r>
        <w:rPr>
          <w:rFonts w:ascii="Cambria" w:hAnsi="Cambria"/>
          <w:b w:val="0"/>
          <w:i w:val="0"/>
          <w:sz w:val="22"/>
        </w:rPr>
        <w:t>By leading this transition, the Associate Dean for OBE Implementation ensures that the institution remains future-ready, accreditation-compliant, and globally competitive, while also creating a student-centered learning environment that emphasizes competency development, employability, and lifelong learning.</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Works directly under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Serves as the chief facilitator of Outcome-Based Education (OBE) across all departments.</w:t>
      </w:r>
    </w:p>
    <w:p>
      <w:pPr>
        <w:pStyle w:val="ListBullet"/>
        <w:spacing w:after="80" w:line="276" w:lineRule="auto"/>
      </w:pPr>
      <w:r>
        <w:rPr>
          <w:rFonts w:ascii="Cambria" w:hAnsi="Cambria"/>
          <w:b w:val="0"/>
          <w:i w:val="0"/>
          <w:sz w:val="22"/>
        </w:rPr>
        <w:t>Ensures that all academic programs are aligned with:</w:t>
      </w:r>
    </w:p>
    <w:p>
      <w:pPr>
        <w:pStyle w:val="ListBullet2"/>
        <w:spacing w:after="80" w:line="276" w:lineRule="auto"/>
      </w:pPr>
      <w:r>
        <w:rPr>
          <w:rFonts w:ascii="Cambria" w:hAnsi="Cambria"/>
          <w:b w:val="0"/>
          <w:i w:val="0"/>
          <w:sz w:val="22"/>
        </w:rPr>
        <w:t>Graduate Attributes (GAs)</w:t>
      </w:r>
    </w:p>
    <w:p>
      <w:pPr>
        <w:pStyle w:val="ListBullet2"/>
        <w:spacing w:after="80" w:line="276" w:lineRule="auto"/>
      </w:pPr>
      <w:r>
        <w:rPr>
          <w:rFonts w:ascii="Cambria" w:hAnsi="Cambria"/>
          <w:b w:val="0"/>
          <w:i w:val="0"/>
          <w:sz w:val="22"/>
        </w:rPr>
        <w:t>Program Outcomes (POs)</w:t>
      </w:r>
    </w:p>
    <w:p>
      <w:pPr>
        <w:pStyle w:val="ListBullet2"/>
        <w:spacing w:after="80" w:line="276" w:lineRule="auto"/>
      </w:pPr>
      <w:r>
        <w:rPr>
          <w:rFonts w:ascii="Cambria" w:hAnsi="Cambria"/>
          <w:b w:val="0"/>
          <w:i w:val="0"/>
          <w:sz w:val="22"/>
        </w:rPr>
        <w:t>Program Specific Outcomes (PSOs)</w:t>
      </w:r>
    </w:p>
    <w:p>
      <w:pPr>
        <w:pStyle w:val="ListBullet2"/>
        <w:spacing w:after="80" w:line="276" w:lineRule="auto"/>
      </w:pPr>
      <w:r>
        <w:rPr>
          <w:rFonts w:ascii="Cambria" w:hAnsi="Cambria"/>
          <w:b w:val="0"/>
          <w:i w:val="0"/>
          <w:sz w:val="22"/>
        </w:rPr>
        <w:t>Course Outcomes (COs)</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Framework Development</w:t>
      </w:r>
    </w:p>
    <w:p>
      <w:pPr>
        <w:pStyle w:val="ListBullet"/>
        <w:spacing w:after="80" w:line="276" w:lineRule="auto"/>
      </w:pPr>
      <w:r>
        <w:rPr>
          <w:rFonts w:ascii="Cambria" w:hAnsi="Cambria"/>
          <w:b w:val="0"/>
          <w:i w:val="0"/>
          <w:sz w:val="22"/>
        </w:rPr>
        <w:t>Establishes a clear framework for CO-PO-PSO mapping.</w:t>
      </w:r>
    </w:p>
    <w:p>
      <w:pPr>
        <w:pStyle w:val="ListBullet"/>
        <w:spacing w:after="80" w:line="276" w:lineRule="auto"/>
      </w:pPr>
      <w:r>
        <w:rPr>
          <w:rFonts w:ascii="Cambria" w:hAnsi="Cambria"/>
          <w:b w:val="0"/>
          <w:i w:val="0"/>
          <w:sz w:val="22"/>
        </w:rPr>
        <w:t>Guides faculty in designing learning objectives and outcomes in line with Bloom's Taxonomy.</w:t>
      </w:r>
    </w:p>
    <w:p>
      <w:pPr>
        <w:pStyle w:val="ListBullet"/>
        <w:spacing w:after="80" w:line="276" w:lineRule="auto"/>
      </w:pPr>
      <w:r>
        <w:rPr>
          <w:rFonts w:ascii="Cambria" w:hAnsi="Cambria"/>
          <w:b w:val="0"/>
          <w:i w:val="0"/>
          <w:sz w:val="22"/>
        </w:rPr>
        <w:t>Ensures attainment measurement rubrics are standardized across programs.</w:t>
      </w:r>
    </w:p>
    <w:p>
      <w:pPr>
        <w:spacing w:after="80" w:line="276" w:lineRule="auto"/>
      </w:pPr>
      <w:r>
        <w:rPr>
          <w:rFonts w:ascii="Cambria" w:hAnsi="Cambria"/>
          <w:b/>
          <w:i w:val="0"/>
          <w:sz w:val="22"/>
        </w:rPr>
        <w:t>B. Curriculum Alignment</w:t>
      </w:r>
    </w:p>
    <w:p>
      <w:pPr>
        <w:pStyle w:val="ListBullet"/>
        <w:spacing w:after="80" w:line="276" w:lineRule="auto"/>
      </w:pPr>
      <w:r>
        <w:rPr>
          <w:rFonts w:ascii="Cambria" w:hAnsi="Cambria"/>
          <w:b w:val="0"/>
          <w:i w:val="0"/>
          <w:sz w:val="22"/>
        </w:rPr>
        <w:t>Works with Boards of Studies and departments to ensure courses are designed for attainment of POs and PSOs.</w:t>
      </w:r>
    </w:p>
    <w:p>
      <w:pPr>
        <w:pStyle w:val="ListBullet"/>
        <w:spacing w:after="80" w:line="276" w:lineRule="auto"/>
      </w:pPr>
      <w:r>
        <w:rPr>
          <w:rFonts w:ascii="Cambria" w:hAnsi="Cambria"/>
          <w:b w:val="0"/>
          <w:i w:val="0"/>
          <w:sz w:val="22"/>
        </w:rPr>
        <w:t>Reviews and revises syllabi periodically to ensure industry relevance and compliance with global standards.</w:t>
      </w:r>
    </w:p>
    <w:p>
      <w:pPr>
        <w:pStyle w:val="ListBullet"/>
        <w:spacing w:after="80" w:line="276" w:lineRule="auto"/>
      </w:pPr>
      <w:r>
        <w:rPr>
          <w:rFonts w:ascii="Cambria" w:hAnsi="Cambria"/>
          <w:b w:val="0"/>
          <w:i w:val="0"/>
          <w:sz w:val="22"/>
        </w:rPr>
        <w:t>Integrates skills, values, and employability components into the curriculum.</w:t>
      </w:r>
    </w:p>
    <w:p>
      <w:pPr>
        <w:spacing w:after="80" w:line="276" w:lineRule="auto"/>
      </w:pPr>
      <w:r>
        <w:rPr>
          <w:rFonts w:ascii="Cambria" w:hAnsi="Cambria"/>
          <w:b/>
          <w:i w:val="0"/>
          <w:sz w:val="22"/>
        </w:rPr>
        <w:t>C. Attainment Monitoring</w:t>
      </w:r>
    </w:p>
    <w:p>
      <w:pPr>
        <w:pStyle w:val="ListBullet"/>
        <w:spacing w:after="80" w:line="276" w:lineRule="auto"/>
      </w:pPr>
      <w:r>
        <w:rPr>
          <w:rFonts w:ascii="Cambria" w:hAnsi="Cambria"/>
          <w:b w:val="0"/>
          <w:i w:val="0"/>
          <w:sz w:val="22"/>
        </w:rPr>
        <w:t>Develops processes for collecting, analyzing, and reporting attainment data.</w:t>
      </w:r>
    </w:p>
    <w:p>
      <w:pPr>
        <w:pStyle w:val="ListBullet"/>
        <w:spacing w:after="80" w:line="276" w:lineRule="auto"/>
      </w:pPr>
      <w:r>
        <w:rPr>
          <w:rFonts w:ascii="Cambria" w:hAnsi="Cambria"/>
          <w:b w:val="0"/>
          <w:i w:val="0"/>
          <w:sz w:val="22"/>
        </w:rPr>
        <w:t>Works with departments to track direct (exam results, assignments, projects) and indirect (surveys, alumni feedback, employer feedback) attainment methods.</w:t>
      </w:r>
    </w:p>
    <w:p>
      <w:pPr>
        <w:pStyle w:val="ListBullet"/>
        <w:spacing w:after="80" w:line="276" w:lineRule="auto"/>
      </w:pPr>
      <w:r>
        <w:rPr>
          <w:rFonts w:ascii="Cambria" w:hAnsi="Cambria"/>
          <w:b w:val="0"/>
          <w:i w:val="0"/>
          <w:sz w:val="22"/>
        </w:rPr>
        <w:t>Prepares OBE compliance reports for accreditation bodies like NBA, NAAC, Washington Accord.</w:t>
      </w:r>
    </w:p>
    <w:p>
      <w:pPr>
        <w:spacing w:after="80" w:line="276" w:lineRule="auto"/>
      </w:pPr>
      <w:r>
        <w:rPr>
          <w:rFonts w:ascii="Cambria" w:hAnsi="Cambria"/>
          <w:b/>
          <w:i w:val="0"/>
          <w:sz w:val="22"/>
        </w:rPr>
        <w:t>D. Faculty Capacity Building</w:t>
      </w:r>
    </w:p>
    <w:p>
      <w:pPr>
        <w:pStyle w:val="ListBullet"/>
        <w:spacing w:after="80" w:line="276" w:lineRule="auto"/>
      </w:pPr>
      <w:r>
        <w:rPr>
          <w:rFonts w:ascii="Cambria" w:hAnsi="Cambria"/>
          <w:b w:val="0"/>
          <w:i w:val="0"/>
          <w:sz w:val="22"/>
        </w:rPr>
        <w:t>Conducts workshops and training sessions on:</w:t>
      </w:r>
    </w:p>
    <w:p>
      <w:pPr>
        <w:pStyle w:val="ListBullet2"/>
        <w:spacing w:after="80" w:line="276" w:lineRule="auto"/>
      </w:pPr>
      <w:r>
        <w:rPr>
          <w:rFonts w:ascii="Cambria" w:hAnsi="Cambria"/>
          <w:b w:val="0"/>
          <w:i w:val="0"/>
          <w:sz w:val="22"/>
        </w:rPr>
        <w:t>Designing COs, POs, and PSOs.</w:t>
      </w:r>
    </w:p>
    <w:p>
      <w:pPr>
        <w:pStyle w:val="ListBullet2"/>
        <w:spacing w:after="80" w:line="276" w:lineRule="auto"/>
      </w:pPr>
      <w:r>
        <w:rPr>
          <w:rFonts w:ascii="Cambria" w:hAnsi="Cambria"/>
          <w:b w:val="0"/>
          <w:i w:val="0"/>
          <w:sz w:val="22"/>
        </w:rPr>
        <w:t>Creating rubrics for continuous assessment.</w:t>
      </w:r>
    </w:p>
    <w:p>
      <w:pPr>
        <w:pStyle w:val="ListBullet2"/>
        <w:spacing w:after="80" w:line="276" w:lineRule="auto"/>
      </w:pPr>
      <w:r>
        <w:rPr>
          <w:rFonts w:ascii="Cambria" w:hAnsi="Cambria"/>
          <w:b w:val="0"/>
          <w:i w:val="0"/>
          <w:sz w:val="22"/>
        </w:rPr>
        <w:t>Using OBE software/ERP tools for mapping and analysis.</w:t>
      </w:r>
    </w:p>
    <w:p>
      <w:pPr>
        <w:pStyle w:val="ListBullet"/>
        <w:spacing w:after="80" w:line="276" w:lineRule="auto"/>
      </w:pPr>
      <w:r>
        <w:rPr>
          <w:rFonts w:ascii="Cambria" w:hAnsi="Cambria"/>
          <w:b w:val="0"/>
          <w:i w:val="0"/>
          <w:sz w:val="22"/>
        </w:rPr>
        <w:t>Provides mentorship and feedback to faculty for improving OBE practices.</w:t>
      </w:r>
    </w:p>
    <w:p>
      <w:pPr>
        <w:spacing w:after="80" w:line="276" w:lineRule="auto"/>
      </w:pPr>
      <w:r>
        <w:rPr>
          <w:rFonts w:ascii="Cambria" w:hAnsi="Cambria"/>
          <w:b/>
          <w:i w:val="0"/>
          <w:sz w:val="22"/>
        </w:rPr>
        <w:t>E. Accreditation and Quality Assurance</w:t>
      </w:r>
    </w:p>
    <w:p>
      <w:pPr>
        <w:pStyle w:val="ListBullet"/>
        <w:spacing w:after="80" w:line="276" w:lineRule="auto"/>
      </w:pPr>
      <w:r>
        <w:rPr>
          <w:rFonts w:ascii="Cambria" w:hAnsi="Cambria"/>
          <w:b w:val="0"/>
          <w:i w:val="0"/>
          <w:sz w:val="22"/>
        </w:rPr>
        <w:t>Leads OBE-related documentation for NBA, NAAC, NIRF, QS I-GAUGE.</w:t>
      </w:r>
    </w:p>
    <w:p>
      <w:pPr>
        <w:pStyle w:val="ListBullet"/>
        <w:spacing w:after="80" w:line="276" w:lineRule="auto"/>
      </w:pPr>
      <w:r>
        <w:rPr>
          <w:rFonts w:ascii="Cambria" w:hAnsi="Cambria"/>
          <w:b w:val="0"/>
          <w:i w:val="0"/>
          <w:sz w:val="22"/>
        </w:rPr>
        <w:t>Works with the IQAC (Internal Quality Assurance Cell) to ensure continuous monitoring and improvement.</w:t>
      </w:r>
    </w:p>
    <w:p>
      <w:pPr>
        <w:pStyle w:val="ListBullet"/>
        <w:spacing w:after="80" w:line="276" w:lineRule="auto"/>
      </w:pPr>
      <w:r>
        <w:rPr>
          <w:rFonts w:ascii="Cambria" w:hAnsi="Cambria"/>
          <w:b w:val="0"/>
          <w:i w:val="0"/>
          <w:sz w:val="22"/>
        </w:rPr>
        <w:t>Submits evidence-based reports to national and international accrediting bodies.</w:t>
      </w:r>
    </w:p>
    <w:p>
      <w:pPr>
        <w:spacing w:after="80" w:line="276" w:lineRule="auto"/>
      </w:pPr>
      <w:r>
        <w:rPr>
          <w:rFonts w:ascii="Cambria" w:hAnsi="Cambria"/>
          <w:b/>
          <w:i w:val="0"/>
          <w:sz w:val="22"/>
        </w:rPr>
        <w:t>F. Student-Centric OBE Implementation</w:t>
      </w:r>
    </w:p>
    <w:p>
      <w:pPr>
        <w:pStyle w:val="ListBullet"/>
        <w:spacing w:after="80" w:line="276" w:lineRule="auto"/>
      </w:pPr>
      <w:r>
        <w:rPr>
          <w:rFonts w:ascii="Cambria" w:hAnsi="Cambria"/>
          <w:b w:val="0"/>
          <w:i w:val="0"/>
          <w:sz w:val="22"/>
        </w:rPr>
        <w:t>Ensures OBE shifts focus from teaching (input) to learning (outcome).</w:t>
      </w:r>
    </w:p>
    <w:p>
      <w:pPr>
        <w:pStyle w:val="ListBullet"/>
        <w:spacing w:after="80" w:line="276" w:lineRule="auto"/>
      </w:pPr>
      <w:r>
        <w:rPr>
          <w:rFonts w:ascii="Cambria" w:hAnsi="Cambria"/>
          <w:b w:val="0"/>
          <w:i w:val="0"/>
          <w:sz w:val="22"/>
        </w:rPr>
        <w:t>Uses student performance data to identify:</w:t>
      </w:r>
    </w:p>
    <w:p>
      <w:pPr>
        <w:pStyle w:val="ListBullet2"/>
        <w:spacing w:after="80" w:line="276" w:lineRule="auto"/>
      </w:pPr>
      <w:r>
        <w:rPr>
          <w:rFonts w:ascii="Cambria" w:hAnsi="Cambria"/>
          <w:b w:val="0"/>
          <w:i w:val="0"/>
          <w:sz w:val="22"/>
        </w:rPr>
        <w:t xml:space="preserve">High achievers </w:t>
      </w:r>
      <w:r>
        <w:rPr>
          <w:rFonts w:ascii="Cambria" w:hAnsi="Cambria"/>
          <w:b w:val="0"/>
          <w:i w:val="0"/>
          <w:sz w:val="22"/>
        </w:rPr>
        <w:t>→ pathways for advanced learning/research.</w:t>
      </w:r>
    </w:p>
    <w:p>
      <w:pPr>
        <w:pStyle w:val="ListBullet2"/>
        <w:spacing w:after="80" w:line="276" w:lineRule="auto"/>
      </w:pPr>
      <w:r>
        <w:rPr>
          <w:rFonts w:ascii="Cambria" w:hAnsi="Cambria"/>
          <w:b w:val="0"/>
          <w:i w:val="0"/>
          <w:sz w:val="22"/>
        </w:rPr>
        <w:t xml:space="preserve">At-risk students </w:t>
      </w:r>
      <w:r>
        <w:rPr>
          <w:rFonts w:ascii="Cambria" w:hAnsi="Cambria"/>
          <w:b w:val="0"/>
          <w:i w:val="0"/>
          <w:sz w:val="22"/>
        </w:rPr>
        <w:t>→ remedial measures.</w:t>
      </w:r>
    </w:p>
    <w:p>
      <w:pPr>
        <w:pStyle w:val="ListBullet"/>
        <w:spacing w:after="80" w:line="276" w:lineRule="auto"/>
      </w:pPr>
      <w:r>
        <w:rPr>
          <w:rFonts w:ascii="Cambria" w:hAnsi="Cambria"/>
          <w:b w:val="0"/>
          <w:i w:val="0"/>
          <w:sz w:val="22"/>
        </w:rPr>
        <w:t>Collects student feedback on OBE implementation and addresses concerns.</w:t>
      </w:r>
    </w:p>
    <w:p>
      <w:pPr>
        <w:pStyle w:val="Heading3"/>
      </w:pPr>
      <w:r>
        <w:rPr>
          <w:rFonts w:ascii="Cambria" w:hAnsi="Cambria"/>
          <w:b/>
          <w:color w:val="1F3A5F"/>
          <w:sz w:val="26"/>
        </w:rPr>
        <w:t>3. Liaison and Coordination</w:t>
      </w:r>
    </w:p>
    <w:p>
      <w:pPr>
        <w:pStyle w:val="ListBullet"/>
        <w:spacing w:after="80" w:line="276" w:lineRule="auto"/>
      </w:pPr>
      <w:r>
        <w:rPr>
          <w:rFonts w:ascii="Cambria" w:hAnsi="Cambria"/>
          <w:b/>
          <w:i w:val="0"/>
          <w:sz w:val="22"/>
        </w:rPr>
        <w:t>Internal:</w:t>
      </w:r>
    </w:p>
    <w:p>
      <w:pPr>
        <w:pStyle w:val="ListBullet2"/>
        <w:spacing w:after="80" w:line="276" w:lineRule="auto"/>
      </w:pPr>
      <w:r>
        <w:rPr>
          <w:rFonts w:ascii="Cambria" w:hAnsi="Cambria"/>
          <w:b w:val="0"/>
          <w:i w:val="0"/>
          <w:sz w:val="22"/>
        </w:rPr>
        <w:t>Works closely with Heads of Departments, Curriculum Committees, Dean (Evaluation), and IQAC.</w:t>
      </w:r>
    </w:p>
    <w:p>
      <w:pPr>
        <w:pStyle w:val="ListBullet2"/>
        <w:spacing w:after="80" w:line="276" w:lineRule="auto"/>
      </w:pPr>
      <w:r>
        <w:rPr>
          <w:rFonts w:ascii="Cambria" w:hAnsi="Cambria"/>
          <w:b w:val="0"/>
          <w:i w:val="0"/>
          <w:sz w:val="22"/>
        </w:rPr>
        <w:t>Coordinates with Registrar for integration into academic rules and records.</w:t>
      </w:r>
    </w:p>
    <w:p>
      <w:pPr>
        <w:pStyle w:val="ListBullet"/>
        <w:spacing w:after="80" w:line="276" w:lineRule="auto"/>
      </w:pPr>
      <w:r>
        <w:rPr>
          <w:rFonts w:ascii="Cambria" w:hAnsi="Cambria"/>
          <w:b/>
          <w:i w:val="0"/>
          <w:sz w:val="22"/>
        </w:rPr>
        <w:t>External:</w:t>
      </w:r>
    </w:p>
    <w:p>
      <w:pPr>
        <w:pStyle w:val="ListBullet2"/>
        <w:spacing w:after="80" w:line="276" w:lineRule="auto"/>
      </w:pPr>
      <w:r>
        <w:rPr>
          <w:rFonts w:ascii="Cambria" w:hAnsi="Cambria"/>
          <w:b w:val="0"/>
          <w:i w:val="0"/>
          <w:sz w:val="22"/>
        </w:rPr>
        <w:t>Engages with NBA, NAAC experts, UGC/AICTE representatives, and Washington Accord assessors.</w:t>
      </w:r>
    </w:p>
    <w:p>
      <w:pPr>
        <w:pStyle w:val="ListBullet2"/>
        <w:spacing w:after="80" w:line="276" w:lineRule="auto"/>
      </w:pPr>
      <w:r>
        <w:rPr>
          <w:rFonts w:ascii="Cambria" w:hAnsi="Cambria"/>
          <w:b w:val="0"/>
          <w:i w:val="0"/>
          <w:sz w:val="22"/>
        </w:rPr>
        <w:t>Collaborates with industry experts for defining program-specific outcomes.</w:t>
      </w:r>
    </w:p>
    <w:p>
      <w:pPr>
        <w:pStyle w:val="Heading3"/>
      </w:pPr>
      <w:r>
        <w:rPr>
          <w:rFonts w:ascii="Cambria" w:hAnsi="Cambria"/>
          <w:b/>
          <w:color w:val="1F3A5F"/>
          <w:sz w:val="26"/>
        </w:rPr>
        <w:t>4.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Improves learning quality by focusing on measurable competencies.</w:t>
      </w:r>
    </w:p>
    <w:p>
      <w:pPr>
        <w:pStyle w:val="ListBullet2"/>
        <w:spacing w:after="80" w:line="276" w:lineRule="auto"/>
      </w:pPr>
      <w:r>
        <w:rPr>
          <w:rFonts w:ascii="Cambria" w:hAnsi="Cambria"/>
          <w:b w:val="0"/>
          <w:i w:val="0"/>
          <w:sz w:val="22"/>
        </w:rPr>
        <w:t>Ensures graduates are globally competitive and industry-ready.</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Provides clarity in teaching and assessment methods.</w:t>
      </w:r>
    </w:p>
    <w:p>
      <w:pPr>
        <w:pStyle w:val="ListBullet2"/>
        <w:spacing w:after="80" w:line="276" w:lineRule="auto"/>
      </w:pPr>
      <w:r>
        <w:rPr>
          <w:rFonts w:ascii="Cambria" w:hAnsi="Cambria"/>
          <w:b w:val="0"/>
          <w:i w:val="0"/>
          <w:sz w:val="22"/>
        </w:rPr>
        <w:t>Encourages faculty to adopt innovative pedagogies.</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Boosts accreditation scores and improves compliance with NBA/NAAC criteria.</w:t>
      </w:r>
    </w:p>
    <w:p>
      <w:pPr>
        <w:pStyle w:val="ListBullet2"/>
        <w:spacing w:after="80" w:line="276" w:lineRule="auto"/>
      </w:pPr>
      <w:r>
        <w:rPr>
          <w:rFonts w:ascii="Cambria" w:hAnsi="Cambria"/>
          <w:b w:val="0"/>
          <w:i w:val="0"/>
          <w:sz w:val="22"/>
        </w:rPr>
        <w:t>Enhances the university's global standing through alignment with Washington Accord standards.</w:t>
      </w:r>
    </w:p>
    <w:p>
      <w:pPr>
        <w:pStyle w:val="Heading3"/>
      </w:pPr>
      <w:r>
        <w:rPr>
          <w:rFonts w:ascii="Cambria" w:hAnsi="Cambria"/>
          <w:b/>
          <w:color w:val="1F3A5F"/>
          <w:sz w:val="26"/>
        </w:rPr>
        <w:t>5. Strategic Outcomes</w:t>
      </w:r>
    </w:p>
    <w:p>
      <w:pPr>
        <w:pStyle w:val="ListBullet"/>
        <w:spacing w:after="80" w:line="276" w:lineRule="auto"/>
      </w:pPr>
      <w:r>
        <w:rPr>
          <w:rFonts w:ascii="Cambria" w:hAnsi="Cambria"/>
          <w:b w:val="0"/>
          <w:i w:val="0"/>
          <w:sz w:val="22"/>
        </w:rPr>
        <w:t>Transparent and measurable attainment of learning outcomes.</w:t>
      </w:r>
    </w:p>
    <w:p>
      <w:pPr>
        <w:pStyle w:val="ListBullet"/>
        <w:spacing w:after="80" w:line="276" w:lineRule="auto"/>
      </w:pPr>
      <w:r>
        <w:rPr>
          <w:rFonts w:ascii="Cambria" w:hAnsi="Cambria"/>
          <w:b w:val="0"/>
          <w:i w:val="0"/>
          <w:sz w:val="22"/>
        </w:rPr>
        <w:t>Enhanced employability and higher education readiness of graduates.</w:t>
      </w:r>
    </w:p>
    <w:p>
      <w:pPr>
        <w:pStyle w:val="ListBullet"/>
        <w:spacing w:after="80" w:line="276" w:lineRule="auto"/>
      </w:pPr>
      <w:r>
        <w:rPr>
          <w:rFonts w:ascii="Cambria" w:hAnsi="Cambria"/>
          <w:b w:val="0"/>
          <w:i w:val="0"/>
          <w:sz w:val="22"/>
        </w:rPr>
        <w:t>Strengthened global recognition of academic programs.</w:t>
      </w:r>
    </w:p>
    <w:p>
      <w:pPr>
        <w:pStyle w:val="ListBullet"/>
        <w:spacing w:after="80" w:line="276" w:lineRule="auto"/>
      </w:pPr>
      <w:r>
        <w:rPr>
          <w:rFonts w:ascii="Cambria" w:hAnsi="Cambria"/>
          <w:b w:val="0"/>
          <w:i w:val="0"/>
          <w:sz w:val="22"/>
        </w:rPr>
        <w:t>Improved ranking and accreditation performance.</w:t>
      </w:r>
    </w:p>
    <w:p>
      <w:r>
        <w:br w:type="page"/>
      </w:r>
    </w:p>
    <w:p>
      <w:pPr>
        <w:pStyle w:val="Heading1"/>
      </w:pPr>
      <w:r>
        <w:rPr>
          <w:rFonts w:ascii="Cambria" w:hAnsi="Cambria"/>
          <w:b/>
          <w:color w:val="1F3A5F"/>
          <w:sz w:val="36"/>
        </w:rPr>
        <w:t>8. Associate Dean – OBE Implementation: Custodian of Outcome-Driven Education</w:t>
      </w:r>
    </w:p>
    <w:p>
      <w:pPr>
        <w:pStyle w:val="Heading3"/>
      </w:pPr>
      <w:r>
        <w:rPr>
          <w:rFonts w:ascii="Cambria" w:hAnsi="Cambria"/>
          <w:b/>
          <w:color w:val="1F3A5F"/>
          <w:sz w:val="26"/>
        </w:rPr>
        <w:t>1. Guardian of Academic Outcomes</w:t>
      </w:r>
    </w:p>
    <w:p>
      <w:pPr>
        <w:pStyle w:val="ListBullet"/>
        <w:spacing w:after="80" w:line="276" w:lineRule="auto"/>
      </w:pPr>
      <w:r>
        <w:rPr>
          <w:rFonts w:ascii="Cambria" w:hAnsi="Cambria"/>
          <w:b w:val="0"/>
          <w:i w:val="0"/>
          <w:sz w:val="22"/>
        </w:rPr>
        <w:t>Ensures every course and program is linked to Course Outcomes (COs), Program Outcomes (POs), and Program Specific Outcomes (PSOs).</w:t>
      </w:r>
    </w:p>
    <w:p>
      <w:pPr>
        <w:pStyle w:val="ListBullet"/>
        <w:spacing w:after="80" w:line="276" w:lineRule="auto"/>
      </w:pPr>
      <w:r>
        <w:rPr>
          <w:rFonts w:ascii="Cambria" w:hAnsi="Cambria"/>
          <w:b w:val="0"/>
          <w:i w:val="0"/>
          <w:sz w:val="22"/>
        </w:rPr>
        <w:t>Shifts focus from “what is taught” (input-based) to “what is learned and applied” (outcome-based).</w:t>
      </w:r>
    </w:p>
    <w:p>
      <w:pPr>
        <w:pStyle w:val="ListBullet"/>
        <w:spacing w:after="80" w:line="276" w:lineRule="auto"/>
      </w:pPr>
      <w:r>
        <w:rPr>
          <w:rFonts w:ascii="Cambria" w:hAnsi="Cambria"/>
          <w:b w:val="0"/>
          <w:i w:val="0"/>
          <w:sz w:val="22"/>
        </w:rPr>
        <w:t>Establishes clear attainment criteria that define student competencies at the end of each course/program.</w:t>
      </w:r>
    </w:p>
    <w:p>
      <w:pPr>
        <w:pStyle w:val="Heading3"/>
      </w:pPr>
      <w:r>
        <w:rPr>
          <w:rFonts w:ascii="Cambria" w:hAnsi="Cambria"/>
          <w:b/>
          <w:color w:val="1F3A5F"/>
          <w:sz w:val="26"/>
        </w:rPr>
        <w:t>2. Custodian of Educational Quality</w:t>
      </w:r>
    </w:p>
    <w:p>
      <w:pPr>
        <w:pStyle w:val="ListBullet"/>
        <w:spacing w:after="80" w:line="276" w:lineRule="auto"/>
      </w:pPr>
      <w:r>
        <w:rPr>
          <w:rFonts w:ascii="Cambria" w:hAnsi="Cambria"/>
          <w:b w:val="0"/>
          <w:i w:val="0"/>
          <w:sz w:val="22"/>
        </w:rPr>
        <w:t xml:space="preserve">Embeds Bloom's Taxonomy in curriculum design (Remember </w:t>
      </w:r>
      <w:r>
        <w:rPr>
          <w:rFonts w:ascii="Cambria" w:hAnsi="Cambria"/>
          <w:b w:val="0"/>
          <w:i w:val="0"/>
          <w:sz w:val="22"/>
        </w:rPr>
        <w:t>→ Understand → Apply → Analyze → Evaluate → Create).</w:t>
      </w:r>
    </w:p>
    <w:p>
      <w:pPr>
        <w:pStyle w:val="ListBullet"/>
        <w:spacing w:after="80" w:line="276" w:lineRule="auto"/>
      </w:pPr>
      <w:r>
        <w:rPr>
          <w:rFonts w:ascii="Cambria" w:hAnsi="Cambria"/>
          <w:b w:val="0"/>
          <w:i w:val="0"/>
          <w:sz w:val="22"/>
        </w:rPr>
        <w:t>Ensures that learning outcomes are measurable, assessable, and achievable.</w:t>
      </w:r>
    </w:p>
    <w:p>
      <w:pPr>
        <w:pStyle w:val="ListBullet"/>
        <w:spacing w:after="80" w:line="276" w:lineRule="auto"/>
      </w:pPr>
      <w:r>
        <w:rPr>
          <w:rFonts w:ascii="Cambria" w:hAnsi="Cambria"/>
          <w:b w:val="0"/>
          <w:i w:val="0"/>
          <w:sz w:val="22"/>
        </w:rPr>
        <w:t>Aligns teaching and evaluation with national (NBA, NAAC) and global (Washington Accord) accreditation frameworks.</w:t>
      </w:r>
    </w:p>
    <w:p>
      <w:pPr>
        <w:pStyle w:val="Heading3"/>
      </w:pPr>
      <w:r>
        <w:rPr>
          <w:rFonts w:ascii="Cambria" w:hAnsi="Cambria"/>
          <w:b/>
          <w:color w:val="1F3A5F"/>
          <w:sz w:val="26"/>
        </w:rPr>
        <w:t>3. Enabler of Faculty Practice</w:t>
      </w:r>
    </w:p>
    <w:p>
      <w:pPr>
        <w:pStyle w:val="ListBullet"/>
        <w:spacing w:after="80" w:line="276" w:lineRule="auto"/>
      </w:pPr>
      <w:r>
        <w:rPr>
          <w:rFonts w:ascii="Cambria" w:hAnsi="Cambria"/>
          <w:b w:val="0"/>
          <w:i w:val="0"/>
          <w:sz w:val="22"/>
        </w:rPr>
        <w:t>Trains faculty to design outcome-based lesson plans, rubrics, and assessments.</w:t>
      </w:r>
    </w:p>
    <w:p>
      <w:pPr>
        <w:pStyle w:val="ListBullet"/>
        <w:spacing w:after="80" w:line="276" w:lineRule="auto"/>
      </w:pPr>
      <w:r>
        <w:rPr>
          <w:rFonts w:ascii="Cambria" w:hAnsi="Cambria"/>
          <w:b w:val="0"/>
          <w:i w:val="0"/>
          <w:sz w:val="22"/>
        </w:rPr>
        <w:t>Introduces continuous assessment mechanisms beyond traditional exams (projects, case studies, presentations, problem-based learning).</w:t>
      </w:r>
    </w:p>
    <w:p>
      <w:pPr>
        <w:pStyle w:val="ListBullet"/>
        <w:spacing w:after="80" w:line="276" w:lineRule="auto"/>
      </w:pPr>
      <w:r>
        <w:rPr>
          <w:rFonts w:ascii="Cambria" w:hAnsi="Cambria"/>
          <w:b w:val="0"/>
          <w:i w:val="0"/>
          <w:sz w:val="22"/>
        </w:rPr>
        <w:t>Monitors teaching to ensure outcomes are being systematically mapped and achieved.</w:t>
      </w:r>
    </w:p>
    <w:p>
      <w:pPr>
        <w:pStyle w:val="Heading3"/>
      </w:pPr>
      <w:r>
        <w:rPr>
          <w:rFonts w:ascii="Cambria" w:hAnsi="Cambria"/>
          <w:b/>
          <w:color w:val="1F3A5F"/>
          <w:sz w:val="26"/>
        </w:rPr>
        <w:t>4. Facilitator of Continuous Improvement</w:t>
      </w:r>
    </w:p>
    <w:p>
      <w:pPr>
        <w:pStyle w:val="ListBullet"/>
        <w:spacing w:after="80" w:line="276" w:lineRule="auto"/>
      </w:pPr>
      <w:r>
        <w:rPr>
          <w:rFonts w:ascii="Cambria" w:hAnsi="Cambria"/>
          <w:b w:val="0"/>
          <w:i w:val="0"/>
          <w:sz w:val="22"/>
        </w:rPr>
        <w:t>Collects direct attainment data (exams, assignments, projects) and indirect attainment data (student surveys, alumni/employer feedback).</w:t>
      </w:r>
    </w:p>
    <w:p>
      <w:pPr>
        <w:pStyle w:val="ListBullet"/>
        <w:spacing w:after="80" w:line="276" w:lineRule="auto"/>
      </w:pPr>
      <w:r>
        <w:rPr>
          <w:rFonts w:ascii="Cambria" w:hAnsi="Cambria"/>
          <w:b w:val="0"/>
          <w:i w:val="0"/>
          <w:sz w:val="22"/>
        </w:rPr>
        <w:t>Analyzes gaps between expected outcomes vs. achieved outcomes.</w:t>
      </w:r>
    </w:p>
    <w:p>
      <w:pPr>
        <w:pStyle w:val="ListBullet"/>
        <w:spacing w:after="80" w:line="276" w:lineRule="auto"/>
      </w:pPr>
      <w:r>
        <w:rPr>
          <w:rFonts w:ascii="Cambria" w:hAnsi="Cambria"/>
          <w:b w:val="0"/>
          <w:i w:val="0"/>
          <w:sz w:val="22"/>
        </w:rPr>
        <w:t>Recommends corrective actions (curriculum revision, pedagogical training, additional student support).</w:t>
      </w:r>
    </w:p>
    <w:p>
      <w:pPr>
        <w:pStyle w:val="ListBullet"/>
        <w:spacing w:after="80" w:line="276" w:lineRule="auto"/>
      </w:pPr>
      <w:r>
        <w:rPr>
          <w:rFonts w:ascii="Cambria" w:hAnsi="Cambria"/>
          <w:b w:val="0"/>
          <w:i w:val="0"/>
          <w:sz w:val="22"/>
        </w:rPr>
        <w:t>Closes the feedback loop by ensuring improvements are implemented.</w:t>
      </w:r>
    </w:p>
    <w:p>
      <w:pPr>
        <w:pStyle w:val="Heading3"/>
      </w:pPr>
      <w:r>
        <w:rPr>
          <w:rFonts w:ascii="Cambria" w:hAnsi="Cambria"/>
          <w:b/>
          <w:color w:val="1F3A5F"/>
          <w:sz w:val="26"/>
        </w:rPr>
        <w:t>5. Compliance and Accreditation Custodian</w:t>
      </w:r>
    </w:p>
    <w:p>
      <w:pPr>
        <w:pStyle w:val="ListBullet"/>
        <w:spacing w:after="80" w:line="276" w:lineRule="auto"/>
      </w:pPr>
      <w:r>
        <w:rPr>
          <w:rFonts w:ascii="Cambria" w:hAnsi="Cambria"/>
          <w:b w:val="0"/>
          <w:i w:val="0"/>
          <w:sz w:val="22"/>
        </w:rPr>
        <w:t>Leads preparation of OBE compliance reports for NBA, NAAC, NIRF, and global accreditations.</w:t>
      </w:r>
    </w:p>
    <w:p>
      <w:pPr>
        <w:pStyle w:val="ListBullet"/>
        <w:spacing w:after="80" w:line="276" w:lineRule="auto"/>
      </w:pPr>
      <w:r>
        <w:rPr>
          <w:rFonts w:ascii="Cambria" w:hAnsi="Cambria"/>
          <w:b w:val="0"/>
          <w:i w:val="0"/>
          <w:sz w:val="22"/>
        </w:rPr>
        <w:t>Acts as the single-point academic officer for demonstrating evidence of learning outcome attainment during audits.</w:t>
      </w:r>
    </w:p>
    <w:p>
      <w:pPr>
        <w:pStyle w:val="ListBullet"/>
        <w:spacing w:after="80" w:line="276" w:lineRule="auto"/>
      </w:pPr>
      <w:r>
        <w:rPr>
          <w:rFonts w:ascii="Cambria" w:hAnsi="Cambria"/>
          <w:b w:val="0"/>
          <w:i w:val="0"/>
          <w:sz w:val="22"/>
        </w:rPr>
        <w:t>Ensures the university's programs meet international comparability and recognition standards.</w:t>
      </w:r>
    </w:p>
    <w:p>
      <w:pPr>
        <w:pStyle w:val="Heading3"/>
      </w:pPr>
      <w:r>
        <w:rPr>
          <w:rFonts w:ascii="Cambria" w:hAnsi="Cambria"/>
          <w:b/>
          <w:color w:val="1F3A5F"/>
          <w:sz w:val="26"/>
        </w:rPr>
        <w:t>6. Student-Centric Custodianship</w:t>
      </w:r>
    </w:p>
    <w:p>
      <w:pPr>
        <w:pStyle w:val="ListBullet"/>
        <w:spacing w:after="80" w:line="276" w:lineRule="auto"/>
      </w:pPr>
      <w:r>
        <w:rPr>
          <w:rFonts w:ascii="Cambria" w:hAnsi="Cambria"/>
          <w:b w:val="0"/>
          <w:i w:val="0"/>
          <w:sz w:val="22"/>
        </w:rPr>
        <w:t>Ensures students graduate with employable skills, critical thinking, and lifelong learning capabilities.</w:t>
      </w:r>
    </w:p>
    <w:p>
      <w:pPr>
        <w:pStyle w:val="ListBullet"/>
        <w:spacing w:after="80" w:line="276" w:lineRule="auto"/>
      </w:pPr>
      <w:r>
        <w:rPr>
          <w:rFonts w:ascii="Cambria" w:hAnsi="Cambria"/>
          <w:b w:val="0"/>
          <w:i w:val="0"/>
          <w:sz w:val="22"/>
        </w:rPr>
        <w:t>Identifies at-risk learners through attainment data and implements remedial actions.</w:t>
      </w:r>
    </w:p>
    <w:p>
      <w:pPr>
        <w:pStyle w:val="ListBullet"/>
        <w:spacing w:after="80" w:line="276" w:lineRule="auto"/>
      </w:pPr>
      <w:r>
        <w:rPr>
          <w:rFonts w:ascii="Cambria" w:hAnsi="Cambria"/>
          <w:b w:val="0"/>
          <w:i w:val="0"/>
          <w:sz w:val="22"/>
        </w:rPr>
        <w:t>Creates a culture of student accountability and ownership of learning.</w:t>
      </w:r>
    </w:p>
    <w:p>
      <w:pPr>
        <w:pStyle w:val="Heading3"/>
      </w:pPr>
      <w:r>
        <w:rPr>
          <w:rFonts w:ascii="Cambria" w:hAnsi="Cambria"/>
          <w:b/>
          <w:color w:val="1F3A5F"/>
          <w:sz w:val="26"/>
        </w:rPr>
        <w:t>7. Strategic Impact</w:t>
      </w:r>
    </w:p>
    <w:p>
      <w:pPr>
        <w:pStyle w:val="ListBullet"/>
        <w:spacing w:after="80" w:line="276" w:lineRule="auto"/>
      </w:pPr>
      <w:r>
        <w:rPr>
          <w:rFonts w:ascii="Cambria" w:hAnsi="Cambria"/>
          <w:b/>
          <w:i w:val="0"/>
          <w:sz w:val="22"/>
        </w:rPr>
        <w:t xml:space="preserve">For Students: </w:t>
      </w:r>
      <w:r>
        <w:rPr>
          <w:rFonts w:ascii="Cambria" w:hAnsi="Cambria"/>
          <w:b w:val="0"/>
          <w:i w:val="0"/>
          <w:sz w:val="22"/>
        </w:rPr>
        <w:t>Ensures graduates are job-ready, research-ready, and globally competent.</w:t>
      </w:r>
    </w:p>
    <w:p>
      <w:pPr>
        <w:pStyle w:val="ListBullet"/>
        <w:spacing w:after="80" w:line="276" w:lineRule="auto"/>
      </w:pPr>
      <w:r>
        <w:rPr>
          <w:rFonts w:ascii="Cambria" w:hAnsi="Cambria"/>
          <w:b/>
          <w:i w:val="0"/>
          <w:sz w:val="22"/>
        </w:rPr>
        <w:t xml:space="preserve">For Faculty: </w:t>
      </w:r>
      <w:r>
        <w:rPr>
          <w:rFonts w:ascii="Cambria" w:hAnsi="Cambria"/>
          <w:b w:val="0"/>
          <w:i w:val="0"/>
          <w:sz w:val="22"/>
        </w:rPr>
        <w:t>Provides clarity, structure, and tools for effective teaching and evaluation.</w:t>
      </w:r>
    </w:p>
    <w:p>
      <w:pPr>
        <w:pStyle w:val="ListBullet"/>
        <w:spacing w:after="80" w:line="276" w:lineRule="auto"/>
      </w:pPr>
      <w:r>
        <w:rPr>
          <w:rFonts w:ascii="Cambria" w:hAnsi="Cambria"/>
          <w:b/>
          <w:i w:val="0"/>
          <w:sz w:val="22"/>
        </w:rPr>
        <w:t xml:space="preserve">For Institution: </w:t>
      </w:r>
      <w:r>
        <w:rPr>
          <w:rFonts w:ascii="Cambria" w:hAnsi="Cambria"/>
          <w:b w:val="0"/>
          <w:i w:val="0"/>
          <w:sz w:val="22"/>
        </w:rPr>
        <w:t>Positions the university as OBE-compliant, improving accreditation scores, global ranking, and reputation.</w:t>
      </w:r>
    </w:p>
    <w:p>
      <w:pPr>
        <w:pStyle w:val="ListBullet"/>
        <w:spacing w:after="80" w:line="276" w:lineRule="auto"/>
      </w:pPr>
      <w:r>
        <w:rPr>
          <w:rFonts w:ascii="Cambria" w:hAnsi="Cambria"/>
          <w:b/>
          <w:i w:val="0"/>
          <w:sz w:val="22"/>
        </w:rPr>
        <w:t xml:space="preserve">For Society/Industry: </w:t>
      </w:r>
      <w:r>
        <w:rPr>
          <w:rFonts w:ascii="Cambria" w:hAnsi="Cambria"/>
          <w:b w:val="0"/>
          <w:i w:val="0"/>
          <w:sz w:val="22"/>
        </w:rPr>
        <w:t>Produces graduates with defined competencies and measurable skills.</w:t>
      </w:r>
    </w:p>
    <w:p>
      <w:pPr>
        <w:spacing w:after="80" w:line="276" w:lineRule="auto"/>
      </w:pPr>
      <w:r>
        <w:rPr>
          <w:rFonts w:ascii="Cambria" w:hAnsi="Cambria"/>
          <w:b/>
          <w:i w:val="0"/>
          <w:sz w:val="22"/>
        </w:rPr>
        <w:t>In essence: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OBE Implementation is rightly called the custodian of outcome-driven education because this role ensures:</w:t>
      </w:r>
    </w:p>
    <w:p>
      <w:pPr>
        <w:pStyle w:val="ListBullet"/>
        <w:spacing w:after="80" w:line="276" w:lineRule="auto"/>
      </w:pPr>
      <w:r>
        <w:rPr>
          <w:rFonts w:ascii="Cambria" w:hAnsi="Cambria"/>
          <w:b w:val="0"/>
          <w:i w:val="0"/>
          <w:sz w:val="22"/>
        </w:rPr>
        <w:t>Integrity of curriculum design (aligned to outcomes).</w:t>
      </w:r>
    </w:p>
    <w:p>
      <w:pPr>
        <w:pStyle w:val="ListBullet"/>
        <w:spacing w:after="80" w:line="276" w:lineRule="auto"/>
      </w:pPr>
      <w:r>
        <w:rPr>
          <w:rFonts w:ascii="Cambria" w:hAnsi="Cambria"/>
          <w:b w:val="0"/>
          <w:i w:val="0"/>
          <w:sz w:val="22"/>
        </w:rPr>
        <w:t>Quality of teaching-learning (linked to measurable goals).</w:t>
      </w:r>
    </w:p>
    <w:p>
      <w:pPr>
        <w:pStyle w:val="ListBullet"/>
        <w:spacing w:after="80" w:line="276" w:lineRule="auto"/>
      </w:pPr>
      <w:r>
        <w:rPr>
          <w:rFonts w:ascii="Cambria" w:hAnsi="Cambria"/>
          <w:b w:val="0"/>
          <w:i w:val="0"/>
          <w:sz w:val="22"/>
        </w:rPr>
        <w:t>Transparency in evaluation (outcomes mapped to evidence).</w:t>
      </w:r>
    </w:p>
    <w:p>
      <w:pPr>
        <w:pStyle w:val="ListBullet"/>
        <w:spacing w:after="80" w:line="276" w:lineRule="auto"/>
      </w:pPr>
      <w:r>
        <w:rPr>
          <w:rFonts w:ascii="Cambria" w:hAnsi="Cambria"/>
          <w:b w:val="0"/>
          <w:i w:val="0"/>
          <w:sz w:val="22"/>
        </w:rPr>
        <w:t>Continuous improvement (closing the loop).</w:t>
      </w:r>
    </w:p>
    <w:p>
      <w:pPr>
        <w:spacing w:after="200" w:line="276" w:lineRule="auto"/>
        <w:jc w:val="both"/>
      </w:pPr>
      <w:r>
        <w:rPr>
          <w:rFonts w:ascii="Cambria" w:hAnsi="Cambria"/>
          <w:b w:val="0"/>
          <w:i w:val="0"/>
          <w:sz w:val="22"/>
        </w:rPr>
        <w:t>Without this role, OBE would remain a policy on paper; with it, OBE becomes a living system that drives quality and accountability in higher education.</w:t>
      </w:r>
    </w:p>
    <w:p>
      <w:r>
        <w:br w:type="page"/>
      </w:r>
    </w:p>
    <w:p>
      <w:pPr>
        <w:pStyle w:val="Heading1"/>
      </w:pPr>
      <w:r>
        <w:rPr>
          <w:rFonts w:ascii="Cambria" w:hAnsi="Cambria"/>
          <w:b/>
          <w:color w:val="1F3A5F"/>
          <w:sz w:val="36"/>
        </w:rPr>
        <w:t>9. Integrating OBE Practices into Curriculum, Teaching, and Assessment</w:t>
      </w:r>
    </w:p>
    <w:p>
      <w:pPr>
        <w:pStyle w:val="Heading3"/>
      </w:pPr>
      <w:r>
        <w:rPr>
          <w:rFonts w:ascii="Cambria" w:hAnsi="Cambria"/>
          <w:b/>
          <w:color w:val="1F3A5F"/>
          <w:sz w:val="26"/>
        </w:rPr>
        <w:t>1. Curriculum Design with OBE Practices</w:t>
      </w:r>
    </w:p>
    <w:p>
      <w:pPr>
        <w:pStyle w:val="ListBullet"/>
        <w:spacing w:after="80" w:line="276" w:lineRule="auto"/>
      </w:pPr>
      <w:r>
        <w:rPr>
          <w:rFonts w:ascii="Cambria" w:hAnsi="Cambria"/>
          <w:b/>
          <w:i w:val="0"/>
          <w:sz w:val="22"/>
        </w:rPr>
        <w:t>Outcome Formulation:</w:t>
      </w:r>
    </w:p>
    <w:p>
      <w:pPr>
        <w:pStyle w:val="ListBullet2"/>
        <w:spacing w:after="80" w:line="276" w:lineRule="auto"/>
      </w:pPr>
      <w:r>
        <w:rPr>
          <w:rFonts w:ascii="Cambria" w:hAnsi="Cambria"/>
          <w:b w:val="0"/>
          <w:i w:val="0"/>
          <w:sz w:val="22"/>
        </w:rPr>
        <w:t>Every program begins with defining Program Educational Objectives (PEOs), Program Outcomes (POs), Program Specific Outcomes (PSOs), and Course Outcomes (COs).</w:t>
      </w:r>
    </w:p>
    <w:p>
      <w:pPr>
        <w:pStyle w:val="ListBullet2"/>
        <w:spacing w:after="80" w:line="276" w:lineRule="auto"/>
      </w:pPr>
      <w:r>
        <w:rPr>
          <w:rFonts w:ascii="Cambria" w:hAnsi="Cambria"/>
          <w:b w:val="0"/>
          <w:i w:val="0"/>
          <w:sz w:val="22"/>
        </w:rPr>
        <w:t>Outcomes are measurable, time-bound, and mapped to graduate attributes (critical thinking, communication, ethics, teamwork, etc.).</w:t>
      </w:r>
    </w:p>
    <w:p>
      <w:pPr>
        <w:pStyle w:val="ListBullet"/>
        <w:spacing w:after="80" w:line="276" w:lineRule="auto"/>
      </w:pPr>
      <w:r>
        <w:rPr>
          <w:rFonts w:ascii="Cambria" w:hAnsi="Cambria"/>
          <w:b/>
          <w:i w:val="0"/>
          <w:sz w:val="22"/>
        </w:rPr>
        <w:t>Course Mapping:</w:t>
      </w:r>
    </w:p>
    <w:p>
      <w:pPr>
        <w:pStyle w:val="ListBullet2"/>
        <w:spacing w:after="80" w:line="276" w:lineRule="auto"/>
      </w:pPr>
      <w:r>
        <w:rPr>
          <w:rFonts w:ascii="Cambria" w:hAnsi="Cambria"/>
          <w:b w:val="0"/>
          <w:i w:val="0"/>
          <w:sz w:val="22"/>
        </w:rPr>
        <w:t>Each course is aligned with specific POs/PSOs.</w:t>
      </w:r>
    </w:p>
    <w:p>
      <w:pPr>
        <w:pStyle w:val="ListBullet2"/>
        <w:spacing w:after="80" w:line="276" w:lineRule="auto"/>
      </w:pPr>
      <w:r>
        <w:rPr>
          <w:rFonts w:ascii="Cambria" w:hAnsi="Cambria"/>
          <w:b w:val="0"/>
          <w:i w:val="0"/>
          <w:sz w:val="22"/>
        </w:rPr>
        <w:t>A CO-PO-PSO matrix is created to show how each course contributes to overall program outcomes.</w:t>
      </w:r>
    </w:p>
    <w:p>
      <w:pPr>
        <w:pStyle w:val="ListBullet"/>
        <w:spacing w:after="80" w:line="276" w:lineRule="auto"/>
      </w:pPr>
      <w:r>
        <w:rPr>
          <w:rFonts w:ascii="Cambria" w:hAnsi="Cambria"/>
          <w:b/>
          <w:i w:val="0"/>
          <w:sz w:val="22"/>
        </w:rPr>
        <w:t>Continuous Review:</w:t>
      </w:r>
    </w:p>
    <w:p>
      <w:pPr>
        <w:pStyle w:val="ListBullet2"/>
        <w:spacing w:after="80" w:line="276" w:lineRule="auto"/>
      </w:pPr>
      <w:r>
        <w:rPr>
          <w:rFonts w:ascii="Cambria" w:hAnsi="Cambria"/>
          <w:b w:val="0"/>
          <w:i w:val="0"/>
          <w:sz w:val="22"/>
        </w:rPr>
        <w:t>Curriculum is periodically revised based on student feedback, employer input, alumni perspectives, and accreditation requirements.</w:t>
      </w:r>
    </w:p>
    <w:p>
      <w:pPr>
        <w:pStyle w:val="ListBullet2"/>
        <w:spacing w:after="80" w:line="276" w:lineRule="auto"/>
      </w:pPr>
      <w:r>
        <w:rPr>
          <w:rFonts w:ascii="Cambria" w:hAnsi="Cambria"/>
          <w:b w:val="0"/>
          <w:i w:val="0"/>
          <w:sz w:val="22"/>
        </w:rPr>
        <w:t>New multidisciplinary and skill-oriented courses are introduced in line with NEP-2020 and industry needs.</w:t>
      </w:r>
    </w:p>
    <w:p>
      <w:pPr>
        <w:pStyle w:val="Heading3"/>
      </w:pPr>
      <w:r>
        <w:rPr>
          <w:rFonts w:ascii="Cambria" w:hAnsi="Cambria"/>
          <w:b/>
          <w:color w:val="1F3A5F"/>
          <w:sz w:val="26"/>
        </w:rPr>
        <w:t>2. Teaching with OBE Practices</w:t>
      </w:r>
    </w:p>
    <w:p>
      <w:pPr>
        <w:pStyle w:val="ListBullet"/>
        <w:spacing w:after="80" w:line="276" w:lineRule="auto"/>
      </w:pPr>
      <w:r>
        <w:rPr>
          <w:rFonts w:ascii="Cambria" w:hAnsi="Cambria"/>
          <w:b/>
          <w:i w:val="0"/>
          <w:sz w:val="22"/>
        </w:rPr>
        <w:t>Outcome-Oriented Pedagogy:</w:t>
      </w:r>
    </w:p>
    <w:p>
      <w:pPr>
        <w:pStyle w:val="ListBullet2"/>
        <w:spacing w:after="80" w:line="276" w:lineRule="auto"/>
      </w:pPr>
      <w:r>
        <w:rPr>
          <w:rFonts w:ascii="Cambria" w:hAnsi="Cambria"/>
          <w:b w:val="0"/>
          <w:i w:val="0"/>
          <w:sz w:val="22"/>
        </w:rPr>
        <w:t>Teaching plans are designed to achieve COs rather than just cover topics.</w:t>
      </w:r>
    </w:p>
    <w:p>
      <w:pPr>
        <w:pStyle w:val="ListBullet2"/>
        <w:spacing w:after="80" w:line="276" w:lineRule="auto"/>
      </w:pPr>
      <w:r>
        <w:rPr>
          <w:rFonts w:ascii="Cambria" w:hAnsi="Cambria"/>
          <w:b w:val="0"/>
          <w:i w:val="0"/>
          <w:sz w:val="22"/>
        </w:rPr>
        <w:t xml:space="preserve">Faculty are trained to use Bloom's Taxonomy levels (from remembering </w:t>
      </w:r>
      <w:r>
        <w:rPr>
          <w:rFonts w:ascii="Cambria" w:hAnsi="Cambria"/>
          <w:b w:val="0"/>
          <w:i w:val="0"/>
          <w:sz w:val="22"/>
        </w:rPr>
        <w:t>→ creating).</w:t>
      </w:r>
    </w:p>
    <w:p>
      <w:pPr>
        <w:pStyle w:val="ListBullet"/>
        <w:spacing w:after="80" w:line="276" w:lineRule="auto"/>
      </w:pPr>
      <w:r>
        <w:rPr>
          <w:rFonts w:ascii="Cambria" w:hAnsi="Cambria"/>
          <w:b/>
          <w:i w:val="0"/>
          <w:sz w:val="22"/>
        </w:rPr>
        <w:t>Innovative Teaching Methods:</w:t>
      </w:r>
    </w:p>
    <w:p>
      <w:pPr>
        <w:pStyle w:val="ListBullet2"/>
        <w:spacing w:after="80" w:line="276" w:lineRule="auto"/>
      </w:pPr>
      <w:r>
        <w:rPr>
          <w:rFonts w:ascii="Cambria" w:hAnsi="Cambria"/>
          <w:b w:val="0"/>
          <w:i w:val="0"/>
          <w:sz w:val="22"/>
        </w:rPr>
        <w:t>Beyond lectures: case studies, projects, flipped classrooms, MOOCs, simulations, and fieldwork.</w:t>
      </w:r>
    </w:p>
    <w:p>
      <w:pPr>
        <w:pStyle w:val="ListBullet2"/>
        <w:spacing w:after="80" w:line="276" w:lineRule="auto"/>
      </w:pPr>
      <w:r>
        <w:rPr>
          <w:rFonts w:ascii="Cambria" w:hAnsi="Cambria"/>
          <w:b w:val="0"/>
          <w:i w:val="0"/>
          <w:sz w:val="22"/>
        </w:rPr>
        <w:t>Incorporates problem-based learning (PBL), design thinking, and experiential learning.</w:t>
      </w:r>
    </w:p>
    <w:p>
      <w:pPr>
        <w:pStyle w:val="ListBullet"/>
        <w:spacing w:after="80" w:line="276" w:lineRule="auto"/>
      </w:pPr>
      <w:r>
        <w:rPr>
          <w:rFonts w:ascii="Cambria" w:hAnsi="Cambria"/>
          <w:b/>
          <w:i w:val="0"/>
          <w:sz w:val="22"/>
        </w:rPr>
        <w:t>Student-Centric Approach:</w:t>
      </w:r>
    </w:p>
    <w:p>
      <w:pPr>
        <w:pStyle w:val="ListBullet2"/>
        <w:spacing w:after="80" w:line="276" w:lineRule="auto"/>
      </w:pPr>
      <w:r>
        <w:rPr>
          <w:rFonts w:ascii="Cambria" w:hAnsi="Cambria"/>
          <w:b w:val="0"/>
          <w:i w:val="0"/>
          <w:sz w:val="22"/>
        </w:rPr>
        <w:t>Shifts focus from teacher activity (teaching hours) to student achievement (learning outcomes).</w:t>
      </w:r>
    </w:p>
    <w:p>
      <w:pPr>
        <w:pStyle w:val="ListBullet2"/>
        <w:spacing w:after="80" w:line="276" w:lineRule="auto"/>
      </w:pPr>
      <w:r>
        <w:rPr>
          <w:rFonts w:ascii="Cambria" w:hAnsi="Cambria"/>
          <w:b w:val="0"/>
          <w:i w:val="0"/>
          <w:sz w:val="22"/>
        </w:rPr>
        <w:t>Encourages active learning, collaboration, and inquiry-based learning.</w:t>
      </w:r>
    </w:p>
    <w:p>
      <w:pPr>
        <w:pStyle w:val="Heading3"/>
      </w:pPr>
      <w:r>
        <w:rPr>
          <w:rFonts w:ascii="Cambria" w:hAnsi="Cambria"/>
          <w:b/>
          <w:color w:val="1F3A5F"/>
          <w:sz w:val="26"/>
        </w:rPr>
        <w:t>3. Assessment with OBE Practices</w:t>
      </w:r>
    </w:p>
    <w:p>
      <w:pPr>
        <w:pStyle w:val="ListBullet"/>
        <w:spacing w:after="80" w:line="276" w:lineRule="auto"/>
      </w:pPr>
      <w:r>
        <w:rPr>
          <w:rFonts w:ascii="Cambria" w:hAnsi="Cambria"/>
          <w:b/>
          <w:i w:val="0"/>
          <w:sz w:val="22"/>
        </w:rPr>
        <w:t>Direct Assessment:</w:t>
      </w:r>
    </w:p>
    <w:p>
      <w:pPr>
        <w:pStyle w:val="ListBullet2"/>
        <w:spacing w:after="80" w:line="276" w:lineRule="auto"/>
      </w:pPr>
      <w:r>
        <w:rPr>
          <w:rFonts w:ascii="Cambria" w:hAnsi="Cambria"/>
          <w:b w:val="0"/>
          <w:i w:val="0"/>
          <w:sz w:val="22"/>
        </w:rPr>
        <w:t>Exams, assignments, projects, presentations, lab performance.</w:t>
      </w:r>
    </w:p>
    <w:p>
      <w:pPr>
        <w:pStyle w:val="ListBullet2"/>
        <w:spacing w:after="80" w:line="276" w:lineRule="auto"/>
      </w:pPr>
      <w:r>
        <w:rPr>
          <w:rFonts w:ascii="Cambria" w:hAnsi="Cambria"/>
          <w:b w:val="0"/>
          <w:i w:val="0"/>
          <w:sz w:val="22"/>
        </w:rPr>
        <w:t>Rubrics used to measure the level of attainment of COs.</w:t>
      </w:r>
    </w:p>
    <w:p>
      <w:pPr>
        <w:pStyle w:val="ListBullet"/>
        <w:spacing w:after="80" w:line="276" w:lineRule="auto"/>
      </w:pPr>
      <w:r>
        <w:rPr>
          <w:rFonts w:ascii="Cambria" w:hAnsi="Cambria"/>
          <w:b/>
          <w:i w:val="0"/>
          <w:sz w:val="22"/>
        </w:rPr>
        <w:t>Indirect Assessment:</w:t>
      </w:r>
    </w:p>
    <w:p>
      <w:pPr>
        <w:pStyle w:val="ListBullet2"/>
        <w:spacing w:after="80" w:line="276" w:lineRule="auto"/>
      </w:pPr>
      <w:r>
        <w:rPr>
          <w:rFonts w:ascii="Cambria" w:hAnsi="Cambria"/>
          <w:b w:val="0"/>
          <w:i w:val="0"/>
          <w:sz w:val="22"/>
        </w:rPr>
        <w:t>Feedback from students, alumni, and employers.</w:t>
      </w:r>
    </w:p>
    <w:p>
      <w:pPr>
        <w:pStyle w:val="ListBullet2"/>
        <w:spacing w:after="80" w:line="276" w:lineRule="auto"/>
      </w:pPr>
      <w:r>
        <w:rPr>
          <w:rFonts w:ascii="Cambria" w:hAnsi="Cambria"/>
          <w:b w:val="0"/>
          <w:i w:val="0"/>
          <w:sz w:val="22"/>
        </w:rPr>
        <w:t>Surveys to measure attributes like leadership, communication, and lifelong learning.</w:t>
      </w:r>
    </w:p>
    <w:p>
      <w:pPr>
        <w:pStyle w:val="ListBullet"/>
        <w:spacing w:after="80" w:line="276" w:lineRule="auto"/>
      </w:pPr>
      <w:r>
        <w:rPr>
          <w:rFonts w:ascii="Cambria" w:hAnsi="Cambria"/>
          <w:b/>
          <w:i w:val="0"/>
          <w:sz w:val="22"/>
        </w:rPr>
        <w:t>Attainment Analysis:</w:t>
      </w:r>
    </w:p>
    <w:p>
      <w:pPr>
        <w:pStyle w:val="ListBullet2"/>
        <w:spacing w:after="80" w:line="276" w:lineRule="auto"/>
      </w:pPr>
      <w:r>
        <w:rPr>
          <w:rFonts w:ascii="Cambria" w:hAnsi="Cambria"/>
          <w:b w:val="0"/>
          <w:i w:val="0"/>
          <w:sz w:val="22"/>
        </w:rPr>
        <w:t>Data collected for every course is mapped against target attainment levels.</w:t>
      </w:r>
    </w:p>
    <w:p>
      <w:pPr>
        <w:pStyle w:val="ListBullet2"/>
        <w:spacing w:after="80" w:line="276" w:lineRule="auto"/>
      </w:pPr>
      <w:r>
        <w:rPr>
          <w:rFonts w:ascii="Cambria" w:hAnsi="Cambria"/>
          <w:b w:val="0"/>
          <w:i w:val="0"/>
          <w:sz w:val="22"/>
        </w:rPr>
        <w:t>Gaps between expected and achieved outcomes are identified.</w:t>
      </w:r>
    </w:p>
    <w:p>
      <w:pPr>
        <w:pStyle w:val="ListBullet"/>
        <w:spacing w:after="80" w:line="276" w:lineRule="auto"/>
      </w:pPr>
      <w:r>
        <w:rPr>
          <w:rFonts w:ascii="Cambria" w:hAnsi="Cambria"/>
          <w:b/>
          <w:i w:val="0"/>
          <w:sz w:val="22"/>
        </w:rPr>
        <w:t>Continuous Improvement:</w:t>
      </w:r>
    </w:p>
    <w:p>
      <w:pPr>
        <w:pStyle w:val="ListBullet2"/>
        <w:spacing w:after="80" w:line="276" w:lineRule="auto"/>
      </w:pPr>
      <w:r>
        <w:rPr>
          <w:rFonts w:ascii="Cambria" w:hAnsi="Cambria"/>
          <w:b w:val="0"/>
          <w:i w:val="0"/>
          <w:sz w:val="22"/>
        </w:rPr>
        <w:t>Corrective measures taken (curriculum redesign, remedial classes, faculty workshops).</w:t>
      </w:r>
    </w:p>
    <w:p>
      <w:pPr>
        <w:pStyle w:val="ListBullet2"/>
        <w:spacing w:after="80" w:line="276" w:lineRule="auto"/>
      </w:pPr>
      <w:r>
        <w:rPr>
          <w:rFonts w:ascii="Cambria" w:hAnsi="Cambria"/>
          <w:b w:val="0"/>
          <w:i w:val="0"/>
          <w:sz w:val="22"/>
        </w:rPr>
        <w:t>Ensures closing the loop in the OBE cycle.</w:t>
      </w:r>
    </w:p>
    <w:p>
      <w:pPr>
        <w:pStyle w:val="Heading3"/>
      </w:pPr>
      <w:r>
        <w:rPr>
          <w:rFonts w:ascii="Cambria" w:hAnsi="Cambria"/>
          <w:b/>
          <w:color w:val="1F3A5F"/>
          <w:sz w:val="26"/>
        </w:rPr>
        <w:t>4. Role of the Associate Dean – OBE Implementation</w:t>
      </w:r>
    </w:p>
    <w:p>
      <w:pPr>
        <w:pStyle w:val="ListBullet"/>
        <w:spacing w:after="80" w:line="276" w:lineRule="auto"/>
      </w:pPr>
      <w:r>
        <w:rPr>
          <w:rFonts w:ascii="Cambria" w:hAnsi="Cambria"/>
          <w:b/>
          <w:i w:val="0"/>
          <w:sz w:val="22"/>
        </w:rPr>
        <w:t>Custodian of Integration:</w:t>
      </w:r>
    </w:p>
    <w:p>
      <w:pPr>
        <w:pStyle w:val="ListBullet2"/>
        <w:spacing w:after="80" w:line="276" w:lineRule="auto"/>
      </w:pPr>
      <w:r>
        <w:rPr>
          <w:rFonts w:ascii="Cambria" w:hAnsi="Cambria"/>
          <w:b w:val="0"/>
          <w:i w:val="0"/>
          <w:sz w:val="22"/>
        </w:rPr>
        <w:t>Ensures curriculum design, teaching methods, and assessments are aligned with OBE.</w:t>
      </w:r>
    </w:p>
    <w:p>
      <w:pPr>
        <w:pStyle w:val="ListBullet"/>
        <w:spacing w:after="80" w:line="276" w:lineRule="auto"/>
      </w:pPr>
      <w:r>
        <w:rPr>
          <w:rFonts w:ascii="Cambria" w:hAnsi="Cambria"/>
          <w:b/>
          <w:i w:val="0"/>
          <w:sz w:val="22"/>
        </w:rPr>
        <w:t>Faculty Capacity Building:</w:t>
      </w:r>
    </w:p>
    <w:p>
      <w:pPr>
        <w:pStyle w:val="ListBullet2"/>
        <w:spacing w:after="80" w:line="276" w:lineRule="auto"/>
      </w:pPr>
      <w:r>
        <w:rPr>
          <w:rFonts w:ascii="Cambria" w:hAnsi="Cambria"/>
          <w:b w:val="0"/>
          <w:i w:val="0"/>
          <w:sz w:val="22"/>
        </w:rPr>
        <w:t>Conducts training on outcome formulation, rubric design, and attainment measurement.</w:t>
      </w:r>
    </w:p>
    <w:p>
      <w:pPr>
        <w:pStyle w:val="ListBullet"/>
        <w:spacing w:after="80" w:line="276" w:lineRule="auto"/>
      </w:pPr>
      <w:r>
        <w:rPr>
          <w:rFonts w:ascii="Cambria" w:hAnsi="Cambria"/>
          <w:b/>
          <w:i w:val="0"/>
          <w:sz w:val="22"/>
        </w:rPr>
        <w:t>Accreditation Leadership:</w:t>
      </w:r>
    </w:p>
    <w:p>
      <w:pPr>
        <w:pStyle w:val="ListBullet2"/>
        <w:spacing w:after="80" w:line="276" w:lineRule="auto"/>
      </w:pPr>
      <w:r>
        <w:rPr>
          <w:rFonts w:ascii="Cambria" w:hAnsi="Cambria"/>
          <w:b w:val="0"/>
          <w:i w:val="0"/>
          <w:sz w:val="22"/>
        </w:rPr>
        <w:t>Provides documentation and evidence of OBE practices for NBA, NAAC, and Washington Accord reviews.</w:t>
      </w:r>
    </w:p>
    <w:p>
      <w:pPr>
        <w:pStyle w:val="ListBullet"/>
        <w:spacing w:after="80" w:line="276" w:lineRule="auto"/>
      </w:pPr>
      <w:r>
        <w:rPr>
          <w:rFonts w:ascii="Cambria" w:hAnsi="Cambria"/>
          <w:b/>
          <w:i w:val="0"/>
          <w:sz w:val="22"/>
        </w:rPr>
        <w:t>Monitoring and Reporting:</w:t>
      </w:r>
    </w:p>
    <w:p>
      <w:pPr>
        <w:pStyle w:val="ListBullet2"/>
        <w:spacing w:after="80" w:line="276" w:lineRule="auto"/>
      </w:pPr>
      <w:r>
        <w:rPr>
          <w:rFonts w:ascii="Cambria" w:hAnsi="Cambria"/>
          <w:b w:val="0"/>
          <w:i w:val="0"/>
          <w:sz w:val="22"/>
        </w:rPr>
        <w:t>Maintains institution-wide CO-PO attainment dashboards.</w:t>
      </w:r>
    </w:p>
    <w:p>
      <w:pPr>
        <w:pStyle w:val="ListBullet2"/>
        <w:spacing w:after="80" w:line="276" w:lineRule="auto"/>
      </w:pPr>
      <w:r>
        <w:rPr>
          <w:rFonts w:ascii="Cambria" w:hAnsi="Cambria"/>
          <w:b w:val="0"/>
          <w:i w:val="0"/>
          <w:sz w:val="22"/>
        </w:rPr>
        <w:t>Submits annual OBE compliance and continuous improvement reports.</w:t>
      </w:r>
    </w:p>
    <w:p>
      <w:pPr>
        <w:pStyle w:val="Heading3"/>
      </w:pPr>
      <w:r>
        <w:rPr>
          <w:rFonts w:ascii="Cambria" w:hAnsi="Cambria"/>
          <w:b/>
          <w:color w:val="1F3A5F"/>
          <w:sz w:val="26"/>
        </w:rPr>
        <w:t>5. Impact of Embedding OBE</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Clarity on what competencies they will achieve by the end of each course and program.</w:t>
      </w:r>
    </w:p>
    <w:p>
      <w:pPr>
        <w:pStyle w:val="ListBullet2"/>
        <w:spacing w:after="80" w:line="276" w:lineRule="auto"/>
      </w:pPr>
      <w:r>
        <w:rPr>
          <w:rFonts w:ascii="Cambria" w:hAnsi="Cambria"/>
          <w:b w:val="0"/>
          <w:i w:val="0"/>
          <w:sz w:val="22"/>
        </w:rPr>
        <w:t>Improved employability, higher education readiness, and global competitiveness.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Structured teaching plans and measurable evaluation criteria.</w:t>
      </w:r>
    </w:p>
    <w:p>
      <w:pPr>
        <w:pStyle w:val="ListBullet2"/>
        <w:spacing w:after="80" w:line="276" w:lineRule="auto"/>
      </w:pPr>
      <w:r>
        <w:rPr>
          <w:rFonts w:ascii="Cambria" w:hAnsi="Cambria"/>
          <w:b w:val="0"/>
          <w:i w:val="0"/>
          <w:sz w:val="22"/>
        </w:rPr>
        <w:t>Encourages reflective and innovative teaching practices.</w:t>
      </w:r>
    </w:p>
    <w:p>
      <w:pPr>
        <w:pStyle w:val="ListBullet"/>
        <w:spacing w:after="80" w:line="276" w:lineRule="auto"/>
      </w:pPr>
      <w:r>
        <w:rPr>
          <w:rFonts w:ascii="Cambria" w:hAnsi="Cambria"/>
          <w:b/>
          <w:i w:val="0"/>
          <w:sz w:val="22"/>
        </w:rPr>
        <w:t>For University:</w:t>
      </w:r>
    </w:p>
    <w:p>
      <w:pPr>
        <w:pStyle w:val="ListBullet2"/>
        <w:spacing w:after="80" w:line="276" w:lineRule="auto"/>
      </w:pPr>
      <w:r>
        <w:rPr>
          <w:rFonts w:ascii="Cambria" w:hAnsi="Cambria"/>
          <w:b w:val="0"/>
          <w:i w:val="0"/>
          <w:sz w:val="22"/>
        </w:rPr>
        <w:t>Higher accreditation scores, international recognition, and better rankings.</w:t>
      </w:r>
    </w:p>
    <w:p>
      <w:pPr>
        <w:pStyle w:val="ListBullet2"/>
        <w:spacing w:after="80" w:line="276" w:lineRule="auto"/>
      </w:pPr>
      <w:r>
        <w:rPr>
          <w:rFonts w:ascii="Cambria" w:hAnsi="Cambria"/>
          <w:b w:val="0"/>
          <w:i w:val="0"/>
          <w:sz w:val="22"/>
        </w:rPr>
        <w:t>Institutional reputation as an outcome-driven learning ecosystem.</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Embedding OBE practices into curriculum, teaching, and assessment transforms higher education into a transparent, measurable, and accountable system. The Associate Dean </w:t>
      </w:r>
      <w:r>
        <w:rPr>
          <w:rFonts w:ascii="Cambria" w:hAnsi="Cambria"/>
          <w:b w:val="0"/>
          <w:i w:val="0"/>
          <w:sz w:val="22"/>
        </w:rPr>
        <w:t>– OBE Implementation ensures this integration is not superficial but deeply embedded into every academic process, making the University outcome-driven in both spirit and practice.</w:t>
      </w:r>
    </w:p>
    <w:p>
      <w:r>
        <w:br w:type="page"/>
      </w:r>
    </w:p>
    <w:p>
      <w:pPr>
        <w:pStyle w:val="Heading1"/>
      </w:pPr>
      <w:r>
        <w:rPr>
          <w:rFonts w:ascii="Cambria" w:hAnsi="Cambria"/>
          <w:b/>
          <w:color w:val="1F3A5F"/>
          <w:sz w:val="36"/>
        </w:rPr>
        <w:t>10. Associate Dean – Student Progression</w:t>
      </w:r>
    </w:p>
    <w:p>
      <w:pPr>
        <w:spacing w:after="160" w:line="276" w:lineRule="auto"/>
        <w:jc w:val="both"/>
      </w:pPr>
      <w:r>
        <w:rPr>
          <w:rFonts w:ascii="Cambria" w:hAnsi="Cambria"/>
          <w:b w:val="0"/>
          <w:i w:val="0"/>
          <w:sz w:val="22"/>
        </w:rPr>
        <w:t>An Associate Dean of Student Progression is a senior academic administrator dedicated to ensuring that students experience a successful, holistic journey from admission to graduation and beyond. This role encompasses the academic, professional, and personal dimensions of student development, making it one of the most student-centered leadership positions within a university or college. Sometimes referred to as the Dean of Students or Associate Dean of Student Success, the position provides oversight of initiatives, policies, and support systems that directly impact student retention, academic performance, employability, and overall well-being.</w:t>
      </w:r>
    </w:p>
    <w:p>
      <w:pPr>
        <w:spacing w:after="160" w:line="276" w:lineRule="auto"/>
        <w:jc w:val="both"/>
      </w:pPr>
      <w:r>
        <w:rPr>
          <w:rFonts w:ascii="Cambria" w:hAnsi="Cambria"/>
          <w:b w:val="0"/>
          <w:i w:val="0"/>
          <w:sz w:val="22"/>
        </w:rPr>
        <w:t>The Associate Dean leads the development of programs that help students overcome academic challenges, access mentoring and counseling, and build career readiness skills. By working closely with faculty advisors, career services, and student support offices, they ensure that students receive timely guidance on course progression, internships, placements, and higher studies opportunities. This role also requires building effective monitoring systems to track student performance, identify at-risk learners, and implement interventions such as remedial classes, mentoring schemes, and financial or psychological support where necessary.</w:t>
      </w:r>
    </w:p>
    <w:p>
      <w:pPr>
        <w:spacing w:after="160" w:line="276" w:lineRule="auto"/>
        <w:jc w:val="both"/>
      </w:pPr>
      <w:r>
        <w:rPr>
          <w:rFonts w:ascii="Cambria" w:hAnsi="Cambria"/>
          <w:b w:val="0"/>
          <w:i w:val="0"/>
          <w:sz w:val="22"/>
        </w:rPr>
        <w:t>Beyond academics, the Associate Dean of Student Progression focuses on the overall well-being and engagement of students, promoting extracurricular participation, leadership development, and community service as integral parts of student life. They serve as a bridge between students and institutional leadership, ensuring that the student voice is heard in decision-making processes and that feedback mechanisms translate into meaningful action. By fostering a supportive environment, the Associate Dean helps build resilience, inclusivity, and a culture of success among the student body.</w:t>
      </w:r>
    </w:p>
    <w:p>
      <w:pPr>
        <w:spacing w:after="160" w:line="276" w:lineRule="auto"/>
        <w:jc w:val="both"/>
      </w:pPr>
      <w:r>
        <w:rPr>
          <w:rFonts w:ascii="Cambria" w:hAnsi="Cambria"/>
          <w:b w:val="0"/>
          <w:i w:val="0"/>
          <w:sz w:val="22"/>
        </w:rPr>
        <w:t>Ultimately, this role ensures that the institution not only graduates students but also nurtures competent professionals, responsible citizens, and lifelong learners. Through strategic leadership, data-driven policies, and empathetic engagement, the Associate Dean of Student Progression becomes the custodian of student success pathways, aligning academic structures and student services to create a comprehensive support ecosystem.</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 xml:space="preserve">Functions as the custodian of student academic success and progression throughout the entire student lifecycle (admission </w:t>
      </w:r>
      <w:r>
        <w:rPr>
          <w:rFonts w:ascii="Cambria" w:hAnsi="Cambria"/>
          <w:b w:val="0"/>
          <w:i w:val="0"/>
          <w:sz w:val="22"/>
        </w:rPr>
        <w:t>→ graduation → alumni).</w:t>
      </w:r>
    </w:p>
    <w:p>
      <w:pPr>
        <w:pStyle w:val="ListBullet"/>
        <w:spacing w:after="80" w:line="276" w:lineRule="auto"/>
      </w:pPr>
      <w:r>
        <w:rPr>
          <w:rFonts w:ascii="Cambria" w:hAnsi="Cambria"/>
          <w:b w:val="0"/>
          <w:i w:val="0"/>
          <w:sz w:val="22"/>
        </w:rPr>
        <w:t>Ensures that students achieve academic, professional, and personal growth milestones while maintaining compliance with regulatory standards.</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Monitoring Academic Performance</w:t>
      </w:r>
    </w:p>
    <w:p>
      <w:pPr>
        <w:pStyle w:val="ListBullet"/>
        <w:spacing w:after="80" w:line="276" w:lineRule="auto"/>
      </w:pPr>
      <w:r>
        <w:rPr>
          <w:rFonts w:ascii="Cambria" w:hAnsi="Cambria"/>
          <w:b w:val="0"/>
          <w:i w:val="0"/>
          <w:sz w:val="22"/>
        </w:rPr>
        <w:t>Tracks student grades, performance trends, course completions, and progression rates.</w:t>
      </w:r>
    </w:p>
    <w:p>
      <w:pPr>
        <w:pStyle w:val="ListBullet"/>
        <w:spacing w:after="80" w:line="276" w:lineRule="auto"/>
      </w:pPr>
      <w:r>
        <w:rPr>
          <w:rFonts w:ascii="Cambria" w:hAnsi="Cambria"/>
          <w:b w:val="0"/>
          <w:i w:val="0"/>
          <w:sz w:val="22"/>
        </w:rPr>
        <w:t>Identifies at-risk students (low performance, irregular attendance, drop-out risks) and ensures remedial measures are implemented.</w:t>
      </w:r>
    </w:p>
    <w:p>
      <w:pPr>
        <w:pStyle w:val="ListBullet"/>
        <w:spacing w:after="80" w:line="276" w:lineRule="auto"/>
      </w:pPr>
      <w:r>
        <w:rPr>
          <w:rFonts w:ascii="Cambria" w:hAnsi="Cambria"/>
          <w:b w:val="0"/>
          <w:i w:val="0"/>
          <w:sz w:val="22"/>
        </w:rPr>
        <w:t>Collaborates with faculty and counselors to support academic recovery plans.</w:t>
      </w:r>
    </w:p>
    <w:p>
      <w:pPr>
        <w:spacing w:after="80" w:line="276" w:lineRule="auto"/>
      </w:pPr>
      <w:r>
        <w:rPr>
          <w:rFonts w:ascii="Cambria" w:hAnsi="Cambria"/>
          <w:b/>
          <w:i w:val="0"/>
          <w:sz w:val="22"/>
        </w:rPr>
        <w:t>B. Student Retention and Graduation</w:t>
      </w:r>
    </w:p>
    <w:p>
      <w:pPr>
        <w:pStyle w:val="ListBullet"/>
        <w:spacing w:after="80" w:line="276" w:lineRule="auto"/>
      </w:pPr>
      <w:r>
        <w:rPr>
          <w:rFonts w:ascii="Cambria" w:hAnsi="Cambria"/>
          <w:b w:val="0"/>
          <w:i w:val="0"/>
          <w:sz w:val="22"/>
        </w:rPr>
        <w:t>Develops strategies to improve student retention and reduce drop-out rates.</w:t>
      </w:r>
    </w:p>
    <w:p>
      <w:pPr>
        <w:pStyle w:val="ListBullet"/>
        <w:spacing w:after="80" w:line="276" w:lineRule="auto"/>
      </w:pPr>
      <w:r>
        <w:rPr>
          <w:rFonts w:ascii="Cambria" w:hAnsi="Cambria"/>
          <w:b w:val="0"/>
          <w:i w:val="0"/>
          <w:sz w:val="22"/>
        </w:rPr>
        <w:t>Monitors graduation rates, placement statistics, and progression to higher education.</w:t>
      </w:r>
    </w:p>
    <w:p>
      <w:pPr>
        <w:pStyle w:val="ListBullet"/>
        <w:spacing w:after="80" w:line="276" w:lineRule="auto"/>
      </w:pPr>
      <w:r>
        <w:rPr>
          <w:rFonts w:ascii="Cambria" w:hAnsi="Cambria"/>
          <w:b w:val="0"/>
          <w:i w:val="0"/>
          <w:sz w:val="22"/>
        </w:rPr>
        <w:t>Ensures equitable opportunities for all categories of students (including marginalized groups).</w:t>
      </w:r>
    </w:p>
    <w:p>
      <w:pPr>
        <w:spacing w:after="80" w:line="276" w:lineRule="auto"/>
      </w:pPr>
      <w:r>
        <w:rPr>
          <w:rFonts w:ascii="Cambria" w:hAnsi="Cambria"/>
          <w:b/>
          <w:i w:val="0"/>
          <w:sz w:val="22"/>
        </w:rPr>
        <w:t>C. Student Support Systems</w:t>
      </w:r>
    </w:p>
    <w:p>
      <w:pPr>
        <w:pStyle w:val="ListBullet"/>
        <w:spacing w:after="80" w:line="276" w:lineRule="auto"/>
      </w:pPr>
      <w:r>
        <w:rPr>
          <w:rFonts w:ascii="Cambria" w:hAnsi="Cambria"/>
          <w:b w:val="0"/>
          <w:i w:val="0"/>
          <w:sz w:val="22"/>
        </w:rPr>
        <w:t>Coordinates mentoring and counseling programs at department and university levels.</w:t>
      </w:r>
    </w:p>
    <w:p>
      <w:pPr>
        <w:pStyle w:val="ListBullet"/>
        <w:spacing w:after="80" w:line="276" w:lineRule="auto"/>
      </w:pPr>
      <w:r>
        <w:rPr>
          <w:rFonts w:ascii="Cambria" w:hAnsi="Cambria"/>
          <w:b w:val="0"/>
          <w:i w:val="0"/>
          <w:sz w:val="22"/>
        </w:rPr>
        <w:t>Organizes remedial classes, bridge courses, and academic advising sessions.</w:t>
      </w:r>
    </w:p>
    <w:p>
      <w:pPr>
        <w:pStyle w:val="ListBullet"/>
        <w:spacing w:after="80" w:line="276" w:lineRule="auto"/>
      </w:pPr>
      <w:r>
        <w:rPr>
          <w:rFonts w:ascii="Cambria" w:hAnsi="Cambria"/>
          <w:b w:val="0"/>
          <w:i w:val="0"/>
          <w:sz w:val="22"/>
        </w:rPr>
        <w:t>Encourages the use of student progression dashboards for real-time monitoring.</w:t>
      </w:r>
    </w:p>
    <w:p>
      <w:pPr>
        <w:spacing w:after="80" w:line="276" w:lineRule="auto"/>
      </w:pPr>
      <w:r>
        <w:rPr>
          <w:rFonts w:ascii="Cambria" w:hAnsi="Cambria"/>
          <w:b/>
          <w:i w:val="0"/>
          <w:sz w:val="22"/>
        </w:rPr>
        <w:t>D. Feedback and Continuous Improvement</w:t>
      </w:r>
    </w:p>
    <w:p>
      <w:pPr>
        <w:pStyle w:val="ListBullet"/>
        <w:spacing w:after="80" w:line="276" w:lineRule="auto"/>
      </w:pPr>
      <w:r>
        <w:rPr>
          <w:rFonts w:ascii="Cambria" w:hAnsi="Cambria"/>
          <w:b w:val="0"/>
          <w:i w:val="0"/>
          <w:sz w:val="22"/>
        </w:rPr>
        <w:t>Collects and analyzes student feedback on academics, facilities, and progression challenges.</w:t>
      </w:r>
    </w:p>
    <w:p>
      <w:pPr>
        <w:pStyle w:val="ListBullet"/>
        <w:spacing w:after="80" w:line="276" w:lineRule="auto"/>
      </w:pPr>
      <w:r>
        <w:rPr>
          <w:rFonts w:ascii="Cambria" w:hAnsi="Cambria"/>
          <w:b w:val="0"/>
          <w:i w:val="0"/>
          <w:sz w:val="22"/>
        </w:rPr>
        <w:t>Uses feedback to recommend policy changes for curriculum design, teaching methods, and student support.</w:t>
      </w:r>
    </w:p>
    <w:p>
      <w:pPr>
        <w:pStyle w:val="ListBullet"/>
        <w:spacing w:after="80" w:line="276" w:lineRule="auto"/>
      </w:pPr>
      <w:r>
        <w:rPr>
          <w:rFonts w:ascii="Cambria" w:hAnsi="Cambria"/>
          <w:b w:val="0"/>
          <w:i w:val="0"/>
          <w:sz w:val="22"/>
        </w:rPr>
        <w:t>Aligns progression tracking with NAAC, NBA, NIRF, and UGC/AICTE reporting requirements.</w:t>
      </w:r>
    </w:p>
    <w:p>
      <w:pPr>
        <w:spacing w:after="80" w:line="276" w:lineRule="auto"/>
      </w:pPr>
      <w:r>
        <w:rPr>
          <w:rFonts w:ascii="Cambria" w:hAnsi="Cambria"/>
          <w:b/>
          <w:i w:val="0"/>
          <w:sz w:val="22"/>
        </w:rPr>
        <w:t>E. Liaison and Collaboration</w:t>
      </w:r>
    </w:p>
    <w:p>
      <w:pPr>
        <w:pStyle w:val="ListBullet"/>
        <w:spacing w:after="80" w:line="276" w:lineRule="auto"/>
      </w:pPr>
      <w:r>
        <w:rPr>
          <w:rFonts w:ascii="Cambria" w:hAnsi="Cambria"/>
          <w:b w:val="0"/>
          <w:i w:val="0"/>
          <w:sz w:val="22"/>
        </w:rPr>
        <w:t>Works closely with:</w:t>
      </w:r>
    </w:p>
    <w:p>
      <w:pPr>
        <w:pStyle w:val="ListBullet2"/>
        <w:spacing w:after="80" w:line="276" w:lineRule="auto"/>
      </w:pPr>
      <w:r>
        <w:rPr>
          <w:rFonts w:ascii="Cambria" w:hAnsi="Cambria"/>
          <w:b w:val="0"/>
          <w:i w:val="0"/>
          <w:sz w:val="22"/>
        </w:rPr>
        <w:t>Dean (Academics): to align curriculum with student needs.</w:t>
      </w:r>
    </w:p>
    <w:p>
      <w:pPr>
        <w:pStyle w:val="ListBullet2"/>
        <w:spacing w:after="80" w:line="276" w:lineRule="auto"/>
      </w:pPr>
      <w:r>
        <w:rPr>
          <w:rFonts w:ascii="Cambria" w:hAnsi="Cambria"/>
          <w:b w:val="0"/>
          <w:i w:val="0"/>
          <w:sz w:val="22"/>
        </w:rPr>
        <w:t>Dean (Evaluation/Registration): to ensure smooth examination, grading, and progression systems.</w:t>
      </w:r>
    </w:p>
    <w:p>
      <w:pPr>
        <w:pStyle w:val="ListBullet2"/>
        <w:spacing w:after="80" w:line="276" w:lineRule="auto"/>
      </w:pPr>
      <w:r>
        <w:rPr>
          <w:rFonts w:ascii="Cambria" w:hAnsi="Cambria"/>
          <w:b w:val="0"/>
          <w:i w:val="0"/>
          <w:sz w:val="22"/>
        </w:rPr>
        <w:t>Placement and Career Services: to connect progression data with employability outcomes.</w:t>
      </w:r>
    </w:p>
    <w:p>
      <w:pPr>
        <w:pStyle w:val="ListBullet"/>
        <w:spacing w:after="80" w:line="276" w:lineRule="auto"/>
      </w:pPr>
      <w:r>
        <w:rPr>
          <w:rFonts w:ascii="Cambria" w:hAnsi="Cambria"/>
          <w:b w:val="0"/>
          <w:i w:val="0"/>
          <w:sz w:val="22"/>
        </w:rPr>
        <w:t>Maintains progression records for use in rankings, accreditation, and audits.</w:t>
      </w:r>
    </w:p>
    <w:p>
      <w:pPr>
        <w:spacing w:after="80" w:line="276" w:lineRule="auto"/>
      </w:pPr>
      <w:r>
        <w:rPr>
          <w:rFonts w:ascii="Cambria" w:hAnsi="Cambria"/>
          <w:b/>
          <w:i w:val="0"/>
          <w:sz w:val="22"/>
        </w:rPr>
        <w:t>F. Alumni and Higher Education Progression</w:t>
      </w:r>
    </w:p>
    <w:p>
      <w:pPr>
        <w:pStyle w:val="ListBullet"/>
        <w:spacing w:after="80" w:line="276" w:lineRule="auto"/>
      </w:pPr>
      <w:r>
        <w:rPr>
          <w:rFonts w:ascii="Cambria" w:hAnsi="Cambria"/>
          <w:b w:val="0"/>
          <w:i w:val="0"/>
          <w:sz w:val="22"/>
        </w:rPr>
        <w:t>Tracks student transition into employment, entrepreneurship, or higher studies.</w:t>
      </w:r>
    </w:p>
    <w:p>
      <w:pPr>
        <w:pStyle w:val="ListBullet"/>
        <w:spacing w:after="80" w:line="276" w:lineRule="auto"/>
      </w:pPr>
      <w:r>
        <w:rPr>
          <w:rFonts w:ascii="Cambria" w:hAnsi="Cambria"/>
          <w:b w:val="0"/>
          <w:i w:val="0"/>
          <w:sz w:val="22"/>
        </w:rPr>
        <w:t>Collects alumni progression data to strengthen NIRF/NAAC submissions.</w:t>
      </w:r>
    </w:p>
    <w:p>
      <w:pPr>
        <w:pStyle w:val="ListBullet"/>
        <w:spacing w:after="80" w:line="276" w:lineRule="auto"/>
      </w:pPr>
      <w:r>
        <w:rPr>
          <w:rFonts w:ascii="Cambria" w:hAnsi="Cambria"/>
          <w:b w:val="0"/>
          <w:i w:val="0"/>
          <w:sz w:val="22"/>
        </w:rPr>
        <w:t>Encourages alumni to contribute as mentors and industry collaborators.</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Improves academic support and chances of success.</w:t>
      </w:r>
    </w:p>
    <w:p>
      <w:pPr>
        <w:pStyle w:val="ListBullet2"/>
        <w:spacing w:after="80" w:line="276" w:lineRule="auto"/>
      </w:pPr>
      <w:r>
        <w:rPr>
          <w:rFonts w:ascii="Cambria" w:hAnsi="Cambria"/>
          <w:b w:val="0"/>
          <w:i w:val="0"/>
          <w:sz w:val="22"/>
        </w:rPr>
        <w:t>Provides clarity on career and higher education pathways.</w:t>
      </w:r>
    </w:p>
    <w:p>
      <w:pPr>
        <w:pStyle w:val="ListBullet2"/>
        <w:spacing w:after="80" w:line="276" w:lineRule="auto"/>
      </w:pPr>
      <w:r>
        <w:rPr>
          <w:rFonts w:ascii="Cambria" w:hAnsi="Cambria"/>
          <w:b w:val="0"/>
          <w:i w:val="0"/>
          <w:sz w:val="22"/>
        </w:rPr>
        <w:t>Ensures inclusion of marginalized or weaker students.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Provides progression data for continuous improvement of teaching methods.</w:t>
      </w:r>
    </w:p>
    <w:p>
      <w:pPr>
        <w:pStyle w:val="ListBullet2"/>
        <w:spacing w:after="80" w:line="276" w:lineRule="auto"/>
      </w:pPr>
      <w:r>
        <w:rPr>
          <w:rFonts w:ascii="Cambria" w:hAnsi="Cambria"/>
          <w:b w:val="0"/>
          <w:i w:val="0"/>
          <w:sz w:val="22"/>
        </w:rPr>
        <w:t>Helps departments monitor effectiveness of their programs.</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Enhances performance in accreditations and rankings.</w:t>
      </w:r>
    </w:p>
    <w:p>
      <w:pPr>
        <w:pStyle w:val="ListBullet2"/>
        <w:spacing w:after="80" w:line="276" w:lineRule="auto"/>
      </w:pPr>
      <w:r>
        <w:rPr>
          <w:rFonts w:ascii="Cambria" w:hAnsi="Cambria"/>
          <w:b w:val="0"/>
          <w:i w:val="0"/>
          <w:sz w:val="22"/>
        </w:rPr>
        <w:t>Demonstrates strong student support and progression metrics.</w:t>
      </w:r>
    </w:p>
    <w:p>
      <w:pPr>
        <w:pStyle w:val="ListBullet2"/>
        <w:spacing w:after="80" w:line="276" w:lineRule="auto"/>
      </w:pPr>
      <w:r>
        <w:rPr>
          <w:rFonts w:ascii="Cambria" w:hAnsi="Cambria"/>
          <w:b w:val="0"/>
          <w:i w:val="0"/>
          <w:sz w:val="22"/>
        </w:rPr>
        <w:t>Builds institutional credibility and reputation.</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Improved student retention and graduation rates.</w:t>
      </w:r>
    </w:p>
    <w:p>
      <w:pPr>
        <w:pStyle w:val="ListBullet"/>
        <w:spacing w:after="80" w:line="276" w:lineRule="auto"/>
      </w:pPr>
      <w:r>
        <w:rPr>
          <w:rFonts w:ascii="Cambria" w:hAnsi="Cambria"/>
          <w:b w:val="0"/>
          <w:i w:val="0"/>
          <w:sz w:val="22"/>
        </w:rPr>
        <w:t>Better alignment of programs with employability and higher education needs.</w:t>
      </w:r>
    </w:p>
    <w:p>
      <w:pPr>
        <w:pStyle w:val="ListBullet"/>
        <w:spacing w:after="80" w:line="276" w:lineRule="auto"/>
      </w:pPr>
      <w:r>
        <w:rPr>
          <w:rFonts w:ascii="Cambria" w:hAnsi="Cambria"/>
          <w:b w:val="0"/>
          <w:i w:val="0"/>
          <w:sz w:val="22"/>
        </w:rPr>
        <w:t>Stronger evidence for NBA/NAAC criteria on student progression and support.</w:t>
      </w:r>
    </w:p>
    <w:p>
      <w:pPr>
        <w:pStyle w:val="ListBullet"/>
        <w:spacing w:after="80" w:line="276" w:lineRule="auto"/>
      </w:pPr>
      <w:r>
        <w:rPr>
          <w:rFonts w:ascii="Cambria" w:hAnsi="Cambria"/>
          <w:b w:val="0"/>
          <w:i w:val="0"/>
          <w:sz w:val="22"/>
        </w:rPr>
        <w:t>Creation of a data-driven, student-centered ecosystem.</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Student Progression is the custodian of student success pathways. By tracking performance, reducing drop-outs, improving graduation rates, and supporting placements/higher education, this role ensures that students not only enter the University but also progress, succeed, and thrive beyond it.</w:t>
      </w:r>
    </w:p>
    <w:p>
      <w:r>
        <w:br w:type="page"/>
      </w:r>
    </w:p>
    <w:p>
      <w:pPr>
        <w:pStyle w:val="Heading1"/>
      </w:pPr>
      <w:r>
        <w:rPr>
          <w:rFonts w:ascii="Cambria" w:hAnsi="Cambria"/>
          <w:b/>
          <w:color w:val="1F3A5F"/>
          <w:sz w:val="36"/>
        </w:rPr>
        <w:t>11. Associate Dean – Student Progression: Custodian of Student Success Pathways</w:t>
      </w:r>
    </w:p>
    <w:p>
      <w:pPr>
        <w:pStyle w:val="Heading3"/>
      </w:pPr>
      <w:r>
        <w:rPr>
          <w:rFonts w:ascii="Cambria" w:hAnsi="Cambria"/>
          <w:b/>
          <w:color w:val="1F3A5F"/>
          <w:sz w:val="26"/>
        </w:rPr>
        <w:t>1. Custodian of Academic Growth</w:t>
      </w:r>
    </w:p>
    <w:p>
      <w:pPr>
        <w:pStyle w:val="ListBullet"/>
        <w:spacing w:after="80" w:line="276" w:lineRule="auto"/>
      </w:pPr>
      <w:r>
        <w:rPr>
          <w:rFonts w:ascii="Cambria" w:hAnsi="Cambria"/>
          <w:b w:val="0"/>
          <w:i w:val="0"/>
          <w:sz w:val="22"/>
        </w:rPr>
        <w:t>Ensures students move seamlessly from admission to graduation.</w:t>
      </w:r>
    </w:p>
    <w:p>
      <w:pPr>
        <w:pStyle w:val="ListBullet"/>
        <w:spacing w:after="80" w:line="276" w:lineRule="auto"/>
      </w:pPr>
      <w:r>
        <w:rPr>
          <w:rFonts w:ascii="Cambria" w:hAnsi="Cambria"/>
          <w:b w:val="0"/>
          <w:i w:val="0"/>
          <w:sz w:val="22"/>
        </w:rPr>
        <w:t>Monitors performance in each semester, course, and program, identifying progression barriers.</w:t>
      </w:r>
    </w:p>
    <w:p>
      <w:pPr>
        <w:pStyle w:val="ListBullet"/>
        <w:spacing w:after="80" w:line="276" w:lineRule="auto"/>
      </w:pPr>
      <w:r>
        <w:rPr>
          <w:rFonts w:ascii="Cambria" w:hAnsi="Cambria"/>
          <w:b w:val="0"/>
          <w:i w:val="0"/>
          <w:sz w:val="22"/>
        </w:rPr>
        <w:t>Provides academic support (remedial classes, bridge courses, mentoring) for students who are at risk of failure or drop-out.</w:t>
      </w:r>
    </w:p>
    <w:p>
      <w:pPr>
        <w:pStyle w:val="ListBullet"/>
        <w:spacing w:after="80" w:line="276" w:lineRule="auto"/>
      </w:pPr>
      <w:r>
        <w:rPr>
          <w:rFonts w:ascii="Cambria" w:hAnsi="Cambria"/>
          <w:b w:val="0"/>
          <w:i w:val="0"/>
          <w:sz w:val="22"/>
        </w:rPr>
        <w:t>Guarantees that all students achieve the Program Outcomes (POs) and Graduate Attributes set by the University.</w:t>
      </w:r>
    </w:p>
    <w:p>
      <w:pPr>
        <w:pStyle w:val="Heading3"/>
      </w:pPr>
      <w:r>
        <w:rPr>
          <w:rFonts w:ascii="Cambria" w:hAnsi="Cambria"/>
          <w:b/>
          <w:color w:val="1F3A5F"/>
          <w:sz w:val="26"/>
        </w:rPr>
        <w:t>2. Custodian of Retention and Graduation</w:t>
      </w:r>
    </w:p>
    <w:p>
      <w:pPr>
        <w:pStyle w:val="ListBullet"/>
        <w:spacing w:after="80" w:line="276" w:lineRule="auto"/>
      </w:pPr>
      <w:r>
        <w:rPr>
          <w:rFonts w:ascii="Cambria" w:hAnsi="Cambria"/>
          <w:b w:val="0"/>
          <w:i w:val="0"/>
          <w:sz w:val="22"/>
        </w:rPr>
        <w:t>Tracks student retention rates, ensuring fewer drop-outs.</w:t>
      </w:r>
    </w:p>
    <w:p>
      <w:pPr>
        <w:pStyle w:val="ListBullet"/>
        <w:spacing w:after="80" w:line="276" w:lineRule="auto"/>
      </w:pPr>
      <w:r>
        <w:rPr>
          <w:rFonts w:ascii="Cambria" w:hAnsi="Cambria"/>
          <w:b w:val="0"/>
          <w:i w:val="0"/>
          <w:sz w:val="22"/>
        </w:rPr>
        <w:t>Develops strategies to keep students engaged and motivated until completion of their program.</w:t>
      </w:r>
    </w:p>
    <w:p>
      <w:pPr>
        <w:pStyle w:val="ListBullet"/>
        <w:spacing w:after="80" w:line="276" w:lineRule="auto"/>
      </w:pPr>
      <w:r>
        <w:rPr>
          <w:rFonts w:ascii="Cambria" w:hAnsi="Cambria"/>
          <w:b w:val="0"/>
          <w:i w:val="0"/>
          <w:sz w:val="22"/>
        </w:rPr>
        <w:t>Works to improve graduation rates, a key metric in NAAC, NBA, and NIRF evaluations.</w:t>
      </w:r>
    </w:p>
    <w:p>
      <w:pPr>
        <w:pStyle w:val="ListBullet"/>
        <w:spacing w:after="80" w:line="276" w:lineRule="auto"/>
      </w:pPr>
      <w:r>
        <w:rPr>
          <w:rFonts w:ascii="Cambria" w:hAnsi="Cambria"/>
          <w:b w:val="0"/>
          <w:i w:val="0"/>
          <w:sz w:val="22"/>
        </w:rPr>
        <w:t xml:space="preserve">Ensures equitable progression for diverse groups </w:t>
      </w:r>
      <w:r>
        <w:rPr>
          <w:rFonts w:ascii="Cambria" w:hAnsi="Cambria"/>
          <w:b w:val="0"/>
          <w:i w:val="0"/>
          <w:sz w:val="22"/>
        </w:rPr>
        <w:t>– first-generation learners, marginalized students, and international students.</w:t>
      </w:r>
    </w:p>
    <w:p>
      <w:pPr>
        <w:pStyle w:val="Heading3"/>
      </w:pPr>
      <w:r>
        <w:rPr>
          <w:rFonts w:ascii="Cambria" w:hAnsi="Cambria"/>
          <w:b/>
          <w:color w:val="1F3A5F"/>
          <w:sz w:val="26"/>
        </w:rPr>
        <w:t>3. Custodian of Student Support Systems</w:t>
      </w:r>
    </w:p>
    <w:p>
      <w:pPr>
        <w:pStyle w:val="ListBullet"/>
        <w:spacing w:after="80" w:line="276" w:lineRule="auto"/>
      </w:pPr>
      <w:r>
        <w:rPr>
          <w:rFonts w:ascii="Cambria" w:hAnsi="Cambria"/>
          <w:b w:val="0"/>
          <w:i w:val="0"/>
          <w:sz w:val="22"/>
        </w:rPr>
        <w:t>Designs and coordinates counseling, mentoring, and academic advising programs.</w:t>
      </w:r>
    </w:p>
    <w:p>
      <w:pPr>
        <w:pStyle w:val="ListBullet"/>
        <w:spacing w:after="80" w:line="276" w:lineRule="auto"/>
      </w:pPr>
      <w:r>
        <w:rPr>
          <w:rFonts w:ascii="Cambria" w:hAnsi="Cambria"/>
          <w:b w:val="0"/>
          <w:i w:val="0"/>
          <w:sz w:val="22"/>
        </w:rPr>
        <w:t>Creates student success dashboards for real-time monitoring of attendance, performance, and progression.</w:t>
      </w:r>
    </w:p>
    <w:p>
      <w:pPr>
        <w:pStyle w:val="ListBullet"/>
        <w:spacing w:after="80" w:line="276" w:lineRule="auto"/>
      </w:pPr>
      <w:r>
        <w:rPr>
          <w:rFonts w:ascii="Cambria" w:hAnsi="Cambria"/>
          <w:b w:val="0"/>
          <w:i w:val="0"/>
          <w:sz w:val="22"/>
        </w:rPr>
        <w:t>Acts as a liaison between students, faculty, and administration to address progression-related issues.</w:t>
      </w:r>
    </w:p>
    <w:p>
      <w:pPr>
        <w:pStyle w:val="ListBullet"/>
        <w:spacing w:after="80" w:line="276" w:lineRule="auto"/>
      </w:pPr>
      <w:r>
        <w:rPr>
          <w:rFonts w:ascii="Cambria" w:hAnsi="Cambria"/>
          <w:b w:val="0"/>
          <w:i w:val="0"/>
          <w:sz w:val="22"/>
        </w:rPr>
        <w:t>Implements feedback-driven improvements in teaching and curriculum to better support student pathways.</w:t>
      </w:r>
    </w:p>
    <w:p>
      <w:pPr>
        <w:pStyle w:val="Heading3"/>
      </w:pPr>
      <w:r>
        <w:rPr>
          <w:rFonts w:ascii="Cambria" w:hAnsi="Cambria"/>
          <w:b/>
          <w:color w:val="1F3A5F"/>
          <w:sz w:val="26"/>
        </w:rPr>
        <w:t>4. Custodian of Career and Higher Education Pathways</w:t>
      </w:r>
    </w:p>
    <w:p>
      <w:pPr>
        <w:pStyle w:val="ListBullet"/>
        <w:spacing w:after="80" w:line="276" w:lineRule="auto"/>
      </w:pPr>
      <w:r>
        <w:rPr>
          <w:rFonts w:ascii="Cambria" w:hAnsi="Cambria"/>
          <w:b w:val="0"/>
          <w:i w:val="0"/>
          <w:sz w:val="22"/>
        </w:rPr>
        <w:t>Tracks progression beyond graduation into employment, entrepreneurship, or higher studies.</w:t>
      </w:r>
    </w:p>
    <w:p>
      <w:pPr>
        <w:pStyle w:val="ListBullet"/>
        <w:spacing w:after="80" w:line="276" w:lineRule="auto"/>
      </w:pPr>
      <w:r>
        <w:rPr>
          <w:rFonts w:ascii="Cambria" w:hAnsi="Cambria"/>
          <w:b w:val="0"/>
          <w:i w:val="0"/>
          <w:sz w:val="22"/>
        </w:rPr>
        <w:t>Collaborates with placement cells, industry partners, and career services to ensure employability.</w:t>
      </w:r>
    </w:p>
    <w:p>
      <w:pPr>
        <w:pStyle w:val="ListBullet"/>
        <w:spacing w:after="80" w:line="276" w:lineRule="auto"/>
      </w:pPr>
      <w:r>
        <w:rPr>
          <w:rFonts w:ascii="Cambria" w:hAnsi="Cambria"/>
          <w:b w:val="0"/>
          <w:i w:val="0"/>
          <w:sz w:val="22"/>
        </w:rPr>
        <w:t>Collects alumni progression data for institutional rankings and accreditation evidence.</w:t>
      </w:r>
    </w:p>
    <w:p>
      <w:pPr>
        <w:pStyle w:val="ListBullet"/>
        <w:spacing w:after="80" w:line="276" w:lineRule="auto"/>
      </w:pPr>
      <w:r>
        <w:rPr>
          <w:rFonts w:ascii="Cambria" w:hAnsi="Cambria"/>
          <w:b w:val="0"/>
          <w:i w:val="0"/>
          <w:sz w:val="22"/>
        </w:rPr>
        <w:t>Encourages alumni participation in mentorship programs, internships, and career networking.</w:t>
      </w:r>
    </w:p>
    <w:p>
      <w:pPr>
        <w:pStyle w:val="Heading3"/>
      </w:pPr>
      <w:r>
        <w:rPr>
          <w:rFonts w:ascii="Cambria" w:hAnsi="Cambria"/>
          <w:b/>
          <w:color w:val="1F3A5F"/>
          <w:sz w:val="26"/>
        </w:rPr>
        <w:t>5. Custodian of Continuous Improvement</w:t>
      </w:r>
    </w:p>
    <w:p>
      <w:pPr>
        <w:pStyle w:val="ListBullet"/>
        <w:spacing w:after="80" w:line="276" w:lineRule="auto"/>
      </w:pPr>
      <w:r>
        <w:rPr>
          <w:rFonts w:ascii="Cambria" w:hAnsi="Cambria"/>
          <w:b w:val="0"/>
          <w:i w:val="0"/>
          <w:sz w:val="22"/>
        </w:rPr>
        <w:t>Uses progression data to identify gaps in:</w:t>
      </w:r>
    </w:p>
    <w:p>
      <w:pPr>
        <w:pStyle w:val="ListBullet2"/>
        <w:spacing w:after="80" w:line="276" w:lineRule="auto"/>
      </w:pPr>
      <w:r>
        <w:rPr>
          <w:rFonts w:ascii="Cambria" w:hAnsi="Cambria"/>
          <w:b w:val="0"/>
          <w:i w:val="0"/>
          <w:sz w:val="22"/>
        </w:rPr>
        <w:t>Curriculum relevance</w:t>
      </w:r>
    </w:p>
    <w:p>
      <w:pPr>
        <w:pStyle w:val="ListBullet2"/>
        <w:spacing w:after="80" w:line="276" w:lineRule="auto"/>
      </w:pPr>
      <w:r>
        <w:rPr>
          <w:rFonts w:ascii="Cambria" w:hAnsi="Cambria"/>
          <w:b w:val="0"/>
          <w:i w:val="0"/>
          <w:sz w:val="22"/>
        </w:rPr>
        <w:t>Teaching effectiveness</w:t>
      </w:r>
    </w:p>
    <w:p>
      <w:pPr>
        <w:pStyle w:val="ListBullet2"/>
        <w:spacing w:after="80" w:line="276" w:lineRule="auto"/>
      </w:pPr>
      <w:r>
        <w:rPr>
          <w:rFonts w:ascii="Cambria" w:hAnsi="Cambria"/>
          <w:b w:val="0"/>
          <w:i w:val="0"/>
          <w:sz w:val="22"/>
        </w:rPr>
        <w:t>Student support systems</w:t>
      </w:r>
    </w:p>
    <w:p>
      <w:pPr>
        <w:pStyle w:val="ListBullet"/>
        <w:spacing w:after="80" w:line="276" w:lineRule="auto"/>
      </w:pPr>
      <w:r>
        <w:rPr>
          <w:rFonts w:ascii="Cambria" w:hAnsi="Cambria"/>
          <w:b w:val="0"/>
          <w:i w:val="0"/>
          <w:sz w:val="22"/>
        </w:rPr>
        <w:t>Recommends policy and structural changes for better student outcomes.</w:t>
      </w:r>
    </w:p>
    <w:p>
      <w:pPr>
        <w:pStyle w:val="ListBullet"/>
        <w:spacing w:after="80" w:line="276" w:lineRule="auto"/>
      </w:pPr>
      <w:r>
        <w:rPr>
          <w:rFonts w:ascii="Cambria" w:hAnsi="Cambria"/>
          <w:b w:val="0"/>
          <w:i w:val="0"/>
          <w:sz w:val="22"/>
        </w:rPr>
        <w:t>Aligns university performance with national and international benchmarks.</w:t>
      </w:r>
    </w:p>
    <w:p>
      <w:pPr>
        <w:pStyle w:val="Heading3"/>
      </w:pPr>
      <w:r>
        <w:rPr>
          <w:rFonts w:ascii="Cambria" w:hAnsi="Cambria"/>
          <w:b/>
          <w:color w:val="1F3A5F"/>
          <w:sz w:val="26"/>
        </w:rPr>
        <w:t>6. Strategic Impact</w:t>
      </w:r>
    </w:p>
    <w:p>
      <w:pPr>
        <w:pStyle w:val="ListBullet"/>
        <w:spacing w:after="80" w:line="276" w:lineRule="auto"/>
      </w:pPr>
      <w:r>
        <w:rPr>
          <w:rFonts w:ascii="Cambria" w:hAnsi="Cambria"/>
          <w:b/>
          <w:i w:val="0"/>
          <w:sz w:val="22"/>
        </w:rPr>
        <w:t xml:space="preserve">For Students: </w:t>
      </w:r>
      <w:r>
        <w:rPr>
          <w:rFonts w:ascii="Cambria" w:hAnsi="Cambria"/>
          <w:b w:val="0"/>
          <w:i w:val="0"/>
          <w:sz w:val="22"/>
        </w:rPr>
        <w:t>Provides structured pathways for academic growth, skill development, and career readiness.</w:t>
      </w:r>
    </w:p>
    <w:p>
      <w:pPr>
        <w:pStyle w:val="ListBullet"/>
        <w:spacing w:after="80" w:line="276" w:lineRule="auto"/>
      </w:pPr>
      <w:r>
        <w:rPr>
          <w:rFonts w:ascii="Cambria" w:hAnsi="Cambria"/>
          <w:b/>
          <w:i w:val="0"/>
          <w:sz w:val="22"/>
        </w:rPr>
        <w:t xml:space="preserve">For Faculty: </w:t>
      </w:r>
      <w:r>
        <w:rPr>
          <w:rFonts w:ascii="Cambria" w:hAnsi="Cambria"/>
          <w:b w:val="0"/>
          <w:i w:val="0"/>
          <w:sz w:val="22"/>
        </w:rPr>
        <w:t>Offers progression data to enhance teaching and mentoring strategies.</w:t>
      </w:r>
    </w:p>
    <w:p>
      <w:pPr>
        <w:pStyle w:val="ListBullet"/>
        <w:spacing w:after="80" w:line="276" w:lineRule="auto"/>
      </w:pPr>
      <w:r>
        <w:rPr>
          <w:rFonts w:ascii="Cambria" w:hAnsi="Cambria"/>
          <w:b/>
          <w:i w:val="0"/>
          <w:sz w:val="22"/>
        </w:rPr>
        <w:t xml:space="preserve">For University: </w:t>
      </w:r>
      <w:r>
        <w:rPr>
          <w:rFonts w:ascii="Cambria" w:hAnsi="Cambria"/>
          <w:b w:val="0"/>
          <w:i w:val="0"/>
          <w:sz w:val="22"/>
        </w:rPr>
        <w:t>Improves institutional credibility through higher graduation rates, placement success, and accreditation scores.</w:t>
      </w:r>
    </w:p>
    <w:p>
      <w:pPr>
        <w:pStyle w:val="ListBullet"/>
        <w:spacing w:after="80" w:line="276" w:lineRule="auto"/>
      </w:pPr>
      <w:r>
        <w:rPr>
          <w:rFonts w:ascii="Cambria" w:hAnsi="Cambria"/>
          <w:b/>
          <w:i w:val="0"/>
          <w:sz w:val="22"/>
        </w:rPr>
        <w:t xml:space="preserve">For Society: </w:t>
      </w:r>
      <w:r>
        <w:rPr>
          <w:rFonts w:ascii="Cambria" w:hAnsi="Cambria"/>
          <w:b w:val="0"/>
          <w:i w:val="0"/>
          <w:sz w:val="22"/>
        </w:rPr>
        <w:t>Produces graduates who are academically competent, professionally skilled, and socially responsible.</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Student Progression is the custodian of student success pathways because this role ensures that students are not only admitted into the system but are also supported, guided, and empowered to succeed academically, graduate on time, and transition into meaningful careers or higher studies.</w:t>
      </w:r>
    </w:p>
    <w:p>
      <w:r>
        <w:br w:type="page"/>
      </w:r>
    </w:p>
    <w:p>
      <w:pPr>
        <w:pStyle w:val="Heading1"/>
      </w:pPr>
      <w:r>
        <w:rPr>
          <w:rFonts w:ascii="Cambria" w:hAnsi="Cambria"/>
          <w:b/>
          <w:color w:val="1F3A5F"/>
          <w:sz w:val="36"/>
        </w:rPr>
        <w:t>12. Associate Dean – Curriculum &amp; Academic Programs, Academic Feedback</w:t>
      </w:r>
    </w:p>
    <w:p>
      <w:pPr>
        <w:spacing w:after="160" w:line="276" w:lineRule="auto"/>
        <w:jc w:val="both"/>
      </w:pPr>
      <w:r>
        <w:rPr>
          <w:rFonts w:ascii="Cambria" w:hAnsi="Cambria"/>
          <w:b w:val="0"/>
          <w:i w:val="0"/>
          <w:sz w:val="22"/>
        </w:rPr>
        <w:t>An Associate Dean for Curriculum and Academic Programs is a senior academic administrator responsible for ensuring that the curriculum of a university or college remains high-quality, relevant, and future-oriented. This role is pivotal in shaping the academic character of the institution by overseeing both the strategic and operational aspects of program design, delivery, and evaluation. By using feedback from students, faculty, alumni, and industry partners, the Associate Dean ensures that academic offerings are continuously updated to meet the evolving needs of learners and society.</w:t>
      </w:r>
    </w:p>
    <w:p>
      <w:pPr>
        <w:spacing w:after="160" w:line="276" w:lineRule="auto"/>
        <w:jc w:val="both"/>
      </w:pPr>
      <w:r>
        <w:rPr>
          <w:rFonts w:ascii="Cambria" w:hAnsi="Cambria"/>
          <w:b w:val="0"/>
          <w:i w:val="0"/>
          <w:sz w:val="22"/>
        </w:rPr>
        <w:t>At the core of this role is the responsibility for curriculum development and academic planning. This involves introducing new programs in emerging fields, upgrading existing course structures, and ensuring compliance with national and international academic standards such as NAAC, NBA, NIRF, and global benchmarking frameworks. The Associate Dean collaborates closely with Boards of Studies, Academic Councils, and quality assurance units to ensure that all programs reflect the institution's vision, mission, and graduate attributes. By embedding Outcome-Based Education (OBE) practices, the curriculum is designed to achieve measurable competencies, aligning academic learning with industry expectations and accreditation criteria.</w:t>
      </w:r>
    </w:p>
    <w:p>
      <w:pPr>
        <w:spacing w:after="160" w:line="276" w:lineRule="auto"/>
        <w:jc w:val="both"/>
      </w:pPr>
      <w:r>
        <w:rPr>
          <w:rFonts w:ascii="Cambria" w:hAnsi="Cambria"/>
          <w:b w:val="0"/>
          <w:i w:val="0"/>
          <w:sz w:val="22"/>
        </w:rPr>
        <w:t>In addition to design and governance, this role emphasizes the importance of a feedback-driven improvement cycle. Structured feedback systems allow for the collection of student experiences, faculty reflections, and employer insights, which are then analyzed to identify strengths, gaps, and areas of innovation. The Associate Dean translates this data into actionable reforms—whether that means revising syllabi, introducing interdisciplinary electives, embedding skill-based components, or integrating MOOCs, digital tools, and experiential learning opportunities.</w:t>
      </w:r>
    </w:p>
    <w:p>
      <w:pPr>
        <w:spacing w:after="160" w:line="276" w:lineRule="auto"/>
        <w:jc w:val="both"/>
      </w:pPr>
      <w:r>
        <w:rPr>
          <w:rFonts w:ascii="Cambria" w:hAnsi="Cambria"/>
          <w:b w:val="0"/>
          <w:i w:val="0"/>
          <w:sz w:val="22"/>
        </w:rPr>
        <w:t>The position also requires strong leadership in academic quality assurance and faculty engagement. By supporting faculty in adopting innovative pedagogies—such as flipped classrooms, blended learning, and project-based learning—the Associate Dean fosters a teaching–learning culture that is student-centered, dynamic, and globally competitive. Furthermore, through regular reporting and policy alignment, the role ensures that the institution not only meets accreditation benchmarks but also demonstrates continuous improvement and innovation in its academic portfolio.</w:t>
      </w:r>
    </w:p>
    <w:p>
      <w:pPr>
        <w:spacing w:after="160" w:line="276" w:lineRule="auto"/>
        <w:jc w:val="both"/>
      </w:pPr>
      <w:r>
        <w:rPr>
          <w:rFonts w:ascii="Cambria" w:hAnsi="Cambria"/>
          <w:b w:val="0"/>
          <w:i w:val="0"/>
          <w:sz w:val="22"/>
        </w:rPr>
        <w:t>Ultimately, the Associate Dean for Curriculum and Academic Programs serves as the custodian of curricular relevance and innovation, ensuring that the institution's academic framework remains responsive to global trends, attuned to industry demands, and committed to student success. By balancing academic rigor with flexibility and adaptability, this role guarantees that the university produces graduates who are well-prepared, employable, and capable of contributing meaningfully to society.</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Acts as the custodian of curriculum design, program structure, and academic feedback mechanisms.</w:t>
      </w:r>
    </w:p>
    <w:p>
      <w:pPr>
        <w:pStyle w:val="ListBullet"/>
        <w:spacing w:after="80" w:line="276" w:lineRule="auto"/>
      </w:pPr>
      <w:r>
        <w:rPr>
          <w:rFonts w:ascii="Cambria" w:hAnsi="Cambria"/>
          <w:b w:val="0"/>
          <w:i w:val="0"/>
          <w:sz w:val="22"/>
        </w:rPr>
        <w:t>Ensures curriculum is future-ready, multidisciplinary, and aligned with NEP-2020, NAAC, NBA, and global education standards.</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Curriculum Design and Development</w:t>
      </w:r>
    </w:p>
    <w:p>
      <w:pPr>
        <w:pStyle w:val="ListBullet"/>
        <w:spacing w:after="80" w:line="276" w:lineRule="auto"/>
      </w:pPr>
      <w:r>
        <w:rPr>
          <w:rFonts w:ascii="Cambria" w:hAnsi="Cambria"/>
          <w:b w:val="0"/>
          <w:i w:val="0"/>
          <w:sz w:val="22"/>
        </w:rPr>
        <w:t>Leads curriculum framework creation in line with University vision and national policies.</w:t>
      </w:r>
    </w:p>
    <w:p>
      <w:pPr>
        <w:pStyle w:val="ListBullet"/>
        <w:spacing w:after="80" w:line="276" w:lineRule="auto"/>
      </w:pPr>
      <w:r>
        <w:rPr>
          <w:rFonts w:ascii="Cambria" w:hAnsi="Cambria"/>
          <w:b w:val="0"/>
          <w:i w:val="0"/>
          <w:sz w:val="22"/>
        </w:rPr>
        <w:t>Integrates multidisciplinary courses, vocational training, and experiential learning opportunities.</w:t>
      </w:r>
    </w:p>
    <w:p>
      <w:pPr>
        <w:pStyle w:val="ListBullet"/>
        <w:spacing w:after="80" w:line="276" w:lineRule="auto"/>
      </w:pPr>
      <w:r>
        <w:rPr>
          <w:rFonts w:ascii="Cambria" w:hAnsi="Cambria"/>
          <w:b w:val="0"/>
          <w:i w:val="0"/>
          <w:sz w:val="22"/>
        </w:rPr>
        <w:t>Coordinates with Boards of Studies and Academic Council for curriculum approval.</w:t>
      </w:r>
    </w:p>
    <w:p>
      <w:pPr>
        <w:pStyle w:val="ListBullet"/>
        <w:spacing w:after="80" w:line="276" w:lineRule="auto"/>
      </w:pPr>
      <w:r>
        <w:rPr>
          <w:rFonts w:ascii="Cambria" w:hAnsi="Cambria"/>
          <w:b w:val="0"/>
          <w:i w:val="0"/>
          <w:sz w:val="22"/>
        </w:rPr>
        <w:t>Ensures curriculum reflects industry needs, societal expectations, and emerging global trends.</w:t>
      </w:r>
    </w:p>
    <w:p>
      <w:pPr>
        <w:spacing w:after="80" w:line="276" w:lineRule="auto"/>
      </w:pPr>
      <w:r>
        <w:rPr>
          <w:rFonts w:ascii="Cambria" w:hAnsi="Cambria"/>
          <w:b/>
          <w:i w:val="0"/>
          <w:sz w:val="22"/>
        </w:rPr>
        <w:t>B. Program Innovation and Upgradation</w:t>
      </w:r>
    </w:p>
    <w:p>
      <w:pPr>
        <w:pStyle w:val="ListBullet"/>
        <w:spacing w:after="80" w:line="276" w:lineRule="auto"/>
      </w:pPr>
      <w:r>
        <w:rPr>
          <w:rFonts w:ascii="Cambria" w:hAnsi="Cambria"/>
          <w:b w:val="0"/>
          <w:i w:val="0"/>
          <w:sz w:val="22"/>
        </w:rPr>
        <w:t>Oversees the launch of new academic programs (UG, PG, PhD) after thorough feasibility studies.</w:t>
      </w:r>
    </w:p>
    <w:p>
      <w:pPr>
        <w:pStyle w:val="ListBullet"/>
        <w:spacing w:after="80" w:line="276" w:lineRule="auto"/>
      </w:pPr>
      <w:r>
        <w:rPr>
          <w:rFonts w:ascii="Cambria" w:hAnsi="Cambria"/>
          <w:b w:val="0"/>
          <w:i w:val="0"/>
          <w:sz w:val="22"/>
        </w:rPr>
        <w:t>Updates existing programs regularly with revised content, pedagogy, and assessment models.</w:t>
      </w:r>
    </w:p>
    <w:p>
      <w:pPr>
        <w:pStyle w:val="ListBullet"/>
        <w:spacing w:after="80" w:line="276" w:lineRule="auto"/>
      </w:pPr>
      <w:r>
        <w:rPr>
          <w:rFonts w:ascii="Cambria" w:hAnsi="Cambria"/>
          <w:b w:val="0"/>
          <w:i w:val="0"/>
          <w:sz w:val="22"/>
        </w:rPr>
        <w:t>Encourages inclusion of electives, open courses, MOOCs, and skill-based modules.</w:t>
      </w:r>
    </w:p>
    <w:p>
      <w:pPr>
        <w:pStyle w:val="ListBullet"/>
        <w:spacing w:after="80" w:line="276" w:lineRule="auto"/>
      </w:pPr>
      <w:r>
        <w:rPr>
          <w:rFonts w:ascii="Cambria" w:hAnsi="Cambria"/>
          <w:b w:val="0"/>
          <w:i w:val="0"/>
          <w:sz w:val="22"/>
        </w:rPr>
        <w:t>Aligns academic programs with Outcome-Based Education (OBE) principles.</w:t>
      </w:r>
    </w:p>
    <w:p>
      <w:pPr>
        <w:spacing w:after="80" w:line="276" w:lineRule="auto"/>
      </w:pPr>
      <w:r>
        <w:rPr>
          <w:rFonts w:ascii="Cambria" w:hAnsi="Cambria"/>
          <w:b/>
          <w:i w:val="0"/>
          <w:sz w:val="22"/>
        </w:rPr>
        <w:t>C. Academic Feedback System</w:t>
      </w:r>
    </w:p>
    <w:p>
      <w:pPr>
        <w:pStyle w:val="ListBullet"/>
        <w:spacing w:after="80" w:line="276" w:lineRule="auto"/>
      </w:pPr>
      <w:r>
        <w:rPr>
          <w:rFonts w:ascii="Cambria" w:hAnsi="Cambria"/>
          <w:b w:val="0"/>
          <w:i w:val="0"/>
          <w:sz w:val="22"/>
        </w:rPr>
        <w:t>Designs structured systems for collecting academic feedback from:</w:t>
      </w:r>
    </w:p>
    <w:p>
      <w:pPr>
        <w:pStyle w:val="ListBullet2"/>
        <w:spacing w:after="80" w:line="276" w:lineRule="auto"/>
      </w:pPr>
      <w:r>
        <w:rPr>
          <w:rFonts w:ascii="Cambria" w:hAnsi="Cambria"/>
          <w:b w:val="0"/>
          <w:i w:val="0"/>
          <w:sz w:val="22"/>
        </w:rPr>
        <w:t>Students</w:t>
      </w:r>
    </w:p>
    <w:p>
      <w:pPr>
        <w:pStyle w:val="ListBullet2"/>
        <w:spacing w:after="80" w:line="276" w:lineRule="auto"/>
      </w:pPr>
      <w:r>
        <w:rPr>
          <w:rFonts w:ascii="Cambria" w:hAnsi="Cambria"/>
          <w:b w:val="0"/>
          <w:i w:val="0"/>
          <w:sz w:val="22"/>
        </w:rPr>
        <w:t>Faculty</w:t>
      </w:r>
    </w:p>
    <w:p>
      <w:pPr>
        <w:pStyle w:val="ListBullet2"/>
        <w:spacing w:after="80" w:line="276" w:lineRule="auto"/>
      </w:pPr>
      <w:r>
        <w:rPr>
          <w:rFonts w:ascii="Cambria" w:hAnsi="Cambria"/>
          <w:b w:val="0"/>
          <w:i w:val="0"/>
          <w:sz w:val="22"/>
        </w:rPr>
        <w:t>Alumni</w:t>
      </w:r>
    </w:p>
    <w:p>
      <w:pPr>
        <w:pStyle w:val="ListBullet2"/>
        <w:spacing w:after="80" w:line="276" w:lineRule="auto"/>
      </w:pPr>
      <w:r>
        <w:rPr>
          <w:rFonts w:ascii="Cambria" w:hAnsi="Cambria"/>
          <w:b w:val="0"/>
          <w:i w:val="0"/>
          <w:sz w:val="22"/>
        </w:rPr>
        <w:t>Employers/Industry experts</w:t>
      </w:r>
    </w:p>
    <w:p>
      <w:pPr>
        <w:pStyle w:val="ListBullet"/>
        <w:spacing w:after="80" w:line="276" w:lineRule="auto"/>
      </w:pPr>
      <w:r>
        <w:rPr>
          <w:rFonts w:ascii="Cambria" w:hAnsi="Cambria"/>
          <w:b w:val="0"/>
          <w:i w:val="0"/>
          <w:sz w:val="22"/>
        </w:rPr>
        <w:t>Analyzes feedback data and identifies strengths, gaps, and improvement areas.</w:t>
      </w:r>
    </w:p>
    <w:p>
      <w:pPr>
        <w:pStyle w:val="ListBullet"/>
        <w:spacing w:after="80" w:line="276" w:lineRule="auto"/>
      </w:pPr>
      <w:r>
        <w:rPr>
          <w:rFonts w:ascii="Cambria" w:hAnsi="Cambria"/>
          <w:b w:val="0"/>
          <w:i w:val="0"/>
          <w:sz w:val="22"/>
        </w:rPr>
        <w:t>Recommends changes in curriculum, teaching practices, and student support systems based on feedback.</w:t>
      </w:r>
    </w:p>
    <w:p>
      <w:pPr>
        <w:pStyle w:val="ListBullet"/>
        <w:spacing w:after="80" w:line="276" w:lineRule="auto"/>
      </w:pPr>
      <w:r>
        <w:rPr>
          <w:rFonts w:ascii="Cambria" w:hAnsi="Cambria"/>
          <w:b w:val="0"/>
          <w:i w:val="0"/>
          <w:sz w:val="22"/>
        </w:rPr>
        <w:t>Ensures feedback loop is closed with action reports and measurable outcomes.</w:t>
      </w:r>
    </w:p>
    <w:p>
      <w:pPr>
        <w:spacing w:after="80" w:line="276" w:lineRule="auto"/>
      </w:pPr>
      <w:r>
        <w:rPr>
          <w:rFonts w:ascii="Cambria" w:hAnsi="Cambria"/>
          <w:b/>
          <w:i w:val="0"/>
          <w:sz w:val="22"/>
        </w:rPr>
        <w:t>D. Teaching-Learning Enhancement</w:t>
      </w:r>
    </w:p>
    <w:p>
      <w:pPr>
        <w:pStyle w:val="ListBullet"/>
        <w:spacing w:after="80" w:line="276" w:lineRule="auto"/>
      </w:pPr>
      <w:r>
        <w:rPr>
          <w:rFonts w:ascii="Cambria" w:hAnsi="Cambria"/>
          <w:b w:val="0"/>
          <w:i w:val="0"/>
          <w:sz w:val="22"/>
        </w:rPr>
        <w:t>Ensures faculty integrate innovative pedagogies (case studies, project-based learning, flipped classrooms).</w:t>
      </w:r>
    </w:p>
    <w:p>
      <w:pPr>
        <w:pStyle w:val="ListBullet"/>
        <w:spacing w:after="80" w:line="276" w:lineRule="auto"/>
      </w:pPr>
      <w:r>
        <w:rPr>
          <w:rFonts w:ascii="Cambria" w:hAnsi="Cambria"/>
          <w:b w:val="0"/>
          <w:i w:val="0"/>
          <w:sz w:val="22"/>
        </w:rPr>
        <w:t>Promotes blended learning, e-learning, and MOOC integration into the academic structure.</w:t>
      </w:r>
    </w:p>
    <w:p>
      <w:pPr>
        <w:pStyle w:val="ListBullet"/>
        <w:spacing w:after="80" w:line="276" w:lineRule="auto"/>
      </w:pPr>
      <w:r>
        <w:rPr>
          <w:rFonts w:ascii="Cambria" w:hAnsi="Cambria"/>
          <w:b w:val="0"/>
          <w:i w:val="0"/>
          <w:sz w:val="22"/>
        </w:rPr>
        <w:t>Aligns teaching practices with OBE outcomes and accreditation requirements.</w:t>
      </w:r>
    </w:p>
    <w:p>
      <w:pPr>
        <w:pStyle w:val="ListBullet"/>
        <w:spacing w:after="80" w:line="276" w:lineRule="auto"/>
      </w:pPr>
      <w:r>
        <w:rPr>
          <w:rFonts w:ascii="Cambria" w:hAnsi="Cambria"/>
          <w:b w:val="0"/>
          <w:i w:val="0"/>
          <w:sz w:val="22"/>
        </w:rPr>
        <w:t>Monitors the impact of teaching innovations on student learning outcomes.</w:t>
      </w:r>
    </w:p>
    <w:p>
      <w:pPr>
        <w:spacing w:after="80" w:line="276" w:lineRule="auto"/>
      </w:pPr>
      <w:r>
        <w:rPr>
          <w:rFonts w:ascii="Cambria" w:hAnsi="Cambria"/>
          <w:b/>
          <w:i w:val="0"/>
          <w:sz w:val="22"/>
        </w:rPr>
        <w:t>E. Liaison and Governance</w:t>
      </w:r>
    </w:p>
    <w:p>
      <w:pPr>
        <w:pStyle w:val="ListBullet"/>
        <w:spacing w:after="80" w:line="276" w:lineRule="auto"/>
      </w:pPr>
      <w:r>
        <w:rPr>
          <w:rFonts w:ascii="Cambria" w:hAnsi="Cambria"/>
          <w:b w:val="0"/>
          <w:i w:val="0"/>
          <w:sz w:val="22"/>
        </w:rPr>
        <w:t>Collaborates with:</w:t>
      </w:r>
    </w:p>
    <w:p>
      <w:pPr>
        <w:pStyle w:val="ListBullet2"/>
        <w:spacing w:after="80" w:line="276" w:lineRule="auto"/>
      </w:pPr>
      <w:r>
        <w:rPr>
          <w:rFonts w:ascii="Cambria" w:hAnsi="Cambria"/>
          <w:b w:val="0"/>
          <w:i w:val="0"/>
          <w:sz w:val="22"/>
        </w:rPr>
        <w:t>Dean (OBE Implementation): to align curriculum with outcomes.</w:t>
      </w:r>
    </w:p>
    <w:p>
      <w:pPr>
        <w:pStyle w:val="ListBullet2"/>
        <w:spacing w:after="80" w:line="276" w:lineRule="auto"/>
      </w:pPr>
      <w:r>
        <w:rPr>
          <w:rFonts w:ascii="Cambria" w:hAnsi="Cambria"/>
          <w:b w:val="0"/>
          <w:i w:val="0"/>
          <w:sz w:val="22"/>
        </w:rPr>
        <w:t>Dean (Student Progression): to ensure curriculum supports progression and employability.</w:t>
      </w:r>
    </w:p>
    <w:p>
      <w:pPr>
        <w:pStyle w:val="ListBullet2"/>
        <w:spacing w:after="80" w:line="276" w:lineRule="auto"/>
      </w:pPr>
      <w:r>
        <w:rPr>
          <w:rFonts w:ascii="Cambria" w:hAnsi="Cambria"/>
          <w:b w:val="0"/>
          <w:i w:val="0"/>
          <w:sz w:val="22"/>
        </w:rPr>
        <w:t>Registrar &amp; Examination Branch: for syllabus updates and documentation.</w:t>
      </w:r>
    </w:p>
    <w:p>
      <w:pPr>
        <w:pStyle w:val="ListBullet"/>
        <w:spacing w:after="80" w:line="276" w:lineRule="auto"/>
      </w:pPr>
      <w:r>
        <w:rPr>
          <w:rFonts w:ascii="Cambria" w:hAnsi="Cambria"/>
          <w:b w:val="0"/>
          <w:i w:val="0"/>
          <w:sz w:val="22"/>
        </w:rPr>
        <w:t>Prepares reports for NAAC, NBA, NIRF, and IQAC compliance on curriculum and academic programs.</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Provides a modern, flexible, and industry-relevant curriculum.</w:t>
      </w:r>
    </w:p>
    <w:p>
      <w:pPr>
        <w:pStyle w:val="ListBullet2"/>
        <w:spacing w:after="80" w:line="276" w:lineRule="auto"/>
      </w:pPr>
      <w:r>
        <w:rPr>
          <w:rFonts w:ascii="Cambria" w:hAnsi="Cambria"/>
          <w:b w:val="0"/>
          <w:i w:val="0"/>
          <w:sz w:val="22"/>
        </w:rPr>
        <w:t>Ensures their voices are heard through feedback systems.</w:t>
      </w:r>
    </w:p>
    <w:p>
      <w:pPr>
        <w:pStyle w:val="ListBullet2"/>
        <w:spacing w:after="80" w:line="276" w:lineRule="auto"/>
      </w:pPr>
      <w:r>
        <w:rPr>
          <w:rFonts w:ascii="Cambria" w:hAnsi="Cambria"/>
          <w:b w:val="0"/>
          <w:i w:val="0"/>
          <w:sz w:val="22"/>
        </w:rPr>
        <w:t>Improves career readiness and higher education opportunities.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Clear guidelines for curriculum delivery.</w:t>
      </w:r>
    </w:p>
    <w:p>
      <w:pPr>
        <w:pStyle w:val="ListBullet2"/>
        <w:spacing w:after="80" w:line="276" w:lineRule="auto"/>
      </w:pPr>
      <w:r>
        <w:rPr>
          <w:rFonts w:ascii="Cambria" w:hAnsi="Cambria"/>
          <w:b w:val="0"/>
          <w:i w:val="0"/>
          <w:sz w:val="22"/>
        </w:rPr>
        <w:t>Regular opportunities for pedagogical innovation.</w:t>
      </w:r>
    </w:p>
    <w:p>
      <w:pPr>
        <w:pStyle w:val="ListBullet2"/>
        <w:spacing w:after="80" w:line="276" w:lineRule="auto"/>
      </w:pPr>
      <w:r>
        <w:rPr>
          <w:rFonts w:ascii="Cambria" w:hAnsi="Cambria"/>
          <w:b w:val="0"/>
          <w:i w:val="0"/>
          <w:sz w:val="22"/>
        </w:rPr>
        <w:t>Engagement in curriculum review committees and policy decisions.</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Strong compliance with national and international standards.</w:t>
      </w:r>
    </w:p>
    <w:p>
      <w:pPr>
        <w:pStyle w:val="ListBullet2"/>
        <w:spacing w:after="80" w:line="276" w:lineRule="auto"/>
      </w:pPr>
      <w:r>
        <w:rPr>
          <w:rFonts w:ascii="Cambria" w:hAnsi="Cambria"/>
          <w:b w:val="0"/>
          <w:i w:val="0"/>
          <w:sz w:val="22"/>
        </w:rPr>
        <w:t>Evidence-based improvements for accreditation and rankings.</w:t>
      </w:r>
    </w:p>
    <w:p>
      <w:pPr>
        <w:pStyle w:val="ListBullet2"/>
        <w:spacing w:after="80" w:line="276" w:lineRule="auto"/>
      </w:pPr>
      <w:r>
        <w:rPr>
          <w:rFonts w:ascii="Cambria" w:hAnsi="Cambria"/>
          <w:b w:val="0"/>
          <w:i w:val="0"/>
          <w:sz w:val="22"/>
        </w:rPr>
        <w:t>Builds a reputation as a student-centric, forward-looking university.</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Curriculum that is dynamic, multidisciplinary, and employability-driven.</w:t>
      </w:r>
    </w:p>
    <w:p>
      <w:pPr>
        <w:pStyle w:val="ListBullet"/>
        <w:spacing w:after="80" w:line="276" w:lineRule="auto"/>
      </w:pPr>
      <w:r>
        <w:rPr>
          <w:rFonts w:ascii="Cambria" w:hAnsi="Cambria"/>
          <w:b w:val="0"/>
          <w:i w:val="0"/>
          <w:sz w:val="22"/>
        </w:rPr>
        <w:t>A feedback-driven continuous improvement system.</w:t>
      </w:r>
    </w:p>
    <w:p>
      <w:pPr>
        <w:pStyle w:val="ListBullet"/>
        <w:spacing w:after="80" w:line="276" w:lineRule="auto"/>
      </w:pPr>
      <w:r>
        <w:rPr>
          <w:rFonts w:ascii="Cambria" w:hAnsi="Cambria"/>
          <w:b w:val="0"/>
          <w:i w:val="0"/>
          <w:sz w:val="22"/>
        </w:rPr>
        <w:t>Increased student satisfaction and academic performance.</w:t>
      </w:r>
    </w:p>
    <w:p>
      <w:pPr>
        <w:pStyle w:val="ListBullet"/>
        <w:spacing w:after="80" w:line="276" w:lineRule="auto"/>
      </w:pPr>
      <w:r>
        <w:rPr>
          <w:rFonts w:ascii="Cambria" w:hAnsi="Cambria"/>
          <w:b w:val="0"/>
          <w:i w:val="0"/>
          <w:sz w:val="22"/>
        </w:rPr>
        <w:t>Accreditation excellence under NAAC Criterion I (Curricular Aspects) and NBA criteria on curriculum relevance.</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Curriculum &amp; Academic Programs, Academic Feedback is the custodian of curricular relevance and innovation. By ensuring feedback-driven curriculum reforms and program updates, this role guarantees that academic offerings remain modern, student-centric, and industry-aligned.</w:t>
      </w:r>
    </w:p>
    <w:p>
      <w:r>
        <w:br w:type="page"/>
      </w:r>
    </w:p>
    <w:p>
      <w:pPr>
        <w:pStyle w:val="Heading1"/>
      </w:pPr>
      <w:r>
        <w:rPr>
          <w:rFonts w:ascii="Cambria" w:hAnsi="Cambria"/>
          <w:b/>
          <w:color w:val="1F3A5F"/>
          <w:sz w:val="36"/>
        </w:rPr>
        <w:t>13. Associate Dean – Curriculum &amp; Academic Programs, Academic Feedback: Custodian of Curricular Relevance and Innovation</w:t>
      </w:r>
    </w:p>
    <w:p>
      <w:pPr>
        <w:pStyle w:val="Heading3"/>
      </w:pPr>
      <w:r>
        <w:rPr>
          <w:rFonts w:ascii="Cambria" w:hAnsi="Cambria"/>
          <w:b/>
          <w:color w:val="1F3A5F"/>
          <w:sz w:val="26"/>
        </w:rPr>
        <w:t>1. Custodian of Curricular Relevance</w:t>
      </w:r>
    </w:p>
    <w:p>
      <w:pPr>
        <w:spacing w:after="80" w:line="276" w:lineRule="auto"/>
      </w:pPr>
      <w:r>
        <w:rPr>
          <w:rFonts w:ascii="Cambria" w:hAnsi="Cambria"/>
          <w:b/>
          <w:i w:val="0"/>
          <w:sz w:val="22"/>
        </w:rPr>
        <w:t>Alignment with Policies:</w:t>
      </w:r>
    </w:p>
    <w:p>
      <w:pPr>
        <w:pStyle w:val="ListBullet"/>
        <w:spacing w:after="80" w:line="276" w:lineRule="auto"/>
      </w:pPr>
      <w:r>
        <w:rPr>
          <w:rFonts w:ascii="Cambria" w:hAnsi="Cambria"/>
          <w:b w:val="0"/>
          <w:i w:val="0"/>
          <w:sz w:val="22"/>
        </w:rPr>
        <w:t>Ensures curriculum is consistent with NEP-2020, UGC, AICTE, NAAC, NBA, and global education frameworks.</w:t>
      </w:r>
    </w:p>
    <w:p>
      <w:pPr>
        <w:spacing w:after="80" w:line="276" w:lineRule="auto"/>
      </w:pPr>
      <w:r>
        <w:rPr>
          <w:rFonts w:ascii="Cambria" w:hAnsi="Cambria"/>
          <w:b/>
          <w:i w:val="0"/>
          <w:sz w:val="22"/>
        </w:rPr>
        <w:t>Industry and Society Needs:</w:t>
      </w:r>
    </w:p>
    <w:p>
      <w:pPr>
        <w:pStyle w:val="ListBullet"/>
        <w:spacing w:after="80" w:line="276" w:lineRule="auto"/>
      </w:pPr>
      <w:r>
        <w:rPr>
          <w:rFonts w:ascii="Cambria" w:hAnsi="Cambria"/>
          <w:b w:val="0"/>
          <w:i w:val="0"/>
          <w:sz w:val="22"/>
        </w:rPr>
        <w:t>Introduces industry-driven modules, skill-based electives, and vocational components.</w:t>
      </w:r>
    </w:p>
    <w:p>
      <w:pPr>
        <w:pStyle w:val="ListBullet"/>
        <w:spacing w:after="80" w:line="276" w:lineRule="auto"/>
      </w:pPr>
      <w:r>
        <w:rPr>
          <w:rFonts w:ascii="Cambria" w:hAnsi="Cambria"/>
          <w:b w:val="0"/>
          <w:i w:val="0"/>
          <w:sz w:val="22"/>
        </w:rPr>
        <w:t>Aligns academic programs with employability skills, entrepreneurship, and societal relevance.</w:t>
      </w:r>
    </w:p>
    <w:p>
      <w:pPr>
        <w:spacing w:after="80" w:line="276" w:lineRule="auto"/>
      </w:pPr>
      <w:r>
        <w:rPr>
          <w:rFonts w:ascii="Cambria" w:hAnsi="Cambria"/>
          <w:b/>
          <w:i w:val="0"/>
          <w:sz w:val="22"/>
        </w:rPr>
        <w:t>Dynamic Updating:</w:t>
      </w:r>
    </w:p>
    <w:p>
      <w:pPr>
        <w:pStyle w:val="ListBullet"/>
        <w:spacing w:after="80" w:line="276" w:lineRule="auto"/>
      </w:pPr>
      <w:r>
        <w:rPr>
          <w:rFonts w:ascii="Cambria" w:hAnsi="Cambria"/>
          <w:b w:val="0"/>
          <w:i w:val="0"/>
          <w:sz w:val="22"/>
        </w:rPr>
        <w:t>Regularly reviews and revises program structures and course content to avoid curricular obsolescence.</w:t>
      </w:r>
    </w:p>
    <w:p>
      <w:pPr>
        <w:pStyle w:val="ListBullet"/>
        <w:spacing w:after="80" w:line="276" w:lineRule="auto"/>
      </w:pPr>
      <w:r>
        <w:rPr>
          <w:rFonts w:ascii="Cambria" w:hAnsi="Cambria"/>
          <w:b w:val="0"/>
          <w:i w:val="0"/>
          <w:sz w:val="22"/>
        </w:rPr>
        <w:t>Incorporates contemporary topics (AI, sustainability, digital transformation, ethics).</w:t>
      </w:r>
    </w:p>
    <w:p>
      <w:pPr>
        <w:spacing w:after="80" w:line="276" w:lineRule="auto"/>
      </w:pPr>
      <w:r>
        <w:rPr>
          <w:rFonts w:ascii="Cambria" w:hAnsi="Cambria"/>
          <w:b/>
          <w:i w:val="0"/>
          <w:sz w:val="22"/>
        </w:rPr>
        <w:t>Student-Centric Approach:</w:t>
      </w:r>
    </w:p>
    <w:p>
      <w:pPr>
        <w:pStyle w:val="ListBullet"/>
        <w:spacing w:after="80" w:line="276" w:lineRule="auto"/>
      </w:pPr>
      <w:r>
        <w:rPr>
          <w:rFonts w:ascii="Cambria" w:hAnsi="Cambria"/>
          <w:b w:val="0"/>
          <w:i w:val="0"/>
          <w:sz w:val="22"/>
        </w:rPr>
        <w:t>Uses structured feedback from students, alumni, and employers to ensure curriculum reflects learner needs.</w:t>
      </w:r>
    </w:p>
    <w:p>
      <w:pPr>
        <w:pStyle w:val="Heading3"/>
      </w:pPr>
      <w:r>
        <w:rPr>
          <w:rFonts w:ascii="Cambria" w:hAnsi="Cambria"/>
          <w:b/>
          <w:color w:val="1F3A5F"/>
          <w:sz w:val="26"/>
        </w:rPr>
        <w:t>2. Custodian of Academic Innovation</w:t>
      </w:r>
    </w:p>
    <w:p>
      <w:pPr>
        <w:spacing w:after="80" w:line="276" w:lineRule="auto"/>
      </w:pPr>
      <w:r>
        <w:rPr>
          <w:rFonts w:ascii="Cambria" w:hAnsi="Cambria"/>
          <w:b/>
          <w:i w:val="0"/>
          <w:sz w:val="22"/>
        </w:rPr>
        <w:t>New Program Development:</w:t>
      </w:r>
    </w:p>
    <w:p>
      <w:pPr>
        <w:pStyle w:val="ListBullet"/>
        <w:spacing w:after="80" w:line="276" w:lineRule="auto"/>
      </w:pPr>
      <w:r>
        <w:rPr>
          <w:rFonts w:ascii="Cambria" w:hAnsi="Cambria"/>
          <w:b w:val="0"/>
          <w:i w:val="0"/>
          <w:sz w:val="22"/>
        </w:rPr>
        <w:t>Launches new UG, PG, and PhD programs based on emerging fields.</w:t>
      </w:r>
    </w:p>
    <w:p>
      <w:pPr>
        <w:pStyle w:val="ListBullet"/>
        <w:spacing w:after="80" w:line="276" w:lineRule="auto"/>
      </w:pPr>
      <w:r>
        <w:rPr>
          <w:rFonts w:ascii="Cambria" w:hAnsi="Cambria"/>
          <w:b w:val="0"/>
          <w:i w:val="0"/>
          <w:sz w:val="22"/>
        </w:rPr>
        <w:t>Introduces multidisciplinary and interdisciplinary programs in line with global trends.</w:t>
      </w:r>
    </w:p>
    <w:p>
      <w:pPr>
        <w:spacing w:after="80" w:line="276" w:lineRule="auto"/>
      </w:pPr>
      <w:r>
        <w:rPr>
          <w:rFonts w:ascii="Cambria" w:hAnsi="Cambria"/>
          <w:b/>
          <w:i w:val="0"/>
          <w:sz w:val="22"/>
        </w:rPr>
        <w:t>Pedagogical Innovation:</w:t>
      </w:r>
    </w:p>
    <w:p>
      <w:pPr>
        <w:pStyle w:val="ListBullet"/>
        <w:spacing w:after="80" w:line="276" w:lineRule="auto"/>
      </w:pPr>
      <w:r>
        <w:rPr>
          <w:rFonts w:ascii="Cambria" w:hAnsi="Cambria"/>
          <w:b w:val="0"/>
          <w:i w:val="0"/>
          <w:sz w:val="22"/>
        </w:rPr>
        <w:t>Encourages faculty to adopt blended learning, MOOCs, flipped classrooms, project-based learning.</w:t>
      </w:r>
    </w:p>
    <w:p>
      <w:pPr>
        <w:pStyle w:val="ListBullet"/>
        <w:spacing w:after="80" w:line="276" w:lineRule="auto"/>
      </w:pPr>
      <w:r>
        <w:rPr>
          <w:rFonts w:ascii="Cambria" w:hAnsi="Cambria"/>
          <w:b w:val="0"/>
          <w:i w:val="0"/>
          <w:sz w:val="22"/>
        </w:rPr>
        <w:t>Integrates experiential learning components (internships, industry projects, community engagement).</w:t>
      </w:r>
    </w:p>
    <w:p>
      <w:pPr>
        <w:spacing w:after="80" w:line="276" w:lineRule="auto"/>
      </w:pPr>
      <w:r>
        <w:rPr>
          <w:rFonts w:ascii="Cambria" w:hAnsi="Cambria"/>
          <w:b/>
          <w:i w:val="0"/>
          <w:sz w:val="22"/>
        </w:rPr>
        <w:t>Technology Integration:</w:t>
      </w:r>
    </w:p>
    <w:p>
      <w:pPr>
        <w:pStyle w:val="ListBullet"/>
        <w:spacing w:after="80" w:line="276" w:lineRule="auto"/>
      </w:pPr>
      <w:r>
        <w:rPr>
          <w:rFonts w:ascii="Cambria" w:hAnsi="Cambria"/>
          <w:b w:val="0"/>
          <w:i w:val="0"/>
          <w:sz w:val="22"/>
        </w:rPr>
        <w:t>Ensures curriculum includes digital literacy, e-learning platforms, and technology-driven assessments.</w:t>
      </w:r>
    </w:p>
    <w:p>
      <w:pPr>
        <w:spacing w:after="80" w:line="276" w:lineRule="auto"/>
      </w:pPr>
      <w:r>
        <w:rPr>
          <w:rFonts w:ascii="Cambria" w:hAnsi="Cambria"/>
          <w:b/>
          <w:i w:val="0"/>
          <w:sz w:val="22"/>
        </w:rPr>
        <w:t>Continuous Improvement Cycle:</w:t>
      </w:r>
    </w:p>
    <w:p>
      <w:pPr>
        <w:pStyle w:val="ListBullet"/>
        <w:spacing w:after="80" w:line="276" w:lineRule="auto"/>
      </w:pPr>
      <w:r>
        <w:rPr>
          <w:rFonts w:ascii="Cambria" w:hAnsi="Cambria"/>
          <w:b w:val="0"/>
          <w:i w:val="0"/>
          <w:sz w:val="22"/>
        </w:rPr>
        <w:t xml:space="preserve">Establishes a robust system for curriculum design </w:t>
      </w:r>
      <w:r>
        <w:rPr>
          <w:rFonts w:ascii="Cambria" w:hAnsi="Cambria"/>
          <w:b w:val="0"/>
          <w:i w:val="0"/>
          <w:sz w:val="22"/>
        </w:rPr>
        <w:t>→ delivery → feedback → revision → improvement.</w:t>
      </w:r>
    </w:p>
    <w:p>
      <w:pPr>
        <w:pStyle w:val="Heading3"/>
      </w:pPr>
      <w:r>
        <w:rPr>
          <w:rFonts w:ascii="Cambria" w:hAnsi="Cambria"/>
          <w:b/>
          <w:color w:val="1F3A5F"/>
          <w:sz w:val="26"/>
        </w:rPr>
        <w:t>3. Custodian of Feedback Mechanisms</w:t>
      </w:r>
    </w:p>
    <w:p>
      <w:pPr>
        <w:spacing w:after="80" w:line="276" w:lineRule="auto"/>
      </w:pPr>
      <w:r>
        <w:rPr>
          <w:rFonts w:ascii="Cambria" w:hAnsi="Cambria"/>
          <w:b/>
          <w:i w:val="0"/>
          <w:sz w:val="22"/>
        </w:rPr>
        <w:t>Structured Feedback Systems:</w:t>
      </w:r>
    </w:p>
    <w:p>
      <w:pPr>
        <w:pStyle w:val="ListBullet"/>
        <w:spacing w:after="80" w:line="276" w:lineRule="auto"/>
      </w:pPr>
      <w:r>
        <w:rPr>
          <w:rFonts w:ascii="Cambria" w:hAnsi="Cambria"/>
          <w:b w:val="0"/>
          <w:i w:val="0"/>
          <w:sz w:val="22"/>
        </w:rPr>
        <w:t>Collects data from students, faculty, alumni, and industry experts.</w:t>
      </w:r>
    </w:p>
    <w:p>
      <w:pPr>
        <w:spacing w:after="80" w:line="276" w:lineRule="auto"/>
      </w:pPr>
      <w:r>
        <w:rPr>
          <w:rFonts w:ascii="Cambria" w:hAnsi="Cambria"/>
          <w:b/>
          <w:i w:val="0"/>
          <w:sz w:val="22"/>
        </w:rPr>
        <w:t>Evidence-Based Reforms:</w:t>
      </w:r>
    </w:p>
    <w:p>
      <w:pPr>
        <w:pStyle w:val="ListBullet"/>
        <w:spacing w:after="80" w:line="276" w:lineRule="auto"/>
      </w:pPr>
      <w:r>
        <w:rPr>
          <w:rFonts w:ascii="Cambria" w:hAnsi="Cambria"/>
          <w:b w:val="0"/>
          <w:i w:val="0"/>
          <w:sz w:val="22"/>
        </w:rPr>
        <w:t>Uses feedback to identify gaps, redundancies, or outdated content.</w:t>
      </w:r>
    </w:p>
    <w:p>
      <w:pPr>
        <w:pStyle w:val="ListBullet"/>
        <w:spacing w:after="80" w:line="276" w:lineRule="auto"/>
      </w:pPr>
      <w:r>
        <w:rPr>
          <w:rFonts w:ascii="Cambria" w:hAnsi="Cambria"/>
          <w:b w:val="0"/>
          <w:i w:val="0"/>
          <w:sz w:val="22"/>
        </w:rPr>
        <w:t>Ensures curriculum improvements are data-driven and documented.</w:t>
      </w:r>
    </w:p>
    <w:p>
      <w:pPr>
        <w:spacing w:after="80" w:line="276" w:lineRule="auto"/>
      </w:pPr>
      <w:r>
        <w:rPr>
          <w:rFonts w:ascii="Cambria" w:hAnsi="Cambria"/>
          <w:b/>
          <w:i w:val="0"/>
          <w:sz w:val="22"/>
        </w:rPr>
        <w:t>Closing the Loop:</w:t>
      </w:r>
    </w:p>
    <w:p>
      <w:pPr>
        <w:pStyle w:val="ListBullet"/>
        <w:spacing w:after="80" w:line="276" w:lineRule="auto"/>
      </w:pPr>
      <w:r>
        <w:rPr>
          <w:rFonts w:ascii="Cambria" w:hAnsi="Cambria"/>
          <w:b w:val="0"/>
          <w:i w:val="0"/>
          <w:sz w:val="22"/>
        </w:rPr>
        <w:t>Communicates feedback outcomes back to stakeholders, ensuring transparency and trust.</w:t>
      </w:r>
    </w:p>
    <w:p>
      <w:pPr>
        <w:pStyle w:val="Heading3"/>
      </w:pPr>
      <w:r>
        <w:rPr>
          <w:rFonts w:ascii="Cambria" w:hAnsi="Cambria"/>
          <w:b/>
          <w:color w:val="1F3A5F"/>
          <w:sz w:val="26"/>
        </w:rPr>
        <w:t>4. Strategic Impact</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Access to a modern, relevant, and employability-oriented curriculum.</w:t>
      </w:r>
    </w:p>
    <w:p>
      <w:pPr>
        <w:pStyle w:val="ListBullet2"/>
        <w:spacing w:after="80" w:line="276" w:lineRule="auto"/>
      </w:pPr>
      <w:r>
        <w:rPr>
          <w:rFonts w:ascii="Cambria" w:hAnsi="Cambria"/>
          <w:b w:val="0"/>
          <w:i w:val="0"/>
          <w:sz w:val="22"/>
        </w:rPr>
        <w:t>Opportunities for multidisciplinary learning and global exposure.</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Encouragement to adopt innovative teaching practices.</w:t>
      </w:r>
    </w:p>
    <w:p>
      <w:pPr>
        <w:pStyle w:val="ListBullet2"/>
        <w:spacing w:after="80" w:line="276" w:lineRule="auto"/>
      </w:pPr>
      <w:r>
        <w:rPr>
          <w:rFonts w:ascii="Cambria" w:hAnsi="Cambria"/>
          <w:b w:val="0"/>
          <w:i w:val="0"/>
          <w:sz w:val="22"/>
        </w:rPr>
        <w:t>Greater involvement in curriculum committees and policy design.</w:t>
      </w:r>
    </w:p>
    <w:p>
      <w:pPr>
        <w:pStyle w:val="ListBullet"/>
        <w:spacing w:after="80" w:line="276" w:lineRule="auto"/>
      </w:pPr>
      <w:r>
        <w:rPr>
          <w:rFonts w:ascii="Cambria" w:hAnsi="Cambria"/>
          <w:b/>
          <w:i w:val="0"/>
          <w:sz w:val="22"/>
        </w:rPr>
        <w:t>For University:</w:t>
      </w:r>
    </w:p>
    <w:p>
      <w:pPr>
        <w:pStyle w:val="ListBullet2"/>
        <w:spacing w:after="80" w:line="276" w:lineRule="auto"/>
      </w:pPr>
      <w:r>
        <w:rPr>
          <w:rFonts w:ascii="Cambria" w:hAnsi="Cambria"/>
          <w:b w:val="0"/>
          <w:i w:val="0"/>
          <w:sz w:val="22"/>
        </w:rPr>
        <w:t xml:space="preserve">Stronger compliance with accreditation standards (NAAC Criterion I </w:t>
      </w:r>
      <w:r>
        <w:rPr>
          <w:rFonts w:ascii="Cambria" w:hAnsi="Cambria"/>
          <w:b w:val="0"/>
          <w:i w:val="0"/>
          <w:sz w:val="22"/>
        </w:rPr>
        <w:t>– Curricular Aspects).</w:t>
      </w:r>
    </w:p>
    <w:p>
      <w:pPr>
        <w:pStyle w:val="ListBullet2"/>
        <w:spacing w:after="80" w:line="276" w:lineRule="auto"/>
      </w:pPr>
      <w:r>
        <w:rPr>
          <w:rFonts w:ascii="Cambria" w:hAnsi="Cambria"/>
          <w:b w:val="0"/>
          <w:i w:val="0"/>
          <w:sz w:val="22"/>
        </w:rPr>
        <w:t>Recognition as a forward-looking and student-centric institution.</w:t>
      </w:r>
    </w:p>
    <w:p>
      <w:pPr>
        <w:pStyle w:val="ListBullet"/>
        <w:spacing w:after="80" w:line="276" w:lineRule="auto"/>
      </w:pPr>
      <w:r>
        <w:rPr>
          <w:rFonts w:ascii="Cambria" w:hAnsi="Cambria"/>
          <w:b/>
          <w:i w:val="0"/>
          <w:sz w:val="22"/>
        </w:rPr>
        <w:t>For Industry and Society:</w:t>
      </w:r>
    </w:p>
    <w:p>
      <w:pPr>
        <w:pStyle w:val="ListBullet2"/>
        <w:spacing w:after="80" w:line="276" w:lineRule="auto"/>
      </w:pPr>
      <w:r>
        <w:rPr>
          <w:rFonts w:ascii="Cambria" w:hAnsi="Cambria"/>
          <w:b w:val="0"/>
          <w:i w:val="0"/>
          <w:sz w:val="22"/>
        </w:rPr>
        <w:t>Graduates equipped with competencies that match workforce demands and societal challenges.</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Curriculum &amp; Academic Programs, Academic Feedback is the custodian of curricular relevance and innovation because this role ensures the curriculum is modern, dynamic, and aligned with both global standards and local needs, while embedding continuous improvement through structured feedback.</w:t>
      </w:r>
    </w:p>
    <w:p>
      <w:r>
        <w:br w:type="page"/>
      </w:r>
    </w:p>
    <w:p>
      <w:pPr>
        <w:pStyle w:val="Heading1"/>
      </w:pPr>
      <w:r>
        <w:rPr>
          <w:rFonts w:ascii="Cambria" w:hAnsi="Cambria"/>
          <w:b/>
          <w:color w:val="1F3A5F"/>
          <w:sz w:val="36"/>
        </w:rPr>
        <w:t>14. Associate Dean – Academic Registration</w:t>
      </w:r>
    </w:p>
    <w:p>
      <w:pPr>
        <w:spacing w:after="160" w:line="276" w:lineRule="auto"/>
        <w:jc w:val="both"/>
      </w:pPr>
      <w:r>
        <w:rPr>
          <w:rFonts w:ascii="Cambria" w:hAnsi="Cambria"/>
          <w:b w:val="0"/>
          <w:i w:val="0"/>
          <w:sz w:val="22"/>
        </w:rPr>
        <w:t>An Associate Dean of Academic Registration is a senior academic and administrative leader entrusted with safeguarding the integrity and efficiency of a university's or college's student enrollment and academic record systems. This role plays a pivotal part in ensuring that the processes of student registration, course enrollment, credit allocation, and academic compliance are conducted seamlessly and transparently. Reporting to the Dean of Academic Affairs and working in close coordination with the Registrar's office, department chairs, examination branch, and student services, the Associate Dean ensures that academic registration processes remain reliable, fair, and supportive of student success.</w:t>
      </w:r>
    </w:p>
    <w:p>
      <w:pPr>
        <w:spacing w:after="160" w:line="276" w:lineRule="auto"/>
        <w:jc w:val="both"/>
      </w:pPr>
      <w:r>
        <w:rPr>
          <w:rFonts w:ascii="Cambria" w:hAnsi="Cambria"/>
          <w:b w:val="0"/>
          <w:i w:val="0"/>
          <w:sz w:val="22"/>
        </w:rPr>
        <w:t>The role involves the management of academic registration systems, including semester-wise enrollment, add/drop procedures, interdisciplinary electives, credit transfers, and progression tracking. By ensuring that each student is correctly registered in line with program requirements, the Associate Dean provides the foundation upon which teaching, evaluation, and graduation eligibility are built. This includes maintaining comprehensive and accurate student academic records, which serve as the official evidence for transcripts, certifications, degree audits, and accreditation compliance. With digital transformation, the Associate Dean also oversees the implementation and monitoring of ERP systems and online registration platforms, ensuring automation, efficiency, and transparency in academic operations.</w:t>
      </w:r>
    </w:p>
    <w:p>
      <w:pPr>
        <w:spacing w:after="160" w:line="276" w:lineRule="auto"/>
        <w:jc w:val="both"/>
      </w:pPr>
      <w:r>
        <w:rPr>
          <w:rFonts w:ascii="Cambria" w:hAnsi="Cambria"/>
          <w:b w:val="0"/>
          <w:i w:val="0"/>
          <w:sz w:val="22"/>
        </w:rPr>
        <w:t>In addition to overseeing registration, this role has a strong compliance dimension. The Associate Dean of Academic Registration ensures that institutional practices adhere to national regulatory standards (UGC, AICTE) and provide reliable evidence for accreditation and ranking frameworks (NAAC, NBA, NIRF, QS I-GAUGE). This requires close monitoring of student eligibility for examinations, graduation, and progression, along with coordination with academic leaders to resolve any discrepancies or special cases.</w:t>
      </w:r>
    </w:p>
    <w:p>
      <w:pPr>
        <w:spacing w:after="160" w:line="276" w:lineRule="auto"/>
        <w:jc w:val="both"/>
      </w:pPr>
      <w:r>
        <w:rPr>
          <w:rFonts w:ascii="Cambria" w:hAnsi="Cambria"/>
          <w:b w:val="0"/>
          <w:i w:val="0"/>
          <w:sz w:val="22"/>
        </w:rPr>
        <w:t>The position also demands a student-centered orientation, as smooth registration and accurate record-keeping significantly impact the student academic experience. By providing clarity on course loads, prerequisites, and academic standing, the Associate Dean helps students make informed decisions while ensuring equity and fairness in institutional processes. For faculty, this role provides accurate enrollment data, class rosters, and progression information, which are critical for teaching, advising, and evaluation.</w:t>
      </w:r>
    </w:p>
    <w:p>
      <w:pPr>
        <w:spacing w:after="160" w:line="276" w:lineRule="auto"/>
        <w:jc w:val="both"/>
      </w:pPr>
      <w:r>
        <w:rPr>
          <w:rFonts w:ascii="Cambria" w:hAnsi="Cambria"/>
          <w:b w:val="0"/>
          <w:i w:val="0"/>
          <w:sz w:val="22"/>
        </w:rPr>
        <w:t>Ultimately, the Associate Dean of Academic Registration serves as the custodian of enrollment integrity and student academic records, creating a reliable academic backbone for the institution. By combining administrative precision with academic oversight, this role ensures that the university or college maintains a transparent, accountable, and student-friendly registration system, thereby supporting academic excellence and institutional credibility.</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Acts as the custodian of student academic registration and academic records management.</w:t>
      </w:r>
    </w:p>
    <w:p>
      <w:pPr>
        <w:pStyle w:val="ListBullet"/>
        <w:spacing w:after="80" w:line="276" w:lineRule="auto"/>
      </w:pPr>
      <w:r>
        <w:rPr>
          <w:rFonts w:ascii="Cambria" w:hAnsi="Cambria"/>
          <w:b w:val="0"/>
          <w:i w:val="0"/>
          <w:sz w:val="22"/>
        </w:rPr>
        <w:t>Ensures smooth, transparent, and efficient processes for course registration, enrollment, eligibility, and academic tracking.</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Student Registration and Enrollment</w:t>
      </w:r>
    </w:p>
    <w:p>
      <w:pPr>
        <w:pStyle w:val="ListBullet"/>
        <w:spacing w:after="80" w:line="276" w:lineRule="auto"/>
      </w:pPr>
      <w:r>
        <w:rPr>
          <w:rFonts w:ascii="Cambria" w:hAnsi="Cambria"/>
          <w:b w:val="0"/>
          <w:i w:val="0"/>
          <w:sz w:val="22"/>
        </w:rPr>
        <w:t>Supervises semester-wise student registration across all programs (UG, PG, PhD).</w:t>
      </w:r>
    </w:p>
    <w:p>
      <w:pPr>
        <w:pStyle w:val="ListBullet"/>
        <w:spacing w:after="80" w:line="276" w:lineRule="auto"/>
      </w:pPr>
      <w:r>
        <w:rPr>
          <w:rFonts w:ascii="Cambria" w:hAnsi="Cambria"/>
          <w:b w:val="0"/>
          <w:i w:val="0"/>
          <w:sz w:val="22"/>
        </w:rPr>
        <w:t>Manages the add/drop course system to allow academic flexibility.</w:t>
      </w:r>
    </w:p>
    <w:p>
      <w:pPr>
        <w:pStyle w:val="ListBullet"/>
        <w:spacing w:after="80" w:line="276" w:lineRule="auto"/>
      </w:pPr>
      <w:r>
        <w:rPr>
          <w:rFonts w:ascii="Cambria" w:hAnsi="Cambria"/>
          <w:b w:val="0"/>
          <w:i w:val="0"/>
          <w:sz w:val="22"/>
        </w:rPr>
        <w:t>Monitors credit registration, credit transfers, and academic load balancing.</w:t>
      </w:r>
    </w:p>
    <w:p>
      <w:pPr>
        <w:pStyle w:val="ListBullet"/>
        <w:spacing w:after="80" w:line="276" w:lineRule="auto"/>
      </w:pPr>
      <w:r>
        <w:rPr>
          <w:rFonts w:ascii="Cambria" w:hAnsi="Cambria"/>
          <w:b w:val="0"/>
          <w:i w:val="0"/>
          <w:sz w:val="22"/>
        </w:rPr>
        <w:t>Coordinates with Admissions Office to ensure newly admitted students are seamlessly integrated into the academic system.</w:t>
      </w:r>
    </w:p>
    <w:p>
      <w:pPr>
        <w:spacing w:after="80" w:line="276" w:lineRule="auto"/>
      </w:pPr>
      <w:r>
        <w:rPr>
          <w:rFonts w:ascii="Cambria" w:hAnsi="Cambria"/>
          <w:b/>
          <w:i w:val="0"/>
          <w:sz w:val="22"/>
        </w:rPr>
        <w:t>B. Academic Records and Documentation</w:t>
      </w:r>
    </w:p>
    <w:p>
      <w:pPr>
        <w:pStyle w:val="ListBullet"/>
        <w:spacing w:after="80" w:line="276" w:lineRule="auto"/>
      </w:pPr>
      <w:r>
        <w:rPr>
          <w:rFonts w:ascii="Cambria" w:hAnsi="Cambria"/>
          <w:b w:val="0"/>
          <w:i w:val="0"/>
          <w:sz w:val="22"/>
        </w:rPr>
        <w:t>Maintains comprehensive student academic records including registration, attendance, grades, and credit accumulation.</w:t>
      </w:r>
    </w:p>
    <w:p>
      <w:pPr>
        <w:pStyle w:val="ListBullet"/>
        <w:spacing w:after="80" w:line="276" w:lineRule="auto"/>
      </w:pPr>
      <w:r>
        <w:rPr>
          <w:rFonts w:ascii="Cambria" w:hAnsi="Cambria"/>
          <w:b w:val="0"/>
          <w:i w:val="0"/>
          <w:sz w:val="22"/>
        </w:rPr>
        <w:t>Ensures data accuracy for transcripts, degree audits, and certification.</w:t>
      </w:r>
    </w:p>
    <w:p>
      <w:pPr>
        <w:pStyle w:val="ListBullet"/>
        <w:spacing w:after="80" w:line="276" w:lineRule="auto"/>
      </w:pPr>
      <w:r>
        <w:rPr>
          <w:rFonts w:ascii="Cambria" w:hAnsi="Cambria"/>
          <w:b w:val="0"/>
          <w:i w:val="0"/>
          <w:sz w:val="22"/>
        </w:rPr>
        <w:t>Provides academic data to support rankings, accreditation (NAAC, NBA, NIRF), and compliance reports.</w:t>
      </w:r>
    </w:p>
    <w:p>
      <w:pPr>
        <w:spacing w:after="80" w:line="276" w:lineRule="auto"/>
      </w:pPr>
      <w:r>
        <w:rPr>
          <w:rFonts w:ascii="Cambria" w:hAnsi="Cambria"/>
          <w:b/>
          <w:i w:val="0"/>
          <w:sz w:val="22"/>
        </w:rPr>
        <w:t>C. Examination Eligibility</w:t>
      </w:r>
    </w:p>
    <w:p>
      <w:pPr>
        <w:pStyle w:val="ListBullet"/>
        <w:spacing w:after="80" w:line="276" w:lineRule="auto"/>
      </w:pPr>
      <w:r>
        <w:rPr>
          <w:rFonts w:ascii="Cambria" w:hAnsi="Cambria"/>
          <w:b w:val="0"/>
          <w:i w:val="0"/>
          <w:sz w:val="22"/>
        </w:rPr>
        <w:t>Works closely with the Controller of Examinations to verify:</w:t>
      </w:r>
    </w:p>
    <w:p>
      <w:pPr>
        <w:pStyle w:val="ListBullet2"/>
        <w:spacing w:after="80" w:line="276" w:lineRule="auto"/>
      </w:pPr>
      <w:r>
        <w:rPr>
          <w:rFonts w:ascii="Cambria" w:hAnsi="Cambria"/>
          <w:b w:val="0"/>
          <w:i w:val="0"/>
          <w:sz w:val="22"/>
        </w:rPr>
        <w:t>Student eligibility for exams based on registration, attendance, and prerequisites.</w:t>
      </w:r>
    </w:p>
    <w:p>
      <w:pPr>
        <w:pStyle w:val="ListBullet2"/>
        <w:spacing w:after="80" w:line="276" w:lineRule="auto"/>
      </w:pPr>
      <w:r>
        <w:rPr>
          <w:rFonts w:ascii="Cambria" w:hAnsi="Cambria"/>
          <w:b w:val="0"/>
          <w:i w:val="0"/>
          <w:sz w:val="22"/>
        </w:rPr>
        <w:t>Academic standing and progression for each semester.</w:t>
      </w:r>
    </w:p>
    <w:p>
      <w:pPr>
        <w:pStyle w:val="ListBullet"/>
        <w:spacing w:after="80" w:line="276" w:lineRule="auto"/>
      </w:pPr>
      <w:r>
        <w:rPr>
          <w:rFonts w:ascii="Cambria" w:hAnsi="Cambria"/>
          <w:b w:val="0"/>
          <w:i w:val="0"/>
          <w:sz w:val="22"/>
        </w:rPr>
        <w:t>Prevents academic malpractice by ensuring registration integrity.</w:t>
      </w:r>
    </w:p>
    <w:p>
      <w:pPr>
        <w:spacing w:after="80" w:line="276" w:lineRule="auto"/>
      </w:pPr>
      <w:r>
        <w:rPr>
          <w:rFonts w:ascii="Cambria" w:hAnsi="Cambria"/>
          <w:b/>
          <w:i w:val="0"/>
          <w:sz w:val="22"/>
        </w:rPr>
        <w:t>D. ERP and Digital Systems</w:t>
      </w:r>
    </w:p>
    <w:p>
      <w:pPr>
        <w:pStyle w:val="ListBullet"/>
        <w:spacing w:after="80" w:line="276" w:lineRule="auto"/>
      </w:pPr>
      <w:r>
        <w:rPr>
          <w:rFonts w:ascii="Cambria" w:hAnsi="Cambria"/>
          <w:b w:val="0"/>
          <w:i w:val="0"/>
          <w:sz w:val="22"/>
        </w:rPr>
        <w:t>Implements academic ERP/online registration platforms for automation and transparency.</w:t>
      </w:r>
    </w:p>
    <w:p>
      <w:pPr>
        <w:pStyle w:val="ListBullet"/>
        <w:spacing w:after="80" w:line="276" w:lineRule="auto"/>
      </w:pPr>
      <w:r>
        <w:rPr>
          <w:rFonts w:ascii="Cambria" w:hAnsi="Cambria"/>
          <w:b w:val="0"/>
          <w:i w:val="0"/>
          <w:sz w:val="22"/>
        </w:rPr>
        <w:t>Provides digital dashboards for students and faculty to track course loads, credits, and progression.</w:t>
      </w:r>
    </w:p>
    <w:p>
      <w:pPr>
        <w:pStyle w:val="ListBullet"/>
        <w:spacing w:after="80" w:line="276" w:lineRule="auto"/>
      </w:pPr>
      <w:r>
        <w:rPr>
          <w:rFonts w:ascii="Cambria" w:hAnsi="Cambria"/>
          <w:b w:val="0"/>
          <w:i w:val="0"/>
          <w:sz w:val="22"/>
        </w:rPr>
        <w:t>Ensures compliance with UGC/AICTE digital academic record-keeping requirements.</w:t>
      </w:r>
    </w:p>
    <w:p>
      <w:pPr>
        <w:spacing w:after="80" w:line="276" w:lineRule="auto"/>
      </w:pPr>
      <w:r>
        <w:rPr>
          <w:rFonts w:ascii="Cambria" w:hAnsi="Cambria"/>
          <w:b/>
          <w:i w:val="0"/>
          <w:sz w:val="22"/>
        </w:rPr>
        <w:t>E. Liaison and Coordination</w:t>
      </w:r>
    </w:p>
    <w:p>
      <w:pPr>
        <w:pStyle w:val="ListBullet"/>
        <w:spacing w:after="80" w:line="276" w:lineRule="auto"/>
      </w:pPr>
      <w:r>
        <w:rPr>
          <w:rFonts w:ascii="Cambria" w:hAnsi="Cambria"/>
          <w:b w:val="0"/>
          <w:i w:val="0"/>
          <w:sz w:val="22"/>
        </w:rPr>
        <w:t>With Dean (Academics): Aligns registration policies with academic regulations and curriculum.</w:t>
      </w:r>
    </w:p>
    <w:p>
      <w:pPr>
        <w:pStyle w:val="ListBullet"/>
        <w:spacing w:after="80" w:line="276" w:lineRule="auto"/>
      </w:pPr>
      <w:r>
        <w:rPr>
          <w:rFonts w:ascii="Cambria" w:hAnsi="Cambria"/>
          <w:b w:val="0"/>
          <w:i w:val="0"/>
          <w:sz w:val="22"/>
        </w:rPr>
        <w:t>With Dean (Evaluation): Supports evaluation schedules through accurate registration data.</w:t>
      </w:r>
    </w:p>
    <w:p>
      <w:pPr>
        <w:pStyle w:val="ListBullet"/>
        <w:spacing w:after="80" w:line="276" w:lineRule="auto"/>
      </w:pPr>
      <w:r>
        <w:rPr>
          <w:rFonts w:ascii="Cambria" w:hAnsi="Cambria"/>
          <w:b w:val="0"/>
          <w:i w:val="0"/>
          <w:sz w:val="22"/>
        </w:rPr>
        <w:t>With Registrar: Ensures official record-keeping, data verification, and certification processes.</w:t>
      </w:r>
    </w:p>
    <w:p>
      <w:pPr>
        <w:spacing w:after="80" w:line="276" w:lineRule="auto"/>
      </w:pPr>
      <w:r>
        <w:rPr>
          <w:rFonts w:ascii="Cambria" w:hAnsi="Cambria"/>
          <w:b/>
          <w:i w:val="0"/>
          <w:sz w:val="22"/>
        </w:rPr>
        <w:t>F. Policy and Compliance</w:t>
      </w:r>
    </w:p>
    <w:p>
      <w:pPr>
        <w:pStyle w:val="ListBullet"/>
        <w:spacing w:after="80" w:line="276" w:lineRule="auto"/>
      </w:pPr>
      <w:r>
        <w:rPr>
          <w:rFonts w:ascii="Cambria" w:hAnsi="Cambria"/>
          <w:b w:val="0"/>
          <w:i w:val="0"/>
          <w:sz w:val="22"/>
        </w:rPr>
        <w:t>Develops registration policies (deadlines, withdrawals, eligibility rules).</w:t>
      </w:r>
    </w:p>
    <w:p>
      <w:pPr>
        <w:pStyle w:val="ListBullet"/>
        <w:spacing w:after="80" w:line="276" w:lineRule="auto"/>
      </w:pPr>
      <w:r>
        <w:rPr>
          <w:rFonts w:ascii="Cambria" w:hAnsi="Cambria"/>
          <w:b w:val="0"/>
          <w:i w:val="0"/>
          <w:sz w:val="22"/>
        </w:rPr>
        <w:t>Ensures compliance with academic regulations and statutory guidelines.</w:t>
      </w:r>
    </w:p>
    <w:p>
      <w:pPr>
        <w:pStyle w:val="ListBullet"/>
        <w:spacing w:after="80" w:line="276" w:lineRule="auto"/>
      </w:pPr>
      <w:r>
        <w:rPr>
          <w:rFonts w:ascii="Cambria" w:hAnsi="Cambria"/>
          <w:b w:val="0"/>
          <w:i w:val="0"/>
          <w:sz w:val="22"/>
        </w:rPr>
        <w:t>Prepares data and reports for academic audits, inspections, and accreditations.</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Smooth course registration and access to academic flexibility.</w:t>
      </w:r>
    </w:p>
    <w:p>
      <w:pPr>
        <w:pStyle w:val="ListBullet2"/>
        <w:spacing w:after="80" w:line="276" w:lineRule="auto"/>
      </w:pPr>
      <w:r>
        <w:rPr>
          <w:rFonts w:ascii="Cambria" w:hAnsi="Cambria"/>
          <w:b w:val="0"/>
          <w:i w:val="0"/>
          <w:sz w:val="22"/>
        </w:rPr>
        <w:t>Accurate transcripts, timely eligibility checks, and better academic planning.</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Access to accurate class lists, enrollment data, and academic records for course delivery.</w:t>
      </w:r>
    </w:p>
    <w:p>
      <w:pPr>
        <w:pStyle w:val="ListBullet2"/>
        <w:spacing w:after="80" w:line="276" w:lineRule="auto"/>
      </w:pPr>
      <w:r>
        <w:rPr>
          <w:rFonts w:ascii="Cambria" w:hAnsi="Cambria"/>
          <w:b w:val="0"/>
          <w:i w:val="0"/>
          <w:sz w:val="22"/>
        </w:rPr>
        <w:t>Simplifies teaching load and student advising.</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Strengthens administrative efficiency in academic operations.</w:t>
      </w:r>
    </w:p>
    <w:p>
      <w:pPr>
        <w:pStyle w:val="ListBullet2"/>
        <w:spacing w:after="80" w:line="276" w:lineRule="auto"/>
      </w:pPr>
      <w:r>
        <w:rPr>
          <w:rFonts w:ascii="Cambria" w:hAnsi="Cambria"/>
          <w:b w:val="0"/>
          <w:i w:val="0"/>
          <w:sz w:val="22"/>
        </w:rPr>
        <w:t>Provides reliable data for rankings, accreditations, and regulatory compliance.</w:t>
      </w:r>
    </w:p>
    <w:p>
      <w:pPr>
        <w:pStyle w:val="ListBullet2"/>
        <w:spacing w:after="80" w:line="276" w:lineRule="auto"/>
      </w:pPr>
      <w:r>
        <w:rPr>
          <w:rFonts w:ascii="Cambria" w:hAnsi="Cambria"/>
          <w:b w:val="0"/>
          <w:i w:val="0"/>
          <w:sz w:val="22"/>
        </w:rPr>
        <w:t>Builds credibility by ensuring fair, transparent, and error-free registration systems.</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Error-free and efficient student registration system.</w:t>
      </w:r>
    </w:p>
    <w:p>
      <w:pPr>
        <w:pStyle w:val="ListBullet"/>
        <w:spacing w:after="80" w:line="276" w:lineRule="auto"/>
      </w:pPr>
      <w:r>
        <w:rPr>
          <w:rFonts w:ascii="Cambria" w:hAnsi="Cambria"/>
          <w:b w:val="0"/>
          <w:i w:val="0"/>
          <w:sz w:val="22"/>
        </w:rPr>
        <w:t>Increased academic flexibility for students (credit transfer, add/drop).</w:t>
      </w:r>
    </w:p>
    <w:p>
      <w:pPr>
        <w:pStyle w:val="ListBullet"/>
        <w:spacing w:after="80" w:line="276" w:lineRule="auto"/>
      </w:pPr>
      <w:r>
        <w:rPr>
          <w:rFonts w:ascii="Cambria" w:hAnsi="Cambria"/>
          <w:b w:val="0"/>
          <w:i w:val="0"/>
          <w:sz w:val="22"/>
        </w:rPr>
        <w:t>Strong evidence base for accreditation and audits.</w:t>
      </w:r>
    </w:p>
    <w:p>
      <w:pPr>
        <w:pStyle w:val="ListBullet"/>
        <w:spacing w:after="80" w:line="276" w:lineRule="auto"/>
      </w:pPr>
      <w:r>
        <w:rPr>
          <w:rFonts w:ascii="Cambria" w:hAnsi="Cambria"/>
          <w:b w:val="0"/>
          <w:i w:val="0"/>
          <w:sz w:val="22"/>
        </w:rPr>
        <w:t>Improved student satisfaction and institutional reputation.</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Academic Registration is the custodian of academic enrollment and student record integrity. By ensuring smooth registration, eligibility verification, and digital record management, this role safeguards the academic backbone of the University's operational efficiency.</w:t>
      </w:r>
    </w:p>
    <w:p>
      <w:r>
        <w:br w:type="page"/>
      </w:r>
    </w:p>
    <w:p>
      <w:pPr>
        <w:pStyle w:val="Heading1"/>
      </w:pPr>
      <w:r>
        <w:rPr>
          <w:rFonts w:ascii="Cambria" w:hAnsi="Cambria"/>
          <w:b/>
          <w:color w:val="1F3A5F"/>
          <w:sz w:val="36"/>
        </w:rPr>
        <w:t>15. Associate Dean – Academic Registration: Custodian of Academic Enrollment and Student Record Integrity</w:t>
      </w:r>
    </w:p>
    <w:p>
      <w:pPr>
        <w:pStyle w:val="Heading3"/>
      </w:pPr>
      <w:r>
        <w:rPr>
          <w:rFonts w:ascii="Cambria" w:hAnsi="Cambria"/>
          <w:b/>
          <w:color w:val="1F3A5F"/>
          <w:sz w:val="26"/>
        </w:rPr>
        <w:t>1. Custodian of Academic Enrollment</w:t>
      </w:r>
    </w:p>
    <w:p>
      <w:pPr>
        <w:spacing w:after="80" w:line="276" w:lineRule="auto"/>
      </w:pPr>
      <w:r>
        <w:rPr>
          <w:rFonts w:ascii="Cambria" w:hAnsi="Cambria"/>
          <w:b/>
          <w:i w:val="0"/>
          <w:sz w:val="22"/>
        </w:rPr>
        <w:t>Seamless Registration:</w:t>
      </w:r>
    </w:p>
    <w:p>
      <w:pPr>
        <w:pStyle w:val="ListBullet"/>
        <w:spacing w:after="80" w:line="276" w:lineRule="auto"/>
      </w:pPr>
      <w:r>
        <w:rPr>
          <w:rFonts w:ascii="Cambria" w:hAnsi="Cambria"/>
          <w:b w:val="0"/>
          <w:i w:val="0"/>
          <w:sz w:val="22"/>
        </w:rPr>
        <w:t>Ensures smooth student registration for each semester, including core courses, electives, add/drop options, and credit transfers.</w:t>
      </w:r>
    </w:p>
    <w:p>
      <w:pPr>
        <w:spacing w:after="80" w:line="276" w:lineRule="auto"/>
      </w:pPr>
      <w:r>
        <w:rPr>
          <w:rFonts w:ascii="Cambria" w:hAnsi="Cambria"/>
          <w:b/>
          <w:i w:val="0"/>
          <w:sz w:val="22"/>
        </w:rPr>
        <w:t>Eligibility Verification:</w:t>
      </w:r>
    </w:p>
    <w:p>
      <w:pPr>
        <w:pStyle w:val="ListBullet"/>
        <w:spacing w:after="80" w:line="276" w:lineRule="auto"/>
      </w:pPr>
      <w:r>
        <w:rPr>
          <w:rFonts w:ascii="Cambria" w:hAnsi="Cambria"/>
          <w:b w:val="0"/>
          <w:i w:val="0"/>
          <w:sz w:val="22"/>
        </w:rPr>
        <w:t>Validates that students meet prerequisites, credit requirements, and attendance norms before progressing to the next stage.</w:t>
      </w:r>
    </w:p>
    <w:p>
      <w:pPr>
        <w:spacing w:after="80" w:line="276" w:lineRule="auto"/>
      </w:pPr>
      <w:r>
        <w:rPr>
          <w:rFonts w:ascii="Cambria" w:hAnsi="Cambria"/>
          <w:b/>
          <w:i w:val="0"/>
          <w:sz w:val="22"/>
        </w:rPr>
        <w:t>Transparency and Fairness:</w:t>
      </w:r>
    </w:p>
    <w:p>
      <w:pPr>
        <w:pStyle w:val="ListBullet"/>
        <w:spacing w:after="80" w:line="276" w:lineRule="auto"/>
      </w:pPr>
      <w:r>
        <w:rPr>
          <w:rFonts w:ascii="Cambria" w:hAnsi="Cambria"/>
          <w:b w:val="0"/>
          <w:i w:val="0"/>
          <w:sz w:val="22"/>
        </w:rPr>
        <w:t>Establishes clear policies and deadlines for enrollment, ensuring fair access to academic opportunities.</w:t>
      </w:r>
    </w:p>
    <w:p>
      <w:pPr>
        <w:spacing w:after="80" w:line="276" w:lineRule="auto"/>
      </w:pPr>
      <w:r>
        <w:rPr>
          <w:rFonts w:ascii="Cambria" w:hAnsi="Cambria"/>
          <w:b/>
          <w:i w:val="0"/>
          <w:sz w:val="22"/>
        </w:rPr>
        <w:t>Flexibility in Learning:</w:t>
      </w:r>
    </w:p>
    <w:p>
      <w:pPr>
        <w:pStyle w:val="ListBullet"/>
        <w:spacing w:after="80" w:line="276" w:lineRule="auto"/>
      </w:pPr>
      <w:r>
        <w:rPr>
          <w:rFonts w:ascii="Cambria" w:hAnsi="Cambria"/>
          <w:b w:val="0"/>
          <w:i w:val="0"/>
          <w:sz w:val="22"/>
        </w:rPr>
        <w:t>Provides students with opportunities to customize their academic pathways through credit flexibility and interdisciplinary registration.</w:t>
      </w:r>
    </w:p>
    <w:p>
      <w:pPr>
        <w:pStyle w:val="Heading3"/>
      </w:pPr>
      <w:r>
        <w:rPr>
          <w:rFonts w:ascii="Cambria" w:hAnsi="Cambria"/>
          <w:b/>
          <w:color w:val="1F3A5F"/>
          <w:sz w:val="26"/>
        </w:rPr>
        <w:t>2. Custodian of Student Record Integrity</w:t>
      </w:r>
    </w:p>
    <w:p>
      <w:pPr>
        <w:spacing w:after="80" w:line="276" w:lineRule="auto"/>
      </w:pPr>
      <w:r>
        <w:rPr>
          <w:rFonts w:ascii="Cambria" w:hAnsi="Cambria"/>
          <w:b/>
          <w:i w:val="0"/>
          <w:sz w:val="22"/>
        </w:rPr>
        <w:t>Central Academic Database:</w:t>
      </w:r>
    </w:p>
    <w:p>
      <w:pPr>
        <w:pStyle w:val="ListBullet"/>
        <w:spacing w:after="80" w:line="276" w:lineRule="auto"/>
      </w:pPr>
      <w:r>
        <w:rPr>
          <w:rFonts w:ascii="Cambria" w:hAnsi="Cambria"/>
          <w:b w:val="0"/>
          <w:i w:val="0"/>
          <w:sz w:val="22"/>
        </w:rPr>
        <w:t>Maintains a comprehensive digital record of each student's academic journey, including registration history, grades, and progression.</w:t>
      </w:r>
    </w:p>
    <w:p>
      <w:pPr>
        <w:spacing w:after="80" w:line="276" w:lineRule="auto"/>
      </w:pPr>
      <w:r>
        <w:rPr>
          <w:rFonts w:ascii="Cambria" w:hAnsi="Cambria"/>
          <w:b/>
          <w:i w:val="0"/>
          <w:sz w:val="22"/>
        </w:rPr>
        <w:t>Accuracy and Accountability:</w:t>
      </w:r>
    </w:p>
    <w:p>
      <w:pPr>
        <w:pStyle w:val="ListBullet"/>
        <w:spacing w:after="80" w:line="276" w:lineRule="auto"/>
      </w:pPr>
      <w:r>
        <w:rPr>
          <w:rFonts w:ascii="Cambria" w:hAnsi="Cambria"/>
          <w:b w:val="0"/>
          <w:i w:val="0"/>
          <w:sz w:val="22"/>
        </w:rPr>
        <w:t>Ensures academic data used for transcripts, degree audits, and certification is accurate, verifiable, and tamper-proof.</w:t>
      </w:r>
    </w:p>
    <w:p>
      <w:pPr>
        <w:spacing w:after="80" w:line="276" w:lineRule="auto"/>
      </w:pPr>
      <w:r>
        <w:rPr>
          <w:rFonts w:ascii="Cambria" w:hAnsi="Cambria"/>
          <w:b/>
          <w:i w:val="0"/>
          <w:sz w:val="22"/>
        </w:rPr>
        <w:t>ERP &amp; Digital Platforms:</w:t>
      </w:r>
    </w:p>
    <w:p>
      <w:pPr>
        <w:pStyle w:val="ListBullet"/>
        <w:spacing w:after="80" w:line="276" w:lineRule="auto"/>
      </w:pPr>
      <w:r>
        <w:rPr>
          <w:rFonts w:ascii="Cambria" w:hAnsi="Cambria"/>
          <w:b w:val="0"/>
          <w:i w:val="0"/>
          <w:sz w:val="22"/>
        </w:rPr>
        <w:t>Implements academic ERP systems, online dashboards, and digital archives for secure and efficient record-keeping.</w:t>
      </w:r>
    </w:p>
    <w:p>
      <w:pPr>
        <w:spacing w:after="80" w:line="276" w:lineRule="auto"/>
      </w:pPr>
      <w:r>
        <w:rPr>
          <w:rFonts w:ascii="Cambria" w:hAnsi="Cambria"/>
          <w:b/>
          <w:i w:val="0"/>
          <w:sz w:val="22"/>
        </w:rPr>
        <w:t>Compliance and Standards:</w:t>
      </w:r>
    </w:p>
    <w:p>
      <w:pPr>
        <w:pStyle w:val="ListBullet"/>
        <w:spacing w:after="80" w:line="276" w:lineRule="auto"/>
      </w:pPr>
      <w:r>
        <w:rPr>
          <w:rFonts w:ascii="Cambria" w:hAnsi="Cambria"/>
          <w:b w:val="0"/>
          <w:i w:val="0"/>
          <w:sz w:val="22"/>
        </w:rPr>
        <w:t>Ensures record-keeping aligns with UGC/AICTE, NAAC, NBA, and international accreditation standards.</w:t>
      </w:r>
    </w:p>
    <w:p>
      <w:pPr>
        <w:pStyle w:val="Heading3"/>
      </w:pPr>
      <w:r>
        <w:rPr>
          <w:rFonts w:ascii="Cambria" w:hAnsi="Cambria"/>
          <w:b/>
          <w:color w:val="1F3A5F"/>
          <w:sz w:val="26"/>
        </w:rPr>
        <w:t>3. Strategic Linkages</w:t>
      </w:r>
    </w:p>
    <w:p>
      <w:pPr>
        <w:pStyle w:val="ListBullet"/>
        <w:spacing w:after="80" w:line="276" w:lineRule="auto"/>
      </w:pPr>
      <w:r>
        <w:rPr>
          <w:rFonts w:ascii="Cambria" w:hAnsi="Cambria"/>
          <w:b/>
          <w:i w:val="0"/>
          <w:sz w:val="22"/>
        </w:rPr>
        <w:t xml:space="preserve">With Students: </w:t>
      </w:r>
      <w:r>
        <w:rPr>
          <w:rFonts w:ascii="Cambria" w:hAnsi="Cambria"/>
          <w:b w:val="0"/>
          <w:i w:val="0"/>
          <w:sz w:val="22"/>
        </w:rPr>
        <w:t>Provides clarity on academic standing, course loads, and eligibility for exams or graduation.</w:t>
      </w:r>
    </w:p>
    <w:p>
      <w:pPr>
        <w:pStyle w:val="ListBullet"/>
        <w:spacing w:after="80" w:line="276" w:lineRule="auto"/>
      </w:pPr>
      <w:r>
        <w:rPr>
          <w:rFonts w:ascii="Cambria" w:hAnsi="Cambria"/>
          <w:b/>
          <w:i w:val="0"/>
          <w:sz w:val="22"/>
        </w:rPr>
        <w:t xml:space="preserve">With Faculty: </w:t>
      </w:r>
      <w:r>
        <w:rPr>
          <w:rFonts w:ascii="Cambria" w:hAnsi="Cambria"/>
          <w:b w:val="0"/>
          <w:i w:val="0"/>
          <w:sz w:val="22"/>
        </w:rPr>
        <w:t>Supplies accurate enrollment data for class lists, teaching assignments, and evaluation processes.</w:t>
      </w:r>
    </w:p>
    <w:p>
      <w:pPr>
        <w:pStyle w:val="ListBullet"/>
        <w:spacing w:after="80" w:line="276" w:lineRule="auto"/>
      </w:pPr>
      <w:r>
        <w:rPr>
          <w:rFonts w:ascii="Cambria" w:hAnsi="Cambria"/>
          <w:b/>
          <w:i w:val="0"/>
          <w:sz w:val="22"/>
        </w:rPr>
        <w:t xml:space="preserve">With Controller of Examinations: </w:t>
      </w:r>
      <w:r>
        <w:rPr>
          <w:rFonts w:ascii="Cambria" w:hAnsi="Cambria"/>
          <w:b w:val="0"/>
          <w:i w:val="0"/>
          <w:sz w:val="22"/>
        </w:rPr>
        <w:t>Verifies eligibility for exams and ensures grading aligns with registered courses.</w:t>
      </w:r>
    </w:p>
    <w:p>
      <w:pPr>
        <w:pStyle w:val="ListBullet"/>
        <w:spacing w:after="80" w:line="276" w:lineRule="auto"/>
      </w:pPr>
      <w:r>
        <w:rPr>
          <w:rFonts w:ascii="Cambria" w:hAnsi="Cambria"/>
          <w:b/>
          <w:i w:val="0"/>
          <w:sz w:val="22"/>
        </w:rPr>
        <w:t xml:space="preserve">With Registrar: </w:t>
      </w:r>
      <w:r>
        <w:rPr>
          <w:rFonts w:ascii="Cambria" w:hAnsi="Cambria"/>
          <w:b w:val="0"/>
          <w:i w:val="0"/>
          <w:sz w:val="22"/>
        </w:rPr>
        <w:t>Coordinates official certification, transcripts, and record maintenance.</w:t>
      </w:r>
    </w:p>
    <w:p>
      <w:pPr>
        <w:pStyle w:val="Heading3"/>
      </w:pPr>
      <w:r>
        <w:rPr>
          <w:rFonts w:ascii="Cambria" w:hAnsi="Cambria"/>
          <w:b/>
          <w:color w:val="1F3A5F"/>
          <w:sz w:val="26"/>
        </w:rPr>
        <w:t>4. Institutional Impact</w:t>
      </w:r>
    </w:p>
    <w:p>
      <w:pPr>
        <w:pStyle w:val="ListBullet"/>
        <w:spacing w:after="80" w:line="276" w:lineRule="auto"/>
      </w:pPr>
      <w:r>
        <w:rPr>
          <w:rFonts w:ascii="Cambria" w:hAnsi="Cambria"/>
          <w:b/>
          <w:i w:val="0"/>
          <w:sz w:val="22"/>
        </w:rPr>
        <w:t xml:space="preserve">Academic Integrity: </w:t>
      </w:r>
      <w:r>
        <w:rPr>
          <w:rFonts w:ascii="Cambria" w:hAnsi="Cambria"/>
          <w:b w:val="0"/>
          <w:i w:val="0"/>
          <w:sz w:val="22"/>
        </w:rPr>
        <w:t>Prevents duplication, errors, and malpractice in academic records.</w:t>
      </w:r>
    </w:p>
    <w:p>
      <w:pPr>
        <w:pStyle w:val="ListBullet"/>
        <w:spacing w:after="80" w:line="276" w:lineRule="auto"/>
      </w:pPr>
      <w:r>
        <w:rPr>
          <w:rFonts w:ascii="Cambria" w:hAnsi="Cambria"/>
          <w:b/>
          <w:i w:val="0"/>
          <w:sz w:val="22"/>
        </w:rPr>
        <w:t xml:space="preserve">Operational Efficiency: </w:t>
      </w:r>
      <w:r>
        <w:rPr>
          <w:rFonts w:ascii="Cambria" w:hAnsi="Cambria"/>
          <w:b w:val="0"/>
          <w:i w:val="0"/>
          <w:sz w:val="22"/>
        </w:rPr>
        <w:t>Streamlines academic administration through digitized systems.</w:t>
      </w:r>
    </w:p>
    <w:p>
      <w:pPr>
        <w:pStyle w:val="ListBullet"/>
        <w:spacing w:after="80" w:line="276" w:lineRule="auto"/>
      </w:pPr>
      <w:r>
        <w:rPr>
          <w:rFonts w:ascii="Cambria" w:hAnsi="Cambria"/>
          <w:b/>
          <w:i w:val="0"/>
          <w:sz w:val="22"/>
        </w:rPr>
        <w:t xml:space="preserve">Accreditation and Rankings: </w:t>
      </w:r>
      <w:r>
        <w:rPr>
          <w:rFonts w:ascii="Cambria" w:hAnsi="Cambria"/>
          <w:b w:val="0"/>
          <w:i w:val="0"/>
          <w:sz w:val="22"/>
        </w:rPr>
        <w:t>Provides reliable data for NAAC/NBA/NIRF submissions.</w:t>
      </w:r>
    </w:p>
    <w:p>
      <w:pPr>
        <w:pStyle w:val="ListBullet"/>
        <w:spacing w:after="80" w:line="276" w:lineRule="auto"/>
      </w:pPr>
      <w:r>
        <w:rPr>
          <w:rFonts w:ascii="Cambria" w:hAnsi="Cambria"/>
          <w:b/>
          <w:i w:val="0"/>
          <w:sz w:val="22"/>
        </w:rPr>
        <w:t xml:space="preserve">Student Trust: </w:t>
      </w:r>
      <w:r>
        <w:rPr>
          <w:rFonts w:ascii="Cambria" w:hAnsi="Cambria"/>
          <w:b w:val="0"/>
          <w:i w:val="0"/>
          <w:sz w:val="22"/>
        </w:rPr>
        <w:t>Builds confidence among students by ensuring accuracy and transparency in academic records.</w:t>
      </w:r>
    </w:p>
    <w:p>
      <w:pPr>
        <w:pStyle w:val="Heading3"/>
      </w:pPr>
      <w:r>
        <w:rPr>
          <w:rFonts w:ascii="Cambria" w:hAnsi="Cambria"/>
          <w:b/>
          <w:color w:val="1F3A5F"/>
          <w:sz w:val="26"/>
        </w:rPr>
        <w:t>5. Symbolic Role</w:t>
      </w:r>
    </w:p>
    <w:p>
      <w:pPr>
        <w:spacing w:after="160" w:line="276" w:lineRule="auto"/>
        <w:jc w:val="both"/>
      </w:pPr>
      <w:r>
        <w:rPr>
          <w:rFonts w:ascii="Cambria" w:hAnsi="Cambria"/>
          <w:b w:val="0"/>
          <w:i w:val="0"/>
          <w:sz w:val="22"/>
        </w:rPr>
        <w:t xml:space="preserve">While the Dean (Academics) oversees policies and the Registrar manages administration, the Associate Dean </w:t>
      </w:r>
      <w:r>
        <w:rPr>
          <w:rFonts w:ascii="Cambria" w:hAnsi="Cambria"/>
          <w:b w:val="0"/>
          <w:i w:val="0"/>
          <w:sz w:val="22"/>
        </w:rPr>
        <w:t>– Academic Registration ensures that every student's academic journey is recorded with integrity.</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xml:space="preserve">– Academic Registration is the custodian of academic enrollment and student record integrity because this role safeguards the accuracy, transparency, and accountability of the University's core academic processes </w:t>
      </w:r>
      <w:r>
        <w:rPr>
          <w:rFonts w:ascii="Cambria" w:hAnsi="Cambria"/>
          <w:b w:val="0"/>
          <w:i w:val="0"/>
          <w:sz w:val="22"/>
        </w:rPr>
        <w:t>— ensuring that student success is built on a foundation of trust, compliance, and reliable documentation.</w:t>
      </w:r>
    </w:p>
    <w:p>
      <w:r>
        <w:br w:type="page"/>
      </w:r>
    </w:p>
    <w:p>
      <w:pPr>
        <w:pStyle w:val="Heading1"/>
      </w:pPr>
      <w:r>
        <w:rPr>
          <w:rFonts w:ascii="Cambria" w:hAnsi="Cambria"/>
          <w:b/>
          <w:color w:val="1F3A5F"/>
          <w:sz w:val="36"/>
        </w:rPr>
        <w:t>16. Associate Dean – Skilling and VAC/CC</w:t>
      </w:r>
    </w:p>
    <w:p>
      <w:pPr>
        <w:spacing w:after="160" w:line="276" w:lineRule="auto"/>
        <w:jc w:val="both"/>
      </w:pPr>
      <w:r>
        <w:rPr>
          <w:rFonts w:ascii="Cambria" w:hAnsi="Cambria"/>
          <w:b w:val="0"/>
          <w:i w:val="0"/>
          <w:sz w:val="22"/>
        </w:rPr>
        <w:t>An Associate Dean for Skilling and VAC/CC is a senior academic administrator who plays a crucial role in ensuring that students are equipped with not only strong academic knowledge but also the professional, technical, and life skills required for success in today's competitive world. This position is particularly important in institutions that emphasize a holistic, industry-relevant, and future-ready education. Reporting to the Dean of Academic Affairs, the Associate Dean oversees the design, delivery, and monitoring of skilling programs, Value-Added Courses (VAC), and Co-Curricular (CC) initiatives that complement the core curriculum and enhance the overall student experience.</w:t>
      </w:r>
    </w:p>
    <w:p>
      <w:pPr>
        <w:spacing w:after="160" w:line="276" w:lineRule="auto"/>
        <w:jc w:val="both"/>
      </w:pPr>
      <w:r>
        <w:rPr>
          <w:rFonts w:ascii="Cambria" w:hAnsi="Cambria"/>
          <w:b w:val="0"/>
          <w:i w:val="0"/>
          <w:sz w:val="22"/>
        </w:rPr>
        <w:t>The primary responsibility of this role lies in bridging the gap between academic theory and workplace expectations. By introducing skill development programs—ranging from technical certifications, coding and data analytics, communication and leadership workshops, to entrepreneurial training—the Associate Dean ensures that students are prepared for employability and career advancement. Value-Added Courses (VACs), often short-term and interdisciplinary, provide students with exposure to emerging fields such as artificial intelligence, cybersecurity, sustainability, or foreign languages, thereby broadening their horizons beyond the prescribed syllabus. Co-Curricular (CC) activities, meanwhile, foster soft skills, teamwork, creativity, and social responsibility, making students more well-rounded individuals.</w:t>
      </w:r>
    </w:p>
    <w:p>
      <w:pPr>
        <w:spacing w:after="160" w:line="276" w:lineRule="auto"/>
        <w:jc w:val="both"/>
      </w:pPr>
      <w:r>
        <w:rPr>
          <w:rFonts w:ascii="Cambria" w:hAnsi="Cambria"/>
          <w:b w:val="0"/>
          <w:i w:val="0"/>
          <w:sz w:val="22"/>
        </w:rPr>
        <w:t>This role also involves extensive collaboration with industry partners, training providers, and skill development agencies to design programs that carry national or international recognition. By embedding Choice-Based Credit System (CBCS) flexibility and integrating platforms like SWAYAM, NPTEL, and Coursera, the Associate Dean ensures that students benefit from both institutional offerings and global learning resources. Monitoring and evaluation of these initiatives is equally critical, as it provides evidence for student progression, placement readiness, and accreditation compliance (NAAC, NBA, NIRF, QS I-GAUGE).</w:t>
      </w:r>
    </w:p>
    <w:p>
      <w:pPr>
        <w:spacing w:after="160" w:line="276" w:lineRule="auto"/>
        <w:jc w:val="both"/>
      </w:pPr>
      <w:r>
        <w:rPr>
          <w:rFonts w:ascii="Cambria" w:hAnsi="Cambria"/>
          <w:b w:val="0"/>
          <w:i w:val="0"/>
          <w:sz w:val="22"/>
        </w:rPr>
        <w:t>Beyond employability, the Associate Dean for Skilling and VAC/CC also nurtures a culture of lifelong learning and entrepreneurship, encouraging students to explore start-ups, innovation labs, and incubation centres as alternative career pathways. The role not only supports students in securing placements but also prepares them to become innovators, problem-solvers, and global citizens.</w:t>
      </w:r>
    </w:p>
    <w:p>
      <w:pPr>
        <w:spacing w:after="160" w:line="276" w:lineRule="auto"/>
        <w:jc w:val="both"/>
      </w:pPr>
      <w:r>
        <w:rPr>
          <w:rFonts w:ascii="Cambria" w:hAnsi="Cambria"/>
          <w:b w:val="0"/>
          <w:i w:val="0"/>
          <w:sz w:val="22"/>
        </w:rPr>
        <w:t>Ultimately, this position serves as the custodian of skill-based learning and employability readiness within the institution. By integrating professional skills, value-added courses, and co-curricular learning into the academic framework, the Associate Dean ensures that graduates leave the university not just with degrees, but with the competencies, confidence, and versatility to thrive in diverse professional and social environments.</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Acts as the custodian of skill-based learning, employability enhancement, and supplemental academic programs.</w:t>
      </w:r>
    </w:p>
    <w:p>
      <w:pPr>
        <w:pStyle w:val="ListBullet"/>
        <w:spacing w:after="80" w:line="276" w:lineRule="auto"/>
      </w:pPr>
      <w:r>
        <w:rPr>
          <w:rFonts w:ascii="Cambria" w:hAnsi="Cambria"/>
          <w:b w:val="0"/>
          <w:i w:val="0"/>
          <w:sz w:val="22"/>
        </w:rPr>
        <w:t>Ensures that students acquire not just theoretical knowledge but also practical, industry-relevant skills through Value-Added Courses (VAC) and Credit Courses (CC).</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Skilling Initiatives</w:t>
      </w:r>
    </w:p>
    <w:p>
      <w:pPr>
        <w:pStyle w:val="ListBullet"/>
        <w:spacing w:after="80" w:line="276" w:lineRule="auto"/>
      </w:pPr>
      <w:r>
        <w:rPr>
          <w:rFonts w:ascii="Cambria" w:hAnsi="Cambria"/>
          <w:b w:val="0"/>
          <w:i w:val="0"/>
          <w:sz w:val="22"/>
        </w:rPr>
        <w:t>Industry-Relevant Training:</w:t>
      </w:r>
    </w:p>
    <w:p>
      <w:pPr>
        <w:pStyle w:val="ListBullet2"/>
        <w:spacing w:after="80" w:line="276" w:lineRule="auto"/>
      </w:pPr>
      <w:r>
        <w:rPr>
          <w:rFonts w:ascii="Cambria" w:hAnsi="Cambria"/>
          <w:b w:val="0"/>
          <w:i w:val="0"/>
          <w:sz w:val="22"/>
        </w:rPr>
        <w:t>Introduces skill development programs in collaboration with industries and sector skill councils (NSDC, SSCs).</w:t>
      </w:r>
    </w:p>
    <w:p>
      <w:pPr>
        <w:pStyle w:val="ListBullet2"/>
        <w:spacing w:after="80" w:line="276" w:lineRule="auto"/>
      </w:pPr>
      <w:r>
        <w:rPr>
          <w:rFonts w:ascii="Cambria" w:hAnsi="Cambria"/>
          <w:b w:val="0"/>
          <w:i w:val="0"/>
          <w:sz w:val="22"/>
        </w:rPr>
        <w:t xml:space="preserve">Focuses on 21st-century skills </w:t>
      </w:r>
      <w:r>
        <w:rPr>
          <w:rFonts w:ascii="Cambria" w:hAnsi="Cambria"/>
          <w:b w:val="0"/>
          <w:i w:val="0"/>
          <w:sz w:val="22"/>
        </w:rPr>
        <w:t>– digital literacy, coding, data analytics, communication, problem-solving, and entrepreneurship.</w:t>
      </w:r>
    </w:p>
    <w:p>
      <w:pPr>
        <w:pStyle w:val="ListBullet"/>
        <w:spacing w:after="80" w:line="276" w:lineRule="auto"/>
      </w:pPr>
      <w:r>
        <w:rPr>
          <w:rFonts w:ascii="Cambria" w:hAnsi="Cambria"/>
          <w:b w:val="0"/>
          <w:i w:val="0"/>
          <w:sz w:val="22"/>
        </w:rPr>
        <w:t>Workshops &amp; Bootcamps:</w:t>
      </w:r>
    </w:p>
    <w:p>
      <w:pPr>
        <w:pStyle w:val="ListBullet2"/>
        <w:spacing w:after="80" w:line="276" w:lineRule="auto"/>
      </w:pPr>
      <w:r>
        <w:rPr>
          <w:rFonts w:ascii="Cambria" w:hAnsi="Cambria"/>
          <w:b w:val="0"/>
          <w:i w:val="0"/>
          <w:sz w:val="22"/>
        </w:rPr>
        <w:t>Organizes hands-on training, workshops, and short-term certification programs.</w:t>
      </w:r>
    </w:p>
    <w:p>
      <w:pPr>
        <w:pStyle w:val="ListBullet"/>
        <w:spacing w:after="80" w:line="276" w:lineRule="auto"/>
      </w:pPr>
      <w:r>
        <w:rPr>
          <w:rFonts w:ascii="Cambria" w:hAnsi="Cambria"/>
          <w:b w:val="0"/>
          <w:i w:val="0"/>
          <w:sz w:val="22"/>
        </w:rPr>
        <w:t>Career Readiness:</w:t>
      </w:r>
    </w:p>
    <w:p>
      <w:pPr>
        <w:pStyle w:val="ListBullet2"/>
        <w:spacing w:after="80" w:line="276" w:lineRule="auto"/>
      </w:pPr>
      <w:r>
        <w:rPr>
          <w:rFonts w:ascii="Cambria" w:hAnsi="Cambria"/>
          <w:b w:val="0"/>
          <w:i w:val="0"/>
          <w:sz w:val="22"/>
        </w:rPr>
        <w:t>Prepares students for placements, internships, and start-up culture.</w:t>
      </w:r>
    </w:p>
    <w:p>
      <w:pPr>
        <w:pStyle w:val="ListBullet2"/>
        <w:spacing w:after="80" w:line="276" w:lineRule="auto"/>
      </w:pPr>
      <w:r>
        <w:rPr>
          <w:rFonts w:ascii="Cambria" w:hAnsi="Cambria"/>
          <w:b w:val="0"/>
          <w:i w:val="0"/>
          <w:sz w:val="22"/>
        </w:rPr>
        <w:t>Ensures employability through domain-specific and soft-skill training.</w:t>
      </w:r>
    </w:p>
    <w:p>
      <w:pPr>
        <w:spacing w:after="80" w:line="276" w:lineRule="auto"/>
      </w:pPr>
      <w:r>
        <w:rPr>
          <w:rFonts w:ascii="Cambria" w:hAnsi="Cambria"/>
          <w:b/>
          <w:i w:val="0"/>
          <w:sz w:val="22"/>
        </w:rPr>
        <w:t>B. Value-Added Courses (VAC)</w:t>
      </w:r>
    </w:p>
    <w:p>
      <w:pPr>
        <w:pStyle w:val="ListBullet"/>
        <w:spacing w:after="80" w:line="276" w:lineRule="auto"/>
      </w:pPr>
      <w:r>
        <w:rPr>
          <w:rFonts w:ascii="Cambria" w:hAnsi="Cambria"/>
          <w:b w:val="0"/>
          <w:i w:val="0"/>
          <w:sz w:val="22"/>
        </w:rPr>
        <w:t>Supplementary Learning:</w:t>
      </w:r>
    </w:p>
    <w:p>
      <w:pPr>
        <w:pStyle w:val="ListBullet2"/>
        <w:spacing w:after="80" w:line="276" w:lineRule="auto"/>
      </w:pPr>
      <w:r>
        <w:rPr>
          <w:rFonts w:ascii="Cambria" w:hAnsi="Cambria"/>
          <w:b w:val="0"/>
          <w:i w:val="0"/>
          <w:sz w:val="22"/>
        </w:rPr>
        <w:t>Introduces short courses beyond the core curriculum to broaden knowledge and skills.</w:t>
      </w:r>
    </w:p>
    <w:p>
      <w:pPr>
        <w:pStyle w:val="ListBullet"/>
        <w:spacing w:after="80" w:line="276" w:lineRule="auto"/>
      </w:pPr>
      <w:r>
        <w:rPr>
          <w:rFonts w:ascii="Cambria" w:hAnsi="Cambria"/>
          <w:b w:val="0"/>
          <w:i w:val="0"/>
          <w:sz w:val="22"/>
        </w:rPr>
        <w:t>Flexibility &amp; Relevance:</w:t>
      </w:r>
    </w:p>
    <w:p>
      <w:pPr>
        <w:pStyle w:val="ListBullet2"/>
        <w:spacing w:after="80" w:line="276" w:lineRule="auto"/>
      </w:pPr>
      <w:r>
        <w:rPr>
          <w:rFonts w:ascii="Cambria" w:hAnsi="Cambria"/>
          <w:b w:val="0"/>
          <w:i w:val="0"/>
          <w:sz w:val="22"/>
        </w:rPr>
        <w:t>VACs may include emerging areas such as AI, cybersecurity, sustainability, leadership, foreign languages, and financial literacy.</w:t>
      </w:r>
    </w:p>
    <w:p>
      <w:pPr>
        <w:pStyle w:val="ListBullet"/>
        <w:spacing w:after="80" w:line="276" w:lineRule="auto"/>
      </w:pPr>
      <w:r>
        <w:rPr>
          <w:rFonts w:ascii="Cambria" w:hAnsi="Cambria"/>
          <w:b w:val="0"/>
          <w:i w:val="0"/>
          <w:sz w:val="22"/>
        </w:rPr>
        <w:t>Employability Link:</w:t>
      </w:r>
    </w:p>
    <w:p>
      <w:pPr>
        <w:pStyle w:val="ListBullet2"/>
        <w:spacing w:after="80" w:line="276" w:lineRule="auto"/>
      </w:pPr>
      <w:r>
        <w:rPr>
          <w:rFonts w:ascii="Cambria" w:hAnsi="Cambria"/>
          <w:b w:val="0"/>
          <w:i w:val="0"/>
          <w:sz w:val="22"/>
        </w:rPr>
        <w:t>VACs bridge the gap between academic curriculum and industry demands, enhancing student profiles.</w:t>
      </w:r>
    </w:p>
    <w:p>
      <w:pPr>
        <w:spacing w:after="80" w:line="276" w:lineRule="auto"/>
      </w:pPr>
      <w:r>
        <w:rPr>
          <w:rFonts w:ascii="Cambria" w:hAnsi="Cambria"/>
          <w:b/>
          <w:i w:val="0"/>
          <w:sz w:val="22"/>
        </w:rPr>
        <w:t>C. Credit Courses (CC)</w:t>
      </w:r>
    </w:p>
    <w:p>
      <w:pPr>
        <w:pStyle w:val="ListBullet"/>
        <w:spacing w:after="80" w:line="276" w:lineRule="auto"/>
      </w:pPr>
      <w:r>
        <w:rPr>
          <w:rFonts w:ascii="Cambria" w:hAnsi="Cambria"/>
          <w:b w:val="0"/>
          <w:i w:val="0"/>
          <w:sz w:val="22"/>
        </w:rPr>
        <w:t>Academic Integration:</w:t>
      </w:r>
    </w:p>
    <w:p>
      <w:pPr>
        <w:pStyle w:val="ListBullet2"/>
        <w:spacing w:after="80" w:line="276" w:lineRule="auto"/>
      </w:pPr>
      <w:r>
        <w:rPr>
          <w:rFonts w:ascii="Cambria" w:hAnsi="Cambria"/>
          <w:b w:val="0"/>
          <w:i w:val="0"/>
          <w:sz w:val="22"/>
        </w:rPr>
        <w:t>Ensures certain skill-based or elective courses carry credits that count toward degree requirements.</w:t>
      </w:r>
    </w:p>
    <w:p>
      <w:pPr>
        <w:pStyle w:val="ListBullet"/>
        <w:spacing w:after="80" w:line="276" w:lineRule="auto"/>
      </w:pPr>
      <w:r>
        <w:rPr>
          <w:rFonts w:ascii="Cambria" w:hAnsi="Cambria"/>
          <w:b w:val="0"/>
          <w:i w:val="0"/>
          <w:sz w:val="22"/>
        </w:rPr>
        <w:t>Multidisciplinary Learning:</w:t>
      </w:r>
    </w:p>
    <w:p>
      <w:pPr>
        <w:pStyle w:val="ListBullet2"/>
        <w:spacing w:after="80" w:line="276" w:lineRule="auto"/>
      </w:pPr>
      <w:r>
        <w:rPr>
          <w:rFonts w:ascii="Cambria" w:hAnsi="Cambria"/>
          <w:b w:val="0"/>
          <w:i w:val="0"/>
          <w:sz w:val="22"/>
        </w:rPr>
        <w:t>Encourages students to take credit-bearing courses from other faculties or MOOCs (SWAYAM, NPTEL, Coursera, edX).</w:t>
      </w:r>
    </w:p>
    <w:p>
      <w:pPr>
        <w:pStyle w:val="ListBullet"/>
        <w:spacing w:after="80" w:line="276" w:lineRule="auto"/>
      </w:pPr>
      <w:r>
        <w:rPr>
          <w:rFonts w:ascii="Cambria" w:hAnsi="Cambria"/>
          <w:b w:val="0"/>
          <w:i w:val="0"/>
          <w:sz w:val="22"/>
        </w:rPr>
        <w:t>Flexibility &amp; Choice:</w:t>
      </w:r>
    </w:p>
    <w:p>
      <w:pPr>
        <w:pStyle w:val="ListBullet2"/>
        <w:spacing w:after="80" w:line="276" w:lineRule="auto"/>
      </w:pPr>
      <w:r>
        <w:rPr>
          <w:rFonts w:ascii="Cambria" w:hAnsi="Cambria"/>
          <w:b w:val="0"/>
          <w:i w:val="0"/>
          <w:sz w:val="22"/>
        </w:rPr>
        <w:t>Implements Choice Based Credit System (CBCS) to allow academic personalization.</w:t>
      </w:r>
    </w:p>
    <w:p>
      <w:pPr>
        <w:spacing w:after="80" w:line="276" w:lineRule="auto"/>
      </w:pPr>
      <w:r>
        <w:rPr>
          <w:rFonts w:ascii="Cambria" w:hAnsi="Cambria"/>
          <w:b/>
          <w:i w:val="0"/>
          <w:sz w:val="22"/>
        </w:rPr>
        <w:t>D. Collaboration and Partnerships</w:t>
      </w:r>
    </w:p>
    <w:p>
      <w:pPr>
        <w:pStyle w:val="ListBullet"/>
        <w:spacing w:after="80" w:line="276" w:lineRule="auto"/>
      </w:pPr>
      <w:r>
        <w:rPr>
          <w:rFonts w:ascii="Cambria" w:hAnsi="Cambria"/>
          <w:b w:val="0"/>
          <w:i w:val="0"/>
          <w:sz w:val="22"/>
        </w:rPr>
        <w:t>Works with:</w:t>
      </w:r>
    </w:p>
    <w:p>
      <w:pPr>
        <w:pStyle w:val="ListBullet2"/>
        <w:spacing w:after="80" w:line="276" w:lineRule="auto"/>
      </w:pPr>
      <w:r>
        <w:rPr>
          <w:rFonts w:ascii="Cambria" w:hAnsi="Cambria"/>
          <w:b w:val="0"/>
          <w:i w:val="0"/>
          <w:sz w:val="22"/>
        </w:rPr>
        <w:t>Industry Partners for domain-based certifications.</w:t>
      </w:r>
    </w:p>
    <w:p>
      <w:pPr>
        <w:pStyle w:val="ListBullet2"/>
        <w:spacing w:after="80" w:line="276" w:lineRule="auto"/>
      </w:pPr>
      <w:r>
        <w:rPr>
          <w:rFonts w:ascii="Cambria" w:hAnsi="Cambria"/>
          <w:b w:val="0"/>
          <w:i w:val="0"/>
          <w:sz w:val="22"/>
        </w:rPr>
        <w:t>Skill Development Agencies for national certification frameworks.</w:t>
      </w:r>
    </w:p>
    <w:p>
      <w:pPr>
        <w:pStyle w:val="ListBullet2"/>
        <w:spacing w:after="80" w:line="276" w:lineRule="auto"/>
      </w:pPr>
      <w:r>
        <w:rPr>
          <w:rFonts w:ascii="Cambria" w:hAnsi="Cambria"/>
          <w:b w:val="0"/>
          <w:i w:val="0"/>
          <w:sz w:val="22"/>
        </w:rPr>
        <w:t>MOOC Platforms for blended and online learning integration.</w:t>
      </w:r>
    </w:p>
    <w:p>
      <w:pPr>
        <w:pStyle w:val="ListBullet"/>
        <w:spacing w:after="80" w:line="276" w:lineRule="auto"/>
      </w:pPr>
      <w:r>
        <w:rPr>
          <w:rFonts w:ascii="Cambria" w:hAnsi="Cambria"/>
          <w:b w:val="0"/>
          <w:i w:val="0"/>
          <w:sz w:val="22"/>
        </w:rPr>
        <w:t>Builds MoUs with training providers, incubation centres, and start-up accelerators.</w:t>
      </w:r>
    </w:p>
    <w:p>
      <w:pPr>
        <w:spacing w:after="80" w:line="276" w:lineRule="auto"/>
      </w:pPr>
      <w:r>
        <w:rPr>
          <w:rFonts w:ascii="Cambria" w:hAnsi="Cambria"/>
          <w:b/>
          <w:i w:val="0"/>
          <w:sz w:val="22"/>
        </w:rPr>
        <w:t>E. Monitoring and Evaluation</w:t>
      </w:r>
    </w:p>
    <w:p>
      <w:pPr>
        <w:pStyle w:val="ListBullet"/>
        <w:spacing w:after="80" w:line="276" w:lineRule="auto"/>
      </w:pPr>
      <w:r>
        <w:rPr>
          <w:rFonts w:ascii="Cambria" w:hAnsi="Cambria"/>
          <w:b w:val="0"/>
          <w:i w:val="0"/>
          <w:sz w:val="22"/>
        </w:rPr>
        <w:t>Tracks student enrollment, completion, and performance in VAC/CC courses.</w:t>
      </w:r>
    </w:p>
    <w:p>
      <w:pPr>
        <w:pStyle w:val="ListBullet"/>
        <w:spacing w:after="80" w:line="276" w:lineRule="auto"/>
      </w:pPr>
      <w:r>
        <w:rPr>
          <w:rFonts w:ascii="Cambria" w:hAnsi="Cambria"/>
          <w:b w:val="0"/>
          <w:i w:val="0"/>
          <w:sz w:val="22"/>
        </w:rPr>
        <w:t>Collects feedback from students and employers to improve course offerings.</w:t>
      </w:r>
    </w:p>
    <w:p>
      <w:pPr>
        <w:pStyle w:val="ListBullet"/>
        <w:spacing w:after="80" w:line="276" w:lineRule="auto"/>
      </w:pPr>
      <w:r>
        <w:rPr>
          <w:rFonts w:ascii="Cambria" w:hAnsi="Cambria"/>
          <w:b w:val="0"/>
          <w:i w:val="0"/>
          <w:sz w:val="22"/>
        </w:rPr>
        <w:t>Prepares reports for accreditation and ranking bodies (NAAC, NIRF, NBA) showcasing employability initiatives.</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Enhances employability, entrepreneurship, and global competitiveness.</w:t>
      </w:r>
    </w:p>
    <w:p>
      <w:pPr>
        <w:pStyle w:val="ListBullet2"/>
        <w:spacing w:after="80" w:line="276" w:lineRule="auto"/>
      </w:pPr>
      <w:r>
        <w:rPr>
          <w:rFonts w:ascii="Cambria" w:hAnsi="Cambria"/>
          <w:b w:val="0"/>
          <w:i w:val="0"/>
          <w:sz w:val="22"/>
        </w:rPr>
        <w:t>Provides flexible learning pathways through credit transfers and skill certifications.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Opportunities to design and deliver innovative short courses.</w:t>
      </w:r>
    </w:p>
    <w:p>
      <w:pPr>
        <w:pStyle w:val="ListBullet2"/>
        <w:spacing w:after="80" w:line="276" w:lineRule="auto"/>
      </w:pPr>
      <w:r>
        <w:rPr>
          <w:rFonts w:ascii="Cambria" w:hAnsi="Cambria"/>
          <w:b w:val="0"/>
          <w:i w:val="0"/>
          <w:sz w:val="22"/>
        </w:rPr>
        <w:t xml:space="preserve">Increases industry </w:t>
      </w:r>
      <w:r>
        <w:rPr>
          <w:rFonts w:ascii="Cambria" w:hAnsi="Cambria"/>
          <w:b w:val="0"/>
          <w:i w:val="0"/>
          <w:sz w:val="22"/>
        </w:rPr>
        <w:t>–academic engagement.</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Strengthens compliance with NEP-2020 focus on skill-based education.</w:t>
      </w:r>
    </w:p>
    <w:p>
      <w:pPr>
        <w:pStyle w:val="ListBullet2"/>
        <w:spacing w:after="80" w:line="276" w:lineRule="auto"/>
      </w:pPr>
      <w:r>
        <w:rPr>
          <w:rFonts w:ascii="Cambria" w:hAnsi="Cambria"/>
          <w:b w:val="0"/>
          <w:i w:val="0"/>
          <w:sz w:val="22"/>
        </w:rPr>
        <w:t>Improves institutional reputation in placements and industry readiness.</w:t>
      </w:r>
    </w:p>
    <w:p>
      <w:pPr>
        <w:pStyle w:val="ListBullet2"/>
        <w:spacing w:after="80" w:line="276" w:lineRule="auto"/>
      </w:pPr>
      <w:r>
        <w:rPr>
          <w:rFonts w:ascii="Cambria" w:hAnsi="Cambria"/>
          <w:b w:val="0"/>
          <w:i w:val="0"/>
          <w:sz w:val="22"/>
        </w:rPr>
        <w:t>Provides strong evidence for NAAC Criterion I (Curricular Aspects) and NIRF employability metrics.</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Students graduate with academic knowledge + industry-recognized skills.</w:t>
      </w:r>
    </w:p>
    <w:p>
      <w:pPr>
        <w:pStyle w:val="ListBullet"/>
        <w:spacing w:after="80" w:line="276" w:lineRule="auto"/>
      </w:pPr>
      <w:r>
        <w:rPr>
          <w:rFonts w:ascii="Cambria" w:hAnsi="Cambria"/>
          <w:b w:val="0"/>
          <w:i w:val="0"/>
          <w:sz w:val="22"/>
        </w:rPr>
        <w:t>University develops as a skill-driven and innovation-oriented ecosystem.</w:t>
      </w:r>
    </w:p>
    <w:p>
      <w:pPr>
        <w:pStyle w:val="ListBullet"/>
        <w:spacing w:after="80" w:line="276" w:lineRule="auto"/>
      </w:pPr>
      <w:r>
        <w:rPr>
          <w:rFonts w:ascii="Cambria" w:hAnsi="Cambria"/>
          <w:b w:val="0"/>
          <w:i w:val="0"/>
          <w:sz w:val="22"/>
        </w:rPr>
        <w:t>Enhanced placement rates, start-up culture, and alumni success.</w:t>
      </w:r>
    </w:p>
    <w:p>
      <w:pPr>
        <w:pStyle w:val="ListBullet"/>
        <w:spacing w:after="80" w:line="276" w:lineRule="auto"/>
      </w:pPr>
      <w:r>
        <w:rPr>
          <w:rFonts w:ascii="Cambria" w:hAnsi="Cambria"/>
          <w:b w:val="0"/>
          <w:i w:val="0"/>
          <w:sz w:val="22"/>
        </w:rPr>
        <w:t>Positions the institution as a hub for lifelong learning and skill development.</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Skilling and VAC/CC is the custodian of skill-based learning and employability readiness. By introducing value-added and credit courses, this role ensures that students are not only academically qualified but also industry-ready, entrepreneurial, and globally competitive.</w:t>
      </w:r>
    </w:p>
    <w:p>
      <w:r>
        <w:br w:type="page"/>
      </w:r>
    </w:p>
    <w:p>
      <w:pPr>
        <w:pStyle w:val="Heading1"/>
      </w:pPr>
      <w:r>
        <w:rPr>
          <w:rFonts w:ascii="Cambria" w:hAnsi="Cambria"/>
          <w:b/>
          <w:color w:val="1F3A5F"/>
          <w:sz w:val="36"/>
        </w:rPr>
        <w:t>17. Associate Dean – Skilling and VAC/CC: Custodian of Skill-Based Learning and Employability Readiness</w:t>
      </w:r>
    </w:p>
    <w:p>
      <w:pPr>
        <w:pStyle w:val="Heading3"/>
      </w:pPr>
      <w:r>
        <w:rPr>
          <w:rFonts w:ascii="Cambria" w:hAnsi="Cambria"/>
          <w:b/>
          <w:color w:val="1F3A5F"/>
          <w:sz w:val="26"/>
        </w:rPr>
        <w:t>1. Custodian of Skill-Based Learning</w:t>
      </w:r>
    </w:p>
    <w:p>
      <w:pPr>
        <w:spacing w:after="80" w:line="276" w:lineRule="auto"/>
      </w:pPr>
      <w:r>
        <w:rPr>
          <w:rFonts w:ascii="Cambria" w:hAnsi="Cambria"/>
          <w:b/>
          <w:i w:val="0"/>
          <w:sz w:val="22"/>
        </w:rPr>
        <w:t>Beyond the Core Curriculum:</w:t>
      </w:r>
    </w:p>
    <w:p>
      <w:pPr>
        <w:pStyle w:val="ListBullet"/>
        <w:spacing w:after="80" w:line="276" w:lineRule="auto"/>
      </w:pPr>
      <w:r>
        <w:rPr>
          <w:rFonts w:ascii="Cambria" w:hAnsi="Cambria"/>
          <w:b w:val="0"/>
          <w:i w:val="0"/>
          <w:sz w:val="22"/>
        </w:rPr>
        <w:t>Introduces Value-Added Courses (VACs) to supplement the academic curriculum with specialized knowledge in areas like AI, data science, cybersecurity, entrepreneurship, foreign languages, and sustainability.</w:t>
      </w:r>
    </w:p>
    <w:p>
      <w:pPr>
        <w:spacing w:after="80" w:line="276" w:lineRule="auto"/>
      </w:pPr>
      <w:r>
        <w:rPr>
          <w:rFonts w:ascii="Cambria" w:hAnsi="Cambria"/>
          <w:b/>
          <w:i w:val="0"/>
          <w:sz w:val="22"/>
        </w:rPr>
        <w:t>Integration of Credit Courses (CCs):</w:t>
      </w:r>
    </w:p>
    <w:p>
      <w:pPr>
        <w:pStyle w:val="ListBullet"/>
        <w:spacing w:after="80" w:line="276" w:lineRule="auto"/>
      </w:pPr>
      <w:r>
        <w:rPr>
          <w:rFonts w:ascii="Cambria" w:hAnsi="Cambria"/>
          <w:b w:val="0"/>
          <w:i w:val="0"/>
          <w:sz w:val="22"/>
        </w:rPr>
        <w:t>Ensures students can take credit-bearing electives, including interdisciplinary courses and MOOCs (SWAYAM, NPTEL, Coursera, edX), which directly contribute to their degree requirements.</w:t>
      </w:r>
    </w:p>
    <w:p>
      <w:pPr>
        <w:spacing w:after="80" w:line="276" w:lineRule="auto"/>
      </w:pPr>
      <w:r>
        <w:rPr>
          <w:rFonts w:ascii="Cambria" w:hAnsi="Cambria"/>
          <w:b/>
          <w:i w:val="0"/>
          <w:sz w:val="22"/>
        </w:rPr>
        <w:t>Practical Exposure:</w:t>
      </w:r>
    </w:p>
    <w:p>
      <w:pPr>
        <w:pStyle w:val="ListBullet"/>
        <w:spacing w:after="80" w:line="276" w:lineRule="auto"/>
      </w:pPr>
      <w:r>
        <w:rPr>
          <w:rFonts w:ascii="Cambria" w:hAnsi="Cambria"/>
          <w:b w:val="0"/>
          <w:i w:val="0"/>
          <w:sz w:val="22"/>
        </w:rPr>
        <w:t>Organizes workshops, bootcamps, industry training sessions, and hands-on labs to provide experiential learning.</w:t>
      </w:r>
    </w:p>
    <w:p>
      <w:pPr>
        <w:spacing w:after="80" w:line="276" w:lineRule="auto"/>
      </w:pPr>
      <w:r>
        <w:rPr>
          <w:rFonts w:ascii="Cambria" w:hAnsi="Cambria"/>
          <w:b/>
          <w:i w:val="0"/>
          <w:sz w:val="22"/>
        </w:rPr>
        <w:t>Flexibility &amp; Choice:</w:t>
      </w:r>
    </w:p>
    <w:p>
      <w:pPr>
        <w:pStyle w:val="ListBullet"/>
        <w:spacing w:after="80" w:line="276" w:lineRule="auto"/>
      </w:pPr>
      <w:r>
        <w:rPr>
          <w:rFonts w:ascii="Cambria" w:hAnsi="Cambria"/>
          <w:b w:val="0"/>
          <w:i w:val="0"/>
          <w:sz w:val="22"/>
        </w:rPr>
        <w:t>Implements the Choice Based Credit System (CBCS), giving students the ability to tailor their learning journey.</w:t>
      </w:r>
    </w:p>
    <w:p>
      <w:pPr>
        <w:pStyle w:val="Heading3"/>
      </w:pPr>
      <w:r>
        <w:rPr>
          <w:rFonts w:ascii="Cambria" w:hAnsi="Cambria"/>
          <w:b/>
          <w:color w:val="1F3A5F"/>
          <w:sz w:val="26"/>
        </w:rPr>
        <w:t>2. Custodian of Employability Readiness</w:t>
      </w:r>
    </w:p>
    <w:p>
      <w:pPr>
        <w:spacing w:after="80" w:line="276" w:lineRule="auto"/>
      </w:pPr>
      <w:r>
        <w:rPr>
          <w:rFonts w:ascii="Cambria" w:hAnsi="Cambria"/>
          <w:b/>
          <w:i w:val="0"/>
          <w:sz w:val="22"/>
        </w:rPr>
        <w:t>Industry Alignment:</w:t>
      </w:r>
    </w:p>
    <w:p>
      <w:pPr>
        <w:pStyle w:val="ListBullet"/>
        <w:spacing w:after="80" w:line="276" w:lineRule="auto"/>
      </w:pPr>
      <w:r>
        <w:rPr>
          <w:rFonts w:ascii="Cambria" w:hAnsi="Cambria"/>
          <w:b w:val="0"/>
          <w:i w:val="0"/>
          <w:sz w:val="22"/>
        </w:rPr>
        <w:t>Ensures academic programs are constantly updated to reflect industry needs and emerging job market skills.</w:t>
      </w:r>
    </w:p>
    <w:p>
      <w:pPr>
        <w:spacing w:after="80" w:line="276" w:lineRule="auto"/>
      </w:pPr>
      <w:r>
        <w:rPr>
          <w:rFonts w:ascii="Cambria" w:hAnsi="Cambria"/>
          <w:b/>
          <w:i w:val="0"/>
          <w:sz w:val="22"/>
        </w:rPr>
        <w:t>Career Readiness Programs:</w:t>
      </w:r>
    </w:p>
    <w:p>
      <w:pPr>
        <w:pStyle w:val="ListBullet"/>
        <w:spacing w:after="80" w:line="276" w:lineRule="auto"/>
      </w:pPr>
      <w:r>
        <w:rPr>
          <w:rFonts w:ascii="Cambria" w:hAnsi="Cambria"/>
          <w:b w:val="0"/>
          <w:i w:val="0"/>
          <w:sz w:val="22"/>
        </w:rPr>
        <w:t>Introduces modules on communication, leadership, problem-solving, digital literacy, and teamwork alongside technical training.</w:t>
      </w:r>
    </w:p>
    <w:p>
      <w:pPr>
        <w:spacing w:after="80" w:line="276" w:lineRule="auto"/>
      </w:pPr>
      <w:r>
        <w:rPr>
          <w:rFonts w:ascii="Cambria" w:hAnsi="Cambria"/>
          <w:b/>
          <w:i w:val="0"/>
          <w:sz w:val="22"/>
        </w:rPr>
        <w:t>Certification &amp; Recognition:</w:t>
      </w:r>
    </w:p>
    <w:p>
      <w:pPr>
        <w:pStyle w:val="ListBullet"/>
        <w:spacing w:after="80" w:line="276" w:lineRule="auto"/>
      </w:pPr>
      <w:r>
        <w:rPr>
          <w:rFonts w:ascii="Cambria" w:hAnsi="Cambria"/>
          <w:b w:val="0"/>
          <w:i w:val="0"/>
          <w:sz w:val="22"/>
        </w:rPr>
        <w:t>Builds partnerships with industries, start-ups, and skill councils (NSDC, SSCs) for certifications that carry national/international recognition.</w:t>
      </w:r>
    </w:p>
    <w:p>
      <w:pPr>
        <w:spacing w:after="80" w:line="276" w:lineRule="auto"/>
      </w:pPr>
      <w:r>
        <w:rPr>
          <w:rFonts w:ascii="Cambria" w:hAnsi="Cambria"/>
          <w:b/>
          <w:i w:val="0"/>
          <w:sz w:val="22"/>
        </w:rPr>
        <w:t>Bridging the Skill Gap:</w:t>
      </w:r>
    </w:p>
    <w:p>
      <w:pPr>
        <w:pStyle w:val="ListBullet"/>
        <w:spacing w:after="80" w:line="276" w:lineRule="auto"/>
      </w:pPr>
      <w:r>
        <w:rPr>
          <w:rFonts w:ascii="Cambria" w:hAnsi="Cambria"/>
          <w:b w:val="0"/>
          <w:i w:val="0"/>
          <w:sz w:val="22"/>
        </w:rPr>
        <w:t>Addresses the gap between what students learn in classrooms and what employers expect, ensuring graduates are job-ready from day one.</w:t>
      </w:r>
    </w:p>
    <w:p>
      <w:pPr>
        <w:pStyle w:val="Heading3"/>
      </w:pPr>
      <w:r>
        <w:rPr>
          <w:rFonts w:ascii="Cambria" w:hAnsi="Cambria"/>
          <w:b/>
          <w:color w:val="1F3A5F"/>
          <w:sz w:val="26"/>
        </w:rPr>
        <w:t>3. Custodian of Lifelong Learning Culture</w:t>
      </w:r>
    </w:p>
    <w:p>
      <w:pPr>
        <w:spacing w:after="80" w:line="276" w:lineRule="auto"/>
      </w:pPr>
      <w:r>
        <w:rPr>
          <w:rFonts w:ascii="Cambria" w:hAnsi="Cambria"/>
          <w:b/>
          <w:i w:val="0"/>
          <w:sz w:val="22"/>
        </w:rPr>
        <w:t>Value-Added Pathways:</w:t>
      </w:r>
    </w:p>
    <w:p>
      <w:pPr>
        <w:pStyle w:val="ListBullet"/>
        <w:spacing w:after="80" w:line="276" w:lineRule="auto"/>
      </w:pPr>
      <w:r>
        <w:rPr>
          <w:rFonts w:ascii="Cambria" w:hAnsi="Cambria"/>
          <w:b w:val="0"/>
          <w:i w:val="0"/>
          <w:sz w:val="22"/>
        </w:rPr>
        <w:t>Encourages students to take short-term certifications, online global courses, and industry micro-credentials.</w:t>
      </w:r>
    </w:p>
    <w:p>
      <w:pPr>
        <w:spacing w:after="80" w:line="276" w:lineRule="auto"/>
      </w:pPr>
      <w:r>
        <w:rPr>
          <w:rFonts w:ascii="Cambria" w:hAnsi="Cambria"/>
          <w:b/>
          <w:i w:val="0"/>
          <w:sz w:val="22"/>
        </w:rPr>
        <w:t>Entrepreneurship Development:</w:t>
      </w:r>
    </w:p>
    <w:p>
      <w:pPr>
        <w:pStyle w:val="ListBullet"/>
        <w:spacing w:after="80" w:line="276" w:lineRule="auto"/>
      </w:pPr>
      <w:r>
        <w:rPr>
          <w:rFonts w:ascii="Cambria" w:hAnsi="Cambria"/>
          <w:b w:val="0"/>
          <w:i w:val="0"/>
          <w:sz w:val="22"/>
        </w:rPr>
        <w:t>Supports students to explore start-ups, innovation hubs, and incubation centres as alternative employability pathways.</w:t>
      </w:r>
    </w:p>
    <w:p>
      <w:pPr>
        <w:spacing w:after="80" w:line="276" w:lineRule="auto"/>
      </w:pPr>
      <w:r>
        <w:rPr>
          <w:rFonts w:ascii="Cambria" w:hAnsi="Cambria"/>
          <w:b/>
          <w:i w:val="0"/>
          <w:sz w:val="22"/>
        </w:rPr>
        <w:t>Global Competitiveness:</w:t>
      </w:r>
    </w:p>
    <w:p>
      <w:pPr>
        <w:pStyle w:val="ListBullet"/>
        <w:spacing w:after="80" w:line="276" w:lineRule="auto"/>
      </w:pPr>
      <w:r>
        <w:rPr>
          <w:rFonts w:ascii="Cambria" w:hAnsi="Cambria"/>
          <w:b w:val="0"/>
          <w:i w:val="0"/>
          <w:sz w:val="22"/>
        </w:rPr>
        <w:t>Prepares students to compete in the global workforce by embedding both technical and soft skills into academic planning.</w:t>
      </w:r>
    </w:p>
    <w:p>
      <w:pPr>
        <w:pStyle w:val="Heading3"/>
      </w:pPr>
      <w:r>
        <w:rPr>
          <w:rFonts w:ascii="Cambria" w:hAnsi="Cambria"/>
          <w:b/>
          <w:color w:val="1F3A5F"/>
          <w:sz w:val="26"/>
        </w:rPr>
        <w:t>4. Strategic Impact</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 xml:space="preserve">Graduates with dual strengths </w:t>
      </w:r>
      <w:r>
        <w:rPr>
          <w:rFonts w:ascii="Cambria" w:hAnsi="Cambria"/>
          <w:b w:val="0"/>
          <w:i w:val="0"/>
          <w:sz w:val="22"/>
        </w:rPr>
        <w:t>– academic qualifications + employability skills.</w:t>
      </w:r>
    </w:p>
    <w:p>
      <w:pPr>
        <w:pStyle w:val="ListBullet2"/>
        <w:spacing w:after="80" w:line="276" w:lineRule="auto"/>
      </w:pPr>
      <w:r>
        <w:rPr>
          <w:rFonts w:ascii="Cambria" w:hAnsi="Cambria"/>
          <w:b w:val="0"/>
          <w:i w:val="0"/>
          <w:sz w:val="22"/>
        </w:rPr>
        <w:t>Greater chances of success in placements, entrepreneurship, and higher studies.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Opportunities to create and deliver innovative short-term programs aligned with industry trends.</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Compliance with NEP-2020 and NAAC/NBA criteria on skill development and employability.</w:t>
      </w:r>
    </w:p>
    <w:p>
      <w:pPr>
        <w:pStyle w:val="ListBullet2"/>
        <w:spacing w:after="80" w:line="276" w:lineRule="auto"/>
      </w:pPr>
      <w:r>
        <w:rPr>
          <w:rFonts w:ascii="Cambria" w:hAnsi="Cambria"/>
          <w:b w:val="0"/>
          <w:i w:val="0"/>
          <w:sz w:val="22"/>
        </w:rPr>
        <w:t>Improved performance in NIRF rankings (Graduation Outcomes, Employability).</w:t>
      </w:r>
    </w:p>
    <w:p>
      <w:pPr>
        <w:pStyle w:val="ListBullet"/>
        <w:spacing w:after="80" w:line="276" w:lineRule="auto"/>
      </w:pPr>
      <w:r>
        <w:rPr>
          <w:rFonts w:ascii="Cambria" w:hAnsi="Cambria"/>
          <w:b/>
          <w:i w:val="0"/>
          <w:sz w:val="22"/>
        </w:rPr>
        <w:t>For Industry:</w:t>
      </w:r>
    </w:p>
    <w:p>
      <w:pPr>
        <w:pStyle w:val="ListBullet2"/>
        <w:spacing w:after="80" w:line="276" w:lineRule="auto"/>
      </w:pPr>
      <w:r>
        <w:rPr>
          <w:rFonts w:ascii="Cambria" w:hAnsi="Cambria"/>
          <w:b w:val="0"/>
          <w:i w:val="0"/>
          <w:sz w:val="22"/>
        </w:rPr>
        <w:t>Access to a talent pool that is industry-ready, skilled, and adaptable.</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Skilling and VAC/CC is the custodian of skill-based learning and employability readiness because this role ensures that education goes beyond academic knowledge, equipping students with industry-recognized skills, certifications, and career readiness programs that make them globally competitive professionals.</w:t>
      </w:r>
    </w:p>
    <w:p>
      <w:r>
        <w:br w:type="page"/>
      </w:r>
    </w:p>
    <w:p>
      <w:pPr>
        <w:pStyle w:val="Heading1"/>
      </w:pPr>
      <w:r>
        <w:rPr>
          <w:rFonts w:ascii="Cambria" w:hAnsi="Cambria"/>
          <w:b/>
          <w:color w:val="1F3A5F"/>
          <w:sz w:val="36"/>
        </w:rPr>
        <w:t>18. Associate Dean – Time Tables and Monitoring of Teaching</w:t>
      </w:r>
    </w:p>
    <w:p>
      <w:pPr>
        <w:spacing w:after="160" w:line="276" w:lineRule="auto"/>
        <w:jc w:val="both"/>
      </w:pPr>
      <w:r>
        <w:rPr>
          <w:rFonts w:ascii="Cambria" w:hAnsi="Cambria"/>
          <w:b w:val="0"/>
          <w:i w:val="0"/>
          <w:sz w:val="22"/>
        </w:rPr>
        <w:t>An Associate Dean for Time Tables and Monitoring of Teaching is a senior academic leader entrusted with maintaining the discipline, structure, and quality of teaching–learning processes within a university or college. This role involves the careful design, implementation, and monitoring of academic schedules, ensuring that courses are conducted systematically, faculty workloads are balanced, and students experience a seamless academic journey. By overseeing both the strategic and operational aspects of course scheduling, the Associate Dean plays a vital role in maintaining the institutional rhythm of academic delivery, which is essential for upholding teaching quality and student satisfaction.</w:t>
      </w:r>
    </w:p>
    <w:p>
      <w:pPr>
        <w:spacing w:after="160" w:line="276" w:lineRule="auto"/>
        <w:jc w:val="both"/>
      </w:pPr>
      <w:r>
        <w:rPr>
          <w:rFonts w:ascii="Cambria" w:hAnsi="Cambria"/>
          <w:b w:val="0"/>
          <w:i w:val="0"/>
          <w:sz w:val="22"/>
        </w:rPr>
        <w:t>At the heart of this position is the responsibility for time table preparation, which includes planning semester schedules, allocating courses to faculty members, assigning classrooms and laboratories, and coordinating across departments to avoid clashes or overlaps. This requires a combination of strategic foresight and operational precision, as the time table forms the backbone of all teaching and assessment activities. Beyond scheduling, the Associate Dean ensures that teaching is conducted regularly, punctually, and effectively. This involves monitoring syllabus coverage, reviewing teaching methods, collecting feedback from students, and implementing corrective measures when gaps or delays are identified.</w:t>
      </w:r>
    </w:p>
    <w:p>
      <w:pPr>
        <w:spacing w:after="160" w:line="276" w:lineRule="auto"/>
        <w:jc w:val="both"/>
      </w:pPr>
      <w:r>
        <w:rPr>
          <w:rFonts w:ascii="Cambria" w:hAnsi="Cambria"/>
          <w:b w:val="0"/>
          <w:i w:val="0"/>
          <w:sz w:val="22"/>
        </w:rPr>
        <w:t>The role also extends to faculty support and pedagogical enhancement. By guiding faculty in lesson planning, encouraging innovative teaching practices such as blended learning, flipped classrooms, and project-based learning, and ensuring alignment with Outcome-Based Education (OBE) principles, the Associate Dean strengthens the overall quality of teaching delivery. Regular teaching audits, peer reviews, and faculty development workshops are often coordinated under this office to build a culture of accountability and continuous improvement.</w:t>
      </w:r>
    </w:p>
    <w:p>
      <w:pPr>
        <w:spacing w:after="160" w:line="276" w:lineRule="auto"/>
        <w:jc w:val="both"/>
      </w:pPr>
      <w:r>
        <w:rPr>
          <w:rFonts w:ascii="Cambria" w:hAnsi="Cambria"/>
          <w:b w:val="0"/>
          <w:i w:val="0"/>
          <w:sz w:val="22"/>
        </w:rPr>
        <w:t>In addition, the Associate Dean for Time Tables and Monitoring of Teaching collaborates closely with department chairs, examination controllers, and quality assurance units to ensure that academic calendars, evaluation processes, and teaching outcomes are aligned. This coordination supports compliance with national accreditation standards (NBA, NAAC) and provides essential data for rankings such as NIRF and QS I-GAUGE.</w:t>
      </w:r>
    </w:p>
    <w:p>
      <w:pPr>
        <w:spacing w:after="160" w:line="276" w:lineRule="auto"/>
        <w:jc w:val="both"/>
      </w:pPr>
      <w:r>
        <w:rPr>
          <w:rFonts w:ascii="Cambria" w:hAnsi="Cambria"/>
          <w:b w:val="0"/>
          <w:i w:val="0"/>
          <w:sz w:val="22"/>
        </w:rPr>
        <w:t>Ultimately, this position serves as the custodian of academic discipline and teaching quality, ensuring that the University delivers education in a manner that is timely, structured, and outcome-oriented. By combining strategic planning, continuous monitoring, and faculty support, the Associate Dean ensures that students receive a consistent, high-quality learning experience, while the institution strengthens its reputation for academic rigor and excellence.</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Functions as the custodian of academic scheduling, classroom utilization, and teaching quality monitoring.</w:t>
      </w:r>
    </w:p>
    <w:p>
      <w:pPr>
        <w:pStyle w:val="ListBullet"/>
        <w:spacing w:after="80" w:line="276" w:lineRule="auto"/>
      </w:pPr>
      <w:r>
        <w:rPr>
          <w:rFonts w:ascii="Cambria" w:hAnsi="Cambria"/>
          <w:b w:val="0"/>
          <w:i w:val="0"/>
          <w:sz w:val="22"/>
        </w:rPr>
        <w:t xml:space="preserve">Ensures that teaching </w:t>
      </w:r>
      <w:r>
        <w:rPr>
          <w:rFonts w:ascii="Cambria" w:hAnsi="Cambria"/>
          <w:b w:val="0"/>
          <w:i w:val="0"/>
          <w:sz w:val="22"/>
        </w:rPr>
        <w:t>–learning processes are well-planned, timely, effective, and outcome-oriented.</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Time Table Preparation and Management</w:t>
      </w:r>
    </w:p>
    <w:p>
      <w:pPr>
        <w:pStyle w:val="ListBullet"/>
        <w:spacing w:after="80" w:line="276" w:lineRule="auto"/>
      </w:pPr>
      <w:r>
        <w:rPr>
          <w:rFonts w:ascii="Cambria" w:hAnsi="Cambria"/>
          <w:b w:val="0"/>
          <w:i w:val="0"/>
          <w:sz w:val="22"/>
        </w:rPr>
        <w:t>Course Scheduling:</w:t>
      </w:r>
    </w:p>
    <w:p>
      <w:pPr>
        <w:pStyle w:val="ListBullet2"/>
        <w:spacing w:after="80" w:line="276" w:lineRule="auto"/>
      </w:pPr>
      <w:r>
        <w:rPr>
          <w:rFonts w:ascii="Cambria" w:hAnsi="Cambria"/>
          <w:b w:val="0"/>
          <w:i w:val="0"/>
          <w:sz w:val="22"/>
        </w:rPr>
        <w:t>Prepares and circulates the semester-wise academic time table for all UG, PG, and PhD programs.</w:t>
      </w:r>
    </w:p>
    <w:p>
      <w:pPr>
        <w:pStyle w:val="ListBullet"/>
        <w:spacing w:after="80" w:line="276" w:lineRule="auto"/>
      </w:pPr>
      <w:r>
        <w:rPr>
          <w:rFonts w:ascii="Cambria" w:hAnsi="Cambria"/>
          <w:b w:val="0"/>
          <w:i w:val="0"/>
          <w:sz w:val="22"/>
        </w:rPr>
        <w:t>Faculty and Resource Allocation:</w:t>
      </w:r>
    </w:p>
    <w:p>
      <w:pPr>
        <w:pStyle w:val="ListBullet2"/>
        <w:spacing w:after="80" w:line="276" w:lineRule="auto"/>
      </w:pPr>
      <w:r>
        <w:rPr>
          <w:rFonts w:ascii="Cambria" w:hAnsi="Cambria"/>
          <w:b w:val="0"/>
          <w:i w:val="0"/>
          <w:sz w:val="22"/>
        </w:rPr>
        <w:t>Allocates teaching slots to faculty, ensuring balanced workloads and avoidance of overlaps.</w:t>
      </w:r>
    </w:p>
    <w:p>
      <w:pPr>
        <w:pStyle w:val="ListBullet2"/>
        <w:spacing w:after="80" w:line="276" w:lineRule="auto"/>
      </w:pPr>
      <w:r>
        <w:rPr>
          <w:rFonts w:ascii="Cambria" w:hAnsi="Cambria"/>
          <w:b w:val="0"/>
          <w:i w:val="0"/>
          <w:sz w:val="22"/>
        </w:rPr>
        <w:t>Optimizes the use of classrooms, labs, and teaching resources.</w:t>
      </w:r>
    </w:p>
    <w:p>
      <w:pPr>
        <w:pStyle w:val="ListBullet"/>
        <w:spacing w:after="80" w:line="276" w:lineRule="auto"/>
      </w:pPr>
      <w:r>
        <w:rPr>
          <w:rFonts w:ascii="Cambria" w:hAnsi="Cambria"/>
          <w:b w:val="0"/>
          <w:i w:val="0"/>
          <w:sz w:val="22"/>
        </w:rPr>
        <w:t>Flexibility and Transparency:</w:t>
      </w:r>
    </w:p>
    <w:p>
      <w:pPr>
        <w:pStyle w:val="ListBullet2"/>
        <w:spacing w:after="80" w:line="276" w:lineRule="auto"/>
      </w:pPr>
      <w:r>
        <w:rPr>
          <w:rFonts w:ascii="Cambria" w:hAnsi="Cambria"/>
          <w:b w:val="0"/>
          <w:i w:val="0"/>
          <w:sz w:val="22"/>
        </w:rPr>
        <w:t>Manages adjustments for electives, cross-listed courses, and multidisciplinary classes.</w:t>
      </w:r>
    </w:p>
    <w:p>
      <w:pPr>
        <w:pStyle w:val="ListBullet2"/>
        <w:spacing w:after="80" w:line="276" w:lineRule="auto"/>
      </w:pPr>
      <w:r>
        <w:rPr>
          <w:rFonts w:ascii="Cambria" w:hAnsi="Cambria"/>
          <w:b w:val="0"/>
          <w:i w:val="0"/>
          <w:sz w:val="22"/>
        </w:rPr>
        <w:t>Publishes schedules in advance to ensure clarity for students and faculty.</w:t>
      </w:r>
    </w:p>
    <w:p>
      <w:pPr>
        <w:spacing w:after="80" w:line="276" w:lineRule="auto"/>
      </w:pPr>
      <w:r>
        <w:rPr>
          <w:rFonts w:ascii="Cambria" w:hAnsi="Cambria"/>
          <w:b/>
          <w:i w:val="0"/>
          <w:sz w:val="22"/>
        </w:rPr>
        <w:t>B. Monitoring of Teaching</w:t>
      </w:r>
    </w:p>
    <w:p>
      <w:pPr>
        <w:pStyle w:val="ListBullet"/>
        <w:spacing w:after="80" w:line="276" w:lineRule="auto"/>
      </w:pPr>
      <w:r>
        <w:rPr>
          <w:rFonts w:ascii="Cambria" w:hAnsi="Cambria"/>
          <w:b w:val="0"/>
          <w:i w:val="0"/>
          <w:sz w:val="22"/>
        </w:rPr>
        <w:t>Classroom Monitoring:</w:t>
      </w:r>
    </w:p>
    <w:p>
      <w:pPr>
        <w:pStyle w:val="ListBullet2"/>
        <w:spacing w:after="80" w:line="276" w:lineRule="auto"/>
      </w:pPr>
      <w:r>
        <w:rPr>
          <w:rFonts w:ascii="Cambria" w:hAnsi="Cambria"/>
          <w:b w:val="0"/>
          <w:i w:val="0"/>
          <w:sz w:val="22"/>
        </w:rPr>
        <w:t>Ensures that classes are conducted regularly, punctually, and effectively by all faculty.</w:t>
      </w:r>
    </w:p>
    <w:p>
      <w:pPr>
        <w:pStyle w:val="ListBullet"/>
        <w:spacing w:after="80" w:line="276" w:lineRule="auto"/>
      </w:pPr>
      <w:r>
        <w:rPr>
          <w:rFonts w:ascii="Cambria" w:hAnsi="Cambria"/>
          <w:b w:val="0"/>
          <w:i w:val="0"/>
          <w:sz w:val="22"/>
        </w:rPr>
        <w:t>Attendance and Delivery:</w:t>
      </w:r>
    </w:p>
    <w:p>
      <w:pPr>
        <w:pStyle w:val="ListBullet2"/>
        <w:spacing w:after="80" w:line="276" w:lineRule="auto"/>
      </w:pPr>
      <w:r>
        <w:rPr>
          <w:rFonts w:ascii="Cambria" w:hAnsi="Cambria"/>
          <w:b w:val="0"/>
          <w:i w:val="0"/>
          <w:sz w:val="22"/>
        </w:rPr>
        <w:t>Tracks faculty attendance and monitors syllabus coverage against academic calendars.</w:t>
      </w:r>
    </w:p>
    <w:p>
      <w:pPr>
        <w:pStyle w:val="ListBullet"/>
        <w:spacing w:after="80" w:line="276" w:lineRule="auto"/>
      </w:pPr>
      <w:r>
        <w:rPr>
          <w:rFonts w:ascii="Cambria" w:hAnsi="Cambria"/>
          <w:b w:val="0"/>
          <w:i w:val="0"/>
          <w:sz w:val="22"/>
        </w:rPr>
        <w:t>Teaching Quality:</w:t>
      </w:r>
    </w:p>
    <w:p>
      <w:pPr>
        <w:pStyle w:val="ListBullet2"/>
        <w:spacing w:after="80" w:line="276" w:lineRule="auto"/>
      </w:pPr>
      <w:r>
        <w:rPr>
          <w:rFonts w:ascii="Cambria" w:hAnsi="Cambria"/>
          <w:b w:val="0"/>
          <w:i w:val="0"/>
          <w:sz w:val="22"/>
        </w:rPr>
        <w:t>Collects student feedback on teaching and coordinates corrective actions where needed.</w:t>
      </w:r>
    </w:p>
    <w:p>
      <w:pPr>
        <w:pStyle w:val="ListBullet2"/>
        <w:spacing w:after="80" w:line="276" w:lineRule="auto"/>
      </w:pPr>
      <w:r>
        <w:rPr>
          <w:rFonts w:ascii="Cambria" w:hAnsi="Cambria"/>
          <w:b w:val="0"/>
          <w:i w:val="0"/>
          <w:sz w:val="22"/>
        </w:rPr>
        <w:t>Conducts periodic teaching audits and peer reviews.</w:t>
      </w:r>
    </w:p>
    <w:p>
      <w:pPr>
        <w:spacing w:after="80" w:line="276" w:lineRule="auto"/>
      </w:pPr>
      <w:r>
        <w:rPr>
          <w:rFonts w:ascii="Cambria" w:hAnsi="Cambria"/>
          <w:b/>
          <w:i w:val="0"/>
          <w:sz w:val="22"/>
        </w:rPr>
        <w:t>C. Teaching-Learning Enhancement</w:t>
      </w:r>
    </w:p>
    <w:p>
      <w:pPr>
        <w:pStyle w:val="ListBullet"/>
        <w:spacing w:after="80" w:line="276" w:lineRule="auto"/>
      </w:pPr>
      <w:r>
        <w:rPr>
          <w:rFonts w:ascii="Cambria" w:hAnsi="Cambria"/>
          <w:b w:val="0"/>
          <w:i w:val="0"/>
          <w:sz w:val="22"/>
        </w:rPr>
        <w:t>Faculty Support:</w:t>
      </w:r>
    </w:p>
    <w:p>
      <w:pPr>
        <w:pStyle w:val="ListBullet2"/>
        <w:spacing w:after="80" w:line="276" w:lineRule="auto"/>
      </w:pPr>
      <w:r>
        <w:rPr>
          <w:rFonts w:ascii="Cambria" w:hAnsi="Cambria"/>
          <w:b w:val="0"/>
          <w:i w:val="0"/>
          <w:sz w:val="22"/>
        </w:rPr>
        <w:t>Guides faculty in lesson planning, innovative pedagogy, and teaching methods.</w:t>
      </w:r>
    </w:p>
    <w:p>
      <w:pPr>
        <w:pStyle w:val="ListBullet"/>
        <w:spacing w:after="80" w:line="276" w:lineRule="auto"/>
      </w:pPr>
      <w:r>
        <w:rPr>
          <w:rFonts w:ascii="Cambria" w:hAnsi="Cambria"/>
          <w:b w:val="0"/>
          <w:i w:val="0"/>
          <w:sz w:val="22"/>
        </w:rPr>
        <w:t>Innovative Approaches:</w:t>
      </w:r>
    </w:p>
    <w:p>
      <w:pPr>
        <w:pStyle w:val="ListBullet2"/>
        <w:spacing w:after="80" w:line="276" w:lineRule="auto"/>
      </w:pPr>
      <w:r>
        <w:rPr>
          <w:rFonts w:ascii="Cambria" w:hAnsi="Cambria"/>
          <w:b w:val="0"/>
          <w:i w:val="0"/>
          <w:sz w:val="22"/>
        </w:rPr>
        <w:t>Encourages use of blended learning, digital platforms, flipped classrooms, and active learning strategies.</w:t>
      </w:r>
    </w:p>
    <w:p>
      <w:pPr>
        <w:pStyle w:val="ListBullet"/>
        <w:spacing w:after="80" w:line="276" w:lineRule="auto"/>
      </w:pPr>
      <w:r>
        <w:rPr>
          <w:rFonts w:ascii="Cambria" w:hAnsi="Cambria"/>
          <w:b w:val="0"/>
          <w:i w:val="0"/>
          <w:sz w:val="22"/>
        </w:rPr>
        <w:t>Continuous Improvement:</w:t>
      </w:r>
    </w:p>
    <w:p>
      <w:pPr>
        <w:pStyle w:val="ListBullet2"/>
        <w:spacing w:after="80" w:line="276" w:lineRule="auto"/>
      </w:pPr>
      <w:r>
        <w:rPr>
          <w:rFonts w:ascii="Cambria" w:hAnsi="Cambria"/>
          <w:b w:val="0"/>
          <w:i w:val="0"/>
          <w:sz w:val="22"/>
        </w:rPr>
        <w:t xml:space="preserve">Works closely with the Associate Dean </w:t>
      </w:r>
      <w:r>
        <w:rPr>
          <w:rFonts w:ascii="Cambria" w:hAnsi="Cambria"/>
          <w:b w:val="0"/>
          <w:i w:val="0"/>
          <w:sz w:val="22"/>
        </w:rPr>
        <w:t>– OBE Implementation to ensure teaching is linked to learning outcomes.</w:t>
      </w:r>
    </w:p>
    <w:p>
      <w:pPr>
        <w:spacing w:after="80" w:line="276" w:lineRule="auto"/>
      </w:pPr>
      <w:r>
        <w:rPr>
          <w:rFonts w:ascii="Cambria" w:hAnsi="Cambria"/>
          <w:b/>
          <w:i w:val="0"/>
          <w:sz w:val="22"/>
        </w:rPr>
        <w:t>D. Coordination and Compliance</w:t>
      </w:r>
    </w:p>
    <w:p>
      <w:pPr>
        <w:pStyle w:val="ListBullet"/>
        <w:spacing w:after="80" w:line="276" w:lineRule="auto"/>
      </w:pPr>
      <w:r>
        <w:rPr>
          <w:rFonts w:ascii="Cambria" w:hAnsi="Cambria"/>
          <w:b w:val="0"/>
          <w:i w:val="0"/>
          <w:sz w:val="22"/>
        </w:rPr>
        <w:t>Coordinates with:</w:t>
      </w:r>
    </w:p>
    <w:p>
      <w:pPr>
        <w:pStyle w:val="ListBullet2"/>
        <w:spacing w:after="80" w:line="276" w:lineRule="auto"/>
      </w:pPr>
      <w:r>
        <w:rPr>
          <w:rFonts w:ascii="Cambria" w:hAnsi="Cambria"/>
          <w:b w:val="0"/>
          <w:i w:val="0"/>
          <w:sz w:val="22"/>
        </w:rPr>
        <w:t>Heads of Departments for department-level scheduling and workload distribution.</w:t>
      </w:r>
    </w:p>
    <w:p>
      <w:pPr>
        <w:pStyle w:val="ListBullet2"/>
        <w:spacing w:after="80" w:line="276" w:lineRule="auto"/>
      </w:pPr>
      <w:r>
        <w:rPr>
          <w:rFonts w:ascii="Cambria" w:hAnsi="Cambria"/>
          <w:b w:val="0"/>
          <w:i w:val="0"/>
          <w:sz w:val="22"/>
        </w:rPr>
        <w:t>Registrar/Examination Branch to align time tables with exam calendars.</w:t>
      </w:r>
    </w:p>
    <w:p>
      <w:pPr>
        <w:pStyle w:val="ListBullet2"/>
        <w:spacing w:after="80" w:line="276" w:lineRule="auto"/>
      </w:pPr>
      <w:r>
        <w:rPr>
          <w:rFonts w:ascii="Cambria" w:hAnsi="Cambria"/>
          <w:b w:val="0"/>
          <w:i w:val="0"/>
          <w:sz w:val="22"/>
        </w:rPr>
        <w:t>IQAC for teaching quality audits and accreditation reporting.</w:t>
      </w:r>
    </w:p>
    <w:p>
      <w:pPr>
        <w:pStyle w:val="ListBullet"/>
        <w:spacing w:after="80" w:line="276" w:lineRule="auto"/>
      </w:pPr>
      <w:r>
        <w:rPr>
          <w:rFonts w:ascii="Cambria" w:hAnsi="Cambria"/>
          <w:b w:val="0"/>
          <w:i w:val="0"/>
          <w:sz w:val="22"/>
        </w:rPr>
        <w:t>Ensures adherence to academic rules and workload norms prescribed by UGC/AICTE.</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Provides a well-structured academic environment with timely classes and effective teaching.</w:t>
      </w:r>
    </w:p>
    <w:p>
      <w:pPr>
        <w:pStyle w:val="ListBullet2"/>
        <w:spacing w:after="80" w:line="276" w:lineRule="auto"/>
      </w:pPr>
      <w:r>
        <w:rPr>
          <w:rFonts w:ascii="Cambria" w:hAnsi="Cambria"/>
          <w:b w:val="0"/>
          <w:i w:val="0"/>
          <w:sz w:val="22"/>
        </w:rPr>
        <w:t>Improves learning experience through quality monitoring and feedback mechanisms.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Ensures clarity in teaching schedules and academic responsibilities.</w:t>
      </w:r>
    </w:p>
    <w:p>
      <w:pPr>
        <w:pStyle w:val="ListBullet2"/>
        <w:spacing w:after="80" w:line="276" w:lineRule="auto"/>
      </w:pPr>
      <w:r>
        <w:rPr>
          <w:rFonts w:ascii="Cambria" w:hAnsi="Cambria"/>
          <w:b w:val="0"/>
          <w:i w:val="0"/>
          <w:sz w:val="22"/>
        </w:rPr>
        <w:t>Reduces conflicts in workloads and supports professional development.</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 xml:space="preserve">Strengthens evidence for NAAC/NBA accreditation (Criterion II: Teaching </w:t>
      </w:r>
      <w:r>
        <w:rPr>
          <w:rFonts w:ascii="Cambria" w:hAnsi="Cambria"/>
          <w:b w:val="0"/>
          <w:i w:val="0"/>
          <w:sz w:val="22"/>
        </w:rPr>
        <w:t>– Learning and Evaluation).</w:t>
      </w:r>
    </w:p>
    <w:p>
      <w:pPr>
        <w:pStyle w:val="ListBullet2"/>
        <w:spacing w:after="80" w:line="276" w:lineRule="auto"/>
      </w:pPr>
      <w:r>
        <w:rPr>
          <w:rFonts w:ascii="Cambria" w:hAnsi="Cambria"/>
          <w:b w:val="0"/>
          <w:i w:val="0"/>
          <w:sz w:val="22"/>
        </w:rPr>
        <w:t>Improves academic efficiency, resource utilization, and reputation.</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Ensures zero disruption in teaching schedules.</w:t>
      </w:r>
    </w:p>
    <w:p>
      <w:pPr>
        <w:pStyle w:val="ListBullet"/>
        <w:spacing w:after="80" w:line="276" w:lineRule="auto"/>
      </w:pPr>
      <w:r>
        <w:rPr>
          <w:rFonts w:ascii="Cambria" w:hAnsi="Cambria"/>
          <w:b w:val="0"/>
          <w:i w:val="0"/>
          <w:sz w:val="22"/>
        </w:rPr>
        <w:t>Builds a culture of teaching accountability and innovation.</w:t>
      </w:r>
    </w:p>
    <w:p>
      <w:pPr>
        <w:pStyle w:val="ListBullet"/>
        <w:spacing w:after="80" w:line="276" w:lineRule="auto"/>
      </w:pPr>
      <w:r>
        <w:rPr>
          <w:rFonts w:ascii="Cambria" w:hAnsi="Cambria"/>
          <w:b w:val="0"/>
          <w:i w:val="0"/>
          <w:sz w:val="22"/>
        </w:rPr>
        <w:t>Provides reliable data for teaching audits, student satisfaction, and accreditation reports.</w:t>
      </w:r>
    </w:p>
    <w:p>
      <w:pPr>
        <w:pStyle w:val="ListBullet"/>
        <w:spacing w:after="80" w:line="276" w:lineRule="auto"/>
      </w:pPr>
      <w:r>
        <w:rPr>
          <w:rFonts w:ascii="Cambria" w:hAnsi="Cambria"/>
          <w:b w:val="0"/>
          <w:i w:val="0"/>
          <w:sz w:val="22"/>
        </w:rPr>
        <w:t>Positions the University as an institution committed to academic discipline and quality teaching.</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Time Tables and Monitoring of Teaching is the custodian of academic discipline and teaching quality. By managing time tables effectively and ensuring continuous monitoring of teaching, this role guarantees that the delivery of curriculum is timely, transparent, and outcome-driven.</w:t>
      </w:r>
    </w:p>
    <w:p>
      <w:r>
        <w:br w:type="page"/>
      </w:r>
    </w:p>
    <w:p>
      <w:pPr>
        <w:pStyle w:val="Heading1"/>
      </w:pPr>
      <w:r>
        <w:rPr>
          <w:rFonts w:ascii="Cambria" w:hAnsi="Cambria"/>
          <w:b/>
          <w:color w:val="1F3A5F"/>
          <w:sz w:val="36"/>
        </w:rPr>
        <w:t>19. Associate Dean – Time Tables and Monitoring of Teaching: Custodian of Academic Discipline and Teaching Quality</w:t>
      </w:r>
    </w:p>
    <w:p>
      <w:pPr>
        <w:pStyle w:val="Heading3"/>
      </w:pPr>
      <w:r>
        <w:rPr>
          <w:rFonts w:ascii="Cambria" w:hAnsi="Cambria"/>
          <w:b/>
          <w:color w:val="1F3A5F"/>
          <w:sz w:val="26"/>
        </w:rPr>
        <w:t>1. Custodian of Academic Discipline</w:t>
      </w:r>
    </w:p>
    <w:p>
      <w:pPr>
        <w:spacing w:after="80" w:line="276" w:lineRule="auto"/>
      </w:pPr>
      <w:r>
        <w:rPr>
          <w:rFonts w:ascii="Cambria" w:hAnsi="Cambria"/>
          <w:b/>
          <w:i w:val="0"/>
          <w:sz w:val="22"/>
        </w:rPr>
        <w:t>Structured Academic Flow:</w:t>
      </w:r>
    </w:p>
    <w:p>
      <w:pPr>
        <w:pStyle w:val="ListBullet"/>
        <w:spacing w:after="80" w:line="276" w:lineRule="auto"/>
      </w:pPr>
      <w:r>
        <w:rPr>
          <w:rFonts w:ascii="Cambria" w:hAnsi="Cambria"/>
          <w:b w:val="0"/>
          <w:i w:val="0"/>
          <w:sz w:val="22"/>
        </w:rPr>
        <w:t>Ensures that semester time tables are prepared in a systematic, transparent, and conflict-free manner.</w:t>
      </w:r>
    </w:p>
    <w:p>
      <w:pPr>
        <w:pStyle w:val="ListBullet"/>
        <w:spacing w:after="80" w:line="276" w:lineRule="auto"/>
      </w:pPr>
      <w:r>
        <w:rPr>
          <w:rFonts w:ascii="Cambria" w:hAnsi="Cambria"/>
          <w:b w:val="0"/>
          <w:i w:val="0"/>
          <w:sz w:val="22"/>
        </w:rPr>
        <w:t>Prevents overlapping of courses, uneven workloads, and classroom resource clashes.</w:t>
      </w:r>
    </w:p>
    <w:p>
      <w:pPr>
        <w:spacing w:after="80" w:line="276" w:lineRule="auto"/>
      </w:pPr>
      <w:r>
        <w:rPr>
          <w:rFonts w:ascii="Cambria" w:hAnsi="Cambria"/>
          <w:b/>
          <w:i w:val="0"/>
          <w:sz w:val="22"/>
        </w:rPr>
        <w:t>Punctuality and Regularity:</w:t>
      </w:r>
    </w:p>
    <w:p>
      <w:pPr>
        <w:pStyle w:val="ListBullet"/>
        <w:spacing w:after="80" w:line="276" w:lineRule="auto"/>
      </w:pPr>
      <w:r>
        <w:rPr>
          <w:rFonts w:ascii="Cambria" w:hAnsi="Cambria"/>
          <w:b w:val="0"/>
          <w:i w:val="0"/>
          <w:sz w:val="22"/>
        </w:rPr>
        <w:t>Monitors whether faculty adhere to the academic calendar, teaching hours, and scheduled slots.</w:t>
      </w:r>
    </w:p>
    <w:p>
      <w:pPr>
        <w:pStyle w:val="ListBullet"/>
        <w:spacing w:after="80" w:line="276" w:lineRule="auto"/>
      </w:pPr>
      <w:r>
        <w:rPr>
          <w:rFonts w:ascii="Cambria" w:hAnsi="Cambria"/>
          <w:b w:val="0"/>
          <w:i w:val="0"/>
          <w:sz w:val="22"/>
        </w:rPr>
        <w:t>Enforces academic discipline by reducing delays, substitutions, and class cancellations.</w:t>
      </w:r>
    </w:p>
    <w:p>
      <w:pPr>
        <w:spacing w:after="80" w:line="276" w:lineRule="auto"/>
      </w:pPr>
      <w:r>
        <w:rPr>
          <w:rFonts w:ascii="Cambria" w:hAnsi="Cambria"/>
          <w:b/>
          <w:i w:val="0"/>
          <w:sz w:val="22"/>
        </w:rPr>
        <w:t>Institutional Rhythm:</w:t>
      </w:r>
    </w:p>
    <w:p>
      <w:pPr>
        <w:pStyle w:val="ListBullet"/>
        <w:spacing w:after="80" w:line="276" w:lineRule="auto"/>
      </w:pPr>
      <w:r>
        <w:rPr>
          <w:rFonts w:ascii="Cambria" w:hAnsi="Cambria"/>
          <w:b w:val="0"/>
          <w:i w:val="0"/>
          <w:sz w:val="22"/>
        </w:rPr>
        <w:t>Maintains a predictable, consistent schedule for students and faculty, strengthening academic culture.</w:t>
      </w:r>
    </w:p>
    <w:p>
      <w:pPr>
        <w:pStyle w:val="Heading3"/>
      </w:pPr>
      <w:r>
        <w:rPr>
          <w:rFonts w:ascii="Cambria" w:hAnsi="Cambria"/>
          <w:b/>
          <w:color w:val="1F3A5F"/>
          <w:sz w:val="26"/>
        </w:rPr>
        <w:t>2. Custodian of Teaching Quality</w:t>
      </w:r>
    </w:p>
    <w:p>
      <w:pPr>
        <w:spacing w:after="80" w:line="276" w:lineRule="auto"/>
      </w:pPr>
      <w:r>
        <w:rPr>
          <w:rFonts w:ascii="Cambria" w:hAnsi="Cambria"/>
          <w:b/>
          <w:i w:val="0"/>
          <w:sz w:val="22"/>
        </w:rPr>
        <w:t>Monitoring of Delivery:</w:t>
      </w:r>
    </w:p>
    <w:p>
      <w:pPr>
        <w:pStyle w:val="ListBullet"/>
        <w:spacing w:after="80" w:line="276" w:lineRule="auto"/>
      </w:pPr>
      <w:r>
        <w:rPr>
          <w:rFonts w:ascii="Cambria" w:hAnsi="Cambria"/>
          <w:b w:val="0"/>
          <w:i w:val="0"/>
          <w:sz w:val="22"/>
        </w:rPr>
        <w:t>Tracks syllabus coverage, teaching pace, and alignment of lectures with course outcomes (COs).</w:t>
      </w:r>
    </w:p>
    <w:p>
      <w:pPr>
        <w:pStyle w:val="ListBullet"/>
        <w:spacing w:after="80" w:line="276" w:lineRule="auto"/>
      </w:pPr>
      <w:r>
        <w:rPr>
          <w:rFonts w:ascii="Cambria" w:hAnsi="Cambria"/>
          <w:b w:val="0"/>
          <w:i w:val="0"/>
          <w:sz w:val="22"/>
        </w:rPr>
        <w:t>Ensures every class contributes effectively toward Outcome-Based Education (OBE) goals.</w:t>
      </w:r>
    </w:p>
    <w:p>
      <w:pPr>
        <w:spacing w:after="80" w:line="276" w:lineRule="auto"/>
      </w:pPr>
      <w:r>
        <w:rPr>
          <w:rFonts w:ascii="Cambria" w:hAnsi="Cambria"/>
          <w:b/>
          <w:i w:val="0"/>
          <w:sz w:val="22"/>
        </w:rPr>
        <w:t>Feedback Integration:</w:t>
      </w:r>
    </w:p>
    <w:p>
      <w:pPr>
        <w:pStyle w:val="ListBullet"/>
        <w:spacing w:after="80" w:line="276" w:lineRule="auto"/>
      </w:pPr>
      <w:r>
        <w:rPr>
          <w:rFonts w:ascii="Cambria" w:hAnsi="Cambria"/>
          <w:b w:val="0"/>
          <w:i w:val="0"/>
          <w:sz w:val="22"/>
        </w:rPr>
        <w:t>Collects student and peer feedback on teaching effectiveness.</w:t>
      </w:r>
    </w:p>
    <w:p>
      <w:pPr>
        <w:pStyle w:val="ListBullet"/>
        <w:spacing w:after="80" w:line="276" w:lineRule="auto"/>
      </w:pPr>
      <w:r>
        <w:rPr>
          <w:rFonts w:ascii="Cambria" w:hAnsi="Cambria"/>
          <w:b w:val="0"/>
          <w:i w:val="0"/>
          <w:sz w:val="22"/>
        </w:rPr>
        <w:t>Works with faculty to implement corrective actions for continuous improvement.</w:t>
      </w:r>
    </w:p>
    <w:p>
      <w:pPr>
        <w:spacing w:after="80" w:line="276" w:lineRule="auto"/>
      </w:pPr>
      <w:r>
        <w:rPr>
          <w:rFonts w:ascii="Cambria" w:hAnsi="Cambria"/>
          <w:b/>
          <w:i w:val="0"/>
          <w:sz w:val="22"/>
        </w:rPr>
        <w:t>Teaching Audits:</w:t>
      </w:r>
    </w:p>
    <w:p>
      <w:pPr>
        <w:pStyle w:val="ListBullet"/>
        <w:spacing w:after="80" w:line="276" w:lineRule="auto"/>
      </w:pPr>
      <w:r>
        <w:rPr>
          <w:rFonts w:ascii="Cambria" w:hAnsi="Cambria"/>
          <w:b w:val="0"/>
          <w:i w:val="0"/>
          <w:sz w:val="22"/>
        </w:rPr>
        <w:t>Conducts teaching audits, peer reviews, and classroom observations.</w:t>
      </w:r>
    </w:p>
    <w:p>
      <w:pPr>
        <w:pStyle w:val="ListBullet"/>
        <w:spacing w:after="80" w:line="276" w:lineRule="auto"/>
      </w:pPr>
      <w:r>
        <w:rPr>
          <w:rFonts w:ascii="Cambria" w:hAnsi="Cambria"/>
          <w:b w:val="0"/>
          <w:i w:val="0"/>
          <w:sz w:val="22"/>
        </w:rPr>
        <w:t>Promotes accountability by linking teaching quality with academic evaluation metrics.</w:t>
      </w:r>
    </w:p>
    <w:p>
      <w:pPr>
        <w:pStyle w:val="Heading3"/>
      </w:pPr>
      <w:r>
        <w:rPr>
          <w:rFonts w:ascii="Cambria" w:hAnsi="Cambria"/>
          <w:b/>
          <w:color w:val="1F3A5F"/>
          <w:sz w:val="26"/>
        </w:rPr>
        <w:t>3. Custodian of Innovation in Teaching</w:t>
      </w:r>
    </w:p>
    <w:p>
      <w:pPr>
        <w:pStyle w:val="ListBullet"/>
        <w:spacing w:after="80" w:line="276" w:lineRule="auto"/>
      </w:pPr>
      <w:r>
        <w:rPr>
          <w:rFonts w:ascii="Cambria" w:hAnsi="Cambria"/>
          <w:b w:val="0"/>
          <w:i w:val="0"/>
          <w:sz w:val="22"/>
        </w:rPr>
        <w:t>Encourages faculty to adopt modern pedagogies such as blended learning, flipped classrooms, simulations, and project-based learning.</w:t>
      </w:r>
    </w:p>
    <w:p>
      <w:pPr>
        <w:pStyle w:val="ListBullet"/>
        <w:spacing w:after="80" w:line="276" w:lineRule="auto"/>
      </w:pPr>
      <w:r>
        <w:rPr>
          <w:rFonts w:ascii="Cambria" w:hAnsi="Cambria"/>
          <w:b w:val="0"/>
          <w:i w:val="0"/>
          <w:sz w:val="22"/>
        </w:rPr>
        <w:t>Facilitates the integration of ICT tools, MOOCs, and digital platforms into teaching.</w:t>
      </w:r>
    </w:p>
    <w:p>
      <w:pPr>
        <w:pStyle w:val="ListBullet"/>
        <w:spacing w:after="80" w:line="276" w:lineRule="auto"/>
      </w:pPr>
      <w:r>
        <w:rPr>
          <w:rFonts w:ascii="Cambria" w:hAnsi="Cambria"/>
          <w:b w:val="0"/>
          <w:i w:val="0"/>
          <w:sz w:val="22"/>
        </w:rPr>
        <w:t>Links innovative teaching practices with student engagement, satisfaction, and progression.</w:t>
      </w:r>
    </w:p>
    <w:p>
      <w:pPr>
        <w:pStyle w:val="Heading3"/>
      </w:pPr>
      <w:r>
        <w:rPr>
          <w:rFonts w:ascii="Cambria" w:hAnsi="Cambria"/>
          <w:b/>
          <w:color w:val="1F3A5F"/>
          <w:sz w:val="26"/>
        </w:rPr>
        <w:t>4. Strategic Role in Academic Ecosystem</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Provides a disciplined and reliable academic environment, ensuring every class hour contributes to learning outcomes.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Offers structured schedules, avoids conflicts, and supports professional development in pedagogy.</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 xml:space="preserve">Strengthens compliance with NAAC/NBA accreditation requirements under Teaching </w:t>
      </w:r>
      <w:r>
        <w:rPr>
          <w:rFonts w:ascii="Cambria" w:hAnsi="Cambria"/>
          <w:b w:val="0"/>
          <w:i w:val="0"/>
          <w:sz w:val="22"/>
        </w:rPr>
        <w:t>–Learning and Evaluation.</w:t>
      </w:r>
    </w:p>
    <w:p>
      <w:pPr>
        <w:pStyle w:val="ListBullet2"/>
        <w:spacing w:after="80" w:line="276" w:lineRule="auto"/>
      </w:pPr>
      <w:r>
        <w:rPr>
          <w:rFonts w:ascii="Cambria" w:hAnsi="Cambria"/>
          <w:b w:val="0"/>
          <w:i w:val="0"/>
          <w:sz w:val="22"/>
        </w:rPr>
        <w:t>Enhances institutional credibility by demonstrating teaching effectiveness and accountability.</w:t>
      </w:r>
    </w:p>
    <w:p>
      <w:pPr>
        <w:pStyle w:val="Heading3"/>
      </w:pPr>
      <w:r>
        <w:rPr>
          <w:rFonts w:ascii="Cambria" w:hAnsi="Cambria"/>
          <w:b/>
          <w:color w:val="1F3A5F"/>
          <w:sz w:val="26"/>
        </w:rPr>
        <w:t>5. Symbolic Role</w:t>
      </w:r>
    </w:p>
    <w:p>
      <w:pPr>
        <w:pStyle w:val="ListBullet"/>
        <w:spacing w:after="80" w:line="276" w:lineRule="auto"/>
      </w:pPr>
      <w:r>
        <w:rPr>
          <w:rFonts w:ascii="Cambria" w:hAnsi="Cambria"/>
          <w:b w:val="0"/>
          <w:i w:val="0"/>
          <w:sz w:val="22"/>
        </w:rPr>
        <w:t>Vice-Chancellor → sets academic vision.</w:t>
      </w:r>
    </w:p>
    <w:p>
      <w:pPr>
        <w:pStyle w:val="ListBullet"/>
        <w:spacing w:after="80" w:line="276" w:lineRule="auto"/>
      </w:pPr>
      <w:r>
        <w:rPr>
          <w:rFonts w:ascii="Cambria" w:hAnsi="Cambria"/>
          <w:b w:val="0"/>
          <w:i w:val="0"/>
          <w:sz w:val="22"/>
        </w:rPr>
        <w:t>Dean (Academics) → designs academic policies.</w:t>
      </w:r>
    </w:p>
    <w:p>
      <w:pPr>
        <w:pStyle w:val="ListBullet"/>
        <w:spacing w:after="80" w:line="276" w:lineRule="auto"/>
      </w:pPr>
      <w:r>
        <w:rPr>
          <w:rFonts w:ascii="Cambria" w:hAnsi="Cambria"/>
          <w:b w:val="0"/>
          <w:i w:val="0"/>
          <w:sz w:val="22"/>
        </w:rPr>
        <w:t xml:space="preserve">Associate Dean </w:t>
      </w:r>
      <w:r>
        <w:rPr>
          <w:rFonts w:ascii="Cambria" w:hAnsi="Cambria"/>
          <w:b w:val="0"/>
          <w:i w:val="0"/>
          <w:sz w:val="22"/>
        </w:rPr>
        <w:t>– Time Tables and Monitoring of Teaching → ensures those policies are executed on time and with quality, making this role the frontline guardian of classroom discipline and teaching excellence.</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Time Tables and Monitoring of Teaching is the custodian of academic discipline and teaching quality because this role safeguards the order, punctuality, and accountability of academic schedules while ensuring that faculty deliver effective, outcome-based teaching that meets the highest quality standards.</w:t>
      </w:r>
    </w:p>
    <w:p>
      <w:r>
        <w:br w:type="page"/>
      </w:r>
    </w:p>
    <w:p>
      <w:pPr>
        <w:pStyle w:val="Heading1"/>
      </w:pPr>
      <w:r>
        <w:rPr>
          <w:rFonts w:ascii="Cambria" w:hAnsi="Cambria"/>
          <w:b/>
          <w:color w:val="1F3A5F"/>
          <w:sz w:val="36"/>
        </w:rPr>
        <w:t>20. Associate Dean – MOOC Creation</w:t>
      </w:r>
    </w:p>
    <w:p>
      <w:pPr>
        <w:spacing w:after="160" w:line="276" w:lineRule="auto"/>
        <w:jc w:val="both"/>
      </w:pPr>
      <w:r>
        <w:rPr>
          <w:rFonts w:ascii="Cambria" w:hAnsi="Cambria"/>
          <w:b w:val="0"/>
          <w:i w:val="0"/>
          <w:sz w:val="22"/>
        </w:rPr>
        <w:t>An Associate Dean for MOOC Creation is a senior academic administrator who plays a vital role in shaping the university's digital learning strategy by leading the design, development, and management of its Massive Open Online Courses (MOOC) programs. This specialized role sits at the intersection of academic leadership and digital education innovation, ensuring that the institution not only embraces new technologies but also leverages them to extend its academic reach to learners far beyond the physical campus. By guiding faculty in creating high-quality, learner-centered online content, the Associate Dean ensures that the university remains competitive in the rapidly evolving landscape of global higher education.</w:t>
      </w:r>
    </w:p>
    <w:p>
      <w:pPr>
        <w:spacing w:after="160" w:line="276" w:lineRule="auto"/>
        <w:jc w:val="both"/>
      </w:pPr>
      <w:r>
        <w:rPr>
          <w:rFonts w:ascii="Cambria" w:hAnsi="Cambria"/>
          <w:b w:val="0"/>
          <w:i w:val="0"/>
          <w:sz w:val="22"/>
        </w:rPr>
        <w:t>The position involves strategic planning and oversight of the entire MOOC lifecycle—ranging from course ideation and instructional design to content creation, platform integration, delivery, and continuous improvement. This requires working closely with faculty across disciplines to identify courses suitable for global online learners, training them in digital pedagogy, and ensuring that content adheres to both academic rigor and modern e-learning standards. The Associate Dean also coordinates with technical teams to incorporate multimedia elements, interactive assessments, and analytics tools that enhance engagement and track learner progress.</w:t>
      </w:r>
    </w:p>
    <w:p>
      <w:pPr>
        <w:spacing w:after="160" w:line="276" w:lineRule="auto"/>
        <w:jc w:val="both"/>
      </w:pPr>
      <w:r>
        <w:rPr>
          <w:rFonts w:ascii="Cambria" w:hAnsi="Cambria"/>
          <w:b w:val="0"/>
          <w:i w:val="0"/>
          <w:sz w:val="22"/>
        </w:rPr>
        <w:t>Beyond course development, the Associate Dean for MOOC Creation ensures that these programs are integrated into the institution's academic ecosystem. MOOCs may serve as Value-Added Courses (VACs), Credit Courses (CCs), or blended learning components under the Choice Based Credit System (CBCS), thereby enriching student learning flexibility while supporting compliance with national guidelines (UGC, AICTE, NEP-2020). At the same time, MOOCs strengthen the university's global visibility by being offered on platforms such as SWAYAM, NPTEL, Coursera, edX, or institutional LMS portals, often in collaboration with industry and international partners.</w:t>
      </w:r>
    </w:p>
    <w:p>
      <w:pPr>
        <w:spacing w:after="160" w:line="276" w:lineRule="auto"/>
        <w:jc w:val="both"/>
      </w:pPr>
      <w:r>
        <w:rPr>
          <w:rFonts w:ascii="Cambria" w:hAnsi="Cambria"/>
          <w:b w:val="0"/>
          <w:i w:val="0"/>
          <w:sz w:val="22"/>
        </w:rPr>
        <w:t>The role also emphasizes faculty development and institutional innovation, as it empowers educators to adopt new teaching methodologies and transition from traditional classroom delivery to global online education. By ensuring quality assurance, inclusivity, and accessibility in MOOCs, the Associate Dean supports accreditation efforts under NAAC and NBA while contributing to the institution's performance in rankings such as NIRF, QS, and THE.</w:t>
      </w:r>
    </w:p>
    <w:p>
      <w:pPr>
        <w:spacing w:after="160" w:line="276" w:lineRule="auto"/>
        <w:jc w:val="both"/>
      </w:pPr>
      <w:r>
        <w:rPr>
          <w:rFonts w:ascii="Cambria" w:hAnsi="Cambria"/>
          <w:b w:val="0"/>
          <w:i w:val="0"/>
          <w:sz w:val="22"/>
        </w:rPr>
        <w:t>Ultimately, the Associate Dean for MOOC Creation serves as the custodian of digital learning and online academic innovation, ensuring that the university not only adapts to but also leads the digital transformation in higher education. Through MOOCs, the institution expands its academic footprint, democratizes access to knowledge, and equips learners worldwide with opportunities for lifelong learning, upskilling, and global engagement.</w:t>
      </w:r>
    </w:p>
    <w:p>
      <w:pPr>
        <w:pStyle w:val="Heading3"/>
      </w:pPr>
      <w:r>
        <w:rPr>
          <w:rFonts w:ascii="Cambria" w:hAnsi="Cambria"/>
          <w:b/>
          <w:color w:val="1F3A5F"/>
          <w:sz w:val="26"/>
        </w:rPr>
        <w:t>1. Role and Position</w:t>
      </w:r>
    </w:p>
    <w:p>
      <w:pPr>
        <w:pStyle w:val="ListBullet"/>
        <w:spacing w:after="80" w:line="276" w:lineRule="auto"/>
      </w:pPr>
      <w:r>
        <w:rPr>
          <w:rFonts w:ascii="Cambria" w:hAnsi="Cambria"/>
          <w:b w:val="0"/>
          <w:i w:val="0"/>
          <w:sz w:val="22"/>
        </w:rPr>
        <w:t xml:space="preserve">Reports to the Dean </w:t>
      </w:r>
      <w:r>
        <w:rPr>
          <w:rFonts w:ascii="Cambria" w:hAnsi="Cambria"/>
          <w:b w:val="0"/>
          <w:i w:val="0"/>
          <w:sz w:val="22"/>
        </w:rPr>
        <w:t>– Academic Affairs (DOAA).</w:t>
      </w:r>
    </w:p>
    <w:p>
      <w:pPr>
        <w:pStyle w:val="ListBullet"/>
        <w:spacing w:after="80" w:line="276" w:lineRule="auto"/>
      </w:pPr>
      <w:r>
        <w:rPr>
          <w:rFonts w:ascii="Cambria" w:hAnsi="Cambria"/>
          <w:b w:val="0"/>
          <w:i w:val="0"/>
          <w:sz w:val="22"/>
        </w:rPr>
        <w:t>Serves as the custodian of digital learning, global outreach, and online education innovation.</w:t>
      </w:r>
    </w:p>
    <w:p>
      <w:pPr>
        <w:pStyle w:val="ListBullet"/>
        <w:spacing w:after="80" w:line="276" w:lineRule="auto"/>
      </w:pPr>
      <w:r>
        <w:rPr>
          <w:rFonts w:ascii="Cambria" w:hAnsi="Cambria"/>
          <w:b w:val="0"/>
          <w:i w:val="0"/>
          <w:sz w:val="22"/>
        </w:rPr>
        <w:t>Ensures the University contributes actively to the digital education ecosystem through the design, development, and delivery of Massive Open Online Courses (MOOCs).</w:t>
      </w:r>
    </w:p>
    <w:p>
      <w:pPr>
        <w:pStyle w:val="Heading3"/>
      </w:pPr>
      <w:r>
        <w:rPr>
          <w:rFonts w:ascii="Cambria" w:hAnsi="Cambria"/>
          <w:b/>
          <w:color w:val="1F3A5F"/>
          <w:sz w:val="26"/>
        </w:rPr>
        <w:t>2. Key Responsibilities</w:t>
      </w:r>
    </w:p>
    <w:p>
      <w:pPr>
        <w:spacing w:after="80" w:line="276" w:lineRule="auto"/>
      </w:pPr>
      <w:r>
        <w:rPr>
          <w:rFonts w:ascii="Cambria" w:hAnsi="Cambria"/>
          <w:b/>
          <w:i w:val="0"/>
          <w:sz w:val="22"/>
        </w:rPr>
        <w:t>A. MOOC Development</w:t>
      </w:r>
    </w:p>
    <w:p>
      <w:pPr>
        <w:pStyle w:val="ListBullet"/>
        <w:spacing w:after="80" w:line="276" w:lineRule="auto"/>
      </w:pPr>
      <w:r>
        <w:rPr>
          <w:rFonts w:ascii="Cambria" w:hAnsi="Cambria"/>
          <w:b w:val="0"/>
          <w:i w:val="0"/>
          <w:sz w:val="22"/>
        </w:rPr>
        <w:t>Course Design:</w:t>
      </w:r>
    </w:p>
    <w:p>
      <w:pPr>
        <w:pStyle w:val="ListBullet2"/>
        <w:spacing w:after="80" w:line="276" w:lineRule="auto"/>
      </w:pPr>
      <w:r>
        <w:rPr>
          <w:rFonts w:ascii="Cambria" w:hAnsi="Cambria"/>
          <w:b w:val="0"/>
          <w:i w:val="0"/>
          <w:sz w:val="22"/>
        </w:rPr>
        <w:t>Guides faculty in developing MOOCs aligned with curriculum outcomes and industry needs.</w:t>
      </w:r>
    </w:p>
    <w:p>
      <w:pPr>
        <w:pStyle w:val="ListBullet2"/>
        <w:spacing w:after="80" w:line="276" w:lineRule="auto"/>
      </w:pPr>
      <w:r>
        <w:rPr>
          <w:rFonts w:ascii="Cambria" w:hAnsi="Cambria"/>
          <w:b w:val="0"/>
          <w:i w:val="0"/>
          <w:sz w:val="22"/>
        </w:rPr>
        <w:t>Ensures courses meet standards of instructional design, video production, and learner engagement.</w:t>
      </w:r>
    </w:p>
    <w:p>
      <w:pPr>
        <w:pStyle w:val="ListBullet"/>
        <w:spacing w:after="80" w:line="276" w:lineRule="auto"/>
      </w:pPr>
      <w:r>
        <w:rPr>
          <w:rFonts w:ascii="Cambria" w:hAnsi="Cambria"/>
          <w:b w:val="0"/>
          <w:i w:val="0"/>
          <w:sz w:val="22"/>
        </w:rPr>
        <w:t>Content Creation:</w:t>
      </w:r>
    </w:p>
    <w:p>
      <w:pPr>
        <w:pStyle w:val="ListBullet2"/>
        <w:spacing w:after="80" w:line="276" w:lineRule="auto"/>
      </w:pPr>
      <w:r>
        <w:rPr>
          <w:rFonts w:ascii="Cambria" w:hAnsi="Cambria"/>
          <w:b w:val="0"/>
          <w:i w:val="0"/>
          <w:sz w:val="22"/>
        </w:rPr>
        <w:t>Coordinates production of lecture videos, animations, e-books, quizzes, and assessments.</w:t>
      </w:r>
    </w:p>
    <w:p>
      <w:pPr>
        <w:pStyle w:val="ListBullet2"/>
        <w:spacing w:after="80" w:line="276" w:lineRule="auto"/>
      </w:pPr>
      <w:r>
        <w:rPr>
          <w:rFonts w:ascii="Cambria" w:hAnsi="Cambria"/>
          <w:b w:val="0"/>
          <w:i w:val="0"/>
          <w:sz w:val="22"/>
        </w:rPr>
        <w:t>Oversees integration of multimedia for effective online learning.</w:t>
      </w:r>
    </w:p>
    <w:p>
      <w:pPr>
        <w:pStyle w:val="ListBullet"/>
        <w:spacing w:after="80" w:line="276" w:lineRule="auto"/>
      </w:pPr>
      <w:r>
        <w:rPr>
          <w:rFonts w:ascii="Cambria" w:hAnsi="Cambria"/>
          <w:b w:val="0"/>
          <w:i w:val="0"/>
          <w:sz w:val="22"/>
        </w:rPr>
        <w:t>Platform Integration:</w:t>
      </w:r>
    </w:p>
    <w:p>
      <w:pPr>
        <w:pStyle w:val="ListBullet2"/>
        <w:spacing w:after="80" w:line="276" w:lineRule="auto"/>
      </w:pPr>
      <w:r>
        <w:rPr>
          <w:rFonts w:ascii="Cambria" w:hAnsi="Cambria"/>
          <w:b w:val="0"/>
          <w:i w:val="0"/>
          <w:sz w:val="22"/>
        </w:rPr>
        <w:t>Ensures courses are hosted on SWAYAM, NPTEL, Coursera, edX, FutureLearn, or institutional LMS.</w:t>
      </w:r>
    </w:p>
    <w:p>
      <w:pPr>
        <w:spacing w:after="80" w:line="276" w:lineRule="auto"/>
      </w:pPr>
      <w:r>
        <w:rPr>
          <w:rFonts w:ascii="Cambria" w:hAnsi="Cambria"/>
          <w:b/>
          <w:i w:val="0"/>
          <w:sz w:val="22"/>
        </w:rPr>
        <w:t>B. Academic Integration</w:t>
      </w:r>
    </w:p>
    <w:p>
      <w:pPr>
        <w:pStyle w:val="ListBullet"/>
        <w:spacing w:after="80" w:line="276" w:lineRule="auto"/>
      </w:pPr>
      <w:r>
        <w:rPr>
          <w:rFonts w:ascii="Cambria" w:hAnsi="Cambria"/>
          <w:b w:val="0"/>
          <w:i w:val="0"/>
          <w:sz w:val="22"/>
        </w:rPr>
        <w:t>Aligns MOOCs with curriculum requirements as Value-Added Courses (VACs), Credit Courses (CCs), or electives.</w:t>
      </w:r>
    </w:p>
    <w:p>
      <w:pPr>
        <w:pStyle w:val="ListBullet"/>
        <w:spacing w:after="80" w:line="276" w:lineRule="auto"/>
      </w:pPr>
      <w:r>
        <w:rPr>
          <w:rFonts w:ascii="Cambria" w:hAnsi="Cambria"/>
          <w:b w:val="0"/>
          <w:i w:val="0"/>
          <w:sz w:val="22"/>
        </w:rPr>
        <w:t>Promotes blended learning models (flipped classrooms, hybrid teaching) using MOOCs.</w:t>
      </w:r>
    </w:p>
    <w:p>
      <w:pPr>
        <w:pStyle w:val="ListBullet"/>
        <w:spacing w:after="80" w:line="276" w:lineRule="auto"/>
      </w:pPr>
      <w:r>
        <w:rPr>
          <w:rFonts w:ascii="Cambria" w:hAnsi="Cambria"/>
          <w:b w:val="0"/>
          <w:i w:val="0"/>
          <w:sz w:val="22"/>
        </w:rPr>
        <w:t>Facilitates credit transfers in compliance with UGC and AICTE guidelines.</w:t>
      </w:r>
    </w:p>
    <w:p>
      <w:pPr>
        <w:spacing w:after="80" w:line="276" w:lineRule="auto"/>
      </w:pPr>
      <w:r>
        <w:rPr>
          <w:rFonts w:ascii="Cambria" w:hAnsi="Cambria"/>
          <w:b/>
          <w:i w:val="0"/>
          <w:sz w:val="22"/>
        </w:rPr>
        <w:t>C. Faculty Training and Support</w:t>
      </w:r>
    </w:p>
    <w:p>
      <w:pPr>
        <w:pStyle w:val="ListBullet"/>
        <w:spacing w:after="80" w:line="276" w:lineRule="auto"/>
      </w:pPr>
      <w:r>
        <w:rPr>
          <w:rFonts w:ascii="Cambria" w:hAnsi="Cambria"/>
          <w:b w:val="0"/>
          <w:i w:val="0"/>
          <w:sz w:val="22"/>
        </w:rPr>
        <w:t>Conducts workshops on digital pedagogy and online course design.</w:t>
      </w:r>
    </w:p>
    <w:p>
      <w:pPr>
        <w:pStyle w:val="ListBullet"/>
        <w:spacing w:after="80" w:line="276" w:lineRule="auto"/>
      </w:pPr>
      <w:r>
        <w:rPr>
          <w:rFonts w:ascii="Cambria" w:hAnsi="Cambria"/>
          <w:b w:val="0"/>
          <w:i w:val="0"/>
          <w:sz w:val="22"/>
        </w:rPr>
        <w:t>Trains faculty in using LMS platforms, video recording tools, and interactive content software.</w:t>
      </w:r>
    </w:p>
    <w:p>
      <w:pPr>
        <w:pStyle w:val="ListBullet"/>
        <w:spacing w:after="80" w:line="276" w:lineRule="auto"/>
      </w:pPr>
      <w:r>
        <w:rPr>
          <w:rFonts w:ascii="Cambria" w:hAnsi="Cambria"/>
          <w:b w:val="0"/>
          <w:i w:val="0"/>
          <w:sz w:val="22"/>
        </w:rPr>
        <w:t>Provides support for copyrights, licensing, and open educational resources (OERs).</w:t>
      </w:r>
    </w:p>
    <w:p>
      <w:pPr>
        <w:spacing w:after="80" w:line="276" w:lineRule="auto"/>
      </w:pPr>
      <w:r>
        <w:rPr>
          <w:rFonts w:ascii="Cambria" w:hAnsi="Cambria"/>
          <w:b/>
          <w:i w:val="0"/>
          <w:sz w:val="22"/>
        </w:rPr>
        <w:t>D. Quality Assurance</w:t>
      </w:r>
    </w:p>
    <w:p>
      <w:pPr>
        <w:pStyle w:val="ListBullet"/>
        <w:spacing w:after="80" w:line="276" w:lineRule="auto"/>
      </w:pPr>
      <w:r>
        <w:rPr>
          <w:rFonts w:ascii="Cambria" w:hAnsi="Cambria"/>
          <w:b w:val="0"/>
          <w:i w:val="0"/>
          <w:sz w:val="22"/>
        </w:rPr>
        <w:t>Ensures MOOCs meet standards of:</w:t>
      </w:r>
    </w:p>
    <w:p>
      <w:pPr>
        <w:pStyle w:val="ListBullet2"/>
        <w:spacing w:after="80" w:line="276" w:lineRule="auto"/>
      </w:pPr>
      <w:r>
        <w:rPr>
          <w:rFonts w:ascii="Cambria" w:hAnsi="Cambria"/>
          <w:b w:val="0"/>
          <w:i w:val="0"/>
          <w:sz w:val="22"/>
        </w:rPr>
        <w:t>Academic rigor (aligned with COs/POs/PSOs).</w:t>
      </w:r>
    </w:p>
    <w:p>
      <w:pPr>
        <w:pStyle w:val="ListBullet2"/>
        <w:spacing w:after="80" w:line="276" w:lineRule="auto"/>
      </w:pPr>
      <w:r>
        <w:rPr>
          <w:rFonts w:ascii="Cambria" w:hAnsi="Cambria"/>
          <w:b w:val="0"/>
          <w:i w:val="0"/>
          <w:sz w:val="22"/>
        </w:rPr>
        <w:t>Pedagogical effectiveness (learner-centric, interactive).</w:t>
      </w:r>
    </w:p>
    <w:p>
      <w:pPr>
        <w:pStyle w:val="ListBullet2"/>
        <w:spacing w:after="80" w:line="276" w:lineRule="auto"/>
      </w:pPr>
      <w:r>
        <w:rPr>
          <w:rFonts w:ascii="Cambria" w:hAnsi="Cambria"/>
          <w:b w:val="0"/>
          <w:i w:val="0"/>
          <w:sz w:val="22"/>
        </w:rPr>
        <w:t>Accessibility and inclusivity (universal design for learning).</w:t>
      </w:r>
    </w:p>
    <w:p>
      <w:pPr>
        <w:pStyle w:val="ListBullet"/>
        <w:spacing w:after="80" w:line="276" w:lineRule="auto"/>
      </w:pPr>
      <w:r>
        <w:rPr>
          <w:rFonts w:ascii="Cambria" w:hAnsi="Cambria"/>
          <w:b w:val="0"/>
          <w:i w:val="0"/>
          <w:sz w:val="22"/>
        </w:rPr>
        <w:t>Collects feedback from learners and implements continuous improvement cycles.</w:t>
      </w:r>
    </w:p>
    <w:p>
      <w:pPr>
        <w:spacing w:after="80" w:line="276" w:lineRule="auto"/>
      </w:pPr>
      <w:r>
        <w:rPr>
          <w:rFonts w:ascii="Cambria" w:hAnsi="Cambria"/>
          <w:b/>
          <w:i w:val="0"/>
          <w:sz w:val="22"/>
        </w:rPr>
        <w:t>E. Collaboration and Outreach</w:t>
      </w:r>
    </w:p>
    <w:p>
      <w:pPr>
        <w:pStyle w:val="ListBullet"/>
        <w:spacing w:after="80" w:line="276" w:lineRule="auto"/>
      </w:pPr>
      <w:r>
        <w:rPr>
          <w:rFonts w:ascii="Cambria" w:hAnsi="Cambria"/>
          <w:b w:val="0"/>
          <w:i w:val="0"/>
          <w:sz w:val="22"/>
        </w:rPr>
        <w:t>Builds collaborations with:</w:t>
      </w:r>
    </w:p>
    <w:p>
      <w:pPr>
        <w:pStyle w:val="ListBullet2"/>
        <w:spacing w:after="80" w:line="276" w:lineRule="auto"/>
      </w:pPr>
      <w:r>
        <w:rPr>
          <w:rFonts w:ascii="Cambria" w:hAnsi="Cambria"/>
          <w:b w:val="0"/>
          <w:i w:val="0"/>
          <w:sz w:val="22"/>
        </w:rPr>
        <w:t>National platforms (SWAYAM, NPTEL).</w:t>
      </w:r>
    </w:p>
    <w:p>
      <w:pPr>
        <w:pStyle w:val="ListBullet2"/>
        <w:spacing w:after="80" w:line="276" w:lineRule="auto"/>
      </w:pPr>
      <w:r>
        <w:rPr>
          <w:rFonts w:ascii="Cambria" w:hAnsi="Cambria"/>
          <w:b w:val="0"/>
          <w:i w:val="0"/>
          <w:sz w:val="22"/>
        </w:rPr>
        <w:t>Global MOOC providers (Coursera, edX, FutureLearn).</w:t>
      </w:r>
    </w:p>
    <w:p>
      <w:pPr>
        <w:pStyle w:val="ListBullet2"/>
        <w:spacing w:after="80" w:line="276" w:lineRule="auto"/>
      </w:pPr>
      <w:r>
        <w:rPr>
          <w:rFonts w:ascii="Cambria" w:hAnsi="Cambria"/>
          <w:b w:val="0"/>
          <w:i w:val="0"/>
          <w:sz w:val="22"/>
        </w:rPr>
        <w:t>Industry partners for co-branded certification courses.</w:t>
      </w:r>
    </w:p>
    <w:p>
      <w:pPr>
        <w:pStyle w:val="ListBullet"/>
        <w:spacing w:after="80" w:line="276" w:lineRule="auto"/>
      </w:pPr>
      <w:r>
        <w:rPr>
          <w:rFonts w:ascii="Cambria" w:hAnsi="Cambria"/>
          <w:b w:val="0"/>
          <w:i w:val="0"/>
          <w:sz w:val="22"/>
        </w:rPr>
        <w:t>Promotes MOOCs for lifelong learning and global learner enrollment.</w:t>
      </w:r>
    </w:p>
    <w:p>
      <w:pPr>
        <w:pStyle w:val="Heading3"/>
      </w:pPr>
      <w:r>
        <w:rPr>
          <w:rFonts w:ascii="Cambria" w:hAnsi="Cambria"/>
          <w:b/>
          <w:color w:val="1F3A5F"/>
          <w:sz w:val="26"/>
        </w:rPr>
        <w:t>3. Impact on the University</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Provides flexible learning opportunities beyond the classroom.</w:t>
      </w:r>
    </w:p>
    <w:p>
      <w:pPr>
        <w:pStyle w:val="ListBullet2"/>
        <w:spacing w:after="80" w:line="276" w:lineRule="auto"/>
      </w:pPr>
      <w:r>
        <w:rPr>
          <w:rFonts w:ascii="Cambria" w:hAnsi="Cambria"/>
          <w:b w:val="0"/>
          <w:i w:val="0"/>
          <w:sz w:val="22"/>
        </w:rPr>
        <w:t>Access to global faculty expertise and cutting-edge knowledge.</w:t>
      </w:r>
    </w:p>
    <w:p>
      <w:pPr>
        <w:pStyle w:val="ListBullet2"/>
        <w:spacing w:after="80" w:line="276" w:lineRule="auto"/>
      </w:pPr>
      <w:r>
        <w:rPr>
          <w:rFonts w:ascii="Cambria" w:hAnsi="Cambria"/>
          <w:b w:val="0"/>
          <w:i w:val="0"/>
          <w:sz w:val="22"/>
        </w:rPr>
        <w:t>Earns credit-bearing MOOCs that enhance employability.</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Recognition as global educators and content creators.</w:t>
      </w:r>
    </w:p>
    <w:p>
      <w:pPr>
        <w:pStyle w:val="ListBullet2"/>
        <w:spacing w:after="80" w:line="276" w:lineRule="auto"/>
      </w:pPr>
      <w:r>
        <w:rPr>
          <w:rFonts w:ascii="Cambria" w:hAnsi="Cambria"/>
          <w:b w:val="0"/>
          <w:i w:val="0"/>
          <w:sz w:val="22"/>
        </w:rPr>
        <w:t>Opportunities for collaborative teaching and research.</w:t>
      </w:r>
    </w:p>
    <w:p>
      <w:pPr>
        <w:pStyle w:val="ListBullet2"/>
        <w:spacing w:after="80" w:line="276" w:lineRule="auto"/>
      </w:pPr>
      <w:r>
        <w:rPr>
          <w:rFonts w:ascii="Cambria" w:hAnsi="Cambria"/>
          <w:b w:val="0"/>
          <w:i w:val="0"/>
          <w:sz w:val="22"/>
        </w:rPr>
        <w:t>Professional development in digital pedagogy.</w:t>
      </w:r>
    </w:p>
    <w:p>
      <w:pPr>
        <w:pStyle w:val="ListBullet"/>
        <w:spacing w:after="80" w:line="276" w:lineRule="auto"/>
      </w:pPr>
      <w:r>
        <w:rPr>
          <w:rFonts w:ascii="Cambria" w:hAnsi="Cambria"/>
          <w:b/>
          <w:i w:val="0"/>
          <w:sz w:val="22"/>
        </w:rPr>
        <w:t>For Institution:</w:t>
      </w:r>
    </w:p>
    <w:p>
      <w:pPr>
        <w:pStyle w:val="ListBullet2"/>
        <w:spacing w:after="80" w:line="276" w:lineRule="auto"/>
      </w:pPr>
      <w:r>
        <w:rPr>
          <w:rFonts w:ascii="Cambria" w:hAnsi="Cambria"/>
          <w:b w:val="0"/>
          <w:i w:val="0"/>
          <w:sz w:val="22"/>
        </w:rPr>
        <w:t>Expands digital footprint and reputation as a MOOC-producing university.</w:t>
      </w:r>
    </w:p>
    <w:p>
      <w:pPr>
        <w:pStyle w:val="ListBullet2"/>
        <w:spacing w:after="80" w:line="276" w:lineRule="auto"/>
      </w:pPr>
      <w:r>
        <w:rPr>
          <w:rFonts w:ascii="Cambria" w:hAnsi="Cambria"/>
          <w:b w:val="0"/>
          <w:i w:val="0"/>
          <w:sz w:val="22"/>
        </w:rPr>
        <w:t>Strengthens performance in NAAC/NBA (Criteria on teaching-learning and innovation).</w:t>
      </w:r>
    </w:p>
    <w:p>
      <w:pPr>
        <w:pStyle w:val="ListBullet2"/>
        <w:spacing w:after="80" w:line="276" w:lineRule="auto"/>
      </w:pPr>
      <w:r>
        <w:rPr>
          <w:rFonts w:ascii="Cambria" w:hAnsi="Cambria"/>
          <w:b w:val="0"/>
          <w:i w:val="0"/>
          <w:sz w:val="22"/>
        </w:rPr>
        <w:t>Attracts global learners and potential revenue streams.</w:t>
      </w:r>
    </w:p>
    <w:p>
      <w:pPr>
        <w:pStyle w:val="Heading3"/>
      </w:pPr>
      <w:r>
        <w:rPr>
          <w:rFonts w:ascii="Cambria" w:hAnsi="Cambria"/>
          <w:b/>
          <w:color w:val="1F3A5F"/>
          <w:sz w:val="26"/>
        </w:rPr>
        <w:t>4. Strategic Outcomes</w:t>
      </w:r>
    </w:p>
    <w:p>
      <w:pPr>
        <w:pStyle w:val="ListBullet"/>
        <w:spacing w:after="80" w:line="276" w:lineRule="auto"/>
      </w:pPr>
      <w:r>
        <w:rPr>
          <w:rFonts w:ascii="Cambria" w:hAnsi="Cambria"/>
          <w:b w:val="0"/>
          <w:i w:val="0"/>
          <w:sz w:val="22"/>
        </w:rPr>
        <w:t>Development of a repository of MOOCs for academic and lifelong learning.</w:t>
      </w:r>
    </w:p>
    <w:p>
      <w:pPr>
        <w:pStyle w:val="ListBullet"/>
        <w:spacing w:after="80" w:line="276" w:lineRule="auto"/>
      </w:pPr>
      <w:r>
        <w:rPr>
          <w:rFonts w:ascii="Cambria" w:hAnsi="Cambria"/>
          <w:b w:val="0"/>
          <w:i w:val="0"/>
          <w:sz w:val="22"/>
        </w:rPr>
        <w:t>Institutional reputation as a leader in digital higher education.</w:t>
      </w:r>
    </w:p>
    <w:p>
      <w:pPr>
        <w:pStyle w:val="ListBullet"/>
        <w:spacing w:after="80" w:line="276" w:lineRule="auto"/>
      </w:pPr>
      <w:r>
        <w:rPr>
          <w:rFonts w:ascii="Cambria" w:hAnsi="Cambria"/>
          <w:b w:val="0"/>
          <w:i w:val="0"/>
          <w:sz w:val="22"/>
        </w:rPr>
        <w:t>Enhanced global collaborations, international visibility, and student mobility.</w:t>
      </w:r>
    </w:p>
    <w:p>
      <w:pPr>
        <w:pStyle w:val="ListBullet"/>
        <w:spacing w:after="80" w:line="276" w:lineRule="auto"/>
      </w:pPr>
      <w:r>
        <w:rPr>
          <w:rFonts w:ascii="Cambria" w:hAnsi="Cambria"/>
          <w:b w:val="0"/>
          <w:i w:val="0"/>
          <w:sz w:val="22"/>
        </w:rPr>
        <w:t>Evidence of innovation and digital adoption for NIRF, QS, and THE rankings.</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MOOC Creation is the custodian of digital learning and online academic innovation. By leading the development of MOOCs, this role ensures the University extends its academic influence globally, empowers students with flexible learning opportunities, and positions itself as a future-ready, technology-driven institution.</w:t>
      </w:r>
    </w:p>
    <w:p>
      <w:r>
        <w:br w:type="page"/>
      </w:r>
    </w:p>
    <w:p>
      <w:pPr>
        <w:pStyle w:val="Heading1"/>
      </w:pPr>
      <w:r>
        <w:rPr>
          <w:rFonts w:ascii="Cambria" w:hAnsi="Cambria"/>
          <w:b/>
          <w:color w:val="1F3A5F"/>
          <w:sz w:val="36"/>
        </w:rPr>
        <w:t>21. Associate Dean – MOOC Creation: Custodian of Digital Learning and Online Academic Innovation</w:t>
      </w:r>
    </w:p>
    <w:p>
      <w:pPr>
        <w:pStyle w:val="Heading3"/>
      </w:pPr>
      <w:r>
        <w:rPr>
          <w:rFonts w:ascii="Cambria" w:hAnsi="Cambria"/>
          <w:b/>
          <w:color w:val="1F3A5F"/>
          <w:sz w:val="26"/>
        </w:rPr>
        <w:t>1. Custodian of Digital Learning</w:t>
      </w:r>
    </w:p>
    <w:p>
      <w:pPr>
        <w:spacing w:after="80" w:line="276" w:lineRule="auto"/>
      </w:pPr>
      <w:r>
        <w:rPr>
          <w:rFonts w:ascii="Cambria" w:hAnsi="Cambria"/>
          <w:b/>
          <w:i w:val="0"/>
          <w:sz w:val="22"/>
        </w:rPr>
        <w:t>Expansion Beyond Campus:</w:t>
      </w:r>
    </w:p>
    <w:p>
      <w:pPr>
        <w:pStyle w:val="ListBullet"/>
        <w:spacing w:after="80" w:line="276" w:lineRule="auto"/>
      </w:pPr>
      <w:r>
        <w:rPr>
          <w:rFonts w:ascii="Cambria" w:hAnsi="Cambria"/>
          <w:b w:val="0"/>
          <w:i w:val="0"/>
          <w:sz w:val="22"/>
        </w:rPr>
        <w:t>Transforms the University's teaching from classroom-bound delivery into global online access.</w:t>
      </w:r>
    </w:p>
    <w:p>
      <w:pPr>
        <w:pStyle w:val="ListBullet"/>
        <w:spacing w:after="80" w:line="276" w:lineRule="auto"/>
      </w:pPr>
      <w:r>
        <w:rPr>
          <w:rFonts w:ascii="Cambria" w:hAnsi="Cambria"/>
          <w:b w:val="0"/>
          <w:i w:val="0"/>
          <w:sz w:val="22"/>
        </w:rPr>
        <w:t>Provides flexible, anytime-anywhere learning opportunities for students and lifelong learners.</w:t>
      </w:r>
    </w:p>
    <w:p>
      <w:pPr>
        <w:spacing w:after="80" w:line="276" w:lineRule="auto"/>
      </w:pPr>
      <w:r>
        <w:rPr>
          <w:rFonts w:ascii="Cambria" w:hAnsi="Cambria"/>
          <w:b/>
          <w:i w:val="0"/>
          <w:sz w:val="22"/>
        </w:rPr>
        <w:t>Integration into Curriculum:</w:t>
      </w:r>
    </w:p>
    <w:p>
      <w:pPr>
        <w:pStyle w:val="ListBullet"/>
        <w:spacing w:after="80" w:line="276" w:lineRule="auto"/>
      </w:pPr>
      <w:r>
        <w:rPr>
          <w:rFonts w:ascii="Cambria" w:hAnsi="Cambria"/>
          <w:b w:val="0"/>
          <w:i w:val="0"/>
          <w:sz w:val="22"/>
        </w:rPr>
        <w:t>Ensures MOOCs are integrated into programs as Value-Added Courses (VACs), Credit Courses (CCs), or blended learning components.</w:t>
      </w:r>
    </w:p>
    <w:p>
      <w:pPr>
        <w:pStyle w:val="ListBullet"/>
        <w:spacing w:after="80" w:line="276" w:lineRule="auto"/>
      </w:pPr>
      <w:r>
        <w:rPr>
          <w:rFonts w:ascii="Cambria" w:hAnsi="Cambria"/>
          <w:b w:val="0"/>
          <w:i w:val="0"/>
          <w:sz w:val="22"/>
        </w:rPr>
        <w:t>Facilitates credit transfer mechanisms in line with UGC and AICTE guidelines.</w:t>
      </w:r>
    </w:p>
    <w:p>
      <w:pPr>
        <w:spacing w:after="80" w:line="276" w:lineRule="auto"/>
      </w:pPr>
      <w:r>
        <w:rPr>
          <w:rFonts w:ascii="Cambria" w:hAnsi="Cambria"/>
          <w:b/>
          <w:i w:val="0"/>
          <w:sz w:val="22"/>
        </w:rPr>
        <w:t>Inclusivity and Accessibility:</w:t>
      </w:r>
    </w:p>
    <w:p>
      <w:pPr>
        <w:pStyle w:val="ListBullet"/>
        <w:spacing w:after="80" w:line="276" w:lineRule="auto"/>
      </w:pPr>
      <w:r>
        <w:rPr>
          <w:rFonts w:ascii="Cambria" w:hAnsi="Cambria"/>
          <w:b w:val="0"/>
          <w:i w:val="0"/>
          <w:sz w:val="22"/>
        </w:rPr>
        <w:t>Designs MOOCs with universal access principles, supporting learners from diverse backgrounds.</w:t>
      </w:r>
    </w:p>
    <w:p>
      <w:pPr>
        <w:pStyle w:val="Heading3"/>
      </w:pPr>
      <w:r>
        <w:rPr>
          <w:rFonts w:ascii="Cambria" w:hAnsi="Cambria"/>
          <w:b/>
          <w:color w:val="1F3A5F"/>
          <w:sz w:val="26"/>
        </w:rPr>
        <w:t>2. Custodian of Online Academic Innovation</w:t>
      </w:r>
    </w:p>
    <w:p>
      <w:pPr>
        <w:spacing w:after="80" w:line="276" w:lineRule="auto"/>
      </w:pPr>
      <w:r>
        <w:rPr>
          <w:rFonts w:ascii="Cambria" w:hAnsi="Cambria"/>
          <w:b/>
          <w:i w:val="0"/>
          <w:sz w:val="22"/>
        </w:rPr>
        <w:t>Innovative Pedagogy:</w:t>
      </w:r>
    </w:p>
    <w:p>
      <w:pPr>
        <w:pStyle w:val="ListBullet"/>
        <w:spacing w:after="80" w:line="276" w:lineRule="auto"/>
      </w:pPr>
      <w:r>
        <w:rPr>
          <w:rFonts w:ascii="Cambria" w:hAnsi="Cambria"/>
          <w:b w:val="0"/>
          <w:i w:val="0"/>
          <w:sz w:val="22"/>
        </w:rPr>
        <w:t>Promotes digital teaching methods such as flipped classrooms, blended learning, gamified learning, and interactive assessments.</w:t>
      </w:r>
    </w:p>
    <w:p>
      <w:pPr>
        <w:spacing w:after="80" w:line="276" w:lineRule="auto"/>
      </w:pPr>
      <w:r>
        <w:rPr>
          <w:rFonts w:ascii="Cambria" w:hAnsi="Cambria"/>
          <w:b/>
          <w:i w:val="0"/>
          <w:sz w:val="22"/>
        </w:rPr>
        <w:t>Content Creation Excellence:</w:t>
      </w:r>
    </w:p>
    <w:p>
      <w:pPr>
        <w:pStyle w:val="ListBullet"/>
        <w:spacing w:after="80" w:line="276" w:lineRule="auto"/>
      </w:pPr>
      <w:r>
        <w:rPr>
          <w:rFonts w:ascii="Cambria" w:hAnsi="Cambria"/>
          <w:b w:val="0"/>
          <w:i w:val="0"/>
          <w:sz w:val="22"/>
        </w:rPr>
        <w:t>Oversees production of video lectures, simulations, animations, digital libraries, and OERs (Open Educational Resources).</w:t>
      </w:r>
    </w:p>
    <w:p>
      <w:pPr>
        <w:spacing w:after="80" w:line="276" w:lineRule="auto"/>
      </w:pPr>
      <w:r>
        <w:rPr>
          <w:rFonts w:ascii="Cambria" w:hAnsi="Cambria"/>
          <w:b/>
          <w:i w:val="0"/>
          <w:sz w:val="22"/>
        </w:rPr>
        <w:t>Technology Adoption:</w:t>
      </w:r>
    </w:p>
    <w:p>
      <w:pPr>
        <w:pStyle w:val="ListBullet"/>
        <w:spacing w:after="80" w:line="276" w:lineRule="auto"/>
      </w:pPr>
      <w:r>
        <w:rPr>
          <w:rFonts w:ascii="Cambria" w:hAnsi="Cambria"/>
          <w:b w:val="0"/>
          <w:i w:val="0"/>
          <w:sz w:val="22"/>
        </w:rPr>
        <w:t>Ensures the University uses cutting-edge LMS platforms, AI-enabled learning analytics, and interactive learning tools.</w:t>
      </w:r>
    </w:p>
    <w:p>
      <w:pPr>
        <w:spacing w:after="80" w:line="276" w:lineRule="auto"/>
      </w:pPr>
      <w:r>
        <w:rPr>
          <w:rFonts w:ascii="Cambria" w:hAnsi="Cambria"/>
          <w:b/>
          <w:i w:val="0"/>
          <w:sz w:val="22"/>
        </w:rPr>
        <w:t>Global Platforms:</w:t>
      </w:r>
    </w:p>
    <w:p>
      <w:pPr>
        <w:pStyle w:val="ListBullet"/>
        <w:spacing w:after="80" w:line="276" w:lineRule="auto"/>
      </w:pPr>
      <w:r>
        <w:rPr>
          <w:rFonts w:ascii="Cambria" w:hAnsi="Cambria"/>
          <w:b w:val="0"/>
          <w:i w:val="0"/>
          <w:sz w:val="22"/>
        </w:rPr>
        <w:t>Expands University presence on SWAYAM, NPTEL, Coursera, edX, FutureLearn, and institutional LMS.</w:t>
      </w:r>
    </w:p>
    <w:p>
      <w:pPr>
        <w:pStyle w:val="Heading3"/>
      </w:pPr>
      <w:r>
        <w:rPr>
          <w:rFonts w:ascii="Cambria" w:hAnsi="Cambria"/>
          <w:b/>
          <w:color w:val="1F3A5F"/>
          <w:sz w:val="26"/>
        </w:rPr>
        <w:t>3. Custodian of Faculty and Institutional Development</w:t>
      </w:r>
    </w:p>
    <w:p>
      <w:pPr>
        <w:spacing w:after="80" w:line="276" w:lineRule="auto"/>
      </w:pPr>
      <w:r>
        <w:rPr>
          <w:rFonts w:ascii="Cambria" w:hAnsi="Cambria"/>
          <w:b/>
          <w:i w:val="0"/>
          <w:sz w:val="22"/>
        </w:rPr>
        <w:t>Faculty Empowerment:</w:t>
      </w:r>
    </w:p>
    <w:p>
      <w:pPr>
        <w:pStyle w:val="ListBullet"/>
        <w:spacing w:after="80" w:line="276" w:lineRule="auto"/>
      </w:pPr>
      <w:r>
        <w:rPr>
          <w:rFonts w:ascii="Cambria" w:hAnsi="Cambria"/>
          <w:b w:val="0"/>
          <w:i w:val="0"/>
          <w:sz w:val="22"/>
        </w:rPr>
        <w:t>Trains faculty to become global MOOC educators.</w:t>
      </w:r>
    </w:p>
    <w:p>
      <w:pPr>
        <w:pStyle w:val="ListBullet"/>
        <w:spacing w:after="80" w:line="276" w:lineRule="auto"/>
      </w:pPr>
      <w:r>
        <w:rPr>
          <w:rFonts w:ascii="Cambria" w:hAnsi="Cambria"/>
          <w:b w:val="0"/>
          <w:i w:val="0"/>
          <w:sz w:val="22"/>
        </w:rPr>
        <w:t>Encourages collaborative course development across disciplines.</w:t>
      </w:r>
    </w:p>
    <w:p>
      <w:pPr>
        <w:spacing w:after="80" w:line="276" w:lineRule="auto"/>
      </w:pPr>
      <w:r>
        <w:rPr>
          <w:rFonts w:ascii="Cambria" w:hAnsi="Cambria"/>
          <w:b/>
          <w:i w:val="0"/>
          <w:sz w:val="22"/>
        </w:rPr>
        <w:t>Institutional Visibility:</w:t>
      </w:r>
    </w:p>
    <w:p>
      <w:pPr>
        <w:pStyle w:val="ListBullet"/>
        <w:spacing w:after="80" w:line="276" w:lineRule="auto"/>
      </w:pPr>
      <w:r>
        <w:rPr>
          <w:rFonts w:ascii="Cambria" w:hAnsi="Cambria"/>
          <w:b w:val="0"/>
          <w:i w:val="0"/>
          <w:sz w:val="22"/>
        </w:rPr>
        <w:t>Positions the University as a MOOC-producing institution recognized nationally and internationally.</w:t>
      </w:r>
    </w:p>
    <w:p>
      <w:pPr>
        <w:pStyle w:val="ListBullet"/>
        <w:spacing w:after="80" w:line="276" w:lineRule="auto"/>
      </w:pPr>
      <w:r>
        <w:rPr>
          <w:rFonts w:ascii="Cambria" w:hAnsi="Cambria"/>
          <w:b w:val="0"/>
          <w:i w:val="0"/>
          <w:sz w:val="22"/>
        </w:rPr>
        <w:t>Generates potential for global enrollment, industry partnerships, and revenue streams.</w:t>
      </w:r>
    </w:p>
    <w:p>
      <w:pPr>
        <w:spacing w:after="80" w:line="276" w:lineRule="auto"/>
      </w:pPr>
      <w:r>
        <w:rPr>
          <w:rFonts w:ascii="Cambria" w:hAnsi="Cambria"/>
          <w:b/>
          <w:i w:val="0"/>
          <w:sz w:val="22"/>
        </w:rPr>
        <w:t>Quality Assurance:</w:t>
      </w:r>
    </w:p>
    <w:p>
      <w:pPr>
        <w:pStyle w:val="ListBullet"/>
        <w:spacing w:after="80" w:line="276" w:lineRule="auto"/>
      </w:pPr>
      <w:r>
        <w:rPr>
          <w:rFonts w:ascii="Cambria" w:hAnsi="Cambria"/>
          <w:b w:val="0"/>
          <w:i w:val="0"/>
          <w:sz w:val="22"/>
        </w:rPr>
        <w:t>Implements feedback systems to ensure MOOCs maintain academic rigor, interactivity, and continuous improvement.</w:t>
      </w:r>
    </w:p>
    <w:p>
      <w:pPr>
        <w:pStyle w:val="Heading3"/>
      </w:pPr>
      <w:r>
        <w:rPr>
          <w:rFonts w:ascii="Cambria" w:hAnsi="Cambria"/>
          <w:b/>
          <w:color w:val="1F3A5F"/>
          <w:sz w:val="26"/>
        </w:rPr>
        <w:t>4. Strategic Impact</w:t>
      </w:r>
    </w:p>
    <w:p>
      <w:pPr>
        <w:pStyle w:val="ListBullet"/>
        <w:spacing w:after="80" w:line="276" w:lineRule="auto"/>
      </w:pPr>
      <w:r>
        <w:rPr>
          <w:rFonts w:ascii="Cambria" w:hAnsi="Cambria"/>
          <w:b/>
          <w:i w:val="0"/>
          <w:sz w:val="22"/>
        </w:rPr>
        <w:t>For Students:</w:t>
      </w:r>
    </w:p>
    <w:p>
      <w:pPr>
        <w:pStyle w:val="ListBullet2"/>
        <w:spacing w:after="80" w:line="276" w:lineRule="auto"/>
      </w:pPr>
      <w:r>
        <w:rPr>
          <w:rFonts w:ascii="Cambria" w:hAnsi="Cambria"/>
          <w:b w:val="0"/>
          <w:i w:val="0"/>
          <w:sz w:val="22"/>
        </w:rPr>
        <w:t>Access to flexible, global-standard courses enhancing employability and higher education opportunities.</w:t>
      </w:r>
    </w:p>
    <w:p>
      <w:pPr>
        <w:pStyle w:val="ListBullet"/>
        <w:spacing w:after="80" w:line="276" w:lineRule="auto"/>
      </w:pPr>
      <w:r>
        <w:rPr>
          <w:rFonts w:ascii="Cambria" w:hAnsi="Cambria"/>
          <w:b/>
          <w:i w:val="0"/>
          <w:sz w:val="22"/>
        </w:rPr>
        <w:t>For Faculty:</w:t>
      </w:r>
    </w:p>
    <w:p>
      <w:pPr>
        <w:pStyle w:val="ListBullet2"/>
        <w:spacing w:after="80" w:line="276" w:lineRule="auto"/>
      </w:pPr>
      <w:r>
        <w:rPr>
          <w:rFonts w:ascii="Cambria" w:hAnsi="Cambria"/>
          <w:b w:val="0"/>
          <w:i w:val="0"/>
          <w:sz w:val="22"/>
        </w:rPr>
        <w:t>Recognition as innovators and leaders in digital pedagogy.</w:t>
      </w:r>
    </w:p>
    <w:p>
      <w:pPr>
        <w:pStyle w:val="ListBullet"/>
        <w:spacing w:after="80" w:line="276" w:lineRule="auto"/>
      </w:pPr>
      <w:r>
        <w:rPr>
          <w:rFonts w:ascii="Cambria" w:hAnsi="Cambria"/>
          <w:b/>
          <w:i w:val="0"/>
          <w:sz w:val="22"/>
        </w:rPr>
        <w:t>For University:</w:t>
      </w:r>
    </w:p>
    <w:p>
      <w:pPr>
        <w:pStyle w:val="ListBullet2"/>
        <w:spacing w:after="80" w:line="276" w:lineRule="auto"/>
      </w:pPr>
      <w:r>
        <w:rPr>
          <w:rFonts w:ascii="Cambria" w:hAnsi="Cambria"/>
          <w:b w:val="0"/>
          <w:i w:val="0"/>
          <w:sz w:val="22"/>
        </w:rPr>
        <w:t>Strengthens accreditation and ranking performance by showcasing innovation, digital adoption, and outreach.</w:t>
      </w:r>
    </w:p>
    <w:p>
      <w:pPr>
        <w:pStyle w:val="ListBullet"/>
        <w:spacing w:after="80" w:line="276" w:lineRule="auto"/>
      </w:pPr>
      <w:r>
        <w:rPr>
          <w:rFonts w:ascii="Cambria" w:hAnsi="Cambria"/>
          <w:b/>
          <w:i w:val="0"/>
          <w:sz w:val="22"/>
        </w:rPr>
        <w:t>For Society:</w:t>
      </w:r>
    </w:p>
    <w:p>
      <w:pPr>
        <w:pStyle w:val="ListBullet2"/>
        <w:spacing w:after="80" w:line="276" w:lineRule="auto"/>
      </w:pPr>
      <w:r>
        <w:rPr>
          <w:rFonts w:ascii="Cambria" w:hAnsi="Cambria"/>
          <w:b w:val="0"/>
          <w:i w:val="0"/>
          <w:sz w:val="22"/>
        </w:rPr>
        <w:t>Promotes lifelong learning, knowledge democratization, and social impact through open education.</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 xml:space="preserve">The Associate Dean </w:t>
      </w:r>
      <w:r>
        <w:rPr>
          <w:rFonts w:ascii="Cambria" w:hAnsi="Cambria"/>
          <w:b w:val="0"/>
          <w:i w:val="0"/>
          <w:sz w:val="22"/>
        </w:rPr>
        <w:t>– MOOC Creation is the custodian of digital learning and online academic innovation because this role ensures that the University not only keeps pace with the digital transformation of education but also becomes a knowledge provider on global platforms. By fostering MOOC creation, blended learning, and online pedagogical excellence, this role expands the University's academic influence far beyond its physical boundaries.</w:t>
      </w:r>
    </w:p>
    <w:p>
      <w:r>
        <w:br w:type="page"/>
      </w:r>
    </w:p>
    <w:p>
      <w:pPr>
        <w:pStyle w:val="Heading1"/>
      </w:pPr>
      <w:r>
        <w:rPr>
          <w:rFonts w:ascii="Cambria" w:hAnsi="Cambria"/>
          <w:b/>
          <w:color w:val="1F3A5F"/>
          <w:sz w:val="36"/>
        </w:rPr>
        <w:t>22. Mapping of Associate Deans to NBA, NAAC, NIRF, and QS I-GAUGE</w:t>
      </w:r>
    </w:p>
    <w:tbl>
      <w:tblPr>
        <w:tblStyle w:val="TableGrid"/>
        <w:tblW w:type="auto" w:w="0"/>
        <w:jc w:val="center"/>
        <w:tblLayout w:type="fixed"/>
        <w:tblLook w:firstColumn="1" w:firstRow="1" w:lastColumn="0" w:lastRow="0" w:noHBand="0" w:noVBand="1" w:val="04A0"/>
        <w:tblLayout w:type="fixed"/>
      </w:tblPr>
      <w:tblGrid>
        <w:gridCol w:w="2041"/>
        <w:gridCol w:w="1701"/>
        <w:gridCol w:w="1701"/>
        <w:gridCol w:w="1701"/>
        <w:gridCol w:w="1701"/>
      </w:tblGrid>
      <w:tr>
        <w:tc>
          <w:tcPr>
            <w:tcW w:type="dxa" w:w="2041"/>
            <w:shd w:val="clear" w:color="auto" w:fill="1F3A5F"/>
          </w:tcPr>
          <w:p>
            <w:pPr>
              <w:spacing w:after="40" w:line="240" w:lineRule="auto"/>
              <w:jc w:val="center"/>
            </w:pPr>
            <w:r/>
            <w:r>
              <w:rPr>
                <w:rFonts w:ascii="Cambria" w:hAnsi="Cambria"/>
                <w:b/>
                <w:color w:val="FFFFFF"/>
                <w:sz w:val="17"/>
              </w:rPr>
              <w:t>Associate Dean Portfolio</w:t>
            </w:r>
          </w:p>
        </w:tc>
        <w:tc>
          <w:tcPr>
            <w:tcW w:type="dxa" w:w="1701"/>
            <w:shd w:val="clear" w:color="auto" w:fill="1F3A5F"/>
          </w:tcPr>
          <w:p>
            <w:pPr>
              <w:spacing w:after="40" w:line="240" w:lineRule="auto"/>
              <w:jc w:val="center"/>
            </w:pPr>
            <w:r/>
            <w:r>
              <w:rPr>
                <w:rFonts w:ascii="Cambria" w:hAnsi="Cambria"/>
                <w:b/>
                <w:color w:val="FFFFFF"/>
                <w:sz w:val="17"/>
              </w:rPr>
              <w:t>NBA Criteria</w:t>
            </w:r>
          </w:p>
        </w:tc>
        <w:tc>
          <w:tcPr>
            <w:tcW w:type="dxa" w:w="1701"/>
            <w:shd w:val="clear" w:color="auto" w:fill="1F3A5F"/>
          </w:tcPr>
          <w:p>
            <w:pPr>
              <w:spacing w:after="40" w:line="240" w:lineRule="auto"/>
              <w:jc w:val="center"/>
            </w:pPr>
            <w:r/>
            <w:r>
              <w:rPr>
                <w:rFonts w:ascii="Cambria" w:hAnsi="Cambria"/>
                <w:b/>
                <w:color w:val="FFFFFF"/>
                <w:sz w:val="17"/>
              </w:rPr>
              <w:t>NAAC Criteria</w:t>
            </w:r>
          </w:p>
        </w:tc>
        <w:tc>
          <w:tcPr>
            <w:tcW w:type="dxa" w:w="1701"/>
            <w:shd w:val="clear" w:color="auto" w:fill="1F3A5F"/>
          </w:tcPr>
          <w:p>
            <w:pPr>
              <w:spacing w:after="40" w:line="240" w:lineRule="auto"/>
              <w:jc w:val="center"/>
            </w:pPr>
            <w:r/>
            <w:r>
              <w:rPr>
                <w:rFonts w:ascii="Cambria" w:hAnsi="Cambria"/>
                <w:b/>
                <w:color w:val="FFFFFF"/>
                <w:sz w:val="17"/>
              </w:rPr>
              <w:t>NIRF Parameters</w:t>
            </w:r>
          </w:p>
        </w:tc>
        <w:tc>
          <w:tcPr>
            <w:tcW w:type="dxa" w:w="1701"/>
            <w:shd w:val="clear" w:color="auto" w:fill="1F3A5F"/>
          </w:tcPr>
          <w:p>
            <w:pPr>
              <w:spacing w:after="40" w:line="240" w:lineRule="auto"/>
              <w:jc w:val="center"/>
            </w:pPr>
            <w:r/>
            <w:r>
              <w:rPr>
                <w:rFonts w:ascii="Cambria" w:hAnsi="Cambria"/>
                <w:b/>
                <w:color w:val="FFFFFF"/>
                <w:sz w:val="17"/>
              </w:rPr>
              <w:t>QS I-GAUGE Indicators</w:t>
            </w:r>
          </w:p>
        </w:tc>
      </w:tr>
      <w:tr>
        <w:tc>
          <w:tcPr>
            <w:tcW w:type="dxa" w:w="2041"/>
          </w:tcPr>
          <w:p>
            <w:pPr>
              <w:spacing w:after="40" w:line="240" w:lineRule="auto"/>
              <w:jc w:val="left"/>
            </w:pPr>
            <w:r/>
            <w:r>
              <w:rPr>
                <w:rFonts w:ascii="Cambria" w:hAnsi="Cambria"/>
                <w:b w:val="0"/>
                <w:sz w:val="16"/>
              </w:rPr>
              <w:t>Projects &amp; Academic Research</w:t>
            </w:r>
          </w:p>
        </w:tc>
        <w:tc>
          <w:tcPr>
            <w:tcW w:type="dxa" w:w="1701"/>
          </w:tcPr>
          <w:p>
            <w:pPr>
              <w:spacing w:after="40" w:line="240" w:lineRule="auto"/>
              <w:jc w:val="left"/>
            </w:pPr>
            <w:r/>
            <w:r>
              <w:rPr>
                <w:rFonts w:ascii="Cambria" w:hAnsi="Cambria"/>
                <w:b w:val="0"/>
                <w:sz w:val="16"/>
              </w:rPr>
              <w:t>Criterion 3: Research &amp; Development, Consultancy</w:t>
            </w:r>
          </w:p>
        </w:tc>
        <w:tc>
          <w:tcPr>
            <w:tcW w:type="dxa" w:w="1701"/>
          </w:tcPr>
          <w:p>
            <w:pPr>
              <w:spacing w:after="40" w:line="240" w:lineRule="auto"/>
              <w:jc w:val="left"/>
            </w:pPr>
            <w:r/>
            <w:r>
              <w:rPr>
                <w:rFonts w:ascii="Cambria" w:hAnsi="Cambria"/>
                <w:b w:val="0"/>
                <w:sz w:val="16"/>
              </w:rPr>
              <w:t>Criterion III: Research, Innovations &amp; Extension</w:t>
            </w:r>
          </w:p>
        </w:tc>
        <w:tc>
          <w:tcPr>
            <w:tcW w:type="dxa" w:w="1701"/>
          </w:tcPr>
          <w:p>
            <w:pPr>
              <w:spacing w:after="40" w:line="240" w:lineRule="auto"/>
              <w:jc w:val="left"/>
            </w:pPr>
            <w:r/>
            <w:r>
              <w:rPr>
                <w:rFonts w:ascii="Cambria" w:hAnsi="Cambria"/>
                <w:b w:val="0"/>
                <w:sz w:val="16"/>
              </w:rPr>
              <w:t>Research &amp; Professional Practice (RP)</w:t>
            </w:r>
          </w:p>
        </w:tc>
        <w:tc>
          <w:tcPr>
            <w:tcW w:type="dxa" w:w="1701"/>
          </w:tcPr>
          <w:p>
            <w:pPr>
              <w:spacing w:after="40" w:line="240" w:lineRule="auto"/>
              <w:jc w:val="left"/>
            </w:pPr>
            <w:r/>
            <w:r>
              <w:rPr>
                <w:rFonts w:ascii="Cambria" w:hAnsi="Cambria"/>
                <w:b w:val="0"/>
                <w:sz w:val="16"/>
              </w:rPr>
              <w:t>Faculty Quality, Research Impact, Innovation</w:t>
            </w:r>
          </w:p>
        </w:tc>
      </w:tr>
      <w:tr>
        <w:tc>
          <w:tcPr>
            <w:tcW w:type="dxa" w:w="2041"/>
            <w:shd w:val="clear" w:color="auto" w:fill="F2F2F2"/>
          </w:tcPr>
          <w:p>
            <w:pPr>
              <w:spacing w:after="40" w:line="240" w:lineRule="auto"/>
              <w:jc w:val="left"/>
            </w:pPr>
            <w:r/>
            <w:r>
              <w:rPr>
                <w:rFonts w:ascii="Cambria" w:hAnsi="Cambria"/>
                <w:b w:val="0"/>
                <w:sz w:val="16"/>
              </w:rPr>
              <w:t>OBE Implementation</w:t>
            </w:r>
          </w:p>
        </w:tc>
        <w:tc>
          <w:tcPr>
            <w:tcW w:type="dxa" w:w="1701"/>
            <w:shd w:val="clear" w:color="auto" w:fill="F2F2F2"/>
          </w:tcPr>
          <w:p>
            <w:pPr>
              <w:spacing w:after="40" w:line="240" w:lineRule="auto"/>
              <w:jc w:val="left"/>
            </w:pPr>
            <w:r/>
            <w:r>
              <w:rPr>
                <w:rFonts w:ascii="Cambria" w:hAnsi="Cambria"/>
                <w:b w:val="0"/>
                <w:sz w:val="16"/>
              </w:rPr>
              <w:t>Criterion 1 &amp; 2: Vision, Mission, PEOs, CO-PO-PSO Attainment</w:t>
            </w:r>
          </w:p>
        </w:tc>
        <w:tc>
          <w:tcPr>
            <w:tcW w:type="dxa" w:w="1701"/>
            <w:shd w:val="clear" w:color="auto" w:fill="F2F2F2"/>
          </w:tcPr>
          <w:p>
            <w:pPr>
              <w:spacing w:after="40" w:line="240" w:lineRule="auto"/>
              <w:jc w:val="left"/>
            </w:pPr>
            <w:r/>
            <w:r>
              <w:rPr>
                <w:rFonts w:ascii="Cambria" w:hAnsi="Cambria"/>
                <w:b w:val="0"/>
                <w:sz w:val="16"/>
              </w:rPr>
              <w:t>Criterion I: Curricular Aspects</w:t>
            </w:r>
          </w:p>
        </w:tc>
        <w:tc>
          <w:tcPr>
            <w:tcW w:type="dxa" w:w="1701"/>
            <w:shd w:val="clear" w:color="auto" w:fill="F2F2F2"/>
          </w:tcPr>
          <w:p>
            <w:pPr>
              <w:spacing w:after="40" w:line="240" w:lineRule="auto"/>
              <w:jc w:val="left"/>
            </w:pPr>
            <w:r/>
            <w:r>
              <w:rPr>
                <w:rFonts w:ascii="Cambria" w:hAnsi="Cambria"/>
                <w:b w:val="0"/>
                <w:sz w:val="16"/>
              </w:rPr>
              <w:t>Teaching, Learning &amp; Resources (TLR)</w:t>
            </w:r>
          </w:p>
        </w:tc>
        <w:tc>
          <w:tcPr>
            <w:tcW w:type="dxa" w:w="1701"/>
            <w:shd w:val="clear" w:color="auto" w:fill="F2F2F2"/>
          </w:tcPr>
          <w:p>
            <w:pPr>
              <w:spacing w:after="40" w:line="240" w:lineRule="auto"/>
              <w:jc w:val="left"/>
            </w:pPr>
            <w:r/>
            <w:r>
              <w:rPr>
                <w:rFonts w:ascii="Cambria" w:hAnsi="Cambria"/>
                <w:b w:val="0"/>
                <w:sz w:val="16"/>
              </w:rPr>
              <w:t>Faculty Quality, Learning Experience</w:t>
            </w:r>
          </w:p>
        </w:tc>
      </w:tr>
      <w:tr>
        <w:tc>
          <w:tcPr>
            <w:tcW w:type="dxa" w:w="2041"/>
          </w:tcPr>
          <w:p>
            <w:pPr>
              <w:spacing w:after="40" w:line="240" w:lineRule="auto"/>
              <w:jc w:val="left"/>
            </w:pPr>
            <w:r/>
            <w:r>
              <w:rPr>
                <w:rFonts w:ascii="Cambria" w:hAnsi="Cambria"/>
                <w:b w:val="0"/>
                <w:sz w:val="16"/>
              </w:rPr>
              <w:t>Student Progression</w:t>
            </w:r>
          </w:p>
        </w:tc>
        <w:tc>
          <w:tcPr>
            <w:tcW w:type="dxa" w:w="1701"/>
          </w:tcPr>
          <w:p>
            <w:pPr>
              <w:spacing w:after="40" w:line="240" w:lineRule="auto"/>
              <w:jc w:val="left"/>
            </w:pPr>
            <w:r/>
            <w:r>
              <w:rPr>
                <w:rFonts w:ascii="Cambria" w:hAnsi="Cambria"/>
                <w:b w:val="0"/>
                <w:sz w:val="16"/>
              </w:rPr>
              <w:t>Criterion 5: Student Support Systems</w:t>
            </w:r>
          </w:p>
        </w:tc>
        <w:tc>
          <w:tcPr>
            <w:tcW w:type="dxa" w:w="1701"/>
          </w:tcPr>
          <w:p>
            <w:pPr>
              <w:spacing w:after="40" w:line="240" w:lineRule="auto"/>
              <w:jc w:val="left"/>
            </w:pPr>
            <w:r/>
            <w:r>
              <w:rPr>
                <w:rFonts w:ascii="Cambria" w:hAnsi="Cambria"/>
                <w:b w:val="0"/>
                <w:sz w:val="16"/>
              </w:rPr>
              <w:t>Criterion V: Student Support &amp; Progression</w:t>
            </w:r>
          </w:p>
        </w:tc>
        <w:tc>
          <w:tcPr>
            <w:tcW w:type="dxa" w:w="1701"/>
          </w:tcPr>
          <w:p>
            <w:pPr>
              <w:spacing w:after="40" w:line="240" w:lineRule="auto"/>
              <w:jc w:val="left"/>
            </w:pPr>
            <w:r/>
            <w:r>
              <w:rPr>
                <w:rFonts w:ascii="Cambria" w:hAnsi="Cambria"/>
                <w:b w:val="0"/>
                <w:sz w:val="16"/>
              </w:rPr>
              <w:t>Graduation Outcomes (GO)</w:t>
            </w:r>
          </w:p>
        </w:tc>
        <w:tc>
          <w:tcPr>
            <w:tcW w:type="dxa" w:w="1701"/>
          </w:tcPr>
          <w:p>
            <w:pPr>
              <w:spacing w:after="40" w:line="240" w:lineRule="auto"/>
              <w:jc w:val="left"/>
            </w:pPr>
            <w:r/>
            <w:r>
              <w:rPr>
                <w:rFonts w:ascii="Cambria" w:hAnsi="Cambria"/>
                <w:b w:val="0"/>
                <w:sz w:val="16"/>
              </w:rPr>
              <w:t>Employability, Student Diversity</w:t>
            </w:r>
          </w:p>
        </w:tc>
      </w:tr>
      <w:tr>
        <w:tc>
          <w:tcPr>
            <w:tcW w:type="dxa" w:w="2041"/>
            <w:shd w:val="clear" w:color="auto" w:fill="F2F2F2"/>
          </w:tcPr>
          <w:p>
            <w:pPr>
              <w:spacing w:after="40" w:line="240" w:lineRule="auto"/>
              <w:jc w:val="left"/>
            </w:pPr>
            <w:r/>
            <w:r>
              <w:rPr>
                <w:rFonts w:ascii="Cambria" w:hAnsi="Cambria"/>
                <w:b w:val="0"/>
                <w:sz w:val="16"/>
              </w:rPr>
              <w:t>Curriculum &amp; Academic Programs, Academic Feedback</w:t>
            </w:r>
          </w:p>
        </w:tc>
        <w:tc>
          <w:tcPr>
            <w:tcW w:type="dxa" w:w="1701"/>
            <w:shd w:val="clear" w:color="auto" w:fill="F2F2F2"/>
          </w:tcPr>
          <w:p>
            <w:pPr>
              <w:spacing w:after="40" w:line="240" w:lineRule="auto"/>
              <w:jc w:val="left"/>
            </w:pPr>
            <w:r/>
            <w:r>
              <w:rPr>
                <w:rFonts w:ascii="Cambria" w:hAnsi="Cambria"/>
                <w:b w:val="0"/>
                <w:sz w:val="16"/>
              </w:rPr>
              <w:t>Criterion 1: Vision, Mission, Curriculum Design</w:t>
            </w:r>
          </w:p>
        </w:tc>
        <w:tc>
          <w:tcPr>
            <w:tcW w:type="dxa" w:w="1701"/>
            <w:shd w:val="clear" w:color="auto" w:fill="F2F2F2"/>
          </w:tcPr>
          <w:p>
            <w:pPr>
              <w:spacing w:after="40" w:line="240" w:lineRule="auto"/>
              <w:jc w:val="left"/>
            </w:pPr>
            <w:r/>
            <w:r>
              <w:rPr>
                <w:rFonts w:ascii="Cambria" w:hAnsi="Cambria"/>
                <w:b w:val="0"/>
                <w:sz w:val="16"/>
              </w:rPr>
              <w:t>Criterion I: Curricular Aspects &amp; Criterion II: Teaching–Learning</w:t>
            </w:r>
          </w:p>
        </w:tc>
        <w:tc>
          <w:tcPr>
            <w:tcW w:type="dxa" w:w="1701"/>
            <w:shd w:val="clear" w:color="auto" w:fill="F2F2F2"/>
          </w:tcPr>
          <w:p>
            <w:pPr>
              <w:spacing w:after="40" w:line="240" w:lineRule="auto"/>
              <w:jc w:val="left"/>
            </w:pPr>
            <w:r/>
            <w:r>
              <w:rPr>
                <w:rFonts w:ascii="Cambria" w:hAnsi="Cambria"/>
                <w:b w:val="0"/>
                <w:sz w:val="16"/>
              </w:rPr>
              <w:t>TLR (Quality of Teaching &amp; Learning Environment)</w:t>
            </w:r>
          </w:p>
        </w:tc>
        <w:tc>
          <w:tcPr>
            <w:tcW w:type="dxa" w:w="1701"/>
            <w:shd w:val="clear" w:color="auto" w:fill="F2F2F2"/>
          </w:tcPr>
          <w:p>
            <w:pPr>
              <w:spacing w:after="40" w:line="240" w:lineRule="auto"/>
              <w:jc w:val="left"/>
            </w:pPr>
            <w:r/>
            <w:r>
              <w:rPr>
                <w:rFonts w:ascii="Cambria" w:hAnsi="Cambria"/>
                <w:b w:val="0"/>
                <w:sz w:val="16"/>
              </w:rPr>
              <w:t>Faculty Quality, Learning Experience</w:t>
            </w:r>
          </w:p>
        </w:tc>
      </w:tr>
      <w:tr>
        <w:tc>
          <w:tcPr>
            <w:tcW w:type="dxa" w:w="2041"/>
          </w:tcPr>
          <w:p>
            <w:pPr>
              <w:spacing w:after="40" w:line="240" w:lineRule="auto"/>
              <w:jc w:val="left"/>
            </w:pPr>
            <w:r/>
            <w:r>
              <w:rPr>
                <w:rFonts w:ascii="Cambria" w:hAnsi="Cambria"/>
                <w:b w:val="0"/>
                <w:sz w:val="16"/>
              </w:rPr>
              <w:t>Academic Registration</w:t>
            </w:r>
          </w:p>
        </w:tc>
        <w:tc>
          <w:tcPr>
            <w:tcW w:type="dxa" w:w="1701"/>
          </w:tcPr>
          <w:p>
            <w:pPr>
              <w:spacing w:after="40" w:line="240" w:lineRule="auto"/>
              <w:jc w:val="left"/>
            </w:pPr>
            <w:r/>
            <w:r>
              <w:rPr>
                <w:rFonts w:ascii="Cambria" w:hAnsi="Cambria"/>
                <w:b w:val="0"/>
                <w:sz w:val="16"/>
              </w:rPr>
              <w:t>Criterion 2: Program Curriculum &amp; Delivery</w:t>
            </w:r>
          </w:p>
        </w:tc>
        <w:tc>
          <w:tcPr>
            <w:tcW w:type="dxa" w:w="1701"/>
          </w:tcPr>
          <w:p>
            <w:pPr>
              <w:spacing w:after="40" w:line="240" w:lineRule="auto"/>
              <w:jc w:val="left"/>
            </w:pPr>
            <w:r/>
            <w:r>
              <w:rPr>
                <w:rFonts w:ascii="Cambria" w:hAnsi="Cambria"/>
                <w:b w:val="0"/>
                <w:sz w:val="16"/>
              </w:rPr>
              <w:t>Criterion II: Teaching–Learning &amp; Evaluation</w:t>
            </w:r>
          </w:p>
        </w:tc>
        <w:tc>
          <w:tcPr>
            <w:tcW w:type="dxa" w:w="1701"/>
          </w:tcPr>
          <w:p>
            <w:pPr>
              <w:spacing w:after="40" w:line="240" w:lineRule="auto"/>
              <w:jc w:val="left"/>
            </w:pPr>
            <w:r/>
            <w:r>
              <w:rPr>
                <w:rFonts w:ascii="Cambria" w:hAnsi="Cambria"/>
                <w:b w:val="0"/>
                <w:sz w:val="16"/>
              </w:rPr>
              <w:t>TLR (Student-Faculty Ratio, Resources)</w:t>
            </w:r>
          </w:p>
        </w:tc>
        <w:tc>
          <w:tcPr>
            <w:tcW w:type="dxa" w:w="1701"/>
          </w:tcPr>
          <w:p>
            <w:pPr>
              <w:spacing w:after="40" w:line="240" w:lineRule="auto"/>
              <w:jc w:val="left"/>
            </w:pPr>
            <w:r/>
            <w:r>
              <w:rPr>
                <w:rFonts w:ascii="Cambria" w:hAnsi="Cambria"/>
                <w:b w:val="0"/>
                <w:sz w:val="16"/>
              </w:rPr>
              <w:t>Faculty Quality, Diversity, Learning Experience</w:t>
            </w:r>
          </w:p>
        </w:tc>
      </w:tr>
      <w:tr>
        <w:tc>
          <w:tcPr>
            <w:tcW w:type="dxa" w:w="2041"/>
            <w:shd w:val="clear" w:color="auto" w:fill="F2F2F2"/>
          </w:tcPr>
          <w:p>
            <w:pPr>
              <w:spacing w:after="40" w:line="240" w:lineRule="auto"/>
              <w:jc w:val="left"/>
            </w:pPr>
            <w:r/>
            <w:r>
              <w:rPr>
                <w:rFonts w:ascii="Cambria" w:hAnsi="Cambria"/>
                <w:b w:val="0"/>
                <w:sz w:val="16"/>
              </w:rPr>
              <w:t>Skilling and VAC/CC</w:t>
            </w:r>
          </w:p>
        </w:tc>
        <w:tc>
          <w:tcPr>
            <w:tcW w:type="dxa" w:w="1701"/>
            <w:shd w:val="clear" w:color="auto" w:fill="F2F2F2"/>
          </w:tcPr>
          <w:p>
            <w:pPr>
              <w:spacing w:after="40" w:line="240" w:lineRule="auto"/>
              <w:jc w:val="left"/>
            </w:pPr>
            <w:r/>
            <w:r>
              <w:rPr>
                <w:rFonts w:ascii="Cambria" w:hAnsi="Cambria"/>
                <w:b w:val="0"/>
                <w:sz w:val="16"/>
              </w:rPr>
              <w:t>Criterion 7: Continuous Improvement, Employability Skills</w:t>
            </w:r>
          </w:p>
        </w:tc>
        <w:tc>
          <w:tcPr>
            <w:tcW w:type="dxa" w:w="1701"/>
            <w:shd w:val="clear" w:color="auto" w:fill="F2F2F2"/>
          </w:tcPr>
          <w:p>
            <w:pPr>
              <w:spacing w:after="40" w:line="240" w:lineRule="auto"/>
              <w:jc w:val="left"/>
            </w:pPr>
            <w:r/>
            <w:r>
              <w:rPr>
                <w:rFonts w:ascii="Cambria" w:hAnsi="Cambria"/>
                <w:b w:val="0"/>
                <w:sz w:val="16"/>
              </w:rPr>
              <w:t>Criterion I &amp; V: Curriculum Aspects &amp; Student Support</w:t>
            </w:r>
          </w:p>
        </w:tc>
        <w:tc>
          <w:tcPr>
            <w:tcW w:type="dxa" w:w="1701"/>
            <w:shd w:val="clear" w:color="auto" w:fill="F2F2F2"/>
          </w:tcPr>
          <w:p>
            <w:pPr>
              <w:spacing w:after="40" w:line="240" w:lineRule="auto"/>
              <w:jc w:val="left"/>
            </w:pPr>
            <w:r/>
            <w:r>
              <w:rPr>
                <w:rFonts w:ascii="Cambria" w:hAnsi="Cambria"/>
                <w:b w:val="0"/>
                <w:sz w:val="16"/>
              </w:rPr>
              <w:t>Graduation Outcomes (Employability, Placements, Higher Studies)</w:t>
            </w:r>
          </w:p>
        </w:tc>
        <w:tc>
          <w:tcPr>
            <w:tcW w:type="dxa" w:w="1701"/>
            <w:shd w:val="clear" w:color="auto" w:fill="F2F2F2"/>
          </w:tcPr>
          <w:p>
            <w:pPr>
              <w:spacing w:after="40" w:line="240" w:lineRule="auto"/>
              <w:jc w:val="left"/>
            </w:pPr>
            <w:r/>
            <w:r>
              <w:rPr>
                <w:rFonts w:ascii="Cambria" w:hAnsi="Cambria"/>
                <w:b w:val="0"/>
                <w:sz w:val="16"/>
              </w:rPr>
              <w:t>Employability, Skills Development</w:t>
            </w:r>
          </w:p>
        </w:tc>
      </w:tr>
      <w:tr>
        <w:tc>
          <w:tcPr>
            <w:tcW w:type="dxa" w:w="2041"/>
          </w:tcPr>
          <w:p>
            <w:pPr>
              <w:spacing w:after="40" w:line="240" w:lineRule="auto"/>
              <w:jc w:val="left"/>
            </w:pPr>
            <w:r/>
            <w:r>
              <w:rPr>
                <w:rFonts w:ascii="Cambria" w:hAnsi="Cambria"/>
                <w:b w:val="0"/>
                <w:sz w:val="16"/>
              </w:rPr>
              <w:t>Time Tables &amp; Monitoring of Teaching</w:t>
            </w:r>
          </w:p>
        </w:tc>
        <w:tc>
          <w:tcPr>
            <w:tcW w:type="dxa" w:w="1701"/>
          </w:tcPr>
          <w:p>
            <w:pPr>
              <w:spacing w:after="40" w:line="240" w:lineRule="auto"/>
              <w:jc w:val="left"/>
            </w:pPr>
            <w:r/>
            <w:r>
              <w:rPr>
                <w:rFonts w:ascii="Cambria" w:hAnsi="Cambria"/>
                <w:b w:val="0"/>
                <w:sz w:val="16"/>
              </w:rPr>
              <w:t>Criterion 2: Curriculum Delivery Effectiveness</w:t>
            </w:r>
          </w:p>
        </w:tc>
        <w:tc>
          <w:tcPr>
            <w:tcW w:type="dxa" w:w="1701"/>
          </w:tcPr>
          <w:p>
            <w:pPr>
              <w:spacing w:after="40" w:line="240" w:lineRule="auto"/>
              <w:jc w:val="left"/>
            </w:pPr>
            <w:r/>
            <w:r>
              <w:rPr>
                <w:rFonts w:ascii="Cambria" w:hAnsi="Cambria"/>
                <w:b w:val="0"/>
                <w:sz w:val="16"/>
              </w:rPr>
              <w:t>Criterion II: Teaching–Learning &amp; Evaluation</w:t>
            </w:r>
          </w:p>
        </w:tc>
        <w:tc>
          <w:tcPr>
            <w:tcW w:type="dxa" w:w="1701"/>
          </w:tcPr>
          <w:p>
            <w:pPr>
              <w:spacing w:after="40" w:line="240" w:lineRule="auto"/>
              <w:jc w:val="left"/>
            </w:pPr>
            <w:r/>
            <w:r>
              <w:rPr>
                <w:rFonts w:ascii="Cambria" w:hAnsi="Cambria"/>
                <w:b w:val="0"/>
                <w:sz w:val="16"/>
              </w:rPr>
              <w:t>TLR (Faculty Effectiveness, Academic Discipline)</w:t>
            </w:r>
          </w:p>
        </w:tc>
        <w:tc>
          <w:tcPr>
            <w:tcW w:type="dxa" w:w="1701"/>
          </w:tcPr>
          <w:p>
            <w:pPr>
              <w:spacing w:after="40" w:line="240" w:lineRule="auto"/>
              <w:jc w:val="left"/>
            </w:pPr>
            <w:r/>
            <w:r>
              <w:rPr>
                <w:rFonts w:ascii="Cambria" w:hAnsi="Cambria"/>
                <w:b w:val="0"/>
                <w:sz w:val="16"/>
              </w:rPr>
              <w:t>Faculty Quality, Learning Experience</w:t>
            </w:r>
          </w:p>
        </w:tc>
      </w:tr>
      <w:tr>
        <w:tc>
          <w:tcPr>
            <w:tcW w:type="dxa" w:w="2041"/>
            <w:shd w:val="clear" w:color="auto" w:fill="F2F2F2"/>
          </w:tcPr>
          <w:p>
            <w:pPr>
              <w:spacing w:after="40" w:line="240" w:lineRule="auto"/>
              <w:jc w:val="left"/>
            </w:pPr>
            <w:r/>
            <w:r>
              <w:rPr>
                <w:rFonts w:ascii="Cambria" w:hAnsi="Cambria"/>
                <w:b w:val="0"/>
                <w:sz w:val="16"/>
              </w:rPr>
              <w:t>MOOC Creation</w:t>
            </w:r>
          </w:p>
        </w:tc>
        <w:tc>
          <w:tcPr>
            <w:tcW w:type="dxa" w:w="1701"/>
            <w:shd w:val="clear" w:color="auto" w:fill="F2F2F2"/>
          </w:tcPr>
          <w:p>
            <w:pPr>
              <w:spacing w:after="40" w:line="240" w:lineRule="auto"/>
              <w:jc w:val="left"/>
            </w:pPr>
            <w:r/>
            <w:r>
              <w:rPr>
                <w:rFonts w:ascii="Cambria" w:hAnsi="Cambria"/>
                <w:b w:val="0"/>
                <w:sz w:val="16"/>
              </w:rPr>
              <w:t>Criterion 8: Innovation &amp; Best Practices (Digital Learning)</w:t>
            </w:r>
          </w:p>
        </w:tc>
        <w:tc>
          <w:tcPr>
            <w:tcW w:type="dxa" w:w="1701"/>
            <w:shd w:val="clear" w:color="auto" w:fill="F2F2F2"/>
          </w:tcPr>
          <w:p>
            <w:pPr>
              <w:spacing w:after="40" w:line="240" w:lineRule="auto"/>
              <w:jc w:val="left"/>
            </w:pPr>
            <w:r/>
            <w:r>
              <w:rPr>
                <w:rFonts w:ascii="Cambria" w:hAnsi="Cambria"/>
                <w:b w:val="0"/>
                <w:sz w:val="16"/>
              </w:rPr>
              <w:t>Criterion II &amp; IV: Teaching–Learning &amp; Infrastructure</w:t>
            </w:r>
          </w:p>
        </w:tc>
        <w:tc>
          <w:tcPr>
            <w:tcW w:type="dxa" w:w="1701"/>
            <w:shd w:val="clear" w:color="auto" w:fill="F2F2F2"/>
          </w:tcPr>
          <w:p>
            <w:pPr>
              <w:spacing w:after="40" w:line="240" w:lineRule="auto"/>
              <w:jc w:val="left"/>
            </w:pPr>
            <w:r/>
            <w:r>
              <w:rPr>
                <w:rFonts w:ascii="Cambria" w:hAnsi="Cambria"/>
                <w:b w:val="0"/>
                <w:sz w:val="16"/>
              </w:rPr>
              <w:t>Outreach &amp; Inclusivity (OI), Online Education initiatives</w:t>
            </w:r>
          </w:p>
        </w:tc>
        <w:tc>
          <w:tcPr>
            <w:tcW w:type="dxa" w:w="1701"/>
            <w:shd w:val="clear" w:color="auto" w:fill="F2F2F2"/>
          </w:tcPr>
          <w:p>
            <w:pPr>
              <w:spacing w:after="40" w:line="240" w:lineRule="auto"/>
              <w:jc w:val="left"/>
            </w:pPr>
            <w:r/>
            <w:r>
              <w:rPr>
                <w:rFonts w:ascii="Cambria" w:hAnsi="Cambria"/>
                <w:b w:val="0"/>
                <w:sz w:val="16"/>
              </w:rPr>
              <w:t>Digital Learning Readiness, Global Engagement</w:t>
            </w:r>
          </w:p>
        </w:tc>
      </w:tr>
    </w:tbl>
    <w:p>
      <w:pPr>
        <w:spacing w:after="40"/>
      </w:pPr>
    </w:p>
    <w:p>
      <w:pPr>
        <w:spacing w:after="80" w:line="276" w:lineRule="auto"/>
      </w:pPr>
      <w:r>
        <w:rPr>
          <w:rFonts w:ascii="Cambria" w:hAnsi="Cambria"/>
          <w:b/>
          <w:i w:val="0"/>
          <w:sz w:val="22"/>
        </w:rPr>
        <w:t>Insights</w:t>
      </w:r>
    </w:p>
    <w:p>
      <w:pPr>
        <w:pStyle w:val="ListBullet"/>
        <w:spacing w:after="80" w:line="276" w:lineRule="auto"/>
      </w:pPr>
      <w:r>
        <w:rPr>
          <w:rFonts w:ascii="Cambria" w:hAnsi="Cambria"/>
          <w:b/>
          <w:i w:val="0"/>
          <w:sz w:val="22"/>
        </w:rPr>
        <w:t xml:space="preserve">NBA: </w:t>
      </w:r>
      <w:r>
        <w:rPr>
          <w:rFonts w:ascii="Cambria" w:hAnsi="Cambria"/>
          <w:b w:val="0"/>
          <w:i w:val="0"/>
          <w:sz w:val="22"/>
        </w:rPr>
        <w:t xml:space="preserve">Focuses on </w:t>
      </w:r>
      <w:r>
        <w:rPr>
          <w:rFonts w:ascii="Cambria" w:hAnsi="Cambria"/>
          <w:b w:val="0"/>
          <w:i/>
          <w:sz w:val="22"/>
        </w:rPr>
        <w:t>attainment, curriculum delivery, research, employability, and continuous improvement</w:t>
      </w:r>
      <w:r>
        <w:rPr>
          <w:rFonts w:ascii="Cambria" w:hAnsi="Cambria"/>
          <w:b w:val="0"/>
          <w:i w:val="0"/>
          <w:sz w:val="22"/>
        </w:rPr>
        <w:t>.</w:t>
      </w:r>
    </w:p>
    <w:p>
      <w:pPr>
        <w:pStyle w:val="ListBullet"/>
        <w:spacing w:after="80" w:line="276" w:lineRule="auto"/>
      </w:pPr>
      <w:r>
        <w:rPr>
          <w:rFonts w:ascii="Cambria" w:hAnsi="Cambria"/>
          <w:b/>
          <w:i w:val="0"/>
          <w:sz w:val="22"/>
        </w:rPr>
        <w:t xml:space="preserve">NAAC: </w:t>
      </w:r>
      <w:r>
        <w:rPr>
          <w:rFonts w:ascii="Cambria" w:hAnsi="Cambria"/>
          <w:b w:val="0"/>
          <w:i w:val="0"/>
          <w:sz w:val="22"/>
        </w:rPr>
        <w:t xml:space="preserve">Broader, covering </w:t>
      </w:r>
      <w:r>
        <w:rPr>
          <w:rFonts w:ascii="Cambria" w:hAnsi="Cambria"/>
          <w:b w:val="0"/>
          <w:i/>
          <w:sz w:val="22"/>
        </w:rPr>
        <w:t>Curricular Aspects, Teaching–Learning, Research, Student Support, Infrastructure, Governance, and Innovation</w:t>
      </w:r>
      <w:r>
        <w:rPr>
          <w:rFonts w:ascii="Cambria" w:hAnsi="Cambria"/>
          <w:b w:val="0"/>
          <w:i w:val="0"/>
          <w:sz w:val="22"/>
        </w:rPr>
        <w:t>.</w:t>
      </w:r>
    </w:p>
    <w:p>
      <w:pPr>
        <w:pStyle w:val="ListBullet"/>
        <w:spacing w:after="80" w:line="276" w:lineRule="auto"/>
      </w:pPr>
      <w:r>
        <w:rPr>
          <w:rFonts w:ascii="Cambria" w:hAnsi="Cambria"/>
          <w:b/>
          <w:i w:val="0"/>
          <w:sz w:val="22"/>
        </w:rPr>
        <w:t xml:space="preserve">NIRF: </w:t>
      </w:r>
      <w:r>
        <w:rPr>
          <w:rFonts w:ascii="Cambria" w:hAnsi="Cambria"/>
          <w:b w:val="0"/>
          <w:i w:val="0"/>
          <w:sz w:val="22"/>
        </w:rPr>
        <w:t xml:space="preserve">Relies on measurable data such as </w:t>
      </w:r>
      <w:r>
        <w:rPr>
          <w:rFonts w:ascii="Cambria" w:hAnsi="Cambria"/>
          <w:b w:val="0"/>
          <w:i/>
          <w:sz w:val="22"/>
        </w:rPr>
        <w:t>Teaching–Learning Resources (TLR), Research &amp; Professional Practice (RP), Graduation Outcomes (GO), Outreach &amp; Inclusivity (OI), Perception</w:t>
      </w:r>
      <w:r>
        <w:rPr>
          <w:rFonts w:ascii="Cambria" w:hAnsi="Cambria"/>
          <w:b w:val="0"/>
          <w:i w:val="0"/>
          <w:sz w:val="22"/>
        </w:rPr>
        <w:t>.</w:t>
      </w:r>
    </w:p>
    <w:p>
      <w:pPr>
        <w:pStyle w:val="ListBullet"/>
        <w:spacing w:after="80" w:line="276" w:lineRule="auto"/>
      </w:pPr>
      <w:r>
        <w:rPr>
          <w:rFonts w:ascii="Cambria" w:hAnsi="Cambria"/>
          <w:b/>
          <w:i w:val="0"/>
          <w:sz w:val="22"/>
        </w:rPr>
        <w:t xml:space="preserve">QS I-GAUGE: </w:t>
      </w:r>
      <w:r>
        <w:rPr>
          <w:rFonts w:ascii="Cambria" w:hAnsi="Cambria"/>
          <w:b w:val="0"/>
          <w:i w:val="0"/>
          <w:sz w:val="22"/>
        </w:rPr>
        <w:t xml:space="preserve">Holistic, measuring </w:t>
      </w:r>
      <w:r>
        <w:rPr>
          <w:rFonts w:ascii="Cambria" w:hAnsi="Cambria"/>
          <w:b w:val="0"/>
          <w:i/>
          <w:sz w:val="22"/>
        </w:rPr>
        <w:t>Faculty Quality, Employability, Skills Development, Innovation, Diversity, and Digital Readiness</w:t>
      </w:r>
      <w:r>
        <w:rPr>
          <w:rFonts w:ascii="Cambria" w:hAnsi="Cambria"/>
          <w:b w:val="0"/>
          <w:i w:val="0"/>
          <w:sz w:val="22"/>
        </w:rPr>
        <w:t>.</w:t>
      </w:r>
    </w:p>
    <w:p>
      <w:r>
        <w:br w:type="page"/>
      </w:r>
    </w:p>
    <w:p>
      <w:pPr>
        <w:pStyle w:val="Heading1"/>
      </w:pPr>
      <w:r>
        <w:rPr>
          <w:rFonts w:ascii="Cambria" w:hAnsi="Cambria"/>
          <w:b/>
          <w:color w:val="1F3A5F"/>
          <w:sz w:val="36"/>
        </w:rPr>
        <w:t>23. National and Global Quality Benchmarks in Higher Education</w:t>
      </w:r>
    </w:p>
    <w:p>
      <w:pPr>
        <w:pStyle w:val="Heading3"/>
      </w:pPr>
      <w:r>
        <w:rPr>
          <w:rFonts w:ascii="Cambria" w:hAnsi="Cambria"/>
          <w:b/>
          <w:color w:val="1F3A5F"/>
          <w:sz w:val="26"/>
        </w:rPr>
        <w:t>1. National Quality Benchmarks</w:t>
      </w:r>
    </w:p>
    <w:p>
      <w:pPr>
        <w:pStyle w:val="ListBullet"/>
        <w:spacing w:after="80" w:line="276" w:lineRule="auto"/>
      </w:pPr>
      <w:r>
        <w:rPr>
          <w:rFonts w:ascii="Cambria" w:hAnsi="Cambria"/>
          <w:b w:val="0"/>
          <w:i w:val="0"/>
          <w:sz w:val="22"/>
        </w:rPr>
        <w:t>NBA (National Board of Accreditation):</w:t>
      </w:r>
    </w:p>
    <w:p>
      <w:pPr>
        <w:pStyle w:val="ListBullet2"/>
        <w:spacing w:after="80" w:line="276" w:lineRule="auto"/>
      </w:pPr>
      <w:r>
        <w:rPr>
          <w:rFonts w:ascii="Cambria" w:hAnsi="Cambria"/>
          <w:b w:val="0"/>
          <w:i w:val="0"/>
          <w:sz w:val="22"/>
        </w:rPr>
        <w:t xml:space="preserve">Focuses on </w:t>
      </w:r>
      <w:r>
        <w:rPr>
          <w:rFonts w:ascii="Cambria" w:hAnsi="Cambria"/>
          <w:b w:val="0"/>
          <w:i/>
          <w:sz w:val="22"/>
        </w:rPr>
        <w:t>Outcome-Based Education (OBE)</w:t>
      </w:r>
      <w:r>
        <w:rPr>
          <w:rFonts w:ascii="Cambria" w:hAnsi="Cambria"/>
          <w:b w:val="0"/>
          <w:i w:val="0"/>
          <w:sz w:val="22"/>
        </w:rPr>
        <w:t>, ensuring programs have well-defined PEOs, POs, PSOs, and COs.</w:t>
      </w:r>
    </w:p>
    <w:p>
      <w:pPr>
        <w:pStyle w:val="ListBullet2"/>
        <w:spacing w:after="80" w:line="276" w:lineRule="auto"/>
      </w:pPr>
      <w:r>
        <w:rPr>
          <w:rFonts w:ascii="Cambria" w:hAnsi="Cambria"/>
          <w:b w:val="0"/>
          <w:i w:val="0"/>
          <w:sz w:val="22"/>
        </w:rPr>
        <w:t>Emphasizes curriculum design, attainment, employability skills, and continuous improvement.</w:t>
      </w:r>
    </w:p>
    <w:p>
      <w:pPr>
        <w:pStyle w:val="ListBullet"/>
        <w:spacing w:after="80" w:line="276" w:lineRule="auto"/>
      </w:pPr>
      <w:r>
        <w:rPr>
          <w:rFonts w:ascii="Cambria" w:hAnsi="Cambria"/>
          <w:b w:val="0"/>
          <w:i w:val="0"/>
          <w:sz w:val="22"/>
        </w:rPr>
        <w:t>NAAC (National Assessment and Accreditation Council):</w:t>
      </w:r>
    </w:p>
    <w:p>
      <w:pPr>
        <w:pStyle w:val="ListBullet2"/>
        <w:spacing w:after="80" w:line="276" w:lineRule="auto"/>
      </w:pPr>
      <w:r>
        <w:rPr>
          <w:rFonts w:ascii="Cambria" w:hAnsi="Cambria"/>
          <w:b w:val="0"/>
          <w:i w:val="0"/>
          <w:sz w:val="22"/>
        </w:rPr>
        <w:t>Holistic evaluation framework with seven criteria:</w:t>
      </w:r>
    </w:p>
    <w:p>
      <w:pPr>
        <w:pStyle w:val="ListNumber2"/>
        <w:spacing w:after="80" w:line="276" w:lineRule="auto"/>
      </w:pPr>
      <w:r>
        <w:rPr>
          <w:rFonts w:ascii="Cambria" w:hAnsi="Cambria"/>
          <w:b w:val="0"/>
          <w:i w:val="0"/>
          <w:sz w:val="22"/>
        </w:rPr>
        <w:t>Curricular Aspects</w:t>
      </w:r>
    </w:p>
    <w:p>
      <w:pPr>
        <w:pStyle w:val="ListNumber2"/>
        <w:spacing w:after="80" w:line="276" w:lineRule="auto"/>
      </w:pPr>
      <w:r>
        <w:rPr>
          <w:rFonts w:ascii="Cambria" w:hAnsi="Cambria"/>
          <w:b w:val="0"/>
          <w:i w:val="0"/>
          <w:sz w:val="22"/>
        </w:rPr>
        <w:t>Teaching–Learning and Evaluation</w:t>
      </w:r>
    </w:p>
    <w:p>
      <w:pPr>
        <w:pStyle w:val="ListNumber2"/>
        <w:spacing w:after="80" w:line="276" w:lineRule="auto"/>
      </w:pPr>
      <w:r>
        <w:rPr>
          <w:rFonts w:ascii="Cambria" w:hAnsi="Cambria"/>
          <w:b w:val="0"/>
          <w:i w:val="0"/>
          <w:sz w:val="22"/>
        </w:rPr>
        <w:t>Research, Innovations and Extension</w:t>
      </w:r>
    </w:p>
    <w:p>
      <w:pPr>
        <w:pStyle w:val="ListNumber2"/>
        <w:spacing w:after="80" w:line="276" w:lineRule="auto"/>
      </w:pPr>
      <w:r>
        <w:rPr>
          <w:rFonts w:ascii="Cambria" w:hAnsi="Cambria"/>
          <w:b w:val="0"/>
          <w:i w:val="0"/>
          <w:sz w:val="22"/>
        </w:rPr>
        <w:t>Infrastructure and Learning Resources</w:t>
      </w:r>
    </w:p>
    <w:p>
      <w:pPr>
        <w:pStyle w:val="ListNumber2"/>
        <w:spacing w:after="80" w:line="276" w:lineRule="auto"/>
      </w:pPr>
      <w:r>
        <w:rPr>
          <w:rFonts w:ascii="Cambria" w:hAnsi="Cambria"/>
          <w:b w:val="0"/>
          <w:i w:val="0"/>
          <w:sz w:val="22"/>
        </w:rPr>
        <w:t>Student Support and Progression</w:t>
      </w:r>
    </w:p>
    <w:p>
      <w:pPr>
        <w:pStyle w:val="ListNumber2"/>
        <w:spacing w:after="80" w:line="276" w:lineRule="auto"/>
      </w:pPr>
      <w:r>
        <w:rPr>
          <w:rFonts w:ascii="Cambria" w:hAnsi="Cambria"/>
          <w:b w:val="0"/>
          <w:i w:val="0"/>
          <w:sz w:val="22"/>
        </w:rPr>
        <w:t>Governance, Leadership and Management</w:t>
      </w:r>
    </w:p>
    <w:p>
      <w:pPr>
        <w:pStyle w:val="ListNumber2"/>
        <w:spacing w:after="80" w:line="276" w:lineRule="auto"/>
      </w:pPr>
      <w:r>
        <w:rPr>
          <w:rFonts w:ascii="Cambria" w:hAnsi="Cambria"/>
          <w:b w:val="0"/>
          <w:i w:val="0"/>
          <w:sz w:val="22"/>
        </w:rPr>
        <w:t>Institutional Values and Best Practices</w:t>
      </w:r>
    </w:p>
    <w:p>
      <w:pPr>
        <w:pStyle w:val="ListBullet2"/>
        <w:spacing w:after="80" w:line="276" w:lineRule="auto"/>
      </w:pPr>
      <w:r>
        <w:rPr>
          <w:rFonts w:ascii="Cambria" w:hAnsi="Cambria"/>
          <w:b w:val="0"/>
          <w:i w:val="0"/>
          <w:sz w:val="22"/>
        </w:rPr>
        <w:t>Benchmarks institutional quality through academic rigor, governance, inclusivity, and innovation.</w:t>
      </w:r>
    </w:p>
    <w:p>
      <w:pPr>
        <w:pStyle w:val="ListBullet"/>
        <w:spacing w:after="80" w:line="276" w:lineRule="auto"/>
      </w:pPr>
      <w:r>
        <w:rPr>
          <w:rFonts w:ascii="Cambria" w:hAnsi="Cambria"/>
          <w:b w:val="0"/>
          <w:i w:val="0"/>
          <w:sz w:val="22"/>
        </w:rPr>
        <w:t>NIRF (National Institutional Ranking Framework):</w:t>
      </w:r>
    </w:p>
    <w:p>
      <w:pPr>
        <w:pStyle w:val="ListBullet2"/>
        <w:spacing w:after="80" w:line="276" w:lineRule="auto"/>
      </w:pPr>
      <w:r>
        <w:rPr>
          <w:rFonts w:ascii="Cambria" w:hAnsi="Cambria"/>
          <w:b w:val="0"/>
          <w:i w:val="0"/>
          <w:sz w:val="22"/>
        </w:rPr>
        <w:t>Provides comparative rankings of Indian institutions based on:</w:t>
      </w:r>
    </w:p>
    <w:p>
      <w:pPr>
        <w:pStyle w:val="ListBullet2"/>
        <w:spacing w:after="80" w:line="276" w:lineRule="auto"/>
      </w:pPr>
      <w:r>
        <w:rPr>
          <w:rFonts w:ascii="Cambria" w:hAnsi="Cambria"/>
          <w:b w:val="0"/>
          <w:i w:val="0"/>
          <w:sz w:val="22"/>
        </w:rPr>
        <w:t>Teaching, Learning, and Resources (TLR)</w:t>
      </w:r>
    </w:p>
    <w:p>
      <w:pPr>
        <w:pStyle w:val="ListBullet2"/>
        <w:spacing w:after="80" w:line="276" w:lineRule="auto"/>
      </w:pPr>
      <w:r>
        <w:rPr>
          <w:rFonts w:ascii="Cambria" w:hAnsi="Cambria"/>
          <w:b w:val="0"/>
          <w:i w:val="0"/>
          <w:sz w:val="22"/>
        </w:rPr>
        <w:t>Research and Professional Practice (RP)</w:t>
      </w:r>
    </w:p>
    <w:p>
      <w:pPr>
        <w:pStyle w:val="ListBullet2"/>
        <w:spacing w:after="80" w:line="276" w:lineRule="auto"/>
      </w:pPr>
      <w:r>
        <w:rPr>
          <w:rFonts w:ascii="Cambria" w:hAnsi="Cambria"/>
          <w:b w:val="0"/>
          <w:i w:val="0"/>
          <w:sz w:val="22"/>
        </w:rPr>
        <w:t>Graduation Outcomes (GO)</w:t>
      </w:r>
    </w:p>
    <w:p>
      <w:pPr>
        <w:pStyle w:val="ListBullet2"/>
        <w:spacing w:after="80" w:line="276" w:lineRule="auto"/>
      </w:pPr>
      <w:r>
        <w:rPr>
          <w:rFonts w:ascii="Cambria" w:hAnsi="Cambria"/>
          <w:b w:val="0"/>
          <w:i w:val="0"/>
          <w:sz w:val="22"/>
        </w:rPr>
        <w:t>Outreach and Inclusivity (OI)</w:t>
      </w:r>
    </w:p>
    <w:p>
      <w:pPr>
        <w:pStyle w:val="ListBullet2"/>
        <w:spacing w:after="80" w:line="276" w:lineRule="auto"/>
      </w:pPr>
      <w:r>
        <w:rPr>
          <w:rFonts w:ascii="Cambria" w:hAnsi="Cambria"/>
          <w:b w:val="0"/>
          <w:i w:val="0"/>
          <w:sz w:val="22"/>
        </w:rPr>
        <w:t>Perception (PR)</w:t>
      </w:r>
    </w:p>
    <w:p>
      <w:pPr>
        <w:pStyle w:val="ListBullet2"/>
        <w:spacing w:after="80" w:line="276" w:lineRule="auto"/>
      </w:pPr>
      <w:r>
        <w:rPr>
          <w:rFonts w:ascii="Cambria" w:hAnsi="Cambria"/>
          <w:b w:val="0"/>
          <w:i w:val="0"/>
          <w:sz w:val="22"/>
        </w:rPr>
        <w:t>Drives institutions to adopt data-driven improvements.</w:t>
      </w:r>
    </w:p>
    <w:p>
      <w:pPr>
        <w:pStyle w:val="Heading3"/>
      </w:pPr>
      <w:r>
        <w:rPr>
          <w:rFonts w:ascii="Cambria" w:hAnsi="Cambria"/>
          <w:b/>
          <w:color w:val="1F3A5F"/>
          <w:sz w:val="26"/>
        </w:rPr>
        <w:t>2. Global Quality Benchmarks</w:t>
      </w:r>
    </w:p>
    <w:p>
      <w:pPr>
        <w:pStyle w:val="ListBullet"/>
        <w:spacing w:after="80" w:line="276" w:lineRule="auto"/>
      </w:pPr>
      <w:r>
        <w:rPr>
          <w:rFonts w:ascii="Cambria" w:hAnsi="Cambria"/>
          <w:b w:val="0"/>
          <w:i w:val="0"/>
          <w:sz w:val="22"/>
        </w:rPr>
        <w:t>QS I-GAUGE (Indian Adaptation of QS Rankings):</w:t>
      </w:r>
    </w:p>
    <w:p>
      <w:pPr>
        <w:pStyle w:val="ListBullet2"/>
        <w:spacing w:after="80" w:line="276" w:lineRule="auto"/>
      </w:pPr>
      <w:r>
        <w:rPr>
          <w:rFonts w:ascii="Cambria" w:hAnsi="Cambria"/>
          <w:b w:val="0"/>
          <w:i w:val="0"/>
          <w:sz w:val="22"/>
        </w:rPr>
        <w:t>Assesses institutions on globally recognized parameters including Faculty Quality, Employability, Diversity, Digital Readiness, Innovation, and Learning Experience.</w:t>
      </w:r>
    </w:p>
    <w:p>
      <w:pPr>
        <w:pStyle w:val="ListBullet2"/>
        <w:spacing w:after="80" w:line="276" w:lineRule="auto"/>
      </w:pPr>
      <w:r>
        <w:rPr>
          <w:rFonts w:ascii="Cambria" w:hAnsi="Cambria"/>
          <w:b w:val="0"/>
          <w:i w:val="0"/>
          <w:sz w:val="22"/>
        </w:rPr>
        <w:t>Offers star ratings that benchmark Indian institutions against international best practices.</w:t>
      </w:r>
    </w:p>
    <w:p>
      <w:pPr>
        <w:pStyle w:val="ListBullet"/>
        <w:spacing w:after="80" w:line="276" w:lineRule="auto"/>
      </w:pPr>
      <w:r>
        <w:rPr>
          <w:rFonts w:ascii="Cambria" w:hAnsi="Cambria"/>
          <w:b w:val="0"/>
          <w:i w:val="0"/>
          <w:sz w:val="22"/>
        </w:rPr>
        <w:t>QS World Rankings and THE (Times Higher Education):</w:t>
      </w:r>
    </w:p>
    <w:p>
      <w:pPr>
        <w:pStyle w:val="ListBullet2"/>
        <w:spacing w:after="80" w:line="276" w:lineRule="auto"/>
      </w:pPr>
      <w:r>
        <w:rPr>
          <w:rFonts w:ascii="Cambria" w:hAnsi="Cambria"/>
          <w:b w:val="0"/>
          <w:i w:val="0"/>
          <w:sz w:val="22"/>
        </w:rPr>
        <w:t>Evaluate institutions globally on teaching, research impact, citations, industry linkages, and international outlook.</w:t>
      </w:r>
    </w:p>
    <w:p>
      <w:pPr>
        <w:pStyle w:val="ListBullet2"/>
        <w:spacing w:after="80" w:line="276" w:lineRule="auto"/>
      </w:pPr>
      <w:r>
        <w:rPr>
          <w:rFonts w:ascii="Cambria" w:hAnsi="Cambria"/>
          <w:b w:val="0"/>
          <w:i w:val="0"/>
          <w:sz w:val="22"/>
        </w:rPr>
        <w:t>Push universities to align with global standards in knowledge production and student experience.</w:t>
      </w:r>
    </w:p>
    <w:p>
      <w:pPr>
        <w:pStyle w:val="ListBullet"/>
        <w:spacing w:after="80" w:line="276" w:lineRule="auto"/>
      </w:pPr>
      <w:r>
        <w:rPr>
          <w:rFonts w:ascii="Cambria" w:hAnsi="Cambria"/>
          <w:b w:val="0"/>
          <w:i w:val="0"/>
          <w:sz w:val="22"/>
        </w:rPr>
        <w:t>UNESCO and OECD Guidelines:</w:t>
      </w:r>
    </w:p>
    <w:p>
      <w:pPr>
        <w:pStyle w:val="ListBullet2"/>
        <w:spacing w:after="80" w:line="276" w:lineRule="auto"/>
      </w:pPr>
      <w:r>
        <w:rPr>
          <w:rFonts w:ascii="Cambria" w:hAnsi="Cambria"/>
          <w:b w:val="0"/>
          <w:i w:val="0"/>
          <w:sz w:val="22"/>
        </w:rPr>
        <w:t>Promote sustainable education, inclusivity, and lifelong learning models.</w:t>
      </w:r>
    </w:p>
    <w:p>
      <w:pPr>
        <w:pStyle w:val="ListBullet2"/>
        <w:spacing w:after="80" w:line="276" w:lineRule="auto"/>
      </w:pPr>
      <w:r>
        <w:rPr>
          <w:rFonts w:ascii="Cambria" w:hAnsi="Cambria"/>
          <w:b w:val="0"/>
          <w:i w:val="0"/>
          <w:sz w:val="22"/>
        </w:rPr>
        <w:t>Encourage higher education institutions to contribute to Sustainable Development Goals (SDGs).</w:t>
      </w:r>
    </w:p>
    <w:p>
      <w:pPr>
        <w:pStyle w:val="Heading3"/>
      </w:pPr>
      <w:r>
        <w:rPr>
          <w:rFonts w:ascii="Cambria" w:hAnsi="Cambria"/>
          <w:b/>
          <w:color w:val="1F3A5F"/>
          <w:sz w:val="26"/>
        </w:rPr>
        <w:t>3. Role of DOAA and Associate Deans in Upholding Benchmarks</w:t>
      </w:r>
    </w:p>
    <w:p>
      <w:pPr>
        <w:pStyle w:val="ListBullet"/>
        <w:spacing w:after="80" w:line="276" w:lineRule="auto"/>
      </w:pPr>
      <w:r>
        <w:rPr>
          <w:rFonts w:ascii="Cambria" w:hAnsi="Cambria"/>
          <w:b w:val="0"/>
          <w:i w:val="0"/>
          <w:sz w:val="22"/>
        </w:rPr>
        <w:t>Curricular Relevance &amp; Innovation:</w:t>
      </w:r>
    </w:p>
    <w:p>
      <w:pPr>
        <w:pStyle w:val="ListBullet2"/>
        <w:spacing w:after="80" w:line="276" w:lineRule="auto"/>
      </w:pPr>
      <w:r>
        <w:rPr>
          <w:rFonts w:ascii="Cambria" w:hAnsi="Cambria"/>
          <w:b w:val="0"/>
          <w:i w:val="0"/>
          <w:sz w:val="22"/>
        </w:rPr>
        <w:t>Associate Dean (Curriculum &amp; Academic Feedback) ensures compliance with NAAC Criterion I and NBA Criterion 1.</w:t>
      </w:r>
    </w:p>
    <w:p>
      <w:pPr>
        <w:pStyle w:val="ListBullet"/>
        <w:spacing w:after="80" w:line="276" w:lineRule="auto"/>
      </w:pPr>
      <w:r>
        <w:rPr>
          <w:rFonts w:ascii="Cambria" w:hAnsi="Cambria"/>
          <w:b w:val="0"/>
          <w:i w:val="0"/>
          <w:sz w:val="22"/>
        </w:rPr>
        <w:t>Outcome-Based Education:</w:t>
      </w:r>
    </w:p>
    <w:p>
      <w:pPr>
        <w:pStyle w:val="ListBullet2"/>
        <w:spacing w:after="80" w:line="276" w:lineRule="auto"/>
      </w:pPr>
      <w:r>
        <w:rPr>
          <w:rFonts w:ascii="Cambria" w:hAnsi="Cambria"/>
          <w:b w:val="0"/>
          <w:i w:val="0"/>
          <w:sz w:val="22"/>
        </w:rPr>
        <w:t>Associate Dean (OBE Implementation) aligns with NBA requirements and international OBE standards.</w:t>
      </w:r>
    </w:p>
    <w:p>
      <w:pPr>
        <w:pStyle w:val="ListBullet"/>
        <w:spacing w:after="80" w:line="276" w:lineRule="auto"/>
      </w:pPr>
      <w:r>
        <w:rPr>
          <w:rFonts w:ascii="Cambria" w:hAnsi="Cambria"/>
          <w:b w:val="0"/>
          <w:i w:val="0"/>
          <w:sz w:val="22"/>
        </w:rPr>
        <w:t>Research &amp; Innovation:</w:t>
      </w:r>
    </w:p>
    <w:p>
      <w:pPr>
        <w:pStyle w:val="ListBullet2"/>
        <w:spacing w:after="80" w:line="276" w:lineRule="auto"/>
      </w:pPr>
      <w:r>
        <w:rPr>
          <w:rFonts w:ascii="Cambria" w:hAnsi="Cambria"/>
          <w:b w:val="0"/>
          <w:i w:val="0"/>
          <w:sz w:val="22"/>
        </w:rPr>
        <w:t>Associate Dean (Projects &amp; Research) strengthens NBA Criterion 3, NAAC Criterion III, and NIRF Research.</w:t>
      </w:r>
    </w:p>
    <w:p>
      <w:pPr>
        <w:pStyle w:val="ListBullet"/>
        <w:spacing w:after="80" w:line="276" w:lineRule="auto"/>
      </w:pPr>
      <w:r>
        <w:rPr>
          <w:rFonts w:ascii="Cambria" w:hAnsi="Cambria"/>
          <w:b w:val="0"/>
          <w:i w:val="0"/>
          <w:sz w:val="22"/>
        </w:rPr>
        <w:t>Student Progression:</w:t>
      </w:r>
    </w:p>
    <w:p>
      <w:pPr>
        <w:pStyle w:val="ListBullet2"/>
        <w:spacing w:after="80" w:line="276" w:lineRule="auto"/>
      </w:pPr>
      <w:r>
        <w:rPr>
          <w:rFonts w:ascii="Cambria" w:hAnsi="Cambria"/>
          <w:b w:val="0"/>
          <w:i w:val="0"/>
          <w:sz w:val="22"/>
        </w:rPr>
        <w:t>Associate Dean (Student Progression) drives NIRF Graduation Outcomes and NAAC Criterion V.</w:t>
      </w:r>
    </w:p>
    <w:p>
      <w:pPr>
        <w:pStyle w:val="ListBullet"/>
        <w:spacing w:after="80" w:line="276" w:lineRule="auto"/>
      </w:pPr>
      <w:r>
        <w:rPr>
          <w:rFonts w:ascii="Cambria" w:hAnsi="Cambria"/>
          <w:b w:val="0"/>
          <w:i w:val="0"/>
          <w:sz w:val="22"/>
        </w:rPr>
        <w:t>Digital Learning &amp; MOOCs:</w:t>
      </w:r>
    </w:p>
    <w:p>
      <w:pPr>
        <w:pStyle w:val="ListBullet2"/>
        <w:spacing w:after="80" w:line="276" w:lineRule="auto"/>
      </w:pPr>
      <w:r>
        <w:rPr>
          <w:rFonts w:ascii="Cambria" w:hAnsi="Cambria"/>
          <w:b w:val="0"/>
          <w:i w:val="0"/>
          <w:sz w:val="22"/>
        </w:rPr>
        <w:t>Associate Dean (MOOC Creation) ensures QS Digital Readiness and NAAC Criterion II &amp; IV.</w:t>
      </w:r>
    </w:p>
    <w:p>
      <w:pPr>
        <w:pStyle w:val="ListBullet"/>
        <w:spacing w:after="80" w:line="276" w:lineRule="auto"/>
      </w:pPr>
      <w:r>
        <w:rPr>
          <w:rFonts w:ascii="Cambria" w:hAnsi="Cambria"/>
          <w:b w:val="0"/>
          <w:i w:val="0"/>
          <w:sz w:val="22"/>
        </w:rPr>
        <w:t>Skill Development &amp; Employability:</w:t>
      </w:r>
    </w:p>
    <w:p>
      <w:pPr>
        <w:pStyle w:val="ListBullet2"/>
        <w:spacing w:after="80" w:line="276" w:lineRule="auto"/>
      </w:pPr>
      <w:r>
        <w:rPr>
          <w:rFonts w:ascii="Cambria" w:hAnsi="Cambria"/>
          <w:b w:val="0"/>
          <w:i w:val="0"/>
          <w:sz w:val="22"/>
        </w:rPr>
        <w:t>Associate Dean (Skilling and VAC/CC) aligns with NEP-2020, NIRF Employability metrics, and QS Employability Indicators.</w:t>
      </w:r>
    </w:p>
    <w:p>
      <w:pPr>
        <w:pStyle w:val="ListBullet"/>
        <w:spacing w:after="80" w:line="276" w:lineRule="auto"/>
      </w:pPr>
      <w:r>
        <w:rPr>
          <w:rFonts w:ascii="Cambria" w:hAnsi="Cambria"/>
          <w:b w:val="0"/>
          <w:i w:val="0"/>
          <w:sz w:val="22"/>
        </w:rPr>
        <w:t>Teaching Discipline:</w:t>
      </w:r>
    </w:p>
    <w:p>
      <w:pPr>
        <w:pStyle w:val="ListBullet2"/>
        <w:spacing w:after="80" w:line="276" w:lineRule="auto"/>
      </w:pPr>
      <w:r>
        <w:rPr>
          <w:rFonts w:ascii="Cambria" w:hAnsi="Cambria"/>
          <w:b w:val="0"/>
          <w:i w:val="0"/>
          <w:sz w:val="22"/>
        </w:rPr>
        <w:t>Associate Dean (Time Tables &amp; Teaching Monitoring) safeguards teaching quality benchmarks.</w:t>
      </w:r>
    </w:p>
    <w:p>
      <w:pPr>
        <w:pStyle w:val="ListBullet"/>
        <w:spacing w:after="80" w:line="276" w:lineRule="auto"/>
      </w:pPr>
      <w:r>
        <w:rPr>
          <w:rFonts w:ascii="Cambria" w:hAnsi="Cambria"/>
          <w:b w:val="0"/>
          <w:i w:val="0"/>
          <w:sz w:val="22"/>
        </w:rPr>
        <w:t>Academic Records &amp; Registration:</w:t>
      </w:r>
    </w:p>
    <w:p>
      <w:pPr>
        <w:pStyle w:val="ListBullet2"/>
        <w:spacing w:after="80" w:line="276" w:lineRule="auto"/>
      </w:pPr>
      <w:r>
        <w:rPr>
          <w:rFonts w:ascii="Cambria" w:hAnsi="Cambria"/>
          <w:b w:val="0"/>
          <w:i w:val="0"/>
          <w:sz w:val="22"/>
        </w:rPr>
        <w:t>Associate Dean (Academic Registration) ensures integrity of student records required for all accreditations.</w:t>
      </w:r>
    </w:p>
    <w:p>
      <w:pPr>
        <w:pStyle w:val="Heading3"/>
      </w:pPr>
      <w:r>
        <w:rPr>
          <w:rFonts w:ascii="Cambria" w:hAnsi="Cambria"/>
          <w:b/>
          <w:color w:val="1F3A5F"/>
          <w:sz w:val="26"/>
        </w:rPr>
        <w:t>4. Strategic Impact</w:t>
      </w:r>
    </w:p>
    <w:p>
      <w:pPr>
        <w:pStyle w:val="ListBullet"/>
        <w:spacing w:after="80" w:line="276" w:lineRule="auto"/>
      </w:pPr>
      <w:r>
        <w:rPr>
          <w:rFonts w:ascii="Cambria" w:hAnsi="Cambria"/>
          <w:b w:val="0"/>
          <w:i w:val="0"/>
          <w:sz w:val="22"/>
        </w:rPr>
        <w:t>National Level:</w:t>
      </w:r>
    </w:p>
    <w:p>
      <w:pPr>
        <w:pStyle w:val="ListBullet2"/>
        <w:spacing w:after="80" w:line="276" w:lineRule="auto"/>
      </w:pPr>
      <w:r>
        <w:rPr>
          <w:rFonts w:ascii="Cambria" w:hAnsi="Cambria"/>
          <w:b w:val="0"/>
          <w:i w:val="0"/>
          <w:sz w:val="22"/>
        </w:rPr>
        <w:t>Strong performance in NAAC Accreditation, NBA Program Accreditation, and NIRF Rankings strengthens institutional credibility.</w:t>
      </w:r>
    </w:p>
    <w:p>
      <w:pPr>
        <w:pStyle w:val="ListBullet"/>
        <w:spacing w:after="80" w:line="276" w:lineRule="auto"/>
      </w:pPr>
      <w:r>
        <w:rPr>
          <w:rFonts w:ascii="Cambria" w:hAnsi="Cambria"/>
          <w:b w:val="0"/>
          <w:i w:val="0"/>
          <w:sz w:val="22"/>
        </w:rPr>
        <w:t>Global Level:</w:t>
      </w:r>
    </w:p>
    <w:p>
      <w:pPr>
        <w:pStyle w:val="ListBullet2"/>
        <w:spacing w:after="80" w:line="276" w:lineRule="auto"/>
      </w:pPr>
      <w:r>
        <w:rPr>
          <w:rFonts w:ascii="Cambria" w:hAnsi="Cambria"/>
          <w:b w:val="0"/>
          <w:i w:val="0"/>
          <w:sz w:val="22"/>
        </w:rPr>
        <w:t>Alignment with QS I-GAUGE, QS World, and THE rankings enhances international reputation, partnerships, and student mobility.</w:t>
      </w:r>
    </w:p>
    <w:p>
      <w:pPr>
        <w:pStyle w:val="ListBullet"/>
        <w:spacing w:after="80" w:line="276" w:lineRule="auto"/>
      </w:pPr>
      <w:r>
        <w:rPr>
          <w:rFonts w:ascii="Cambria" w:hAnsi="Cambria"/>
          <w:b w:val="0"/>
          <w:i w:val="0"/>
          <w:sz w:val="22"/>
        </w:rPr>
        <w:t>Institutional Level:</w:t>
      </w:r>
    </w:p>
    <w:p>
      <w:pPr>
        <w:pStyle w:val="ListBullet2"/>
        <w:spacing w:after="80" w:line="276" w:lineRule="auto"/>
      </w:pPr>
      <w:r>
        <w:rPr>
          <w:rFonts w:ascii="Cambria" w:hAnsi="Cambria"/>
          <w:b w:val="0"/>
          <w:i w:val="0"/>
          <w:sz w:val="22"/>
        </w:rPr>
        <w:t>Ensures the University is seen as a centre of academic excellence, innovation, and accountability, capable of competing with top global universities.</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By aligning with NBA, NAAC, NIRF, and QS I-GAUGE, the Dean of Academic Affairs and the Associate Deans ensure that the University upholds national and global quality benchmarks, positioning itself as a future-ready institution with strong academic integrity, global competitiveness, and student-centric excellence.</w:t>
      </w:r>
    </w:p>
    <w:p>
      <w:r>
        <w:br w:type="page"/>
      </w:r>
    </w:p>
    <w:p>
      <w:pPr>
        <w:pStyle w:val="Heading1"/>
      </w:pPr>
      <w:r>
        <w:rPr>
          <w:rFonts w:ascii="Cambria" w:hAnsi="Cambria"/>
          <w:b/>
          <w:color w:val="1F3A5F"/>
          <w:sz w:val="36"/>
        </w:rPr>
        <w:t>24. Custodians: DOAA &amp; Associate Deans</w:t>
      </w:r>
    </w:p>
    <w:p>
      <w:pPr>
        <w:pStyle w:val="Heading3"/>
      </w:pPr>
      <w:r>
        <w:rPr>
          <w:rFonts w:ascii="Cambria" w:hAnsi="Cambria"/>
          <w:b/>
          <w:color w:val="1F3A5F"/>
          <w:sz w:val="26"/>
        </w:rPr>
        <w:t>1. Dean of Academic Affairs (DOAA) – Chief Custodian</w:t>
      </w:r>
    </w:p>
    <w:p>
      <w:pPr>
        <w:pStyle w:val="ListBullet"/>
        <w:spacing w:after="80" w:line="276" w:lineRule="auto"/>
      </w:pPr>
      <w:r>
        <w:rPr>
          <w:rFonts w:ascii="Cambria" w:hAnsi="Cambria"/>
          <w:b w:val="0"/>
          <w:i w:val="0"/>
          <w:sz w:val="22"/>
        </w:rPr>
        <w:t>The DOAA is the chief academic custodian who safeguards the University's alignment with national and global benchmarks.</w:t>
      </w:r>
    </w:p>
    <w:p>
      <w:pPr>
        <w:pStyle w:val="ListBullet"/>
        <w:spacing w:after="80" w:line="276" w:lineRule="auto"/>
      </w:pPr>
      <w:r>
        <w:rPr>
          <w:rFonts w:ascii="Cambria" w:hAnsi="Cambria"/>
          <w:b w:val="0"/>
          <w:i w:val="0"/>
          <w:sz w:val="22"/>
        </w:rPr>
        <w:t>Provides the strategic vision that integrates curriculum, research, teaching, student success, and digital transformation.</w:t>
      </w:r>
    </w:p>
    <w:p>
      <w:pPr>
        <w:pStyle w:val="ListBullet"/>
        <w:spacing w:after="80" w:line="276" w:lineRule="auto"/>
      </w:pPr>
      <w:r>
        <w:rPr>
          <w:rFonts w:ascii="Cambria" w:hAnsi="Cambria"/>
          <w:b w:val="0"/>
          <w:i w:val="0"/>
          <w:sz w:val="22"/>
        </w:rPr>
        <w:t>Ensures compliance with NBA, NAAC, NIRF, QS I-GAUGE, and international frameworks (QS/THE rankings, SDGs).</w:t>
      </w:r>
    </w:p>
    <w:p>
      <w:pPr>
        <w:pStyle w:val="ListBullet"/>
        <w:spacing w:after="80" w:line="276" w:lineRule="auto"/>
      </w:pPr>
      <w:r>
        <w:rPr>
          <w:rFonts w:ascii="Cambria" w:hAnsi="Cambria"/>
          <w:b w:val="0"/>
          <w:i w:val="0"/>
          <w:sz w:val="22"/>
        </w:rPr>
        <w:t>Acts as the liaison between leadership (Vice-Chancellor, Registrar, Governing Bodies) and academic delivery units.</w:t>
      </w:r>
    </w:p>
    <w:p>
      <w:pPr>
        <w:pStyle w:val="Heading3"/>
      </w:pPr>
      <w:r>
        <w:rPr>
          <w:rFonts w:ascii="Cambria" w:hAnsi="Cambria"/>
          <w:b/>
          <w:color w:val="1F3A5F"/>
          <w:sz w:val="26"/>
        </w:rPr>
        <w:t>2. Associate Deans – Functional Custodians</w:t>
      </w:r>
    </w:p>
    <w:p>
      <w:pPr>
        <w:spacing w:after="160" w:line="276" w:lineRule="auto"/>
        <w:jc w:val="both"/>
      </w:pPr>
      <w:r>
        <w:rPr>
          <w:rFonts w:ascii="Cambria" w:hAnsi="Cambria"/>
          <w:b w:val="0"/>
          <w:i w:val="0"/>
          <w:sz w:val="22"/>
        </w:rPr>
        <w:t>Each Associate Dean portfolio represents a pillar of academic quality, ensuring that benchmarks are not abstract policies but practical, measurable outcomes:</w:t>
      </w:r>
    </w:p>
    <w:p>
      <w:pPr>
        <w:pStyle w:val="ListNumber"/>
        <w:spacing w:after="80" w:line="276" w:lineRule="auto"/>
      </w:pPr>
      <w:r>
        <w:rPr>
          <w:rFonts w:ascii="Cambria" w:hAnsi="Cambria"/>
          <w:b w:val="0"/>
          <w:i w:val="0"/>
          <w:sz w:val="22"/>
        </w:rPr>
        <w:t xml:space="preserve">Projects &amp; Academic Research </w:t>
      </w:r>
      <w:r>
        <w:rPr>
          <w:rFonts w:ascii="Cambria" w:hAnsi="Cambria"/>
          <w:b w:val="0"/>
          <w:i w:val="0"/>
          <w:sz w:val="22"/>
        </w:rPr>
        <w:t>→ Custodian of Research Excellence and Innovation</w:t>
      </w:r>
    </w:p>
    <w:p>
      <w:pPr>
        <w:pStyle w:val="ListBullet2"/>
        <w:spacing w:after="80" w:line="276" w:lineRule="auto"/>
      </w:pPr>
      <w:r>
        <w:rPr>
          <w:rFonts w:ascii="Cambria" w:hAnsi="Cambria"/>
          <w:b w:val="0"/>
          <w:i w:val="0"/>
          <w:sz w:val="22"/>
        </w:rPr>
        <w:t>Aligns with NBA Criterion 3, NAAC Criterion III, NIRF Research, QS Research Impact.</w:t>
      </w:r>
    </w:p>
    <w:p>
      <w:pPr>
        <w:pStyle w:val="ListNumber"/>
        <w:spacing w:after="80" w:line="276" w:lineRule="auto"/>
      </w:pPr>
      <w:r>
        <w:rPr>
          <w:rFonts w:ascii="Cambria" w:hAnsi="Cambria"/>
          <w:b w:val="0"/>
          <w:i w:val="0"/>
          <w:sz w:val="22"/>
        </w:rPr>
        <w:t xml:space="preserve">OBE Implementation </w:t>
      </w:r>
      <w:r>
        <w:rPr>
          <w:rFonts w:ascii="Cambria" w:hAnsi="Cambria"/>
          <w:b w:val="0"/>
          <w:i w:val="0"/>
          <w:sz w:val="22"/>
        </w:rPr>
        <w:t>→ Custodian of Outcome-Based Education</w:t>
      </w:r>
    </w:p>
    <w:p>
      <w:pPr>
        <w:pStyle w:val="ListBullet2"/>
        <w:spacing w:after="80" w:line="276" w:lineRule="auto"/>
      </w:pPr>
      <w:r>
        <w:rPr>
          <w:rFonts w:ascii="Cambria" w:hAnsi="Cambria"/>
          <w:b w:val="0"/>
          <w:i w:val="0"/>
          <w:sz w:val="22"/>
        </w:rPr>
        <w:t>Ensures CO</w:t>
      </w:r>
      <w:r>
        <w:rPr>
          <w:rFonts w:ascii="Cambria" w:hAnsi="Cambria"/>
          <w:b w:val="0"/>
          <w:i w:val="0"/>
          <w:sz w:val="22"/>
        </w:rPr>
        <w:t>–PO–PSO attainment, a critical benchmark for NBA accreditation and global OBE standards.</w:t>
      </w:r>
    </w:p>
    <w:p>
      <w:pPr>
        <w:pStyle w:val="ListNumber"/>
        <w:spacing w:after="80" w:line="276" w:lineRule="auto"/>
      </w:pPr>
      <w:r>
        <w:rPr>
          <w:rFonts w:ascii="Cambria" w:hAnsi="Cambria"/>
          <w:b w:val="0"/>
          <w:i w:val="0"/>
          <w:sz w:val="22"/>
        </w:rPr>
        <w:t xml:space="preserve">Student Progression </w:t>
      </w:r>
      <w:r>
        <w:rPr>
          <w:rFonts w:ascii="Cambria" w:hAnsi="Cambria"/>
          <w:b w:val="0"/>
          <w:i w:val="0"/>
          <w:sz w:val="22"/>
        </w:rPr>
        <w:t>→ Custodian of Graduation Outcomes and Employability</w:t>
      </w:r>
    </w:p>
    <w:p>
      <w:pPr>
        <w:pStyle w:val="ListBullet2"/>
        <w:spacing w:after="80" w:line="276" w:lineRule="auto"/>
      </w:pPr>
      <w:r>
        <w:rPr>
          <w:rFonts w:ascii="Cambria" w:hAnsi="Cambria"/>
          <w:b w:val="0"/>
          <w:i w:val="0"/>
          <w:sz w:val="22"/>
        </w:rPr>
        <w:t xml:space="preserve">Monitors placements, higher studies, alumni success </w:t>
      </w:r>
      <w:r>
        <w:rPr>
          <w:rFonts w:ascii="Cambria" w:hAnsi="Cambria"/>
          <w:b w:val="0"/>
          <w:i w:val="0"/>
          <w:sz w:val="22"/>
        </w:rPr>
        <w:t>→ aligns with NIRF GO, NAAC Criterion V, QS Employability.</w:t>
      </w:r>
    </w:p>
    <w:p>
      <w:pPr>
        <w:pStyle w:val="ListNumber"/>
        <w:spacing w:after="80" w:line="276" w:lineRule="auto"/>
      </w:pPr>
      <w:r>
        <w:rPr>
          <w:rFonts w:ascii="Cambria" w:hAnsi="Cambria"/>
          <w:b w:val="0"/>
          <w:i w:val="0"/>
          <w:sz w:val="22"/>
        </w:rPr>
        <w:t xml:space="preserve">Curriculum &amp; Academic Programs, Academic Feedback </w:t>
      </w:r>
      <w:r>
        <w:rPr>
          <w:rFonts w:ascii="Cambria" w:hAnsi="Cambria"/>
          <w:b w:val="0"/>
          <w:i w:val="0"/>
          <w:sz w:val="22"/>
        </w:rPr>
        <w:t>→ Custodian of Curricular Relevance and Feedback-Driven Improvement</w:t>
      </w:r>
    </w:p>
    <w:p>
      <w:pPr>
        <w:pStyle w:val="ListBullet2"/>
        <w:spacing w:after="80" w:line="276" w:lineRule="auto"/>
      </w:pPr>
      <w:r>
        <w:rPr>
          <w:rFonts w:ascii="Cambria" w:hAnsi="Cambria"/>
          <w:b w:val="0"/>
          <w:i w:val="0"/>
          <w:sz w:val="22"/>
        </w:rPr>
        <w:t xml:space="preserve">Ensures continuous curriculum upgradation </w:t>
      </w:r>
      <w:r>
        <w:rPr>
          <w:rFonts w:ascii="Cambria" w:hAnsi="Cambria"/>
          <w:b w:val="0"/>
          <w:i w:val="0"/>
          <w:sz w:val="22"/>
        </w:rPr>
        <w:t>→ aligned with NAAC Criterion I, NBA Criterion 1.</w:t>
      </w:r>
    </w:p>
    <w:p>
      <w:pPr>
        <w:pStyle w:val="ListNumber"/>
        <w:spacing w:after="80" w:line="276" w:lineRule="auto"/>
      </w:pPr>
      <w:r>
        <w:rPr>
          <w:rFonts w:ascii="Cambria" w:hAnsi="Cambria"/>
          <w:b w:val="0"/>
          <w:i w:val="0"/>
          <w:sz w:val="22"/>
        </w:rPr>
        <w:t xml:space="preserve">Academic Registration </w:t>
      </w:r>
      <w:r>
        <w:rPr>
          <w:rFonts w:ascii="Cambria" w:hAnsi="Cambria"/>
          <w:b w:val="0"/>
          <w:i w:val="0"/>
          <w:sz w:val="22"/>
        </w:rPr>
        <w:t>→ Custodian of Enrollment Integrity and Records</w:t>
      </w:r>
    </w:p>
    <w:p>
      <w:pPr>
        <w:pStyle w:val="ListBullet2"/>
        <w:spacing w:after="80" w:line="276" w:lineRule="auto"/>
      </w:pPr>
      <w:r>
        <w:rPr>
          <w:rFonts w:ascii="Cambria" w:hAnsi="Cambria"/>
          <w:b w:val="0"/>
          <w:i w:val="0"/>
          <w:sz w:val="22"/>
        </w:rPr>
        <w:t>Maintains transparent academic records essential for NAAC/NIRF audits and QS Learning Experience.</w:t>
      </w:r>
    </w:p>
    <w:p>
      <w:pPr>
        <w:pStyle w:val="ListNumber"/>
        <w:spacing w:after="80" w:line="276" w:lineRule="auto"/>
      </w:pPr>
      <w:r>
        <w:rPr>
          <w:rFonts w:ascii="Cambria" w:hAnsi="Cambria"/>
          <w:b w:val="0"/>
          <w:i w:val="0"/>
          <w:sz w:val="22"/>
        </w:rPr>
        <w:t xml:space="preserve">Skilling and VAC/CC </w:t>
      </w:r>
      <w:r>
        <w:rPr>
          <w:rFonts w:ascii="Cambria" w:hAnsi="Cambria"/>
          <w:b w:val="0"/>
          <w:i w:val="0"/>
          <w:sz w:val="22"/>
        </w:rPr>
        <w:t>→ Custodian of Skill Development and Employability Readiness</w:t>
      </w:r>
    </w:p>
    <w:p>
      <w:pPr>
        <w:pStyle w:val="ListBullet2"/>
        <w:spacing w:after="80" w:line="276" w:lineRule="auto"/>
      </w:pPr>
      <w:r>
        <w:rPr>
          <w:rFonts w:ascii="Cambria" w:hAnsi="Cambria"/>
          <w:b w:val="0"/>
          <w:i w:val="0"/>
          <w:sz w:val="22"/>
        </w:rPr>
        <w:t>Implements NEP-2020 skilling focus, NIRF employability metrics, QS skills development benchmarks.</w:t>
      </w:r>
    </w:p>
    <w:p>
      <w:pPr>
        <w:pStyle w:val="ListNumber"/>
        <w:spacing w:after="80" w:line="276" w:lineRule="auto"/>
      </w:pPr>
      <w:r>
        <w:rPr>
          <w:rFonts w:ascii="Cambria" w:hAnsi="Cambria"/>
          <w:b w:val="0"/>
          <w:i w:val="0"/>
          <w:sz w:val="22"/>
        </w:rPr>
        <w:t xml:space="preserve">Time Tables &amp; Monitoring of Teaching </w:t>
      </w:r>
      <w:r>
        <w:rPr>
          <w:rFonts w:ascii="Cambria" w:hAnsi="Cambria"/>
          <w:b w:val="0"/>
          <w:i w:val="0"/>
          <w:sz w:val="22"/>
        </w:rPr>
        <w:t>→ Custodian of Academic Discipline and Teaching Quality</w:t>
      </w:r>
    </w:p>
    <w:p>
      <w:pPr>
        <w:pStyle w:val="ListBullet2"/>
        <w:spacing w:after="80" w:line="276" w:lineRule="auto"/>
      </w:pPr>
      <w:r>
        <w:rPr>
          <w:rFonts w:ascii="Cambria" w:hAnsi="Cambria"/>
          <w:b w:val="0"/>
          <w:i w:val="0"/>
          <w:sz w:val="22"/>
        </w:rPr>
        <w:t>Ensures academic delivery meets NAAC Criterion II and NBA teaching effectiveness standards.</w:t>
      </w:r>
    </w:p>
    <w:p>
      <w:pPr>
        <w:pStyle w:val="ListNumber"/>
        <w:spacing w:after="80" w:line="276" w:lineRule="auto"/>
      </w:pPr>
      <w:r>
        <w:rPr>
          <w:rFonts w:ascii="Cambria" w:hAnsi="Cambria"/>
          <w:b w:val="0"/>
          <w:i w:val="0"/>
          <w:sz w:val="22"/>
        </w:rPr>
        <w:t xml:space="preserve">MOOC Creation </w:t>
      </w:r>
      <w:r>
        <w:rPr>
          <w:rFonts w:ascii="Cambria" w:hAnsi="Cambria"/>
          <w:b w:val="0"/>
          <w:i w:val="0"/>
          <w:sz w:val="22"/>
        </w:rPr>
        <w:t>→ Custodian of Digital Learning and Global Outreach</w:t>
      </w:r>
    </w:p>
    <w:p>
      <w:pPr>
        <w:pStyle w:val="ListBullet2"/>
        <w:spacing w:after="80" w:line="276" w:lineRule="auto"/>
      </w:pPr>
      <w:r>
        <w:rPr>
          <w:rFonts w:ascii="Cambria" w:hAnsi="Cambria"/>
          <w:b w:val="0"/>
          <w:i w:val="0"/>
          <w:sz w:val="22"/>
        </w:rPr>
        <w:t xml:space="preserve">Expands university's global presence through MOOCs </w:t>
      </w:r>
      <w:r>
        <w:rPr>
          <w:rFonts w:ascii="Cambria" w:hAnsi="Cambria"/>
          <w:b w:val="0"/>
          <w:i w:val="0"/>
          <w:sz w:val="22"/>
        </w:rPr>
        <w:t>→ aligns with QS Digital Readiness and NAAC Innovation practices.</w:t>
      </w:r>
    </w:p>
    <w:p>
      <w:pPr>
        <w:pStyle w:val="Heading3"/>
      </w:pPr>
      <w:r>
        <w:rPr>
          <w:rFonts w:ascii="Cambria" w:hAnsi="Cambria"/>
          <w:b/>
          <w:color w:val="1F3A5F"/>
          <w:sz w:val="26"/>
        </w:rPr>
        <w:t>3. Custodial Framework</w:t>
      </w:r>
    </w:p>
    <w:p>
      <w:pPr>
        <w:pStyle w:val="ListBullet"/>
        <w:spacing w:after="80" w:line="276" w:lineRule="auto"/>
      </w:pPr>
      <w:r>
        <w:rPr>
          <w:rFonts w:ascii="Cambria" w:hAnsi="Cambria"/>
          <w:b w:val="0"/>
          <w:i w:val="0"/>
          <w:sz w:val="22"/>
        </w:rPr>
        <w:t>DOAA: Vision, policy, and overall compliance with benchmarks.</w:t>
      </w:r>
    </w:p>
    <w:p>
      <w:pPr>
        <w:pStyle w:val="ListBullet"/>
        <w:spacing w:after="80" w:line="276" w:lineRule="auto"/>
      </w:pPr>
      <w:r>
        <w:rPr>
          <w:rFonts w:ascii="Cambria" w:hAnsi="Cambria"/>
          <w:b w:val="0"/>
          <w:i w:val="0"/>
          <w:sz w:val="22"/>
        </w:rPr>
        <w:t>Associate Deans: Execution, monitoring, and evidence generation for each quality domain.</w:t>
      </w:r>
    </w:p>
    <w:p>
      <w:pPr>
        <w:pStyle w:val="ListBullet"/>
        <w:spacing w:after="80" w:line="276" w:lineRule="auto"/>
      </w:pPr>
      <w:r>
        <w:rPr>
          <w:rFonts w:ascii="Cambria" w:hAnsi="Cambria"/>
          <w:b w:val="0"/>
          <w:i w:val="0"/>
          <w:sz w:val="22"/>
        </w:rPr>
        <w:t>Together: They form a custodial ecosystem that ensures the University is future-ready, student-centric, and globally competitive.</w:t>
      </w:r>
    </w:p>
    <w:p>
      <w:pPr>
        <w:pStyle w:val="Heading3"/>
      </w:pPr>
      <w:r>
        <w:rPr>
          <w:rFonts w:ascii="Cambria" w:hAnsi="Cambria"/>
          <w:b/>
          <w:color w:val="1F3A5F"/>
          <w:sz w:val="26"/>
        </w:rPr>
        <w:t>4. Strategic Impact of Custodianship</w:t>
      </w:r>
    </w:p>
    <w:p>
      <w:pPr>
        <w:pStyle w:val="ListBullet"/>
        <w:spacing w:after="80" w:line="276" w:lineRule="auto"/>
      </w:pPr>
      <w:r>
        <w:rPr>
          <w:rFonts w:ascii="Cambria" w:hAnsi="Cambria"/>
          <w:b w:val="0"/>
          <w:i w:val="0"/>
          <w:sz w:val="22"/>
        </w:rPr>
        <w:t>National Level: Accreditation excellence in NAAC and NBA, improved rankings in NIRF.</w:t>
      </w:r>
    </w:p>
    <w:p>
      <w:pPr>
        <w:pStyle w:val="ListBullet"/>
        <w:spacing w:after="80" w:line="276" w:lineRule="auto"/>
      </w:pPr>
      <w:r>
        <w:rPr>
          <w:rFonts w:ascii="Cambria" w:hAnsi="Cambria"/>
          <w:b w:val="0"/>
          <w:i w:val="0"/>
          <w:sz w:val="22"/>
        </w:rPr>
        <w:t>Global Level: Stronger visibility in QS I-GAUGE, QS World, THE rankings.</w:t>
      </w:r>
    </w:p>
    <w:p>
      <w:pPr>
        <w:pStyle w:val="ListBullet"/>
        <w:spacing w:after="80" w:line="276" w:lineRule="auto"/>
      </w:pPr>
      <w:r>
        <w:rPr>
          <w:rFonts w:ascii="Cambria" w:hAnsi="Cambria"/>
          <w:b w:val="0"/>
          <w:i w:val="0"/>
          <w:sz w:val="22"/>
        </w:rPr>
        <w:t>Institutional Level: Builds trust among students, faculty, and stakeholders by demonstrating academic integrity, innovation, and accountability.</w:t>
      </w:r>
    </w:p>
    <w:p>
      <w:pPr>
        <w:spacing w:after="80" w:line="276" w:lineRule="auto"/>
      </w:pPr>
      <w:r>
        <w:rPr>
          <w:rFonts w:ascii="Cambria" w:hAnsi="Cambria"/>
          <w:b/>
          <w:i w:val="0"/>
          <w:sz w:val="22"/>
        </w:rPr>
        <w:t>In summary:</w:t>
      </w:r>
    </w:p>
    <w:p>
      <w:pPr>
        <w:spacing w:after="200" w:line="276" w:lineRule="auto"/>
        <w:jc w:val="both"/>
      </w:pPr>
      <w:r>
        <w:rPr>
          <w:rFonts w:ascii="Cambria" w:hAnsi="Cambria"/>
          <w:b w:val="0"/>
          <w:i w:val="0"/>
          <w:sz w:val="22"/>
        </w:rPr>
        <w:t>The DOAA and Associate Deans are custodians because they collectively safeguard the University's academic integrity, compliance, and competitiveness across national benchmarks (NBA, NAAC, NIRF) and global benchmarks (QS I-GAUGE, QS/THE rankings, SDGs). Their roles ensure that policies are translated into measurable outcomes, making the University a centre of excellence and innovation.</w:t>
      </w:r>
    </w:p>
    <w:p>
      <w:r>
        <w:br w:type="page"/>
      </w:r>
    </w:p>
    <w:p>
      <w:pPr>
        <w:pStyle w:val="Heading1"/>
      </w:pPr>
      <w:r>
        <w:rPr>
          <w:rFonts w:ascii="Cambria" w:hAnsi="Cambria"/>
          <w:b/>
          <w:color w:val="1F3A5F"/>
          <w:sz w:val="36"/>
        </w:rPr>
        <w:t>25. References</w:t>
      </w:r>
    </w:p>
    <w:p>
      <w:pPr>
        <w:spacing w:after="120" w:line="276" w:lineRule="auto"/>
        <w:ind w:left="357" w:hanging="357"/>
      </w:pPr>
      <w:r>
        <w:rPr>
          <w:rFonts w:ascii="Cambria" w:hAnsi="Cambria"/>
          <w:b/>
          <w:sz w:val="22"/>
        </w:rPr>
        <w:t>1. Qualitative Metrics (QlM) and Quantitative Metrics (QnM) in Higher Educational Institutions (HEIs) : As Applied in NAAC, NBA, and NIRF Frameworks, Kindle Edition, ASIN : B0F6CR212X</w:t>
      </w:r>
    </w:p>
    <w:p>
      <w:pPr>
        <w:spacing w:after="120"/>
        <w:ind w:left="357"/>
      </w:pPr>
      <w:r>
        <w:rPr>
          <w:rFonts w:ascii="Cambria" w:hAnsi="Cambria"/>
          <w:color w:val="0563C1"/>
          <w:sz w:val="22"/>
          <w:u w:val="single"/>
        </w:rPr>
        <w:t>https://amzn.in/d/gUWl02e</w:t>
      </w:r>
    </w:p>
    <w:p>
      <w:pPr>
        <w:spacing w:after="120" w:line="276" w:lineRule="auto"/>
        <w:ind w:left="357" w:hanging="357"/>
      </w:pPr>
      <w:r>
        <w:rPr>
          <w:rFonts w:ascii="Cambria" w:hAnsi="Cambria"/>
          <w:b/>
          <w:sz w:val="22"/>
        </w:rPr>
        <w:t>2. Statutory and Non-Statutory Committees in Higher Educational Institutions (HEIs): Mandatory by regulatory bodies like AICTE, UGC, NAAC, NBA, etc. Kindle Edition, ASIN : B0F7GHJ863</w:t>
      </w:r>
    </w:p>
    <w:p>
      <w:pPr>
        <w:spacing w:after="120"/>
        <w:ind w:left="357"/>
      </w:pPr>
      <w:r>
        <w:rPr>
          <w:rFonts w:ascii="Cambria" w:hAnsi="Cambria"/>
          <w:color w:val="0563C1"/>
          <w:sz w:val="22"/>
          <w:u w:val="single"/>
        </w:rPr>
        <w:t>https://amzn.in/d/gf0LiBn</w:t>
      </w:r>
    </w:p>
    <w:p>
      <w:pPr>
        <w:spacing w:after="120" w:line="276" w:lineRule="auto"/>
        <w:ind w:left="357" w:hanging="357"/>
      </w:pPr>
      <w:r>
        <w:rPr>
          <w:rFonts w:ascii="Cambria" w:hAnsi="Cambria"/>
          <w:b/>
          <w:sz w:val="22"/>
        </w:rPr>
        <w:t>3. Empowering Academic Skilling and Mathematical Modelling through Technical Computing Languages in Higher Education Institutions, Kindle Edition, ASIN : B0FC7TNZNG</w:t>
      </w:r>
    </w:p>
    <w:p>
      <w:pPr>
        <w:spacing w:after="120"/>
        <w:ind w:left="357"/>
      </w:pPr>
      <w:r>
        <w:rPr>
          <w:rFonts w:ascii="Cambria" w:hAnsi="Cambria"/>
          <w:color w:val="0563C1"/>
          <w:sz w:val="22"/>
          <w:u w:val="single"/>
        </w:rPr>
        <w:t>https://amzn.in/d/brIlQwZ</w:t>
      </w:r>
    </w:p>
    <w:p>
      <w:pPr>
        <w:spacing w:after="120" w:line="276" w:lineRule="auto"/>
        <w:ind w:left="357" w:hanging="357"/>
      </w:pPr>
      <w:r>
        <w:rPr>
          <w:rFonts w:ascii="Cambria" w:hAnsi="Cambria"/>
          <w:b/>
          <w:sz w:val="22"/>
        </w:rPr>
        <w:t>4. Research and Development Transformation in Higher Education Institutions, Kindle Edition, ASIN : B0FB9QFS88</w:t>
      </w:r>
    </w:p>
    <w:p>
      <w:pPr>
        <w:spacing w:after="120"/>
        <w:ind w:left="357"/>
      </w:pPr>
      <w:r>
        <w:rPr>
          <w:rFonts w:ascii="Cambria" w:hAnsi="Cambria"/>
          <w:color w:val="0563C1"/>
          <w:sz w:val="22"/>
          <w:u w:val="single"/>
        </w:rPr>
        <w:t>https://amzn.in/d/1uOQZ0o</w:t>
      </w:r>
    </w:p>
    <w:p>
      <w:pPr>
        <w:spacing w:after="120" w:line="276" w:lineRule="auto"/>
        <w:ind w:left="357" w:hanging="357"/>
      </w:pPr>
      <w:r>
        <w:rPr>
          <w:rFonts w:ascii="Cambria" w:hAnsi="Cambria"/>
          <w:b/>
          <w:sz w:val="22"/>
        </w:rPr>
        <w:t>5. Institutional Development Plans in Higher Education: Empowering Institutions for the 21st Century Kindle Edition, ASIN : B0FDBV6D47</w:t>
      </w:r>
    </w:p>
    <w:p>
      <w:pPr>
        <w:spacing w:after="120"/>
        <w:ind w:left="357"/>
      </w:pPr>
      <w:r>
        <w:rPr>
          <w:rFonts w:ascii="Cambria" w:hAnsi="Cambria"/>
          <w:color w:val="0563C1"/>
          <w:sz w:val="22"/>
          <w:u w:val="single"/>
        </w:rPr>
        <w:t>https://amzn.in/d/ckm98I2</w:t>
      </w:r>
    </w:p>
    <w:p>
      <w:pPr>
        <w:spacing w:after="120" w:line="276" w:lineRule="auto"/>
        <w:ind w:left="357" w:hanging="357"/>
      </w:pPr>
      <w:r>
        <w:rPr>
          <w:rFonts w:ascii="Cambria" w:hAnsi="Cambria"/>
          <w:b/>
          <w:sz w:val="22"/>
        </w:rPr>
        <w:t>6. Comprehensive Academic System in Higher Education Institutions, Kindle Edition, ASIN : B0FF2HDMSG</w:t>
      </w:r>
    </w:p>
    <w:p>
      <w:pPr>
        <w:spacing w:after="120"/>
        <w:ind w:left="357"/>
      </w:pPr>
      <w:r>
        <w:rPr>
          <w:rFonts w:ascii="Cambria" w:hAnsi="Cambria"/>
          <w:color w:val="0563C1"/>
          <w:sz w:val="22"/>
          <w:u w:val="single"/>
        </w:rPr>
        <w:t>https://amzn.in/d/dbPMaVL</w:t>
      </w:r>
    </w:p>
    <w:p>
      <w:pPr>
        <w:spacing w:after="120" w:line="276" w:lineRule="auto"/>
        <w:ind w:left="357" w:hanging="357"/>
      </w:pPr>
      <w:r>
        <w:rPr>
          <w:rFonts w:ascii="Cambria" w:hAnsi="Cambria"/>
          <w:b/>
          <w:sz w:val="22"/>
        </w:rPr>
        <w:t>7. Structured Approaches to Teaching, Learning, and Student Engagement in HEIs, Kindle Edition, ASIN : B0DB8QK1B4</w:t>
      </w:r>
    </w:p>
    <w:p>
      <w:pPr>
        <w:spacing w:after="120"/>
        <w:ind w:left="357"/>
      </w:pPr>
      <w:r>
        <w:rPr>
          <w:rFonts w:ascii="Cambria" w:hAnsi="Cambria"/>
          <w:color w:val="0563C1"/>
          <w:sz w:val="22"/>
          <w:u w:val="single"/>
        </w:rPr>
        <w:t>https://amzn.in/d/7jNZrQo</w:t>
      </w:r>
    </w:p>
    <w:p>
      <w:pPr>
        <w:spacing w:after="120" w:line="276" w:lineRule="auto"/>
        <w:ind w:left="357" w:hanging="357"/>
      </w:pPr>
      <w:r>
        <w:rPr>
          <w:rFonts w:ascii="Cambria" w:hAnsi="Cambria"/>
          <w:b/>
          <w:sz w:val="22"/>
        </w:rPr>
        <w:t>8. Admission Process in Indian Higher Education: A Comprehensive Institutional Guide Kindle Edition, ASIN : B0FFNCPP6P,</w:t>
      </w:r>
    </w:p>
    <w:p>
      <w:pPr>
        <w:spacing w:after="120"/>
        <w:ind w:left="357"/>
      </w:pPr>
      <w:r>
        <w:rPr>
          <w:rFonts w:ascii="Cambria" w:hAnsi="Cambria"/>
          <w:color w:val="0563C1"/>
          <w:sz w:val="22"/>
          <w:u w:val="single"/>
        </w:rPr>
        <w:t>https://amzn.in/d/0XO6APq</w:t>
      </w:r>
    </w:p>
    <w:p>
      <w:pPr>
        <w:spacing w:after="120" w:line="276" w:lineRule="auto"/>
        <w:ind w:left="357" w:hanging="357"/>
      </w:pPr>
      <w:r>
        <w:rPr>
          <w:rFonts w:ascii="Cambria" w:hAnsi="Cambria"/>
          <w:b/>
          <w:sz w:val="22"/>
        </w:rPr>
        <w:t>9. Strategic Implementation of Best Practices in HEIs: Enhancing Quality, Innovation, and Impact, Kindle Edition, ASIN : B0CZP85QK7</w:t>
      </w:r>
    </w:p>
    <w:p>
      <w:pPr>
        <w:spacing w:after="120"/>
        <w:ind w:left="357"/>
      </w:pPr>
      <w:r>
        <w:rPr>
          <w:rFonts w:ascii="Cambria" w:hAnsi="Cambria"/>
          <w:color w:val="0563C1"/>
          <w:sz w:val="22"/>
          <w:u w:val="single"/>
        </w:rPr>
        <w:t>https://amzn.in/d/5uj5Lkb</w:t>
      </w:r>
    </w:p>
    <w:p>
      <w:pPr>
        <w:spacing w:after="120" w:line="276" w:lineRule="auto"/>
        <w:ind w:left="357" w:hanging="357"/>
      </w:pPr>
      <w:r>
        <w:rPr>
          <w:rFonts w:ascii="Cambria" w:hAnsi="Cambria"/>
          <w:b/>
          <w:sz w:val="22"/>
        </w:rPr>
        <w:t>10. National Education Policy 2020: A Transformative Roadmap for Holistic, Inclusive, and Future-Ready Learning in India, Kindle Edition, ASIN : B0F1L321B6</w:t>
      </w:r>
    </w:p>
    <w:p>
      <w:pPr>
        <w:spacing w:after="120"/>
        <w:ind w:left="357"/>
      </w:pPr>
      <w:r>
        <w:rPr>
          <w:rFonts w:ascii="Cambria" w:hAnsi="Cambria"/>
          <w:color w:val="0563C1"/>
          <w:sz w:val="22"/>
          <w:u w:val="single"/>
        </w:rPr>
        <w:t>https://amzn.in/d/eugIo4y</w:t>
      </w:r>
    </w:p>
    <w:p>
      <w:pPr>
        <w:spacing w:after="120" w:line="276" w:lineRule="auto"/>
        <w:ind w:left="357" w:hanging="357"/>
      </w:pPr>
      <w:r>
        <w:rPr>
          <w:rFonts w:ascii="Cambria" w:hAnsi="Cambria"/>
          <w:b/>
          <w:sz w:val="22"/>
        </w:rPr>
        <w:t>11. Outcome-Based Education in Higher Learning: Philosophy, Design, and Impact, Kindle Edition, ASIN : B0FPCB5GHH</w:t>
      </w:r>
    </w:p>
    <w:p>
      <w:pPr>
        <w:spacing w:after="120"/>
        <w:ind w:left="357"/>
      </w:pPr>
      <w:r>
        <w:rPr>
          <w:rFonts w:ascii="Cambria" w:hAnsi="Cambria"/>
          <w:color w:val="0563C1"/>
          <w:sz w:val="22"/>
          <w:u w:val="single"/>
        </w:rPr>
        <w:t>https://amzn.in/d/3oGmnue</w:t>
      </w:r>
    </w:p>
    <w:p>
      <w:pPr>
        <w:spacing w:after="120" w:line="276" w:lineRule="auto"/>
        <w:ind w:left="357" w:hanging="357"/>
      </w:pPr>
      <w:r>
        <w:rPr>
          <w:rFonts w:ascii="Cambria" w:hAnsi="Cambria"/>
          <w:b/>
          <w:sz w:val="22"/>
        </w:rPr>
        <w:t>12. QS I-GAUGE: An Independent Rating Framework for Indian Higher Education, Kindle Edition, ASIN : B0FN4WBGLT</w:t>
      </w:r>
    </w:p>
    <w:p>
      <w:pPr>
        <w:spacing w:after="120"/>
        <w:ind w:left="357"/>
      </w:pPr>
      <w:r>
        <w:rPr>
          <w:rFonts w:ascii="Cambria" w:hAnsi="Cambria"/>
          <w:color w:val="0563C1"/>
          <w:sz w:val="22"/>
          <w:u w:val="single"/>
        </w:rPr>
        <w:t>https://amzn.in/d/2mlYjez</w:t>
      </w:r>
    </w:p>
    <w:p>
      <w:pPr>
        <w:spacing w:after="120" w:line="276" w:lineRule="auto"/>
        <w:ind w:left="357" w:hanging="357"/>
      </w:pPr>
      <w:r>
        <w:rPr>
          <w:rFonts w:ascii="Cambria" w:hAnsi="Cambria"/>
          <w:b/>
          <w:sz w:val="22"/>
        </w:rPr>
        <w:t>13. NBA Accreditation Process for Tier-1 Institutions – Criterion 1: Outcome-Based Curriculum: Vision, Mission, PEOs, Curriculum Structure, CO–PO–PSO Mapping, and Articulation Framework, Kindle Edition, ASIN : B0FPDCG13D</w:t>
      </w:r>
    </w:p>
    <w:p>
      <w:pPr>
        <w:spacing w:after="120"/>
        <w:ind w:left="357"/>
      </w:pPr>
      <w:r>
        <w:rPr>
          <w:rFonts w:ascii="Cambria" w:hAnsi="Cambria"/>
          <w:color w:val="0563C1"/>
          <w:sz w:val="22"/>
          <w:u w:val="single"/>
        </w:rPr>
        <w:t>https://amzn.in/d/4fcc0jE</w:t>
      </w:r>
    </w:p>
    <w:p>
      <w:pPr>
        <w:spacing w:after="120" w:line="276" w:lineRule="auto"/>
        <w:ind w:left="357" w:hanging="357"/>
      </w:pPr>
      <w:r>
        <w:rPr>
          <w:rFonts w:ascii="Cambria" w:hAnsi="Cambria"/>
          <w:b/>
          <w:sz w:val="22"/>
        </w:rPr>
        <w:t>14. NBA Accreditation Process for Tier-1 Institutions – Criterion 2: Outcome-Based Teaching–Learning (OBTL): A Framework of Systematic Processes, Evidence-Based Practices, and CQI in OBE Kindle Edition, ASIN: B0FPG4KFB1</w:t>
      </w:r>
    </w:p>
    <w:p>
      <w:pPr>
        <w:spacing w:after="120"/>
        <w:ind w:left="357"/>
      </w:pPr>
      <w:r>
        <w:rPr>
          <w:rFonts w:ascii="Cambria" w:hAnsi="Cambria"/>
          <w:color w:val="0563C1"/>
          <w:sz w:val="22"/>
          <w:u w:val="single"/>
        </w:rPr>
        <w:t>https://amzn.in/d/g1bchNI</w:t>
      </w:r>
    </w:p>
    <w:p>
      <w:pPr>
        <w:spacing w:after="120" w:line="276" w:lineRule="auto"/>
        <w:ind w:left="357" w:hanging="357"/>
      </w:pPr>
      <w:r>
        <w:rPr>
          <w:rFonts w:ascii="Cambria" w:hAnsi="Cambria"/>
          <w:b/>
          <w:sz w:val="22"/>
        </w:rPr>
        <w:t>15. Systematic and Transparent Feedback Mechanism in Higher Education Institutions: Ensuring Continuous Quality Improvement (CQI) and Strengthening NAAC/NBA Accreditation Kindle Edition, ASIN: B0FPGJ77RC,</w:t>
      </w:r>
    </w:p>
    <w:p>
      <w:pPr>
        <w:spacing w:after="120"/>
        <w:ind w:left="357"/>
      </w:pPr>
      <w:r>
        <w:rPr>
          <w:rFonts w:ascii="Cambria" w:hAnsi="Cambria"/>
          <w:color w:val="0563C1"/>
          <w:sz w:val="22"/>
          <w:u w:val="single"/>
        </w:rPr>
        <w:t>https://amzn.in/d/emeRiJ3</w:t>
      </w:r>
    </w:p>
    <w:p>
      <w:pPr>
        <w:spacing w:after="120" w:line="276" w:lineRule="auto"/>
        <w:ind w:left="357" w:hanging="357"/>
      </w:pPr>
      <w:r>
        <w:rPr>
          <w:rFonts w:ascii="Cambria" w:hAnsi="Cambria"/>
          <w:b/>
          <w:sz w:val="22"/>
        </w:rPr>
        <w:t>16. Internal Quality Assurance Cell (IQAC): A Framework for Sustaining and Enhancing Quality in Higher Education Kindle Edition, ASIN: B0FPLRX4YF</w:t>
      </w:r>
    </w:p>
    <w:p>
      <w:pPr>
        <w:spacing w:after="120"/>
        <w:ind w:left="357"/>
      </w:pPr>
      <w:r>
        <w:rPr>
          <w:rFonts w:ascii="Cambria" w:hAnsi="Cambria"/>
          <w:color w:val="0563C1"/>
          <w:sz w:val="22"/>
          <w:u w:val="single"/>
        </w:rPr>
        <w:t>https://amzn.in/d/8n5aQRb</w:t>
      </w:r>
    </w:p>
    <w:p>
      <w:pPr>
        <w:spacing w:after="120" w:line="276" w:lineRule="auto"/>
        <w:ind w:left="357" w:hanging="357"/>
      </w:pPr>
      <w:r>
        <w:rPr>
          <w:rFonts w:ascii="Cambria" w:hAnsi="Cambria"/>
          <w:b/>
          <w:sz w:val="22"/>
        </w:rPr>
        <w:t>17. Comprehensive Guide for Teaching-Learning and Evaluation under NAAC Accreditation – Criterion 2 for Higher Education Institutions Kindle Edition, ASIN: B0FPRBZ2JH</w:t>
      </w:r>
    </w:p>
    <w:p>
      <w:pPr>
        <w:spacing w:after="120"/>
        <w:ind w:left="357"/>
      </w:pPr>
      <w:r>
        <w:rPr>
          <w:rFonts w:ascii="Cambria" w:hAnsi="Cambria"/>
          <w:color w:val="0563C1"/>
          <w:sz w:val="22"/>
          <w:u w:val="single"/>
        </w:rPr>
        <w:t>https://amzn.in/d/37LtI4z</w:t>
      </w:r>
    </w:p>
    <w:p>
      <w:pPr>
        <w:spacing w:after="120" w:line="276" w:lineRule="auto"/>
        <w:ind w:left="357" w:hanging="357"/>
      </w:pPr>
      <w:r>
        <w:rPr>
          <w:rFonts w:ascii="Cambria" w:hAnsi="Cambria"/>
          <w:b/>
          <w:sz w:val="22"/>
        </w:rPr>
        <w:t>18. Curricular Aspects under NAAC Accreditation – Criterion 1 for Higher Education Institutions: Ensuring Academic Flexibility, Curriculum Enrichment, and Alignment with NEP 2020 Kindle Edition, ASIN: B0FPR342MM</w:t>
      </w:r>
    </w:p>
    <w:p>
      <w:pPr>
        <w:spacing w:after="120"/>
        <w:ind w:left="357"/>
      </w:pPr>
      <w:r>
        <w:rPr>
          <w:rFonts w:ascii="Cambria" w:hAnsi="Cambria"/>
          <w:color w:val="0563C1"/>
          <w:sz w:val="22"/>
          <w:u w:val="single"/>
        </w:rPr>
        <w:t>https://amzn.in/d/0S10khp</w:t>
      </w:r>
    </w:p>
    <w:p>
      <w:pPr>
        <w:spacing w:after="120" w:line="276" w:lineRule="auto"/>
        <w:ind w:left="357" w:hanging="357"/>
      </w:pPr>
      <w:r>
        <w:rPr>
          <w:rFonts w:ascii="Cambria" w:hAnsi="Cambria"/>
          <w:b/>
          <w:sz w:val="22"/>
        </w:rPr>
        <w:t>19. National Institutional Ranking Framework (NIRF): Transforming Indian Higher Education: A Comprehensive Analysis of Methodology, Parameters, and Impact, Kindle Edition, ASIN: B0FQ5MNVGR</w:t>
      </w:r>
    </w:p>
    <w:p>
      <w:pPr>
        <w:spacing w:after="120"/>
        <w:ind w:left="357"/>
      </w:pPr>
      <w:r>
        <w:rPr>
          <w:rFonts w:ascii="Cambria" w:hAnsi="Cambria"/>
          <w:color w:val="0563C1"/>
          <w:sz w:val="22"/>
          <w:u w:val="single"/>
        </w:rPr>
        <w:t>https://amzn.in/d/hhrZvux</w:t>
      </w:r>
    </w:p>
    <w:p>
      <w:pPr>
        <w:spacing w:after="120" w:line="276" w:lineRule="auto"/>
        <w:ind w:left="357" w:hanging="357"/>
      </w:pPr>
      <w:r>
        <w:rPr>
          <w:rFonts w:ascii="Cambria" w:hAnsi="Cambria"/>
          <w:b/>
          <w:sz w:val="22"/>
        </w:rPr>
        <w:t>20. NBA Accreditation Process for Tier-1 Institutions – Criterion 3: Outcome-Based Assessment: Framework for Evaluating COs, POs, and PSOs in Compliance with NBA Accreditation Standards, Kindle Edition, ASIN: B0FQBQ21S1</w:t>
      </w:r>
    </w:p>
    <w:p>
      <w:pPr>
        <w:spacing w:after="120"/>
        <w:ind w:left="357"/>
      </w:pPr>
      <w:r>
        <w:rPr>
          <w:rFonts w:ascii="Cambria" w:hAnsi="Cambria"/>
          <w:color w:val="0563C1"/>
          <w:sz w:val="22"/>
          <w:u w:val="single"/>
        </w:rPr>
        <w:t>https://amzn.in/d/a2nGhnx</w:t>
      </w:r>
    </w:p>
    <w:p>
      <w:pPr>
        <w:spacing w:after="120" w:line="276" w:lineRule="auto"/>
        <w:ind w:left="357" w:hanging="357"/>
      </w:pPr>
      <w:r>
        <w:rPr>
          <w:rFonts w:ascii="Cambria" w:hAnsi="Cambria"/>
          <w:b/>
          <w:sz w:val="22"/>
        </w:rPr>
        <w:t>21. NBA Accreditation Process for Tier-1 Institutions – Criterion 9: Student Support System and Governance: A Framework for Student Support, Governance, and Institutional Accountability in HEIs, Kindle Edition, ASIN: B0FQJ2KHPC</w:t>
      </w:r>
    </w:p>
    <w:p>
      <w:pPr>
        <w:spacing w:after="120"/>
        <w:ind w:left="357"/>
      </w:pPr>
      <w:r>
        <w:rPr>
          <w:rFonts w:ascii="Cambria" w:hAnsi="Cambria"/>
          <w:color w:val="0563C1"/>
          <w:sz w:val="22"/>
          <w:u w:val="single"/>
        </w:rPr>
        <w:t>https://amzn.in/d/dYBQik0</w:t>
      </w:r>
    </w:p>
    <w:p>
      <w:pPr>
        <w:spacing w:after="120" w:line="276" w:lineRule="auto"/>
        <w:ind w:left="357" w:hanging="357"/>
      </w:pPr>
      <w:r>
        <w:rPr>
          <w:rFonts w:ascii="Cambria" w:hAnsi="Cambria"/>
          <w:b/>
          <w:sz w:val="22"/>
        </w:rPr>
        <w:t>22. NBA Accreditation Process for Tier-1 Institutions – Criterion 8: Continuous Improvement: Closing the Loop in Outcome-Based Education for Quality Enhancement, Kindle Edition, ASIN: B0FQJ75CNV</w:t>
      </w:r>
    </w:p>
    <w:p>
      <w:pPr>
        <w:spacing w:after="120"/>
        <w:ind w:left="357"/>
      </w:pPr>
      <w:r>
        <w:rPr>
          <w:rFonts w:ascii="Cambria" w:hAnsi="Cambria"/>
          <w:color w:val="0563C1"/>
          <w:sz w:val="22"/>
          <w:u w:val="single"/>
        </w:rPr>
        <w:t>https://amzn.in/d/1Vco5Ye</w:t>
      </w:r>
    </w:p>
    <w:p>
      <w:pPr>
        <w:spacing w:after="120" w:line="276" w:lineRule="auto"/>
        <w:ind w:left="357" w:hanging="357"/>
      </w:pPr>
      <w:r>
        <w:rPr>
          <w:rFonts w:ascii="Cambria" w:hAnsi="Cambria"/>
          <w:b/>
          <w:sz w:val="22"/>
        </w:rPr>
        <w:t>23. Holistic Performance Appraisal and Development: Driving Continuous Quality in Higher Education Institutions, Kindle Edition, ASIN: B0FQN2S8WH</w:t>
      </w:r>
    </w:p>
    <w:p>
      <w:pPr>
        <w:spacing w:after="120"/>
        <w:ind w:left="357"/>
      </w:pPr>
      <w:r>
        <w:rPr>
          <w:rFonts w:ascii="Cambria" w:hAnsi="Cambria"/>
          <w:color w:val="0563C1"/>
          <w:sz w:val="22"/>
          <w:u w:val="single"/>
        </w:rPr>
        <w:t>https://amzn.in/d/bipHsu8</w:t>
      </w:r>
    </w:p>
    <w:p>
      <w:pPr>
        <w:spacing w:after="120" w:line="276" w:lineRule="auto"/>
        <w:ind w:left="357" w:hanging="357"/>
      </w:pPr>
      <w:r>
        <w:rPr>
          <w:rFonts w:ascii="Cambria" w:hAnsi="Cambria"/>
          <w:b/>
          <w:sz w:val="22"/>
        </w:rPr>
        <w:t>24. NBA Accreditation Process for Tier-1 Institutions – Criterion 7: Facilities and Technical Support: A Comprehensive Guide to Facilities, Laboratories, and Technical Support in Accreditation, Kindle Edition, ASIN: B0FQPHYBRC</w:t>
      </w:r>
    </w:p>
    <w:p>
      <w:pPr>
        <w:spacing w:after="120"/>
        <w:ind w:left="357"/>
      </w:pPr>
      <w:r>
        <w:rPr>
          <w:rFonts w:ascii="Cambria" w:hAnsi="Cambria"/>
          <w:color w:val="0563C1"/>
          <w:sz w:val="22"/>
          <w:u w:val="single"/>
        </w:rPr>
        <w:t>https://amzn.in/d/9kAkdLZ</w:t>
      </w:r>
    </w:p>
    <w:p>
      <w:pPr>
        <w:spacing w:after="120" w:line="276" w:lineRule="auto"/>
        <w:ind w:left="357" w:hanging="357"/>
      </w:pPr>
      <w:r>
        <w:rPr>
          <w:rFonts w:ascii="Cambria" w:hAnsi="Cambria"/>
          <w:b/>
          <w:sz w:val="22"/>
        </w:rPr>
        <w:t>25. Comprehensive Code of Ethics and Conduct for Students in Higher Education Institutions, Kindle Edition, ASIN: B0FQS7V248</w:t>
      </w:r>
    </w:p>
    <w:p>
      <w:pPr>
        <w:spacing w:after="120"/>
        <w:ind w:left="357"/>
      </w:pPr>
      <w:r>
        <w:rPr>
          <w:rFonts w:ascii="Cambria" w:hAnsi="Cambria"/>
          <w:color w:val="0563C1"/>
          <w:sz w:val="22"/>
          <w:u w:val="single"/>
        </w:rPr>
        <w:t>https://amzn.in/d/6jfKQnI</w:t>
      </w:r>
    </w:p>
    <w:p>
      <w:pPr>
        <w:spacing w:after="120" w:line="276" w:lineRule="auto"/>
        <w:ind w:left="357" w:hanging="357"/>
      </w:pPr>
      <w:r>
        <w:rPr>
          <w:rFonts w:ascii="Cambria" w:hAnsi="Cambria"/>
          <w:b/>
          <w:sz w:val="22"/>
        </w:rPr>
        <w:t>26. Industry Internship Program: Structure, Guidelines, and Evaluation Framework: Enhancing Employability and Industry Linkages in HEIs, Kindle Edition, ASIN : B0FQLF8385</w:t>
      </w:r>
    </w:p>
    <w:p>
      <w:pPr>
        <w:spacing w:after="120"/>
        <w:ind w:left="357"/>
      </w:pPr>
      <w:r>
        <w:rPr>
          <w:rFonts w:ascii="Cambria" w:hAnsi="Cambria"/>
          <w:color w:val="0563C1"/>
          <w:sz w:val="22"/>
          <w:u w:val="single"/>
        </w:rPr>
        <w:t>https://amzn.in/d/8scRAIj</w:t>
      </w:r>
    </w:p>
    <w:p>
      <w:pPr>
        <w:spacing w:after="120" w:line="276" w:lineRule="auto"/>
        <w:ind w:left="357" w:hanging="357"/>
      </w:pPr>
      <w:r>
        <w:rPr>
          <w:rFonts w:ascii="Cambria" w:hAnsi="Cambria"/>
          <w:b/>
          <w:sz w:val="22"/>
        </w:rPr>
        <w:t>27. Energy Management and Audit in Indian Educational Institutions: A Blueprint for Sustainable Growth: Mapping Institutional Energy Management to NAAC Criteria, SDG Goals, and QS I-GAUGE Standards, Kindle Edition, ASIN: B0FQZNSBJ5</w:t>
      </w:r>
    </w:p>
    <w:p>
      <w:pPr>
        <w:spacing w:after="120"/>
        <w:ind w:left="357"/>
      </w:pPr>
      <w:r>
        <w:rPr>
          <w:rFonts w:ascii="Cambria" w:hAnsi="Cambria"/>
          <w:color w:val="0563C1"/>
          <w:sz w:val="22"/>
          <w:u w:val="single"/>
        </w:rPr>
        <w:t>https://amzn.in/d/eKx5NC9</w:t>
      </w:r>
    </w:p>
    <w:p>
      <w:pPr>
        <w:spacing w:after="120" w:line="276" w:lineRule="auto"/>
        <w:ind w:left="357" w:hanging="357"/>
      </w:pPr>
      <w:r>
        <w:rPr>
          <w:rFonts w:ascii="Cambria" w:hAnsi="Cambria"/>
          <w:b/>
          <w:sz w:val="22"/>
        </w:rPr>
        <w:t>28. Financial Operations and Management Policy in Higher Education Institutions: A Comprehensive Framework Linking Finance Policy to NAAC, NBA, NIRF, QS I-GAUGE, and SDGs, Kindle Edition, ASIN: B0FR1P216J</w:t>
      </w:r>
    </w:p>
    <w:p>
      <w:pPr>
        <w:spacing w:after="120"/>
        <w:ind w:left="357"/>
      </w:pPr>
      <w:r>
        <w:rPr>
          <w:rFonts w:ascii="Cambria" w:hAnsi="Cambria"/>
          <w:color w:val="0563C1"/>
          <w:sz w:val="22"/>
          <w:u w:val="single"/>
        </w:rPr>
        <w:t>https://amzn.in/d/8st88zc</w:t>
      </w:r>
    </w:p>
    <w:p>
      <w:pPr>
        <w:spacing w:after="120" w:line="276" w:lineRule="auto"/>
        <w:ind w:left="357" w:hanging="357"/>
      </w:pPr>
      <w:r>
        <w:rPr>
          <w:rFonts w:ascii="Cambria" w:hAnsi="Cambria"/>
          <w:b/>
          <w:sz w:val="22"/>
        </w:rPr>
        <w:t>29. NBA Accreditation Process for Tier-1 Institutions – Criterion 6: Faculty Contribution: Recognizing Professional Development, Research, and Institutional Growth, Kindle Edition, ASIN : B0FR1JLR73</w:t>
      </w:r>
    </w:p>
    <w:p>
      <w:pPr>
        <w:spacing w:after="120"/>
        <w:ind w:left="357"/>
      </w:pPr>
      <w:r>
        <w:rPr>
          <w:rFonts w:ascii="Cambria" w:hAnsi="Cambria"/>
          <w:color w:val="0563C1"/>
          <w:sz w:val="22"/>
          <w:u w:val="single"/>
        </w:rPr>
        <w:t>https://amzn.in/d/98KXO4k</w:t>
      </w:r>
    </w:p>
    <w:p>
      <w:pPr>
        <w:spacing w:after="120" w:line="276" w:lineRule="auto"/>
        <w:ind w:left="357" w:hanging="357"/>
      </w:pPr>
      <w:r>
        <w:rPr>
          <w:rFonts w:ascii="Cambria" w:hAnsi="Cambria"/>
          <w:b/>
          <w:sz w:val="22"/>
        </w:rPr>
        <w:t>30. Comprehensive Policy Framework for Sustainable Water Management, Conservation, and Auditing in Higher Education Institutions, Kindle Edition, ASIN: B0FR31X1BC</w:t>
      </w:r>
    </w:p>
    <w:p>
      <w:pPr>
        <w:spacing w:after="120"/>
        <w:ind w:left="357"/>
      </w:pPr>
      <w:r>
        <w:rPr>
          <w:rFonts w:ascii="Cambria" w:hAnsi="Cambria"/>
          <w:color w:val="0563C1"/>
          <w:sz w:val="22"/>
          <w:u w:val="single"/>
        </w:rPr>
        <w:t>https://amzn.in/d/3i40Lf1</w:t>
      </w:r>
    </w:p>
    <w:p>
      <w:pPr>
        <w:spacing w:after="120" w:line="276" w:lineRule="auto"/>
        <w:ind w:left="357" w:hanging="357"/>
      </w:pPr>
      <w:r>
        <w:rPr>
          <w:rFonts w:ascii="Cambria" w:hAnsi="Cambria"/>
          <w:b/>
          <w:sz w:val="22"/>
        </w:rPr>
        <w:t>31. NBA Accreditation Process for Tier-1 Institutions – Criterion 5: Faculty Information: Evaluating Faculty Strength, Qualifications, and Development in Higher Education Institutions, Kindle Edition, ASIN: B0FR3DBZ3B</w:t>
      </w:r>
    </w:p>
    <w:p>
      <w:pPr>
        <w:spacing w:after="120"/>
        <w:ind w:left="357"/>
      </w:pPr>
      <w:r>
        <w:rPr>
          <w:rFonts w:ascii="Cambria" w:hAnsi="Cambria"/>
          <w:color w:val="0563C1"/>
          <w:sz w:val="22"/>
          <w:u w:val="single"/>
        </w:rPr>
        <w:t>https://amzn.in/d/a1344lj</w:t>
      </w:r>
    </w:p>
    <w:p>
      <w:pPr>
        <w:spacing w:after="120" w:line="276" w:lineRule="auto"/>
        <w:ind w:left="357" w:hanging="357"/>
      </w:pPr>
      <w:r>
        <w:rPr>
          <w:rFonts w:ascii="Cambria" w:hAnsi="Cambria"/>
          <w:b/>
          <w:sz w:val="22"/>
        </w:rPr>
        <w:t>32. NBA Accreditation Process for Tier-1 Institutions – Criterion 4: Students' Performance: Evaluating Enrolment, Academic Success, and Career Outcomes in Higher Education, Kindle Edition, ASIN: B0FR3JHMXS</w:t>
      </w:r>
    </w:p>
    <w:p>
      <w:pPr>
        <w:spacing w:after="120"/>
        <w:ind w:left="357"/>
      </w:pPr>
      <w:r>
        <w:rPr>
          <w:rFonts w:ascii="Cambria" w:hAnsi="Cambria"/>
          <w:color w:val="0563C1"/>
          <w:sz w:val="22"/>
          <w:u w:val="single"/>
        </w:rPr>
        <w:t>https://amzn.in/d/dry9lRW</w:t>
      </w:r>
    </w:p>
    <w:p>
      <w:pPr>
        <w:spacing w:after="120" w:line="276" w:lineRule="auto"/>
        <w:ind w:left="357" w:hanging="357"/>
      </w:pPr>
      <w:r>
        <w:rPr>
          <w:rFonts w:ascii="Cambria" w:hAnsi="Cambria"/>
          <w:b/>
          <w:sz w:val="22"/>
        </w:rPr>
        <w:t>33. Comprehensive Framework for Student Grievance, Counselling, Anti-Ragging, and Internal Complaints in HEIs: Mapping Student Support and Protection Mechanisms to NAAC, NBA, NIRF, QS I-GAUGE, and SDGs, Kindle Edition, ASIN: B0FR58L1G8</w:t>
      </w:r>
    </w:p>
    <w:p>
      <w:pPr>
        <w:spacing w:after="120"/>
        <w:ind w:left="357"/>
      </w:pPr>
      <w:r>
        <w:rPr>
          <w:rFonts w:ascii="Cambria" w:hAnsi="Cambria"/>
          <w:color w:val="0563C1"/>
          <w:sz w:val="22"/>
          <w:u w:val="single"/>
        </w:rPr>
        <w:t>https://amzn.in/d/gXvdCpx</w:t>
      </w:r>
    </w:p>
    <w:p>
      <w:pPr>
        <w:spacing w:after="120" w:line="276" w:lineRule="auto"/>
        <w:ind w:left="357" w:hanging="357"/>
      </w:pPr>
      <w:r>
        <w:rPr>
          <w:rFonts w:ascii="Cambria" w:hAnsi="Cambria"/>
          <w:b/>
          <w:sz w:val="22"/>
        </w:rPr>
        <w:t>34. Student Affairs Policy for Higher Education Institutions (HEIs): Aligning Student Development with NAAC, NBA, NIRF, QS I-GAUGE, and SDG Standards, Kindle Edition, ASIN: B0FR4GW6RB</w:t>
      </w:r>
    </w:p>
    <w:p>
      <w:pPr>
        <w:spacing w:after="120"/>
        <w:ind w:left="357"/>
      </w:pPr>
      <w:r>
        <w:rPr>
          <w:rFonts w:ascii="Cambria" w:hAnsi="Cambria"/>
          <w:color w:val="0563C1"/>
          <w:sz w:val="22"/>
          <w:u w:val="single"/>
        </w:rPr>
        <w:t>https://amzn.in/d/2zTHV0B</w:t>
      </w:r>
    </w:p>
    <w:p>
      <w:pPr>
        <w:spacing w:after="120" w:line="276" w:lineRule="auto"/>
        <w:ind w:left="357" w:hanging="357"/>
      </w:pPr>
      <w:r>
        <w:rPr>
          <w:rFonts w:ascii="Cambria" w:hAnsi="Cambria"/>
          <w:b/>
          <w:sz w:val="22"/>
        </w:rPr>
        <w:t>35. Comprehensive Guide for Institutional Values and Best Practices under NAAC Accreditation – Criterion 7 for Higher Education Institutions: Frameworks, Case Studies, and Evidence for Quality Assurance, Kindle Edition, ASIN: B0FR7WJQJ2</w:t>
      </w:r>
    </w:p>
    <w:p>
      <w:pPr>
        <w:spacing w:after="120"/>
        <w:ind w:left="357"/>
      </w:pPr>
      <w:r>
        <w:rPr>
          <w:rFonts w:ascii="Cambria" w:hAnsi="Cambria"/>
          <w:color w:val="0563C1"/>
          <w:sz w:val="22"/>
          <w:u w:val="single"/>
        </w:rPr>
        <w:t>https://amzn.in/d/6gMGSy4</w:t>
      </w:r>
    </w:p>
    <w:p>
      <w:pPr>
        <w:spacing w:after="120" w:line="276" w:lineRule="auto"/>
        <w:ind w:left="357" w:hanging="357"/>
      </w:pPr>
      <w:r>
        <w:rPr>
          <w:rFonts w:ascii="Cambria" w:hAnsi="Cambria"/>
          <w:b/>
          <w:sz w:val="22"/>
        </w:rPr>
        <w:t>36. Comprehensive Guide for Governance, Leadership and Management under NAAC Accreditation – Criterion 6 for Higher Education Institutions, Kindle Edition, ASIN: B0FR8KKXS4</w:t>
      </w:r>
    </w:p>
    <w:p>
      <w:pPr>
        <w:spacing w:after="120"/>
        <w:ind w:left="357"/>
      </w:pPr>
      <w:r>
        <w:rPr>
          <w:rFonts w:ascii="Cambria" w:hAnsi="Cambria"/>
          <w:color w:val="0563C1"/>
          <w:sz w:val="22"/>
          <w:u w:val="single"/>
        </w:rPr>
        <w:t>https://amzn.in/d/5dscvoN</w:t>
      </w:r>
    </w:p>
    <w:p>
      <w:pPr>
        <w:spacing w:after="120" w:line="276" w:lineRule="auto"/>
        <w:ind w:left="357" w:hanging="357"/>
      </w:pPr>
      <w:r>
        <w:rPr>
          <w:rFonts w:ascii="Cambria" w:hAnsi="Cambria"/>
          <w:b/>
          <w:sz w:val="22"/>
        </w:rPr>
        <w:t>37. Comprehensive Guide for Research, Innovations, and Extension under NAAC Accreditation – Criterion 3 for Higher Education Institutions: Quality Assurance in Research, Innovation, and Extension, Kindle Edition, ASIN: B0FR9GFTST</w:t>
      </w:r>
    </w:p>
    <w:p>
      <w:pPr>
        <w:spacing w:after="120"/>
        <w:ind w:left="357"/>
      </w:pPr>
      <w:r>
        <w:rPr>
          <w:rFonts w:ascii="Cambria" w:hAnsi="Cambria"/>
          <w:color w:val="0563C1"/>
          <w:sz w:val="22"/>
          <w:u w:val="single"/>
        </w:rPr>
        <w:t>https://amzn.in/d/06MFYRq</w:t>
      </w:r>
    </w:p>
    <w:p>
      <w:pPr>
        <w:spacing w:after="120" w:line="276" w:lineRule="auto"/>
        <w:ind w:left="357" w:hanging="357"/>
      </w:pPr>
      <w:r>
        <w:rPr>
          <w:rFonts w:ascii="Cambria" w:hAnsi="Cambria"/>
          <w:b/>
          <w:sz w:val="22"/>
        </w:rPr>
        <w:t>38. Comprehensive Guide for Student Support and Progression under NAAC Accreditation – Criterion 5 for Higher Education Institutions, Kindle Edition, ASIN: B0FRDZKYNG</w:t>
      </w:r>
    </w:p>
    <w:p>
      <w:pPr>
        <w:spacing w:after="120"/>
        <w:ind w:left="357"/>
      </w:pPr>
      <w:r>
        <w:rPr>
          <w:rFonts w:ascii="Cambria" w:hAnsi="Cambria"/>
          <w:color w:val="0563C1"/>
          <w:sz w:val="22"/>
          <w:u w:val="single"/>
        </w:rPr>
        <w:t>https://amzn.in/d/3zP8hvF</w:t>
      </w:r>
    </w:p>
    <w:p>
      <w:pPr>
        <w:spacing w:after="120" w:line="276" w:lineRule="auto"/>
        <w:ind w:left="357" w:hanging="357"/>
      </w:pPr>
      <w:r>
        <w:rPr>
          <w:rFonts w:ascii="Cambria" w:hAnsi="Cambria"/>
          <w:b/>
          <w:sz w:val="22"/>
        </w:rPr>
        <w:t>39. Comprehensive Guide for Infrastructure and Learning Resources under NAAC Accreditation – Criterion 4 for Higher Education Institutions: Sustainable, Inclusive, and Future-Ready Learning Ecosystems, Kindle Edition, ASIN: B0FRFFRDPB</w:t>
      </w:r>
    </w:p>
    <w:p>
      <w:pPr>
        <w:spacing w:after="120"/>
        <w:ind w:left="357"/>
      </w:pPr>
      <w:r>
        <w:rPr>
          <w:rFonts w:ascii="Cambria" w:hAnsi="Cambria"/>
          <w:color w:val="0563C1"/>
          <w:sz w:val="22"/>
          <w:u w:val="single"/>
        </w:rPr>
        <w:t>https://amzn.in/d/5xlUunj</w:t>
      </w:r>
    </w:p>
    <w:p>
      <w:pPr>
        <w:spacing w:after="120" w:line="276" w:lineRule="auto"/>
        <w:ind w:left="357" w:hanging="357"/>
      </w:pPr>
      <w:r>
        <w:rPr>
          <w:rFonts w:ascii="Cambria" w:hAnsi="Cambria"/>
          <w:b/>
          <w:sz w:val="22"/>
        </w:rPr>
        <w:t>40. Extension and Outreach Services in Higher Education: Leadership, Governance, and Community Engagement Strategies, Kindle Edition, ASIN: B0FRLHXR1G,</w:t>
      </w:r>
    </w:p>
    <w:p>
      <w:pPr>
        <w:spacing w:after="120"/>
        <w:ind w:left="357"/>
      </w:pPr>
      <w:r>
        <w:rPr>
          <w:rFonts w:ascii="Cambria" w:hAnsi="Cambria"/>
          <w:color w:val="0563C1"/>
          <w:sz w:val="22"/>
          <w:u w:val="single"/>
        </w:rPr>
        <w:t>https://amzn.in/d/9NE2wGs</w:t>
      </w:r>
    </w:p>
    <w:p>
      <w:pPr>
        <w:spacing w:after="120" w:line="276" w:lineRule="auto"/>
        <w:ind w:left="357" w:hanging="357"/>
      </w:pPr>
      <w:r>
        <w:rPr>
          <w:rFonts w:ascii="Cambria" w:hAnsi="Cambria"/>
          <w:b/>
          <w:sz w:val="22"/>
        </w:rPr>
        <w:t>41. Central Library: Policies, Procedures, and Best Practices in Higher Education Institutions: Aligning with NAAC, NIRF, NBA, and QS-I Gauge Standards, Kindle Edition, ASIN: B0FRMKX2BX</w:t>
      </w:r>
    </w:p>
    <w:p>
      <w:pPr>
        <w:spacing w:after="120"/>
        <w:ind w:left="357"/>
      </w:pPr>
      <w:r>
        <w:rPr>
          <w:rFonts w:ascii="Cambria" w:hAnsi="Cambria"/>
          <w:color w:val="0563C1"/>
          <w:sz w:val="22"/>
          <w:u w:val="single"/>
        </w:rPr>
        <w:t>https://amzn.in/d/9Qfr8S0</w:t>
      </w:r>
    </w:p>
    <w:p>
      <w:pPr>
        <w:spacing w:after="120" w:line="276" w:lineRule="auto"/>
        <w:ind w:left="357" w:hanging="357"/>
      </w:pPr>
      <w:r>
        <w:rPr>
          <w:rFonts w:ascii="Cambria" w:hAnsi="Cambria"/>
          <w:b/>
          <w:sz w:val="22"/>
        </w:rPr>
        <w:t>42. Institutional Policy on Publishing in Higher Education Institutions: Frameworks, Standards, and Best Practices for NAAC, NBA, NIRF, and QS I-GAUGE Compliance, Kindle Edition, ASIN : B0FRRBM6HD</w:t>
      </w:r>
    </w:p>
    <w:p>
      <w:pPr>
        <w:spacing w:after="120"/>
        <w:ind w:left="357"/>
      </w:pPr>
      <w:r>
        <w:rPr>
          <w:rFonts w:ascii="Cambria" w:hAnsi="Cambria"/>
          <w:color w:val="0563C1"/>
          <w:sz w:val="22"/>
          <w:u w:val="single"/>
        </w:rPr>
        <w:t>https://amzn.in/d/0bYPpGu</w:t>
      </w:r>
    </w:p>
    <w:p>
      <w:pPr>
        <w:spacing w:after="120" w:line="276" w:lineRule="auto"/>
        <w:ind w:left="357" w:hanging="357"/>
      </w:pPr>
      <w:r>
        <w:rPr>
          <w:rFonts w:ascii="Cambria" w:hAnsi="Cambria"/>
          <w:b/>
          <w:sz w:val="22"/>
        </w:rPr>
        <w:t>43. IT Services in Higher Education Institutions (HEIs): Policies, Registers, and Best Practices : Aligning IT Services in HEIs with NAAC, NBA, NIRF, and QS I-GAUGE Accreditation Frameworks, Kindle Edition,ASIN : B0FRRD3W8C</w:t>
      </w:r>
    </w:p>
    <w:p>
      <w:pPr>
        <w:spacing w:after="120"/>
        <w:ind w:left="357"/>
      </w:pPr>
      <w:r>
        <w:rPr>
          <w:rFonts w:ascii="Cambria" w:hAnsi="Cambria"/>
          <w:color w:val="0563C1"/>
          <w:sz w:val="22"/>
          <w:u w:val="single"/>
        </w:rPr>
        <w:t>https://amzn.in/d/5wXPUFs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mbria" w:hAnsi="Cambria"/>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