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80"/>
        <w:jc w:val="center"/>
      </w:pPr>
      <w:r>
        <w:rPr>
          <w:rFonts w:ascii="Cambria" w:hAnsi="Cambria"/>
          <w:b/>
          <w:i w:val="0"/>
          <w:color w:val="1F3A5F"/>
          <w:sz w:val="48"/>
        </w:rPr>
        <w:t>Head of the Department (HoD) in Higher</w:t>
      </w:r>
    </w:p>
    <w:p>
      <w:pPr>
        <w:spacing w:after="80"/>
        <w:jc w:val="center"/>
      </w:pPr>
      <w:r>
        <w:rPr>
          <w:rFonts w:ascii="Cambria" w:hAnsi="Cambria"/>
          <w:b/>
          <w:i w:val="0"/>
          <w:color w:val="1F3A5F"/>
          <w:sz w:val="48"/>
        </w:rPr>
        <w:t>Education Institutions: Roles and</w:t>
      </w:r>
    </w:p>
    <w:p>
      <w:pPr>
        <w:spacing w:after="400"/>
        <w:jc w:val="center"/>
      </w:pPr>
      <w:r>
        <w:rPr>
          <w:rFonts w:ascii="Cambria" w:hAnsi="Cambria"/>
          <w:b/>
          <w:i w:val="0"/>
          <w:color w:val="1F3A5F"/>
          <w:sz w:val="48"/>
        </w:rPr>
        <w:t>Responsibilities in Academic Activities</w:t>
      </w:r>
    </w:p>
    <w:p>
      <w:pPr>
        <w:spacing w:after="800"/>
        <w:jc w:val="center"/>
      </w:pPr>
      <w:r>
        <w:rPr>
          <w:rFonts w:ascii="Cambria" w:hAnsi="Cambria"/>
          <w:b/>
          <w:i w:val="0"/>
          <w:sz w:val="28"/>
        </w:rPr>
        <w:t>Mapping Academic Leadership to NBA, NAAC, NIRF, and QS I-GAUGE Frameworks</w:t>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center"/>
      </w:pPr>
      <w:r>
        <w:rPr>
          <w:rFonts w:ascii="Cambria" w:hAnsi="Cambria"/>
          <w:b/>
          <w:i w:val="0"/>
          <w:sz w:val="28"/>
        </w:rPr>
        <w:t>Dr. Venkata Rama Krishna Tottempudi</w:t>
      </w:r>
    </w:p>
    <w:p>
      <w:pPr>
        <w:spacing w:after="120"/>
        <w:jc w:val="center"/>
      </w:pPr>
      <w:r>
        <w:rPr>
          <w:rFonts w:ascii="Cambria" w:hAnsi="Cambria"/>
          <w:b/>
          <w:i w:val="0"/>
          <w:sz w:val="28"/>
        </w:rPr>
        <w:t>Sai Saran Tottempudi</w:t>
      </w:r>
    </w:p>
    <w:p>
      <w:r>
        <w:br w:type="page"/>
      </w:r>
    </w:p>
    <w:p>
      <w:pPr>
        <w:keepNext/>
        <w:spacing w:before="280" w:after="160"/>
        <w:jc w:val="left"/>
      </w:pPr>
      <w:r>
        <w:rPr>
          <w:rFonts w:ascii="Cambria" w:hAnsi="Cambria"/>
          <w:b/>
          <w:i w:val="0"/>
          <w:color w:val="1F3A5F"/>
          <w:sz w:val="30"/>
        </w:rPr>
        <w:t>Acknowledgement</w:t>
      </w:r>
    </w:p>
    <w:p>
      <w:pPr>
        <w:spacing w:after="120"/>
        <w:jc w:val="both"/>
      </w:pPr>
      <w:r>
        <w:rPr>
          <w:rFonts w:ascii="Cambria" w:hAnsi="Cambria"/>
          <w:b w:val="0"/>
          <w:i w:val="0"/>
          <w:sz w:val="22"/>
        </w:rPr>
        <w:t>The successful preparation of this work on “Head of the Department (HoD) in Higher Education Institutions: Roles and Responsibilities in Academic Activities” is the outcome of collective guidance, support, and contributions from various stakeholders in the higher education ecosystem. I wish to acknowledge the leadership and vision of institutional heads, principals, and senior administrators who have continuously emphasized the importance of academic governance, quality assurance, and outcome-based education as the foundation for departmental excellence.</w:t>
      </w:r>
    </w:p>
    <w:p>
      <w:pPr>
        <w:spacing w:after="120"/>
        <w:jc w:val="both"/>
      </w:pPr>
      <w:r>
        <w:rPr>
          <w:rFonts w:ascii="Cambria" w:hAnsi="Cambria"/>
          <w:b w:val="0"/>
          <w:i w:val="0"/>
          <w:sz w:val="22"/>
        </w:rPr>
        <w:t>My sincere appreciation goes to the faculty members whose dedication to teaching, research, and student mentoring reflects the true spirit of academic leadership envisioned in this study. Their willingness to share practical insights, experiences, and challenges has enriched the depth of this work. I also acknowledge the role of students, whose aspirations, feedback, and engagement serve as the driving force for continuous improvement in teaching–learning and academic activities.</w:t>
      </w:r>
    </w:p>
    <w:p>
      <w:pPr>
        <w:spacing w:after="120"/>
        <w:jc w:val="both"/>
      </w:pPr>
      <w:r>
        <w:rPr>
          <w:rFonts w:ascii="Cambria" w:hAnsi="Cambria"/>
          <w:b w:val="0"/>
          <w:i w:val="0"/>
          <w:sz w:val="22"/>
        </w:rPr>
        <w:t>Special thanks are due to quality assurance and accreditation bodies such as NAAC, NBA, NIRF, and QS I-GAUGE, whose frameworks, benchmarks, and peer review processes have shaped the structure, evidence-based approach, and measurable outcomes reflected in this work. Their contribution in promoting accountability and transparency in higher education has been a guiding principle throughout this document.</w:t>
      </w:r>
    </w:p>
    <w:p>
      <w:pPr>
        <w:spacing w:after="120"/>
        <w:jc w:val="both"/>
      </w:pPr>
      <w:r>
        <w:rPr>
          <w:rFonts w:ascii="Cambria" w:hAnsi="Cambria"/>
          <w:b w:val="0"/>
          <w:i w:val="0"/>
          <w:sz w:val="22"/>
        </w:rPr>
        <w:t>I gratefully recognize the constructive feedback and encouragement from colleagues, mentors, and researchers in the field of education management, who provided valuable perspectives on integrating policy, action, evidence, and outcomes into a systematic framework. Their suggestions have strengthened the credibility and practical relevance of this work.</w:t>
      </w:r>
    </w:p>
    <w:p>
      <w:pPr>
        <w:spacing w:after="120"/>
        <w:jc w:val="both"/>
      </w:pPr>
      <w:r>
        <w:rPr>
          <w:rFonts w:ascii="Cambria" w:hAnsi="Cambria"/>
          <w:b w:val="0"/>
          <w:i w:val="0"/>
          <w:sz w:val="22"/>
        </w:rPr>
        <w:t>Finally, I extend my heartfelt gratitude to all contributors, directly or indirectly, who inspired the vision of this book/report. It is my hope that this work will serve as a useful resource for HoDs, academic leaders, policymakers, and peer reviewers, ensuring that the roles and responsibilities of the Head of the Department are not only understood but also practiced with accountability, evidence, and measurable impact in academic activities.</w:t>
      </w:r>
    </w:p>
    <w:p>
      <w:pPr>
        <w:spacing w:after="120"/>
        <w:jc w:val="both"/>
      </w:pPr>
      <w:r>
        <w:rPr>
          <w:rFonts w:ascii="Cambria" w:hAnsi="Cambria"/>
          <w:b w:val="0"/>
          <w:i w:val="0"/>
          <w:sz w:val="22"/>
        </w:rPr>
        <w:t>Most importantly, I must thank my wife and best friend, Sailaja Tottempudi, for her unwavering support and strength through every phase of this journey.</w:t>
      </w:r>
    </w:p>
    <w:p>
      <w:pPr>
        <w:spacing w:after="120"/>
        <w:jc w:val="both"/>
      </w:pPr>
      <w:r>
        <w:rPr>
          <w:rFonts w:ascii="Cambria" w:hAnsi="Cambria"/>
          <w:b w:val="0"/>
          <w:i w:val="0"/>
          <w:sz w:val="22"/>
        </w:rPr>
        <w:t>Finally, I express my deep gratitude to my family and well-wishers for their continuous encouragement and moral support throughout this endeavor.</w:t>
      </w:r>
    </w:p>
    <w:p>
      <w:pPr>
        <w:spacing w:after="120"/>
        <w:jc w:val="both"/>
      </w:pPr>
      <w:r>
        <w:rPr>
          <w:rFonts w:ascii="Cambria" w:hAnsi="Cambria"/>
          <w:b w:val="0"/>
          <w:i w:val="0"/>
          <w:sz w:val="22"/>
        </w:rPr>
        <w:t>This book is a humble contribution toward building a more quality-conscious, outcome-oriented, and institutionally accountable higher education ecosystem in India.</w:t>
      </w:r>
    </w:p>
    <w:p>
      <w:pPr>
        <w:spacing w:after="40"/>
        <w:jc w:val="both"/>
      </w:pPr>
      <w:r>
        <w:rPr>
          <w:rFonts w:ascii="Cambria" w:hAnsi="Cambria"/>
          <w:b/>
          <w:i w:val="0"/>
          <w:sz w:val="22"/>
        </w:rPr>
        <w:t>Dr. V. Rama Krishna Tottempudi</w:t>
      </w:r>
    </w:p>
    <w:p>
      <w:pPr>
        <w:spacing w:after="120"/>
        <w:jc w:val="both"/>
      </w:pPr>
      <w:r>
        <w:rPr>
          <w:rFonts w:ascii="Cambria" w:hAnsi="Cambria"/>
          <w:b/>
          <w:i w:val="0"/>
          <w:sz w:val="22"/>
        </w:rPr>
        <w:t>Sai Saran Tottempudi</w:t>
      </w:r>
    </w:p>
    <w:p>
      <w:pPr>
        <w:spacing w:after="160"/>
      </w:pPr>
    </w:p>
    <w:p>
      <w:pPr>
        <w:keepNext/>
        <w:spacing w:before="280" w:after="160"/>
        <w:jc w:val="left"/>
      </w:pPr>
      <w:r>
        <w:rPr>
          <w:rFonts w:ascii="Cambria" w:hAnsi="Cambria"/>
          <w:b/>
          <w:i w:val="0"/>
          <w:color w:val="1F3A5F"/>
          <w:sz w:val="26"/>
        </w:rPr>
        <w:t>About Dr. T. V. Rama Krishna</w:t>
      </w:r>
    </w:p>
    <w:p>
      <w:pPr>
        <w:spacing w:after="120"/>
        <w:jc w:val="both"/>
      </w:pPr>
      <w:r>
        <w:rPr>
          <w:rFonts w:ascii="Cambria" w:hAnsi="Cambria"/>
          <w:b w:val="0"/>
          <w:i w:val="0"/>
          <w:sz w:val="22"/>
        </w:rPr>
        <w:t xml:space="preserve">Dr. T. V. Rama Krishna is a distinguished academician, researcher, and administrator with </w:t>
      </w:r>
      <w:r>
        <w:rPr>
          <w:rFonts w:ascii="Cambria" w:hAnsi="Cambria"/>
          <w:b/>
          <w:i w:val="0"/>
          <w:sz w:val="22"/>
        </w:rPr>
        <w:t>25 years of teaching experience</w:t>
      </w:r>
      <w:r>
        <w:rPr>
          <w:rFonts w:ascii="Cambria" w:hAnsi="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after="120"/>
        <w:jc w:val="both"/>
      </w:pPr>
      <w:r>
        <w:rPr>
          <w:rFonts w:ascii="Cambria" w:hAnsi="Cambria"/>
          <w:b w:val="0"/>
          <w:i w:val="0"/>
          <w:sz w:val="22"/>
        </w:rPr>
        <w:t xml:space="preserve">He has successfully </w:t>
      </w:r>
      <w:r>
        <w:rPr>
          <w:rFonts w:ascii="Cambria" w:hAnsi="Cambria"/>
          <w:b/>
          <w:i w:val="0"/>
          <w:sz w:val="22"/>
        </w:rPr>
        <w:t>guided 5 Ph.D. scholars</w:t>
      </w:r>
      <w:r>
        <w:rPr>
          <w:rFonts w:ascii="Cambria" w:hAnsi="Cambria"/>
          <w:b w:val="0"/>
          <w:i w:val="0"/>
          <w:sz w:val="22"/>
        </w:rPr>
        <w:t xml:space="preserve"> and continues to serve as a recognized research supervisor at Andhra University, JNTU Ananthapuram, Koneru Lakshmaiah Education Foundation (KLEF) University, and Sri Chandrasekharendra Saraswathi Viswa Mahavidyalaya University. His supervision has fostered high-quality research outcomes in engineering, technology, and applied sciences.</w:t>
      </w:r>
    </w:p>
    <w:p>
      <w:pPr>
        <w:spacing w:after="120"/>
        <w:jc w:val="both"/>
      </w:pPr>
      <w:r>
        <w:rPr>
          <w:rFonts w:ascii="Cambria" w:hAnsi="Cambria"/>
          <w:b w:val="0"/>
          <w:i w:val="0"/>
          <w:sz w:val="22"/>
        </w:rPr>
        <w:t xml:space="preserve">Dr. Rama Krishna is a prolific researcher with an extensive publication record of </w:t>
      </w:r>
      <w:r>
        <w:rPr>
          <w:rFonts w:ascii="Cambria" w:hAnsi="Cambria"/>
          <w:b/>
          <w:i w:val="0"/>
          <w:sz w:val="22"/>
        </w:rPr>
        <w:t>97 research papers</w:t>
      </w:r>
      <w:r>
        <w:rPr>
          <w:rFonts w:ascii="Cambria" w:hAnsi="Cambria"/>
          <w:b w:val="0"/>
          <w:i w:val="0"/>
          <w:sz w:val="22"/>
        </w:rPr>
        <w:t>, including 50 indexed in Scopus and 3 in SCI journals. His research expertise is widely recognized (Scopus Author ID – 56397099300).</w:t>
      </w:r>
    </w:p>
    <w:p>
      <w:pPr>
        <w:spacing w:after="120"/>
        <w:jc w:val="both"/>
      </w:pPr>
      <w:r>
        <w:rPr>
          <w:rFonts w:ascii="Cambria" w:hAnsi="Cambria"/>
          <w:b w:val="0"/>
          <w:i w:val="0"/>
          <w:sz w:val="22"/>
        </w:rPr>
        <w:t>Dr. T. V. Rama Krishna has held several distinguished academic and administrative positions across reputed institutions in Andhra Pradesh and Telangana. At Sanketika Vidya Parishad Engineering College (SVPEC), he served as the Ratified Principal from Andhra University, where he also took on responsibilities as Dean of Academics, Ratified Professor, and Member Secretary of the Governing Body, a statutory body under UGC. He later contributed as the Ratified Principal from JNTU, Hyderabad at Bharat Institute of Engineering and Technology (BIET), where his primary duties included serving as Dean of Academics and Member Secretary of the Governing Body.</w:t>
      </w:r>
    </w:p>
    <w:p>
      <w:pPr>
        <w:spacing w:after="120"/>
        <w:jc w:val="both"/>
      </w:pPr>
      <w:r>
        <w:rPr>
          <w:rFonts w:ascii="Cambria" w:hAnsi="Cambria"/>
          <w:b w:val="0"/>
          <w:i w:val="0"/>
          <w:sz w:val="22"/>
        </w:rPr>
        <w:t>At Sasi Institute of Technology and Engineering (SITE), he functioned as a Ratified Professor from JNTUK, Kakinada, while also serving as Principal and Dean of Academics. His statutory and governance roles at SITE included Governing Body Member, Academic Council Member Secretary, BoS Member, Finance Committee Coordinator, Planning &amp; Development Committee Coordinator, NAAC Coordinator, IQAC Coordinator, and NBA Coordinator, reflecting his extensive expertise in quality assurance and institutional governance.</w:t>
      </w:r>
    </w:p>
    <w:p>
      <w:pPr>
        <w:spacing w:after="120"/>
        <w:jc w:val="both"/>
      </w:pPr>
      <w:r>
        <w:rPr>
          <w:rFonts w:ascii="Cambria" w:hAnsi="Cambria"/>
          <w:b w:val="0"/>
          <w:i w:val="0"/>
          <w:sz w:val="22"/>
        </w:rPr>
        <w:t>At Koneru Lakshmaiah College of Engineering (KLCE) / KLEF University, Dr. Rama Krishna contributed as a Ratified Professor, Director of e-Resources, Associate Dean of Academics, and Associate Dean of Library Resources &amp; Technical Services and Certificate Courses. Additionally, he served as Professor In-Charge of Certificate Courses and the Central Library, while also holding statutory roles as Academic Council Member and BoS Member under UGC guidelines.</w:t>
      </w:r>
    </w:p>
    <w:p>
      <w:pPr>
        <w:spacing w:after="120"/>
        <w:jc w:val="both"/>
      </w:pPr>
      <w:r>
        <w:rPr>
          <w:rFonts w:ascii="Cambria" w:hAnsi="Cambria"/>
          <w:b w:val="0"/>
          <w:i w:val="0"/>
          <w:sz w:val="22"/>
        </w:rPr>
        <w:t>Earlier in his career, at R.V.R. &amp; J.C. College of Engineering, he was ratified as an Assistant Professor and subsequently promoted to Associate Professor under Acharya Nagarjuna University. During this period, he also served as NBA Criterion 7 In-Charge, focusing on infrastructure, facilities, and sustainability in accreditation processes.</w:t>
      </w:r>
    </w:p>
    <w:p>
      <w:pPr>
        <w:spacing w:after="120"/>
        <w:jc w:val="both"/>
      </w:pPr>
      <w:r>
        <w:rPr>
          <w:rFonts w:ascii="Cambria" w:hAnsi="Cambria"/>
          <w:b w:val="0"/>
          <w:i w:val="0"/>
          <w:sz w:val="22"/>
        </w:rPr>
        <w:t>With his 25 years of teaching, 5 awarded Ph.D.s, 97 publications,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r>
        <w:br w:type="page"/>
      </w:r>
    </w:p>
    <w:p>
      <w:pPr>
        <w:keepNext/>
        <w:spacing w:before="280" w:after="160"/>
        <w:jc w:val="left"/>
      </w:pPr>
      <w:r>
        <w:rPr>
          <w:rFonts w:ascii="Cambria" w:hAnsi="Cambria"/>
          <w:b/>
          <w:i w:val="0"/>
          <w:color w:val="1F3A5F"/>
          <w:sz w:val="30"/>
        </w:rPr>
        <w:t>Abstract</w:t>
      </w:r>
    </w:p>
    <w:p>
      <w:pPr>
        <w:spacing w:after="120"/>
        <w:jc w:val="both"/>
      </w:pPr>
      <w:r>
        <w:rPr>
          <w:rFonts w:ascii="Cambria" w:hAnsi="Cambria"/>
          <w:b w:val="0"/>
          <w:i w:val="0"/>
          <w:sz w:val="22"/>
        </w:rPr>
        <w:t>The role of the Head of the Department (HoD) in Higher Education Institutions (HEIs) has evolved into a multi-dimensional responsibility that blends academic leadership, administrative governance, and quality assurance with a strong focus on academic activities. As the pivotal link between institutional vision and departmental execution, the HoD is entrusted with planning, implementing, monitoring, and continuously improving academic systems to ensure outcome-based education (OBE) and holistic student development. The HoD's academic responsibilities encompass curriculum planning, workload distribution, course allocation, and alignment of teaching–learning activities with CO–PO–PSO attainment matrices. Through systematic preparation of lesson plans, timetables, laboratory schedules, and project work, the HoD ensures that academic delivery is transparent, equitable, and student-centered. The role further extends to mentoring and counseling students, monitoring attendance and performance, and initiating remedial measures to reduce backlogs and enhance student success rates. In parallel, the HoD ensures faculty are guided through workload equity, professional development opportunities, research encouragement, and evidence-based performance appraisals. This dual emphasis on student and faculty growth strengthens the academic ecosystem and sustains motivation, accountability, and innovation.</w:t>
      </w:r>
    </w:p>
    <w:p>
      <w:pPr>
        <w:spacing w:after="120"/>
        <w:jc w:val="both"/>
      </w:pPr>
      <w:r>
        <w:rPr>
          <w:rFonts w:ascii="Cambria" w:hAnsi="Cambria"/>
          <w:b w:val="0"/>
          <w:i w:val="0"/>
          <w:sz w:val="22"/>
        </w:rPr>
        <w:t>The HoD also plays a central role in academic governance through planning and control of budgets, organizing faculty development programs (FDPs), inviting guest lectures, conducting seminars, workshops, and symposiums, and fostering research and development in thrust areas with interdisciplinary linkages. By promoting MoUs, industry partnerships, consultancy, and funded projects, the HoD strengthens the academic–industry–society connect. Importantly, the HoD ensures compliance with quality frameworks such as NAAC, NBA, NIRF, and QS I-GAUGE by implementing academic audits, collecting stakeholder feedback, monitoring attainment levels, and preparing annual departmental reports. Documentation forms the backbone of this role, with lesson plans, course files, attendance registers, internal examination records, feedback analysis, and Action Taken Reports (ATRs) serving as verifiable evidence of continuous quality improvement. Parent–teacher meetings, grievance redressal mechanisms, and structured counseling further demonstrate the HoD's commitment to transparency, inclusivity, and trust-building within the academic community.</w:t>
      </w:r>
    </w:p>
    <w:p>
      <w:pPr>
        <w:spacing w:after="120"/>
        <w:jc w:val="both"/>
      </w:pPr>
      <w:r>
        <w:rPr>
          <w:rFonts w:ascii="Cambria" w:hAnsi="Cambria"/>
          <w:b w:val="0"/>
          <w:i w:val="0"/>
          <w:sz w:val="22"/>
        </w:rPr>
        <w:t>Ultimately, the HoD's roles and responsibilities in academic activities confirm that leadership is not symbolic but systematic, measurable, and outcome-linked. Through policy–action–evidence–outcome traceability, the HoD ensures that academic practices are aligned with institutional goals, national priorities such as NEP 2020, and global frameworks like the Sustainable Development Goals (SDGs). Tangible outcomes such as improved student success rates, increased placements, higher research productivity, enhanced interdisciplinary collaborations, and stronger accreditation scores provide numeric proof of effective leadership. In this way, the HoD functions as the custodian of academic quality and the driver of continuous improvement, ensuring that the department remains relevant, competitive, and socially responsible in the rapidly evolving higher education landscape.</w:t>
      </w:r>
    </w:p>
    <w:p>
      <w:r>
        <w:br w:type="page"/>
      </w:r>
    </w:p>
    <w:p>
      <w:pPr>
        <w:keepNext/>
        <w:spacing w:before="280" w:after="160"/>
        <w:jc w:val="left"/>
      </w:pPr>
      <w:r>
        <w:rPr>
          <w:rFonts w:ascii="Cambria" w:hAnsi="Cambria"/>
          <w:b/>
          <w:i w:val="0"/>
          <w:color w:val="1F3A5F"/>
          <w:sz w:val="30"/>
        </w:rPr>
        <w:t>Contents</w:t>
      </w:r>
    </w:p>
    <w:tbl>
      <w:tblPr>
        <w:tblStyle w:val="TableGrid"/>
        <w:tblW w:type="auto" w:w="0"/>
        <w:jc w:val="center"/>
        <w:tblLayout w:type="fixed"/>
        <w:tblLook w:firstColumn="1" w:firstRow="1" w:lastColumn="0" w:lastRow="0" w:noHBand="0" w:noVBand="1" w:val="04A0"/>
        <w:tblLayout w:type="fixed"/>
      </w:tblPr>
      <w:tblGrid>
        <w:gridCol w:w="850"/>
        <w:gridCol w:w="7540"/>
        <w:gridCol w:w="1020"/>
      </w:tblGrid>
      <w:tr>
        <w:tc>
          <w:tcPr>
            <w:tcW w:type="dxa" w:w="850"/>
            <w:shd w:val="clear" w:color="auto" w:fill="1F3A5F"/>
          </w:tcPr>
          <w:p>
            <w:pPr>
              <w:jc w:val="center"/>
            </w:pPr>
            <w:r/>
            <w:r>
              <w:rPr>
                <w:rFonts w:ascii="Cambria" w:hAnsi="Cambria"/>
                <w:b/>
                <w:i w:val="0"/>
                <w:color w:val="FFFFFF"/>
                <w:sz w:val="20"/>
              </w:rPr>
              <w:t>S. No</w:t>
            </w:r>
          </w:p>
        </w:tc>
        <w:tc>
          <w:tcPr>
            <w:tcW w:type="dxa" w:w="7540"/>
            <w:shd w:val="clear" w:color="auto" w:fill="1F3A5F"/>
          </w:tcPr>
          <w:p>
            <w:pPr>
              <w:jc w:val="center"/>
            </w:pPr>
            <w:r/>
            <w:r>
              <w:rPr>
                <w:rFonts w:ascii="Cambria" w:hAnsi="Cambria"/>
                <w:b/>
                <w:i w:val="0"/>
                <w:color w:val="FFFFFF"/>
                <w:sz w:val="20"/>
              </w:rPr>
              <w:t>Content</w:t>
            </w:r>
          </w:p>
        </w:tc>
        <w:tc>
          <w:tcPr>
            <w:tcW w:type="dxa" w:w="1020"/>
            <w:shd w:val="clear" w:color="auto" w:fill="1F3A5F"/>
          </w:tcPr>
          <w:p>
            <w:pPr>
              <w:jc w:val="center"/>
            </w:pPr>
            <w:r/>
            <w:r>
              <w:rPr>
                <w:rFonts w:ascii="Cambria" w:hAnsi="Cambria"/>
                <w:b/>
                <w:i w:val="0"/>
                <w:color w:val="FFFFFF"/>
                <w:sz w:val="20"/>
              </w:rPr>
              <w:t>Pg. No</w:t>
            </w:r>
          </w:p>
        </w:tc>
      </w:tr>
      <w:tr>
        <w:tc>
          <w:tcPr>
            <w:tcW w:type="dxa" w:w="850"/>
          </w:tcPr>
          <w:p>
            <w:pPr>
              <w:jc w:val="left"/>
            </w:pPr>
            <w:r/>
            <w:r>
              <w:rPr>
                <w:rFonts w:ascii="Cambria" w:hAnsi="Cambria"/>
                <w:b w:val="0"/>
                <w:i w:val="0"/>
                <w:sz w:val="18"/>
              </w:rPr>
              <w:t>1</w:t>
            </w:r>
          </w:p>
        </w:tc>
        <w:tc>
          <w:tcPr>
            <w:tcW w:type="dxa" w:w="7540"/>
          </w:tcPr>
          <w:p>
            <w:pPr>
              <w:jc w:val="left"/>
            </w:pPr>
            <w:r/>
            <w:r>
              <w:rPr>
                <w:rFonts w:ascii="Cambria" w:hAnsi="Cambria"/>
                <w:b w:val="0"/>
                <w:i w:val="0"/>
                <w:sz w:val="18"/>
              </w:rPr>
              <w:t>Introduction</w:t>
            </w:r>
          </w:p>
        </w:tc>
        <w:tc>
          <w:tcPr>
            <w:tcW w:type="dxa" w:w="1020"/>
          </w:tcPr>
          <w:p>
            <w:pPr>
              <w:jc w:val="left"/>
            </w:pPr>
            <w:r/>
            <w:r>
              <w:rPr>
                <w:rFonts w:ascii="Cambria" w:hAnsi="Cambria"/>
                <w:b w:val="0"/>
                <w:i w:val="0"/>
                <w:sz w:val="18"/>
              </w:rPr>
              <w:t>1</w:t>
            </w:r>
          </w:p>
        </w:tc>
      </w:tr>
      <w:tr>
        <w:tc>
          <w:tcPr>
            <w:tcW w:type="dxa" w:w="850"/>
            <w:shd w:val="clear" w:color="auto" w:fill="E8EEF5"/>
          </w:tcPr>
          <w:p>
            <w:pPr>
              <w:jc w:val="left"/>
            </w:pPr>
            <w:r/>
            <w:r>
              <w:rPr>
                <w:rFonts w:ascii="Cambria" w:hAnsi="Cambria"/>
                <w:b w:val="0"/>
                <w:i w:val="0"/>
                <w:sz w:val="18"/>
              </w:rPr>
              <w:t>2</w:t>
            </w:r>
          </w:p>
        </w:tc>
        <w:tc>
          <w:tcPr>
            <w:tcW w:type="dxa" w:w="7540"/>
            <w:shd w:val="clear" w:color="auto" w:fill="E8EEF5"/>
          </w:tcPr>
          <w:p>
            <w:pPr>
              <w:jc w:val="left"/>
            </w:pPr>
            <w:r/>
            <w:r>
              <w:rPr>
                <w:rFonts w:ascii="Cambria" w:hAnsi="Cambria"/>
                <w:b w:val="0"/>
                <w:i w:val="0"/>
                <w:sz w:val="18"/>
              </w:rPr>
              <w:t>Roles and Responsibilities of Head of the Department (HoD) in Higher Education Institutions (HEIs)</w:t>
            </w:r>
          </w:p>
        </w:tc>
        <w:tc>
          <w:tcPr>
            <w:tcW w:type="dxa" w:w="1020"/>
            <w:shd w:val="clear" w:color="auto" w:fill="E8EEF5"/>
          </w:tcPr>
          <w:p>
            <w:pPr>
              <w:jc w:val="left"/>
            </w:pPr>
            <w:r/>
            <w:r>
              <w:rPr>
                <w:rFonts w:ascii="Cambria" w:hAnsi="Cambria"/>
                <w:b w:val="0"/>
                <w:i w:val="0"/>
                <w:sz w:val="18"/>
              </w:rPr>
              <w:t>4</w:t>
            </w:r>
          </w:p>
        </w:tc>
      </w:tr>
      <w:tr>
        <w:tc>
          <w:tcPr>
            <w:tcW w:type="dxa" w:w="850"/>
          </w:tcPr>
          <w:p>
            <w:pPr>
              <w:jc w:val="left"/>
            </w:pPr>
            <w:r/>
            <w:r>
              <w:rPr>
                <w:rFonts w:ascii="Cambria" w:hAnsi="Cambria"/>
                <w:b w:val="0"/>
                <w:i w:val="0"/>
                <w:sz w:val="18"/>
              </w:rPr>
              <w:t>3</w:t>
            </w:r>
          </w:p>
        </w:tc>
        <w:tc>
          <w:tcPr>
            <w:tcW w:type="dxa" w:w="7540"/>
          </w:tcPr>
          <w:p>
            <w:pPr>
              <w:jc w:val="left"/>
            </w:pPr>
            <w:r/>
            <w:r>
              <w:rPr>
                <w:rFonts w:ascii="Cambria" w:hAnsi="Cambria"/>
                <w:b w:val="0"/>
                <w:i w:val="0"/>
                <w:sz w:val="18"/>
              </w:rPr>
              <w:t>Responsibilities of HoD in Academic Activities</w:t>
            </w:r>
          </w:p>
        </w:tc>
        <w:tc>
          <w:tcPr>
            <w:tcW w:type="dxa" w:w="1020"/>
          </w:tcPr>
          <w:p>
            <w:pPr>
              <w:jc w:val="left"/>
            </w:pPr>
            <w:r/>
            <w:r>
              <w:rPr>
                <w:rFonts w:ascii="Cambria" w:hAnsi="Cambria"/>
                <w:b w:val="0"/>
                <w:i w:val="0"/>
                <w:sz w:val="18"/>
              </w:rPr>
              <w:t>10</w:t>
            </w:r>
          </w:p>
        </w:tc>
      </w:tr>
      <w:tr>
        <w:tc>
          <w:tcPr>
            <w:tcW w:type="dxa" w:w="850"/>
            <w:shd w:val="clear" w:color="auto" w:fill="E8EEF5"/>
          </w:tcPr>
          <w:p>
            <w:pPr>
              <w:jc w:val="left"/>
            </w:pPr>
            <w:r/>
            <w:r>
              <w:rPr>
                <w:rFonts w:ascii="Cambria" w:hAnsi="Cambria"/>
                <w:b w:val="0"/>
                <w:i w:val="0"/>
                <w:sz w:val="18"/>
              </w:rPr>
              <w:t>4</w:t>
            </w:r>
          </w:p>
        </w:tc>
        <w:tc>
          <w:tcPr>
            <w:tcW w:type="dxa" w:w="7540"/>
            <w:shd w:val="clear" w:color="auto" w:fill="E8EEF5"/>
          </w:tcPr>
          <w:p>
            <w:pPr>
              <w:jc w:val="left"/>
            </w:pPr>
            <w:r/>
            <w:r>
              <w:rPr>
                <w:rFonts w:ascii="Cambria" w:hAnsi="Cambria"/>
                <w:b w:val="0"/>
                <w:i w:val="0"/>
                <w:sz w:val="18"/>
              </w:rPr>
              <w:t>Planning, Monitoring, and Control of the Academic System by the HoD for his/her Division in HEIs</w:t>
            </w:r>
          </w:p>
        </w:tc>
        <w:tc>
          <w:tcPr>
            <w:tcW w:type="dxa" w:w="1020"/>
            <w:shd w:val="clear" w:color="auto" w:fill="E8EEF5"/>
          </w:tcPr>
          <w:p>
            <w:pPr>
              <w:jc w:val="left"/>
            </w:pPr>
            <w:r/>
            <w:r>
              <w:rPr>
                <w:rFonts w:ascii="Cambria" w:hAnsi="Cambria"/>
                <w:b w:val="0"/>
                <w:i w:val="0"/>
                <w:sz w:val="18"/>
              </w:rPr>
              <w:t>13</w:t>
            </w:r>
          </w:p>
        </w:tc>
      </w:tr>
      <w:tr>
        <w:tc>
          <w:tcPr>
            <w:tcW w:type="dxa" w:w="850"/>
          </w:tcPr>
          <w:p>
            <w:pPr>
              <w:jc w:val="left"/>
            </w:pPr>
            <w:r/>
            <w:r>
              <w:rPr>
                <w:rFonts w:ascii="Cambria" w:hAnsi="Cambria"/>
                <w:b w:val="0"/>
                <w:i w:val="0"/>
                <w:sz w:val="18"/>
              </w:rPr>
              <w:t>5</w:t>
            </w:r>
          </w:p>
        </w:tc>
        <w:tc>
          <w:tcPr>
            <w:tcW w:type="dxa" w:w="7540"/>
          </w:tcPr>
          <w:p>
            <w:pPr>
              <w:jc w:val="left"/>
            </w:pPr>
            <w:r/>
            <w:r>
              <w:rPr>
                <w:rFonts w:ascii="Cambria" w:hAnsi="Cambria"/>
                <w:b w:val="0"/>
                <w:i w:val="0"/>
                <w:sz w:val="18"/>
              </w:rPr>
              <w:t>HoD's Responsibility in Planning and Controlling Departmental Budgets</w:t>
            </w:r>
          </w:p>
        </w:tc>
        <w:tc>
          <w:tcPr>
            <w:tcW w:type="dxa" w:w="1020"/>
          </w:tcPr>
          <w:p>
            <w:pPr>
              <w:jc w:val="left"/>
            </w:pPr>
            <w:r/>
            <w:r>
              <w:rPr>
                <w:rFonts w:ascii="Cambria" w:hAnsi="Cambria"/>
                <w:b w:val="0"/>
                <w:i w:val="0"/>
                <w:sz w:val="18"/>
              </w:rPr>
              <w:t>38</w:t>
            </w:r>
          </w:p>
        </w:tc>
      </w:tr>
      <w:tr>
        <w:tc>
          <w:tcPr>
            <w:tcW w:type="dxa" w:w="850"/>
            <w:shd w:val="clear" w:color="auto" w:fill="E8EEF5"/>
          </w:tcPr>
          <w:p>
            <w:pPr>
              <w:jc w:val="left"/>
            </w:pPr>
            <w:r/>
            <w:r>
              <w:rPr>
                <w:rFonts w:ascii="Cambria" w:hAnsi="Cambria"/>
                <w:b w:val="0"/>
                <w:i w:val="0"/>
                <w:sz w:val="18"/>
              </w:rPr>
              <w:t>6</w:t>
            </w:r>
          </w:p>
        </w:tc>
        <w:tc>
          <w:tcPr>
            <w:tcW w:type="dxa" w:w="7540"/>
            <w:shd w:val="clear" w:color="auto" w:fill="E8EEF5"/>
          </w:tcPr>
          <w:p>
            <w:pPr>
              <w:jc w:val="left"/>
            </w:pPr>
            <w:r/>
            <w:r>
              <w:rPr>
                <w:rFonts w:ascii="Cambria" w:hAnsi="Cambria"/>
                <w:b w:val="0"/>
                <w:i w:val="0"/>
                <w:sz w:val="18"/>
              </w:rPr>
              <w:t>HoD's Role in Conducting DDC (Departmental Development Committee) Meetings Once per Semester</w:t>
            </w:r>
          </w:p>
        </w:tc>
        <w:tc>
          <w:tcPr>
            <w:tcW w:type="dxa" w:w="1020"/>
            <w:shd w:val="clear" w:color="auto" w:fill="E8EEF5"/>
          </w:tcPr>
          <w:p>
            <w:pPr>
              <w:jc w:val="left"/>
            </w:pPr>
            <w:r/>
            <w:r>
              <w:rPr>
                <w:rFonts w:ascii="Cambria" w:hAnsi="Cambria"/>
                <w:b w:val="0"/>
                <w:i w:val="0"/>
                <w:sz w:val="18"/>
              </w:rPr>
              <w:t>47</w:t>
            </w:r>
          </w:p>
        </w:tc>
      </w:tr>
      <w:tr>
        <w:tc>
          <w:tcPr>
            <w:tcW w:type="dxa" w:w="850"/>
          </w:tcPr>
          <w:p>
            <w:pPr>
              <w:jc w:val="left"/>
            </w:pPr>
            <w:r/>
            <w:r>
              <w:rPr>
                <w:rFonts w:ascii="Cambria" w:hAnsi="Cambria"/>
                <w:b w:val="0"/>
                <w:i w:val="0"/>
                <w:sz w:val="18"/>
              </w:rPr>
              <w:t>7</w:t>
            </w:r>
          </w:p>
        </w:tc>
        <w:tc>
          <w:tcPr>
            <w:tcW w:type="dxa" w:w="7540"/>
          </w:tcPr>
          <w:p>
            <w:pPr>
              <w:jc w:val="left"/>
            </w:pPr>
            <w:r/>
            <w:r>
              <w:rPr>
                <w:rFonts w:ascii="Cambria" w:hAnsi="Cambria"/>
                <w:b w:val="0"/>
                <w:i w:val="0"/>
                <w:sz w:val="18"/>
              </w:rPr>
              <w:t>HoD's Responsibility in Submitting the Performance Appraisals of Faculty and Staff</w:t>
            </w:r>
          </w:p>
        </w:tc>
        <w:tc>
          <w:tcPr>
            <w:tcW w:type="dxa" w:w="1020"/>
          </w:tcPr>
          <w:p>
            <w:pPr>
              <w:jc w:val="left"/>
            </w:pPr>
            <w:r/>
            <w:r>
              <w:rPr>
                <w:rFonts w:ascii="Cambria" w:hAnsi="Cambria"/>
                <w:b w:val="0"/>
                <w:i w:val="0"/>
                <w:sz w:val="18"/>
              </w:rPr>
              <w:t>51</w:t>
            </w:r>
          </w:p>
        </w:tc>
      </w:tr>
      <w:tr>
        <w:tc>
          <w:tcPr>
            <w:tcW w:type="dxa" w:w="850"/>
            <w:shd w:val="clear" w:color="auto" w:fill="E8EEF5"/>
          </w:tcPr>
          <w:p>
            <w:pPr>
              <w:jc w:val="left"/>
            </w:pPr>
            <w:r/>
            <w:r>
              <w:rPr>
                <w:rFonts w:ascii="Cambria" w:hAnsi="Cambria"/>
                <w:b w:val="0"/>
                <w:i w:val="0"/>
                <w:sz w:val="18"/>
              </w:rPr>
              <w:t>8</w:t>
            </w:r>
          </w:p>
        </w:tc>
        <w:tc>
          <w:tcPr>
            <w:tcW w:type="dxa" w:w="7540"/>
            <w:shd w:val="clear" w:color="auto" w:fill="E8EEF5"/>
          </w:tcPr>
          <w:p>
            <w:pPr>
              <w:jc w:val="left"/>
            </w:pPr>
            <w:r/>
            <w:r>
              <w:rPr>
                <w:rFonts w:ascii="Cambria" w:hAnsi="Cambria"/>
                <w:b w:val="0"/>
                <w:i w:val="0"/>
                <w:sz w:val="18"/>
              </w:rPr>
              <w:t>HoD's Responsibility for Preparing and Submitting the Divisional Annual Report to the Principal</w:t>
            </w:r>
          </w:p>
        </w:tc>
        <w:tc>
          <w:tcPr>
            <w:tcW w:type="dxa" w:w="1020"/>
            <w:shd w:val="clear" w:color="auto" w:fill="E8EEF5"/>
          </w:tcPr>
          <w:p>
            <w:pPr>
              <w:jc w:val="left"/>
            </w:pPr>
            <w:r/>
            <w:r>
              <w:rPr>
                <w:rFonts w:ascii="Cambria" w:hAnsi="Cambria"/>
                <w:b w:val="0"/>
                <w:i w:val="0"/>
                <w:sz w:val="18"/>
              </w:rPr>
              <w:t>57</w:t>
            </w:r>
          </w:p>
        </w:tc>
      </w:tr>
      <w:tr>
        <w:tc>
          <w:tcPr>
            <w:tcW w:type="dxa" w:w="850"/>
          </w:tcPr>
          <w:p>
            <w:pPr>
              <w:jc w:val="left"/>
            </w:pPr>
            <w:r/>
            <w:r>
              <w:rPr>
                <w:rFonts w:ascii="Cambria" w:hAnsi="Cambria"/>
                <w:b w:val="0"/>
                <w:i w:val="0"/>
                <w:sz w:val="18"/>
              </w:rPr>
              <w:t>9</w:t>
            </w:r>
          </w:p>
        </w:tc>
        <w:tc>
          <w:tcPr>
            <w:tcW w:type="dxa" w:w="7540"/>
          </w:tcPr>
          <w:p>
            <w:pPr>
              <w:jc w:val="left"/>
            </w:pPr>
            <w:r/>
            <w:r>
              <w:rPr>
                <w:rFonts w:ascii="Cambria" w:hAnsi="Cambria"/>
                <w:b w:val="0"/>
                <w:i w:val="0"/>
                <w:sz w:val="18"/>
              </w:rPr>
              <w:t>HoD's Role in Preparing Teaching Schedules and Workloads for All Faculty Members</w:t>
            </w:r>
          </w:p>
        </w:tc>
        <w:tc>
          <w:tcPr>
            <w:tcW w:type="dxa" w:w="1020"/>
          </w:tcPr>
          <w:p>
            <w:pPr>
              <w:jc w:val="left"/>
            </w:pPr>
            <w:r/>
            <w:r>
              <w:rPr>
                <w:rFonts w:ascii="Cambria" w:hAnsi="Cambria"/>
                <w:b w:val="0"/>
                <w:i w:val="0"/>
                <w:sz w:val="18"/>
              </w:rPr>
              <w:t>61</w:t>
            </w:r>
          </w:p>
        </w:tc>
      </w:tr>
      <w:tr>
        <w:tc>
          <w:tcPr>
            <w:tcW w:type="dxa" w:w="850"/>
            <w:shd w:val="clear" w:color="auto" w:fill="E8EEF5"/>
          </w:tcPr>
          <w:p>
            <w:pPr>
              <w:jc w:val="left"/>
            </w:pPr>
            <w:r/>
            <w:r>
              <w:rPr>
                <w:rFonts w:ascii="Cambria" w:hAnsi="Cambria"/>
                <w:b w:val="0"/>
                <w:i w:val="0"/>
                <w:sz w:val="18"/>
              </w:rPr>
              <w:t>10</w:t>
            </w:r>
          </w:p>
        </w:tc>
        <w:tc>
          <w:tcPr>
            <w:tcW w:type="dxa" w:w="7540"/>
            <w:shd w:val="clear" w:color="auto" w:fill="E8EEF5"/>
          </w:tcPr>
          <w:p>
            <w:pPr>
              <w:jc w:val="left"/>
            </w:pPr>
            <w:r/>
            <w:r>
              <w:rPr>
                <w:rFonts w:ascii="Cambria" w:hAnsi="Cambria"/>
                <w:b w:val="0"/>
                <w:i w:val="0"/>
                <w:sz w:val="18"/>
              </w:rPr>
              <w:t>HoD's Responsibility in Assigning Diversified Roles to Faculty Across Administration, Academic Development, Industry Interface, and Research</w:t>
            </w:r>
          </w:p>
        </w:tc>
        <w:tc>
          <w:tcPr>
            <w:tcW w:type="dxa" w:w="1020"/>
            <w:shd w:val="clear" w:color="auto" w:fill="E8EEF5"/>
          </w:tcPr>
          <w:p>
            <w:pPr>
              <w:jc w:val="left"/>
            </w:pPr>
            <w:r/>
            <w:r>
              <w:rPr>
                <w:rFonts w:ascii="Cambria" w:hAnsi="Cambria"/>
                <w:b w:val="0"/>
                <w:i w:val="0"/>
                <w:sz w:val="18"/>
              </w:rPr>
              <w:t>67</w:t>
            </w:r>
          </w:p>
        </w:tc>
      </w:tr>
      <w:tr>
        <w:tc>
          <w:tcPr>
            <w:tcW w:type="dxa" w:w="850"/>
          </w:tcPr>
          <w:p>
            <w:pPr>
              <w:jc w:val="left"/>
            </w:pPr>
            <w:r/>
            <w:r>
              <w:rPr>
                <w:rFonts w:ascii="Cambria" w:hAnsi="Cambria"/>
                <w:b w:val="0"/>
                <w:i w:val="0"/>
                <w:sz w:val="18"/>
              </w:rPr>
              <w:t>11</w:t>
            </w:r>
          </w:p>
        </w:tc>
        <w:tc>
          <w:tcPr>
            <w:tcW w:type="dxa" w:w="7540"/>
          </w:tcPr>
          <w:p>
            <w:pPr>
              <w:jc w:val="left"/>
            </w:pPr>
            <w:r/>
            <w:r>
              <w:rPr>
                <w:rFonts w:ascii="Cambria" w:hAnsi="Cambria"/>
                <w:b w:val="0"/>
                <w:i w:val="0"/>
                <w:sz w:val="18"/>
              </w:rPr>
              <w:t>HoD's Responsibility in Utilizing Staff Services and Interchanging Duties</w:t>
            </w:r>
          </w:p>
        </w:tc>
        <w:tc>
          <w:tcPr>
            <w:tcW w:type="dxa" w:w="1020"/>
          </w:tcPr>
          <w:p>
            <w:pPr>
              <w:jc w:val="left"/>
            </w:pPr>
            <w:r/>
            <w:r>
              <w:rPr>
                <w:rFonts w:ascii="Cambria" w:hAnsi="Cambria"/>
                <w:b w:val="0"/>
                <w:i w:val="0"/>
                <w:sz w:val="18"/>
              </w:rPr>
              <w:t>73</w:t>
            </w:r>
          </w:p>
        </w:tc>
      </w:tr>
      <w:tr>
        <w:tc>
          <w:tcPr>
            <w:tcW w:type="dxa" w:w="850"/>
            <w:shd w:val="clear" w:color="auto" w:fill="E8EEF5"/>
          </w:tcPr>
          <w:p>
            <w:pPr>
              <w:jc w:val="left"/>
            </w:pPr>
            <w:r/>
            <w:r>
              <w:rPr>
                <w:rFonts w:ascii="Cambria" w:hAnsi="Cambria"/>
                <w:b w:val="0"/>
                <w:i w:val="0"/>
                <w:sz w:val="18"/>
              </w:rPr>
              <w:t>12</w:t>
            </w:r>
          </w:p>
        </w:tc>
        <w:tc>
          <w:tcPr>
            <w:tcW w:type="dxa" w:w="7540"/>
            <w:shd w:val="clear" w:color="auto" w:fill="E8EEF5"/>
          </w:tcPr>
          <w:p>
            <w:pPr>
              <w:jc w:val="left"/>
            </w:pPr>
            <w:r/>
            <w:r>
              <w:rPr>
                <w:rFonts w:ascii="Cambria" w:hAnsi="Cambria"/>
                <w:b w:val="0"/>
                <w:i w:val="0"/>
                <w:sz w:val="18"/>
              </w:rPr>
              <w:t>HoD's Responsibility in Nominating Members for the Library Committee and Recommending Learning Resources</w:t>
            </w:r>
          </w:p>
        </w:tc>
        <w:tc>
          <w:tcPr>
            <w:tcW w:type="dxa" w:w="1020"/>
            <w:shd w:val="clear" w:color="auto" w:fill="E8EEF5"/>
          </w:tcPr>
          <w:p>
            <w:pPr>
              <w:jc w:val="left"/>
            </w:pPr>
            <w:r/>
            <w:r>
              <w:rPr>
                <w:rFonts w:ascii="Cambria" w:hAnsi="Cambria"/>
                <w:b w:val="0"/>
                <w:i w:val="0"/>
                <w:sz w:val="18"/>
              </w:rPr>
              <w:t>76</w:t>
            </w:r>
          </w:p>
        </w:tc>
      </w:tr>
      <w:tr>
        <w:tc>
          <w:tcPr>
            <w:tcW w:type="dxa" w:w="850"/>
          </w:tcPr>
          <w:p>
            <w:pPr>
              <w:jc w:val="left"/>
            </w:pPr>
            <w:r/>
            <w:r>
              <w:rPr>
                <w:rFonts w:ascii="Cambria" w:hAnsi="Cambria"/>
                <w:b w:val="0"/>
                <w:i w:val="0"/>
                <w:sz w:val="18"/>
              </w:rPr>
              <w:t>13</w:t>
            </w:r>
          </w:p>
        </w:tc>
        <w:tc>
          <w:tcPr>
            <w:tcW w:type="dxa" w:w="7540"/>
          </w:tcPr>
          <w:p>
            <w:pPr>
              <w:jc w:val="left"/>
            </w:pPr>
            <w:r/>
            <w:r>
              <w:rPr>
                <w:rFonts w:ascii="Cambria" w:hAnsi="Cambria"/>
                <w:b w:val="0"/>
                <w:i w:val="0"/>
                <w:sz w:val="18"/>
              </w:rPr>
              <w:t>HoD's Responsibility to Recommend Purchase of Books for the Division and Related Disciplines</w:t>
            </w:r>
          </w:p>
        </w:tc>
        <w:tc>
          <w:tcPr>
            <w:tcW w:type="dxa" w:w="1020"/>
          </w:tcPr>
          <w:p>
            <w:pPr>
              <w:jc w:val="left"/>
            </w:pPr>
            <w:r/>
            <w:r>
              <w:rPr>
                <w:rFonts w:ascii="Cambria" w:hAnsi="Cambria"/>
                <w:b w:val="0"/>
                <w:i w:val="0"/>
                <w:sz w:val="18"/>
              </w:rPr>
              <w:t>80</w:t>
            </w:r>
          </w:p>
        </w:tc>
      </w:tr>
      <w:tr>
        <w:tc>
          <w:tcPr>
            <w:tcW w:type="dxa" w:w="850"/>
            <w:shd w:val="clear" w:color="auto" w:fill="E8EEF5"/>
          </w:tcPr>
          <w:p>
            <w:pPr>
              <w:jc w:val="left"/>
            </w:pPr>
            <w:r/>
            <w:r>
              <w:rPr>
                <w:rFonts w:ascii="Cambria" w:hAnsi="Cambria"/>
                <w:b w:val="0"/>
                <w:i w:val="0"/>
                <w:sz w:val="18"/>
              </w:rPr>
              <w:t>14</w:t>
            </w:r>
          </w:p>
        </w:tc>
        <w:tc>
          <w:tcPr>
            <w:tcW w:type="dxa" w:w="7540"/>
            <w:shd w:val="clear" w:color="auto" w:fill="E8EEF5"/>
          </w:tcPr>
          <w:p>
            <w:pPr>
              <w:jc w:val="left"/>
            </w:pPr>
            <w:r/>
            <w:r>
              <w:rPr>
                <w:rFonts w:ascii="Cambria" w:hAnsi="Cambria"/>
                <w:b w:val="0"/>
                <w:i w:val="0"/>
                <w:sz w:val="18"/>
              </w:rPr>
              <w:t>HoD Responsibility Ensures Academic Delivery, Record Maintenance, and Audit-Readiness Across Coursework, Labs, Projects, Thesis, Assignments, and Examinations</w:t>
            </w:r>
          </w:p>
        </w:tc>
        <w:tc>
          <w:tcPr>
            <w:tcW w:type="dxa" w:w="1020"/>
            <w:shd w:val="clear" w:color="auto" w:fill="E8EEF5"/>
          </w:tcPr>
          <w:p>
            <w:pPr>
              <w:jc w:val="left"/>
            </w:pPr>
            <w:r/>
            <w:r>
              <w:rPr>
                <w:rFonts w:ascii="Cambria" w:hAnsi="Cambria"/>
                <w:b w:val="0"/>
                <w:i w:val="0"/>
                <w:sz w:val="18"/>
              </w:rPr>
              <w:t>83</w:t>
            </w:r>
          </w:p>
        </w:tc>
      </w:tr>
    </w:tbl>
    <w:p>
      <w:r>
        <w:br w:type="page"/>
      </w:r>
    </w:p>
    <w:p>
      <w:pPr>
        <w:keepNext/>
        <w:spacing w:before="280" w:after="160"/>
        <w:jc w:val="left"/>
      </w:pPr>
      <w:r>
        <w:rPr>
          <w:rFonts w:ascii="Cambria" w:hAnsi="Cambria"/>
          <w:b/>
          <w:i w:val="0"/>
          <w:color w:val="1F3A5F"/>
          <w:sz w:val="30"/>
        </w:rPr>
        <w:t>1. Introduction</w:t>
      </w:r>
    </w:p>
    <w:p>
      <w:pPr>
        <w:spacing w:after="120"/>
        <w:jc w:val="both"/>
      </w:pPr>
      <w:r>
        <w:rPr>
          <w:rFonts w:ascii="Cambria" w:hAnsi="Cambria"/>
          <w:b w:val="0"/>
          <w:i w:val="0"/>
          <w:sz w:val="22"/>
        </w:rPr>
        <w:t>The Head of the Department (HoD) in Higher Education Institutions (HEIs) is the academic and administrative leader of a specific discipline or department, entrusted with the responsibility of ensuring quality education, effective governance, and strategic development within the unit. As the immediate authority of the department, the HoD acts as a vital link between institutional leadership—such as the Vice-Chancellor, Dean, or Principal—and the faculty, staff, and students. The role is multidimensional, encompassing academic leadership in curriculum planning, teaching–learning processes, research, and innovation, while simultaneously overseeing administrative functions such as faculty allocation, budgeting, infrastructure management, and compliance with regulatory frameworks prescribed by agencies like UGC, AICTE, NAAC, NBA, NIRF, and QS I-GAUGE. Beyond administration, the HoD serves as a mentor and facilitator, guiding faculty in professional development and students in achieving academic and career aspirations. The position also carries the responsibility of fostering a culture of research, consultancy, entrepreneurship, and community engagement, thereby aligning departmental objectives with institutional vision, national policies such as NEP 2020, and global benchmarks including the Sustainable Development Goals (SDGs). In essence, the HoD is not merely a manager of departmental affairs but a strategic leader who ensures the holistic development of the department, balancing academic excellence, research productivity, student welfare, faculty empowerment, and societal contribution. This makes the role of the HoD central to the advancement of higher education, institutional growth, and the creation of knowledge-driven, socially responsible graduates.</w:t>
      </w:r>
    </w:p>
    <w:p>
      <w:pPr>
        <w:spacing w:after="120"/>
        <w:jc w:val="both"/>
      </w:pPr>
      <w:r>
        <w:rPr>
          <w:rFonts w:ascii="Cambria" w:hAnsi="Cambria"/>
          <w:b w:val="0"/>
          <w:i w:val="0"/>
          <w:sz w:val="22"/>
        </w:rPr>
        <w:t>The Head of the Department (HoD) in Higher Education Institutions (HEIs) occupies a crucial leadership role that blends academic responsibilities with administrative oversight, governance, and quality assurance. Positioned as the academic and administrative head of a department, the HoD functions as the bridge between institutional leadership and departmental faculty, staff, and students. The effectiveness of a department in teaching, learning, research, and extension activities is largely shaped by the vision, commitment, and systematic governance of the HoD. In the context of contemporary higher education, where institutions are required to comply with outcome-based education (OBE), national frameworks such as the National Education Policy (NEP 2020), accreditation standards like NAAC and NBA, performance metrics under NIRF, and global benchmarking through QS I-GAUGE, the role of the HoD has become more demanding, evidence-driven, and outcome-linked. The HoD is no longer a symbolic leader but a key custodian of quality, accountability, and innovation in academic activities.</w:t>
      </w:r>
    </w:p>
    <w:p>
      <w:pPr>
        <w:spacing w:after="120"/>
        <w:jc w:val="both"/>
      </w:pPr>
      <w:r>
        <w:rPr>
          <w:rFonts w:ascii="Cambria" w:hAnsi="Cambria"/>
          <w:b w:val="0"/>
          <w:i w:val="0"/>
          <w:sz w:val="22"/>
        </w:rPr>
        <w:t>At the academic level, the HoD is entrusted with the planning, monitoring, and control of teaching–learning processes in the department. This involves developing academic calendars aligned with the institutional framework, preparing course allocation and workload distribution among faculty, ensuring curriculum design and delivery is outcome-based, and establishing a transparent mechanism for student learning and evaluation. The HoD ensures that faculty prepare lesson plans, teaching diaries, and course files, and that these are aligned with CO–PO–PSO mapping to demonstrate compliance with outcome-based education. Laboratory schedules, seminars, project works, and internships are carefully planned under the supervision of the HoD to ensure that students gain experiential learning opportunities alongside theoretical knowledge. Moreover, the HoD forecasts departmental requirements in terms of faculty, classrooms, laboratories, ICT tools, and learning resources, thereby ensuring that resource gaps do not hinder student learning outcomes. Academic inclusivity is also a central responsibility of the HoD, who must devise strategies for slow learners through remedial classes and bridge courses, while also providing advanced learners with opportunities for value-added programs, research projects, and innovation-driven activities.</w:t>
      </w:r>
    </w:p>
    <w:p>
      <w:pPr>
        <w:spacing w:after="120"/>
        <w:jc w:val="both"/>
      </w:pPr>
      <w:r>
        <w:rPr>
          <w:rFonts w:ascii="Cambria" w:hAnsi="Cambria"/>
          <w:b w:val="0"/>
          <w:i w:val="0"/>
          <w:sz w:val="22"/>
        </w:rPr>
        <w:t>Beyond planning, the HoD is responsible for monitoring the continuous progress of academic activities. This includes reviewing lesson plans, classroom delivery, faculty teaching diaries, and student feedback on teaching quality. Classroom observations, peer reviews, and academic audits are mechanisms through which the HoD evaluates whether academic activities are meeting their intended outcomes. The HoD tracks student performance across assignments, internal assessments, attendance, and project work, and intervenes with corrective measures such as mentoring sessions and remedial classes where gaps are observed. Monitoring also extends to research progress among faculty and students, where the HoD ensures that publications, project works, patents, and innovations are progressing in line with departmental goals. Regular review meetings, workshops, faculty development programs (FDPs), and guest lectures organized by the HoD ensure that both faculty and students remain updated with contemporary trends, thereby linking classroom teaching with industry and societal needs.</w:t>
      </w:r>
    </w:p>
    <w:p>
      <w:pPr>
        <w:spacing w:after="120"/>
        <w:jc w:val="both"/>
      </w:pPr>
      <w:r>
        <w:rPr>
          <w:rFonts w:ascii="Cambria" w:hAnsi="Cambria"/>
          <w:b w:val="0"/>
          <w:i w:val="0"/>
          <w:sz w:val="22"/>
        </w:rPr>
        <w:t>The control function of the HoD is equally critical in maintaining accountability and governance in academic activities. When deviations in academic processes occur—such as underperformance by faculty, student backlogs, or curriculum delivery delays—the HoD is tasked with implementing corrective measures. This may include additional mentoring, faculty counseling, rescheduling of academic activities, or the introduction of bridge courses. The HoD ensures compliance with institutional policies, UGC and AICTE guidelines, and accreditation requirements of NAAC and NBA, thereby reinforcing that academic delivery is not just routine but strategically aligned to quality frameworks. Documentation of every action, whether in lesson plans, academic audit reports, feedback forms, or attainment summaries, is carefully maintained under the HoD's supervision. Such documentation not only provides evidence of compliance but also builds credibility during peer review visits and accreditation audits.</w:t>
      </w:r>
    </w:p>
    <w:p>
      <w:pPr>
        <w:spacing w:after="120"/>
        <w:jc w:val="both"/>
      </w:pPr>
      <w:r>
        <w:rPr>
          <w:rFonts w:ascii="Cambria" w:hAnsi="Cambria"/>
          <w:b w:val="0"/>
          <w:i w:val="0"/>
          <w:sz w:val="22"/>
        </w:rPr>
        <w:t>In addition to teaching–learning activities, the HoD plays a key role in research, consultancy, and interdisciplinary development. Establishing thrust areas for departmental research, encouraging faculty and students to apply for funded projects, promoting publications in indexed journals, filing patents, and initiating consultancy projects with industry are all driven by the HoD's leadership. By promoting interdisciplinary linkages and collaborations through MoUs with academia and industry, the HoD ensures that the department contributes to institutional goals while also addressing broader societal challenges. These research and consultancy activities are mapped to POs and PSOs, particularly lifelong learning, problem analysis, and application of modern tools, demonstrating how R&amp;D directly supports outcome-based education.</w:t>
      </w:r>
    </w:p>
    <w:p>
      <w:pPr>
        <w:spacing w:after="120"/>
        <w:jc w:val="both"/>
      </w:pPr>
      <w:r>
        <w:rPr>
          <w:rFonts w:ascii="Cambria" w:hAnsi="Cambria"/>
          <w:b w:val="0"/>
          <w:i w:val="0"/>
          <w:sz w:val="22"/>
        </w:rPr>
        <w:t>The HoD is also a central figure in student support, counseling, and discipline. Structured student counseling systems, mentoring mechanisms, and grievance redressal committees often function under the HoD's leadership, ensuring that student issues are addressed systematically and fairly. Parent–teacher meetings organized by the HoD provide an additional layer of engagement where parents contribute suggestions for improvement and transparency is enhanced in governance. By monitoring student discipline, handling grievances, and referring cases to disciplinary committees when required, the HoD strengthens the culture of accountability within the department. Importantly, these processes are documented with counseling records, meeting minutes, action taken reports (ATRs), and feedback analysis, thereby providing a verifiable trail of evidence.</w:t>
      </w:r>
    </w:p>
    <w:p>
      <w:pPr>
        <w:spacing w:after="120"/>
        <w:jc w:val="both"/>
      </w:pPr>
      <w:r>
        <w:rPr>
          <w:rFonts w:ascii="Cambria" w:hAnsi="Cambria"/>
          <w:b w:val="0"/>
          <w:i w:val="0"/>
          <w:sz w:val="22"/>
        </w:rPr>
        <w:t>Financial governance is another dimension of the HoD's responsibilities. In consultation with the principal and higher authorities, the HoD prepares operational, maintenance, and development budgets for the department. These budgets are directly linked to academic activities, ensuring that funds are allocated for laboratory upgrades, ICT tools, FDPs, workshops, and research projects. The HoD monitors utilization rates, tracks year-on-year budget growth, and ensures accountability through utilization reports and financial audits. Budget planning is thus integrated with outcome-based education, where investments in infrastructure, learning resources, and professional activities yield measurable improvements in CO, PO, and PSO attainment.</w:t>
      </w:r>
    </w:p>
    <w:p>
      <w:pPr>
        <w:spacing w:after="120"/>
        <w:jc w:val="both"/>
      </w:pPr>
      <w:r>
        <w:rPr>
          <w:rFonts w:ascii="Cambria" w:hAnsi="Cambria"/>
          <w:b w:val="0"/>
          <w:i w:val="0"/>
          <w:sz w:val="22"/>
        </w:rPr>
        <w:t>Quality assurance and accreditation compliance form a critical area where the HoD's role is indispensable. Whether for NAAC's seven criteria, NBA's program-level accreditation, NIRF ranking submissions, or QS I-GAUGE benchmarking, the HoD prepares departmental inputs, compiles data, and ensures that evidence is systematically mapped. CO–PO–PSO attainment summaries, faculty and student achievements, FDP and workshop records, MoUs, consultancy data, and extension activities are all consolidated into departmental annual reports under the supervision of the HoD. During peer review visits, the HoD functions as the primary representative of the department, responding to queries and demonstrating numeric improvements in academic and research outcomes.</w:t>
      </w:r>
    </w:p>
    <w:p>
      <w:pPr>
        <w:spacing w:after="120"/>
        <w:jc w:val="both"/>
      </w:pPr>
      <w:r>
        <w:rPr>
          <w:rFonts w:ascii="Cambria" w:hAnsi="Cambria"/>
          <w:b w:val="0"/>
          <w:i w:val="0"/>
          <w:sz w:val="22"/>
        </w:rPr>
        <w:t>Another major aspect of the HoD's leadership is the promotion of extra and co-curricular activities. By directing sports, cultural, professional, and community service events, the HoD ensures holistic student development beyond academics. These activities are systematically planned, documented, and mapped to POs and PSOs such as teamwork, communication, ethics, and lifelong learning. Evidence in the form of activity calendars, reports, feedback, photos, and action taken reports further confirms the traceability of these events to measurable outcomes.</w:t>
      </w:r>
    </w:p>
    <w:p>
      <w:pPr>
        <w:spacing w:after="120"/>
        <w:jc w:val="both"/>
      </w:pPr>
      <w:r>
        <w:rPr>
          <w:rFonts w:ascii="Cambria" w:hAnsi="Cambria"/>
          <w:b w:val="0"/>
          <w:i w:val="0"/>
          <w:sz w:val="22"/>
        </w:rPr>
        <w:t>In summary, the introduction of the HoD's role in HEIs highlights a multi-layered responsibility that integrates academic leadership, governance, faculty and student development, research promotion, and quality assurance. The HoD is not just a coordinator of academic schedules but the custodian of departmental vision, mission, and strategic growth. Through systematic planning, monitoring, and control of academic activities, the HoD ensures that teaching, learning, and research are not symbolic practices but measurable processes aligned with institutional goals and global standards. Tangible outcomes such as improved student success rates, reduced backlogs, enhanced placements, increased publications, and interdisciplinary collaborations demonstrate that the HoD's role is outcome-driven and evidence-backed. By integrating academic activities with accreditation frameworks and national policies, the HoD guarantees that higher education departments contribute not only to institutional excellence but also to societal development and global knowledge systems.</w:t>
      </w:r>
    </w:p>
    <w:p>
      <w:r>
        <w:br w:type="page"/>
      </w:r>
    </w:p>
    <w:p>
      <w:pPr>
        <w:keepNext/>
        <w:spacing w:before="280" w:after="160"/>
        <w:jc w:val="left"/>
      </w:pPr>
      <w:r>
        <w:rPr>
          <w:rFonts w:ascii="Cambria" w:hAnsi="Cambria"/>
          <w:b/>
          <w:i w:val="0"/>
          <w:color w:val="1F3A5F"/>
          <w:sz w:val="30"/>
        </w:rPr>
        <w:t>2. Roles and Responsibilities of Head of the Department (HoD) in Higher Education Institutions (HEIs)</w:t>
      </w:r>
    </w:p>
    <w:p>
      <w:pPr>
        <w:pStyle w:val="ListBullet"/>
        <w:spacing w:after="80"/>
        <w:jc w:val="both"/>
      </w:pPr>
      <w:r>
        <w:rPr>
          <w:rFonts w:ascii="Cambria" w:hAnsi="Cambria"/>
          <w:b w:val="0"/>
          <w:i w:val="0"/>
          <w:sz w:val="22"/>
        </w:rPr>
        <w:t>Academic Leadership</w:t>
      </w:r>
    </w:p>
    <w:p>
      <w:pPr>
        <w:pStyle w:val="ListBullet2"/>
        <w:spacing w:after="80"/>
        <w:jc w:val="both"/>
      </w:pPr>
      <w:r>
        <w:rPr>
          <w:rFonts w:ascii="Cambria" w:hAnsi="Cambria"/>
          <w:b w:val="0"/>
          <w:i w:val="0"/>
          <w:sz w:val="22"/>
        </w:rPr>
        <w:t>The HoD acts as the academic leader of the department by defining its vision, mission, and strategic goals.</w:t>
      </w:r>
    </w:p>
    <w:p>
      <w:pPr>
        <w:pStyle w:val="ListBullet2"/>
        <w:spacing w:after="80"/>
        <w:jc w:val="both"/>
      </w:pPr>
      <w:r>
        <w:rPr>
          <w:rFonts w:ascii="Cambria" w:hAnsi="Cambria"/>
          <w:b w:val="0"/>
          <w:i w:val="0"/>
          <w:sz w:val="22"/>
        </w:rPr>
        <w:t>Ensures that curriculum design, review, and delivery are aligned with national policies such as NEP 2020 and accreditation requirements (NAAC, NBA).</w:t>
      </w:r>
    </w:p>
    <w:p>
      <w:pPr>
        <w:pStyle w:val="ListBullet2"/>
        <w:spacing w:after="80"/>
        <w:jc w:val="both"/>
      </w:pPr>
      <w:r>
        <w:rPr>
          <w:rFonts w:ascii="Cambria" w:hAnsi="Cambria"/>
          <w:b w:val="0"/>
          <w:i w:val="0"/>
          <w:sz w:val="22"/>
        </w:rPr>
        <w:t>Encourages adoption of innovative pedagogy, blended learning, experiential learning, and integration of Indian Knowledge Systems (IKS) and Sustainable Development Goals (SDGs).</w:t>
      </w:r>
    </w:p>
    <w:p>
      <w:pPr>
        <w:pStyle w:val="ListBullet2"/>
        <w:spacing w:after="80"/>
        <w:jc w:val="both"/>
      </w:pPr>
      <w:r>
        <w:rPr>
          <w:rFonts w:ascii="Cambria" w:hAnsi="Cambria"/>
          <w:b w:val="0"/>
          <w:i w:val="0"/>
          <w:sz w:val="22"/>
        </w:rPr>
        <w:t>Builds a culture of academic excellence, motivating faculty and students toward higher performance.</w:t>
      </w:r>
    </w:p>
    <w:p>
      <w:pPr>
        <w:pStyle w:val="ListBullet"/>
        <w:spacing w:after="80"/>
        <w:jc w:val="both"/>
      </w:pPr>
      <w:r>
        <w:rPr>
          <w:rFonts w:ascii="Cambria" w:hAnsi="Cambria"/>
          <w:b w:val="0"/>
          <w:i w:val="0"/>
          <w:sz w:val="22"/>
        </w:rPr>
        <w:t>Administration &amp; Governance</w:t>
      </w:r>
    </w:p>
    <w:p>
      <w:pPr>
        <w:pStyle w:val="ListBullet2"/>
        <w:spacing w:after="80"/>
        <w:jc w:val="both"/>
      </w:pPr>
      <w:r>
        <w:rPr>
          <w:rFonts w:ascii="Cambria" w:hAnsi="Cambria"/>
          <w:b w:val="0"/>
          <w:i w:val="0"/>
          <w:sz w:val="22"/>
        </w:rPr>
        <w:t>Responsible for the smooth functioning of daily academic and administrative operations of the department.</w:t>
      </w:r>
    </w:p>
    <w:p>
      <w:pPr>
        <w:pStyle w:val="ListBullet2"/>
        <w:spacing w:after="80"/>
        <w:jc w:val="both"/>
      </w:pPr>
      <w:r>
        <w:rPr>
          <w:rFonts w:ascii="Cambria" w:hAnsi="Cambria"/>
          <w:b w:val="0"/>
          <w:i w:val="0"/>
          <w:sz w:val="22"/>
        </w:rPr>
        <w:t>Allocates courses, workload, and responsibilities equitably among faculty.</w:t>
      </w:r>
    </w:p>
    <w:p>
      <w:pPr>
        <w:pStyle w:val="ListBullet2"/>
        <w:spacing w:after="80"/>
        <w:jc w:val="both"/>
      </w:pPr>
      <w:r>
        <w:rPr>
          <w:rFonts w:ascii="Cambria" w:hAnsi="Cambria"/>
          <w:b w:val="0"/>
          <w:i w:val="0"/>
          <w:sz w:val="22"/>
        </w:rPr>
        <w:t>Manages departmental resources (classrooms, laboratories, library, equipment) and ensures their effective utilization.</w:t>
      </w:r>
    </w:p>
    <w:p>
      <w:pPr>
        <w:pStyle w:val="ListBullet2"/>
        <w:spacing w:after="80"/>
        <w:jc w:val="both"/>
      </w:pPr>
      <w:r>
        <w:rPr>
          <w:rFonts w:ascii="Cambria" w:hAnsi="Cambria"/>
          <w:b w:val="0"/>
          <w:i w:val="0"/>
          <w:sz w:val="22"/>
        </w:rPr>
        <w:t>Prepares annual budgets, manages funds, and ensures financial accountability.</w:t>
      </w:r>
    </w:p>
    <w:p>
      <w:pPr>
        <w:pStyle w:val="ListBullet2"/>
        <w:spacing w:after="80"/>
        <w:jc w:val="both"/>
      </w:pPr>
      <w:r>
        <w:rPr>
          <w:rFonts w:ascii="Cambria" w:hAnsi="Cambria"/>
          <w:b w:val="0"/>
          <w:i w:val="0"/>
          <w:sz w:val="22"/>
        </w:rPr>
        <w:t>Chairs departmental meetings and represents the department in institutional committees.</w:t>
      </w:r>
    </w:p>
    <w:p>
      <w:pPr>
        <w:pStyle w:val="ListBullet"/>
        <w:spacing w:after="80"/>
        <w:jc w:val="both"/>
      </w:pPr>
      <w:r>
        <w:rPr>
          <w:rFonts w:ascii="Cambria" w:hAnsi="Cambria"/>
          <w:b w:val="0"/>
          <w:i w:val="0"/>
          <w:sz w:val="22"/>
        </w:rPr>
        <w:t>Faculty Development &amp; Human Resource Management</w:t>
      </w:r>
    </w:p>
    <w:p>
      <w:pPr>
        <w:pStyle w:val="ListBullet2"/>
        <w:spacing w:after="80"/>
        <w:jc w:val="both"/>
      </w:pPr>
      <w:r>
        <w:rPr>
          <w:rFonts w:ascii="Cambria" w:hAnsi="Cambria"/>
          <w:b w:val="0"/>
          <w:i w:val="0"/>
          <w:sz w:val="22"/>
        </w:rPr>
        <w:t>Leads faculty recruitment in consultation with institutional authorities.</w:t>
      </w:r>
    </w:p>
    <w:p>
      <w:pPr>
        <w:pStyle w:val="ListBullet2"/>
        <w:spacing w:after="80"/>
        <w:jc w:val="both"/>
      </w:pPr>
      <w:r>
        <w:rPr>
          <w:rFonts w:ascii="Cambria" w:hAnsi="Cambria"/>
          <w:b w:val="0"/>
          <w:i w:val="0"/>
          <w:sz w:val="22"/>
        </w:rPr>
        <w:t>Provides orientation and mentoring for newly recruited staff.</w:t>
      </w:r>
    </w:p>
    <w:p>
      <w:pPr>
        <w:pStyle w:val="ListBullet2"/>
        <w:spacing w:after="80"/>
        <w:jc w:val="both"/>
      </w:pPr>
      <w:r>
        <w:rPr>
          <w:rFonts w:ascii="Cambria" w:hAnsi="Cambria"/>
          <w:b w:val="0"/>
          <w:i w:val="0"/>
          <w:sz w:val="22"/>
        </w:rPr>
        <w:t>Conducts faculty performance reviews, encourages continuous professional development, and recommends promotions.</w:t>
      </w:r>
    </w:p>
    <w:p>
      <w:pPr>
        <w:pStyle w:val="ListBullet2"/>
        <w:spacing w:after="80"/>
        <w:jc w:val="both"/>
      </w:pPr>
      <w:r>
        <w:rPr>
          <w:rFonts w:ascii="Cambria" w:hAnsi="Cambria"/>
          <w:b w:val="0"/>
          <w:i w:val="0"/>
          <w:sz w:val="22"/>
        </w:rPr>
        <w:t>Organizes Faculty Development Programs (FDPs), workshops, and research training sessions.</w:t>
      </w:r>
    </w:p>
    <w:p>
      <w:pPr>
        <w:pStyle w:val="ListBullet2"/>
        <w:spacing w:after="80"/>
        <w:jc w:val="both"/>
      </w:pPr>
      <w:r>
        <w:rPr>
          <w:rFonts w:ascii="Cambria" w:hAnsi="Cambria"/>
          <w:b w:val="0"/>
          <w:i w:val="0"/>
          <w:sz w:val="22"/>
        </w:rPr>
        <w:t>Fosters a healthy work environment, addressing conflicts and ensuring inclusivity and gender equality.</w:t>
      </w:r>
    </w:p>
    <w:p>
      <w:pPr>
        <w:pStyle w:val="ListBullet"/>
        <w:spacing w:after="80"/>
        <w:jc w:val="both"/>
      </w:pPr>
      <w:r>
        <w:rPr>
          <w:rFonts w:ascii="Cambria" w:hAnsi="Cambria"/>
          <w:b w:val="0"/>
          <w:i w:val="0"/>
          <w:sz w:val="22"/>
        </w:rPr>
        <w:t>Student Development &amp; Support</w:t>
      </w:r>
    </w:p>
    <w:p>
      <w:pPr>
        <w:pStyle w:val="ListBullet2"/>
        <w:spacing w:after="80"/>
        <w:jc w:val="both"/>
      </w:pPr>
      <w:r>
        <w:rPr>
          <w:rFonts w:ascii="Cambria" w:hAnsi="Cambria"/>
          <w:b w:val="0"/>
          <w:i w:val="0"/>
          <w:sz w:val="22"/>
        </w:rPr>
        <w:t>Implements mentoring systems to support students academically, emotionally, and professionally.</w:t>
      </w:r>
    </w:p>
    <w:p>
      <w:pPr>
        <w:pStyle w:val="ListBullet2"/>
        <w:spacing w:after="80"/>
        <w:jc w:val="both"/>
      </w:pPr>
      <w:r>
        <w:rPr>
          <w:rFonts w:ascii="Cambria" w:hAnsi="Cambria"/>
          <w:b w:val="0"/>
          <w:i w:val="0"/>
          <w:sz w:val="22"/>
        </w:rPr>
        <w:t>Coordinates career guidance, placement support, and higher education opportunities.</w:t>
      </w:r>
    </w:p>
    <w:p>
      <w:pPr>
        <w:pStyle w:val="ListBullet2"/>
        <w:spacing w:after="80"/>
        <w:jc w:val="both"/>
      </w:pPr>
      <w:r>
        <w:rPr>
          <w:rFonts w:ascii="Cambria" w:hAnsi="Cambria"/>
          <w:b w:val="0"/>
          <w:i w:val="0"/>
          <w:sz w:val="22"/>
        </w:rPr>
        <w:t>Promotes student involvement in co-curricular, extracurricular, research, and entrepreneurship activities.</w:t>
      </w:r>
    </w:p>
    <w:p>
      <w:pPr>
        <w:pStyle w:val="ListBullet2"/>
        <w:spacing w:after="80"/>
        <w:jc w:val="both"/>
      </w:pPr>
      <w:r>
        <w:rPr>
          <w:rFonts w:ascii="Cambria" w:hAnsi="Cambria"/>
          <w:b w:val="0"/>
          <w:i w:val="0"/>
          <w:sz w:val="22"/>
        </w:rPr>
        <w:t>Addresses student grievances promptly, ensures anti-ragging and inclusivity policies are in practice.</w:t>
      </w:r>
    </w:p>
    <w:p>
      <w:pPr>
        <w:pStyle w:val="ListBullet2"/>
        <w:spacing w:after="80"/>
        <w:jc w:val="both"/>
      </w:pPr>
      <w:r>
        <w:rPr>
          <w:rFonts w:ascii="Cambria" w:hAnsi="Cambria"/>
          <w:b w:val="0"/>
          <w:i w:val="0"/>
          <w:sz w:val="22"/>
        </w:rPr>
        <w:t>Monitors student performance and initiates remedial measures for slow learners while nurturing advanced learners.</w:t>
      </w:r>
    </w:p>
    <w:p>
      <w:pPr>
        <w:pStyle w:val="ListBullet"/>
        <w:spacing w:after="80"/>
        <w:jc w:val="both"/>
      </w:pPr>
      <w:r>
        <w:rPr>
          <w:rFonts w:ascii="Cambria" w:hAnsi="Cambria"/>
          <w:b w:val="0"/>
          <w:i w:val="0"/>
          <w:sz w:val="22"/>
        </w:rPr>
        <w:t>Research, Innovation &amp; Consultancy</w:t>
      </w:r>
    </w:p>
    <w:p>
      <w:pPr>
        <w:pStyle w:val="ListBullet2"/>
        <w:spacing w:after="80"/>
        <w:jc w:val="both"/>
      </w:pPr>
      <w:r>
        <w:rPr>
          <w:rFonts w:ascii="Cambria" w:hAnsi="Cambria"/>
          <w:b w:val="0"/>
          <w:i w:val="0"/>
          <w:sz w:val="22"/>
        </w:rPr>
        <w:t>Develops a strong research ecosystem within the department by encouraging faculty and students to publish in peer-reviewed and indexed journals.</w:t>
      </w:r>
    </w:p>
    <w:p>
      <w:pPr>
        <w:pStyle w:val="ListBullet2"/>
        <w:spacing w:after="80"/>
        <w:jc w:val="both"/>
      </w:pPr>
      <w:r>
        <w:rPr>
          <w:rFonts w:ascii="Cambria" w:hAnsi="Cambria"/>
          <w:b w:val="0"/>
          <w:i w:val="0"/>
          <w:sz w:val="22"/>
        </w:rPr>
        <w:t>Guides faculty in securing research grants, consultancy projects, and sponsored programs from government/industry.</w:t>
      </w:r>
    </w:p>
    <w:p>
      <w:pPr>
        <w:pStyle w:val="ListBullet2"/>
        <w:spacing w:after="80"/>
        <w:jc w:val="both"/>
      </w:pPr>
      <w:r>
        <w:rPr>
          <w:rFonts w:ascii="Cambria" w:hAnsi="Cambria"/>
          <w:b w:val="0"/>
          <w:i w:val="0"/>
          <w:sz w:val="22"/>
        </w:rPr>
        <w:t>Promotes intellectual property generation, patents, and startup incubation activities.</w:t>
      </w:r>
    </w:p>
    <w:p>
      <w:pPr>
        <w:pStyle w:val="ListBullet2"/>
        <w:spacing w:after="80"/>
        <w:jc w:val="both"/>
      </w:pPr>
      <w:r>
        <w:rPr>
          <w:rFonts w:ascii="Cambria" w:hAnsi="Cambria"/>
          <w:b w:val="0"/>
          <w:i w:val="0"/>
          <w:sz w:val="22"/>
        </w:rPr>
        <w:t>Encourages interdisciplinary and collaborative research within and outside the institution.</w:t>
      </w:r>
    </w:p>
    <w:p>
      <w:pPr>
        <w:pStyle w:val="ListBullet"/>
        <w:spacing w:after="80"/>
        <w:jc w:val="both"/>
      </w:pPr>
      <w:r>
        <w:rPr>
          <w:rFonts w:ascii="Cambria" w:hAnsi="Cambria"/>
          <w:b w:val="0"/>
          <w:i w:val="0"/>
          <w:sz w:val="22"/>
        </w:rPr>
        <w:t>Quality Assurance &amp; Accreditation</w:t>
      </w:r>
    </w:p>
    <w:p>
      <w:pPr>
        <w:pStyle w:val="ListBullet2"/>
        <w:spacing w:after="80"/>
        <w:jc w:val="both"/>
      </w:pPr>
      <w:r>
        <w:rPr>
          <w:rFonts w:ascii="Cambria" w:hAnsi="Cambria"/>
          <w:b w:val="0"/>
          <w:i w:val="0"/>
          <w:sz w:val="22"/>
        </w:rPr>
        <w:t>Ensures compliance with quality benchmarks set by NAAC, NBA, NIRF, and QS I-GAUGE frameworks.</w:t>
      </w:r>
    </w:p>
    <w:p>
      <w:pPr>
        <w:pStyle w:val="ListBullet2"/>
        <w:spacing w:after="80"/>
        <w:jc w:val="both"/>
      </w:pPr>
      <w:r>
        <w:rPr>
          <w:rFonts w:ascii="Cambria" w:hAnsi="Cambria"/>
          <w:b w:val="0"/>
          <w:i w:val="0"/>
          <w:sz w:val="22"/>
        </w:rPr>
        <w:t>Maintains updated documentation for accreditation, including CO-PO-PSO mapping, attainment levels, and evidence-based reports.</w:t>
      </w:r>
    </w:p>
    <w:p>
      <w:pPr>
        <w:pStyle w:val="ListBullet2"/>
        <w:spacing w:after="80"/>
        <w:jc w:val="both"/>
      </w:pPr>
      <w:r>
        <w:rPr>
          <w:rFonts w:ascii="Cambria" w:hAnsi="Cambria"/>
          <w:b w:val="0"/>
          <w:i w:val="0"/>
          <w:sz w:val="22"/>
        </w:rPr>
        <w:t>Conducts internal academic audits, student/faculty feedback analysis, and implements corrective measures.</w:t>
      </w:r>
    </w:p>
    <w:p>
      <w:pPr>
        <w:pStyle w:val="ListBullet2"/>
        <w:spacing w:after="80"/>
        <w:jc w:val="both"/>
      </w:pPr>
      <w:r>
        <w:rPr>
          <w:rFonts w:ascii="Cambria" w:hAnsi="Cambria"/>
          <w:b w:val="0"/>
          <w:i w:val="0"/>
          <w:sz w:val="22"/>
        </w:rPr>
        <w:t>Works closely with the IQAC (Internal Quality Assurance Cell) for continuous improvement.</w:t>
      </w:r>
    </w:p>
    <w:p>
      <w:pPr>
        <w:pStyle w:val="ListBullet"/>
        <w:spacing w:after="80"/>
        <w:jc w:val="both"/>
      </w:pPr>
      <w:r>
        <w:rPr>
          <w:rFonts w:ascii="Cambria" w:hAnsi="Cambria"/>
          <w:b w:val="0"/>
          <w:i w:val="0"/>
          <w:sz w:val="22"/>
        </w:rPr>
        <w:t>Strategic Development &amp; External Linkages</w:t>
      </w:r>
    </w:p>
    <w:p>
      <w:pPr>
        <w:pStyle w:val="ListBullet2"/>
        <w:spacing w:after="80"/>
        <w:jc w:val="both"/>
      </w:pPr>
      <w:r>
        <w:rPr>
          <w:rFonts w:ascii="Cambria" w:hAnsi="Cambria"/>
          <w:b w:val="0"/>
          <w:i w:val="0"/>
          <w:sz w:val="22"/>
        </w:rPr>
        <w:t>Builds strong linkages with industry, research bodies, and professional organizations through MoUs and collaborations.</w:t>
      </w:r>
    </w:p>
    <w:p>
      <w:pPr>
        <w:pStyle w:val="ListBullet2"/>
        <w:spacing w:after="80"/>
        <w:jc w:val="both"/>
      </w:pPr>
      <w:r>
        <w:rPr>
          <w:rFonts w:ascii="Cambria" w:hAnsi="Cambria"/>
          <w:b w:val="0"/>
          <w:i w:val="0"/>
          <w:sz w:val="22"/>
        </w:rPr>
        <w:t>Facilitates internships, industrial training, and collaborative research projects.</w:t>
      </w:r>
    </w:p>
    <w:p>
      <w:pPr>
        <w:pStyle w:val="ListBullet2"/>
        <w:spacing w:after="80"/>
        <w:jc w:val="both"/>
      </w:pPr>
      <w:r>
        <w:rPr>
          <w:rFonts w:ascii="Cambria" w:hAnsi="Cambria"/>
          <w:b w:val="0"/>
          <w:i w:val="0"/>
          <w:sz w:val="22"/>
        </w:rPr>
        <w:t>Promotes international linkages for faculty/student exchange and collaborative programs.</w:t>
      </w:r>
    </w:p>
    <w:p>
      <w:pPr>
        <w:pStyle w:val="ListBullet2"/>
        <w:spacing w:after="80"/>
        <w:jc w:val="both"/>
      </w:pPr>
      <w:r>
        <w:rPr>
          <w:rFonts w:ascii="Cambria" w:hAnsi="Cambria"/>
          <w:b w:val="0"/>
          <w:i w:val="0"/>
          <w:sz w:val="22"/>
        </w:rPr>
        <w:t>Aligns departmental strategies with the broader institutional development plan and national/global trends.</w:t>
      </w:r>
    </w:p>
    <w:p>
      <w:pPr>
        <w:pStyle w:val="ListBullet"/>
        <w:spacing w:after="80"/>
        <w:jc w:val="both"/>
      </w:pPr>
      <w:r>
        <w:rPr>
          <w:rFonts w:ascii="Cambria" w:hAnsi="Cambria"/>
          <w:b w:val="0"/>
          <w:i w:val="0"/>
          <w:sz w:val="22"/>
        </w:rPr>
        <w:t>Examinations &amp; Evaluation</w:t>
      </w:r>
    </w:p>
    <w:p>
      <w:pPr>
        <w:pStyle w:val="ListBullet2"/>
        <w:spacing w:after="80"/>
        <w:jc w:val="both"/>
      </w:pPr>
      <w:r>
        <w:rPr>
          <w:rFonts w:ascii="Cambria" w:hAnsi="Cambria"/>
          <w:b w:val="0"/>
          <w:i w:val="0"/>
          <w:sz w:val="22"/>
        </w:rPr>
        <w:t>Oversees conduct of internal assessments, assignments, and project evaluations in a transparent manner.</w:t>
      </w:r>
    </w:p>
    <w:p>
      <w:pPr>
        <w:pStyle w:val="ListBullet2"/>
        <w:spacing w:after="80"/>
        <w:jc w:val="both"/>
      </w:pPr>
      <w:r>
        <w:rPr>
          <w:rFonts w:ascii="Cambria" w:hAnsi="Cambria"/>
          <w:b w:val="0"/>
          <w:i w:val="0"/>
          <w:sz w:val="22"/>
        </w:rPr>
        <w:t>Ensures integrity and discipline during examinations.</w:t>
      </w:r>
    </w:p>
    <w:p>
      <w:pPr>
        <w:pStyle w:val="ListBullet2"/>
        <w:spacing w:after="80"/>
        <w:jc w:val="both"/>
      </w:pPr>
      <w:r>
        <w:rPr>
          <w:rFonts w:ascii="Cambria" w:hAnsi="Cambria"/>
          <w:b w:val="0"/>
          <w:i w:val="0"/>
          <w:sz w:val="22"/>
        </w:rPr>
        <w:t>Monitors evaluation processes, maintains grading fairness, and ensures timely declaration of results.</w:t>
      </w:r>
    </w:p>
    <w:p>
      <w:pPr>
        <w:pStyle w:val="ListBullet2"/>
        <w:spacing w:after="80"/>
        <w:jc w:val="both"/>
      </w:pPr>
      <w:r>
        <w:rPr>
          <w:rFonts w:ascii="Cambria" w:hAnsi="Cambria"/>
          <w:b w:val="0"/>
          <w:i w:val="0"/>
          <w:sz w:val="22"/>
        </w:rPr>
        <w:t>Encourages innovative assessment techniques such as rubrics, case studies, and open-book tests.</w:t>
      </w:r>
    </w:p>
    <w:p>
      <w:pPr>
        <w:pStyle w:val="ListBullet"/>
        <w:spacing w:after="80"/>
        <w:jc w:val="both"/>
      </w:pPr>
      <w:r>
        <w:rPr>
          <w:rFonts w:ascii="Cambria" w:hAnsi="Cambria"/>
          <w:b w:val="0"/>
          <w:i w:val="0"/>
          <w:sz w:val="22"/>
        </w:rPr>
        <w:t>Community Engagement &amp; Extension</w:t>
      </w:r>
    </w:p>
    <w:p>
      <w:pPr>
        <w:pStyle w:val="ListBullet2"/>
        <w:spacing w:after="80"/>
        <w:jc w:val="both"/>
      </w:pPr>
      <w:r>
        <w:rPr>
          <w:rFonts w:ascii="Cambria" w:hAnsi="Cambria"/>
          <w:b w:val="0"/>
          <w:i w:val="0"/>
          <w:sz w:val="22"/>
        </w:rPr>
        <w:t>Encourages faculty and students to take part in community service, extension activities, and social outreach programs.</w:t>
      </w:r>
    </w:p>
    <w:p>
      <w:pPr>
        <w:pStyle w:val="ListBullet2"/>
        <w:spacing w:after="80"/>
        <w:jc w:val="both"/>
      </w:pPr>
      <w:r>
        <w:rPr>
          <w:rFonts w:ascii="Cambria" w:hAnsi="Cambria"/>
          <w:b w:val="0"/>
          <w:i w:val="0"/>
          <w:sz w:val="22"/>
        </w:rPr>
        <w:t>Implements environmental sustainability initiatives (green audit practices, renewable energy usage, waste management) within the department.</w:t>
      </w:r>
    </w:p>
    <w:p>
      <w:pPr>
        <w:pStyle w:val="ListBullet2"/>
        <w:spacing w:after="80"/>
        <w:jc w:val="both"/>
      </w:pPr>
      <w:r>
        <w:rPr>
          <w:rFonts w:ascii="Cambria" w:hAnsi="Cambria"/>
          <w:b w:val="0"/>
          <w:i w:val="0"/>
          <w:sz w:val="22"/>
        </w:rPr>
        <w:t>Strengthens the department's role in contributing to national priorities and social responsibilities.</w:t>
      </w:r>
    </w:p>
    <w:p>
      <w:pPr>
        <w:pStyle w:val="ListBullet"/>
        <w:spacing w:after="80"/>
        <w:jc w:val="both"/>
      </w:pPr>
      <w:r>
        <w:rPr>
          <w:rFonts w:ascii="Cambria" w:hAnsi="Cambria"/>
          <w:b w:val="0"/>
          <w:i w:val="0"/>
          <w:sz w:val="22"/>
        </w:rPr>
        <w:t>Reporting &amp; Accountability</w:t>
      </w:r>
    </w:p>
    <w:p>
      <w:pPr>
        <w:pStyle w:val="ListBullet2"/>
        <w:spacing w:after="80"/>
        <w:jc w:val="both"/>
      </w:pPr>
      <w:r>
        <w:rPr>
          <w:rFonts w:ascii="Cambria" w:hAnsi="Cambria"/>
          <w:b w:val="0"/>
          <w:i w:val="0"/>
          <w:sz w:val="22"/>
        </w:rPr>
        <w:t>Submits annual reports, performance indicators, and departmental achievements to higher authorities (Dean/Principal/Director).</w:t>
      </w:r>
    </w:p>
    <w:p>
      <w:pPr>
        <w:pStyle w:val="ListBullet2"/>
        <w:spacing w:after="80"/>
        <w:jc w:val="both"/>
      </w:pPr>
      <w:r>
        <w:rPr>
          <w:rFonts w:ascii="Cambria" w:hAnsi="Cambria"/>
          <w:b w:val="0"/>
          <w:i w:val="0"/>
          <w:sz w:val="22"/>
        </w:rPr>
        <w:t>Maintains systematic records of faculty publications, student achievements, research outputs, consultancy projects, and financial utilization.</w:t>
      </w:r>
    </w:p>
    <w:p>
      <w:pPr>
        <w:pStyle w:val="ListBullet2"/>
        <w:spacing w:after="80"/>
        <w:jc w:val="both"/>
      </w:pPr>
      <w:r>
        <w:rPr>
          <w:rFonts w:ascii="Cambria" w:hAnsi="Cambria"/>
          <w:b w:val="0"/>
          <w:i w:val="0"/>
          <w:sz w:val="22"/>
        </w:rPr>
        <w:t>Ensures transparency, ethical practices, and accountability in every aspect of departmental functioning.</w:t>
      </w:r>
    </w:p>
    <w:p>
      <w:pPr>
        <w:pStyle w:val="ListBullet2"/>
        <w:spacing w:after="80"/>
        <w:jc w:val="both"/>
      </w:pPr>
      <w:r>
        <w:rPr>
          <w:rFonts w:ascii="Cambria" w:hAnsi="Cambria"/>
          <w:b w:val="0"/>
          <w:i w:val="0"/>
          <w:sz w:val="22"/>
        </w:rPr>
        <w:t>Acts as a liaison between faculty/students and the higher administration, representing departmental concerns.</w:t>
      </w:r>
    </w:p>
    <w:p>
      <w:pPr>
        <w:keepNext/>
        <w:spacing w:before="280" w:after="160"/>
        <w:jc w:val="left"/>
      </w:pPr>
      <w:r>
        <w:rPr>
          <w:rFonts w:ascii="Cambria" w:hAnsi="Cambria"/>
          <w:b/>
          <w:i w:val="0"/>
          <w:color w:val="1F3A5F"/>
          <w:sz w:val="26"/>
        </w:rPr>
        <w:t>Policy–Action–Outcome Table: Roles &amp; Responsibilities of HoD in HEIs</w:t>
      </w:r>
    </w:p>
    <w:tbl>
      <w:tblPr>
        <w:tblStyle w:val="TableGrid"/>
        <w:tblW w:type="auto" w:w="0"/>
        <w:jc w:val="center"/>
        <w:tblLayout w:type="fixed"/>
        <w:tblLook w:firstColumn="1" w:firstRow="1" w:lastColumn="0" w:lastRow="0" w:noHBand="0" w:noVBand="1" w:val="04A0"/>
        <w:tblLayout w:type="fixed"/>
      </w:tblPr>
      <w:tblGrid>
        <w:gridCol w:w="1474"/>
        <w:gridCol w:w="3515"/>
        <w:gridCol w:w="3685"/>
      </w:tblGrid>
      <w:tr>
        <w:tc>
          <w:tcPr>
            <w:tcW w:type="dxa" w:w="1474"/>
            <w:shd w:val="clear" w:color="auto" w:fill="1F3A5F"/>
          </w:tcPr>
          <w:p>
            <w:pPr>
              <w:jc w:val="center"/>
            </w:pPr>
            <w:r/>
            <w:r>
              <w:rPr>
                <w:rFonts w:ascii="Cambria" w:hAnsi="Cambria"/>
                <w:b/>
                <w:i w:val="0"/>
                <w:color w:val="FFFFFF"/>
                <w:sz w:val="20"/>
              </w:rPr>
              <w:t>Policy Area</w:t>
            </w:r>
          </w:p>
        </w:tc>
        <w:tc>
          <w:tcPr>
            <w:tcW w:type="dxa" w:w="3515"/>
            <w:shd w:val="clear" w:color="auto" w:fill="1F3A5F"/>
          </w:tcPr>
          <w:p>
            <w:pPr>
              <w:jc w:val="center"/>
            </w:pPr>
            <w:r/>
            <w:r>
              <w:rPr>
                <w:rFonts w:ascii="Cambria" w:hAnsi="Cambria"/>
                <w:b/>
                <w:i w:val="0"/>
                <w:color w:val="FFFFFF"/>
                <w:sz w:val="20"/>
              </w:rPr>
              <w:t>Actions by HoD</w:t>
            </w:r>
          </w:p>
        </w:tc>
        <w:tc>
          <w:tcPr>
            <w:tcW w:type="dxa" w:w="3685"/>
            <w:shd w:val="clear" w:color="auto" w:fill="1F3A5F"/>
          </w:tcPr>
          <w:p>
            <w:pPr>
              <w:jc w:val="center"/>
            </w:pPr>
            <w:r/>
            <w:r>
              <w:rPr>
                <w:rFonts w:ascii="Cambria" w:hAnsi="Cambria"/>
                <w:b/>
                <w:i w:val="0"/>
                <w:color w:val="FFFFFF"/>
                <w:sz w:val="20"/>
              </w:rPr>
              <w:t>Expected Outcomes</w:t>
            </w:r>
          </w:p>
        </w:tc>
      </w:tr>
      <w:tr>
        <w:tc>
          <w:tcPr>
            <w:tcW w:type="dxa" w:w="1474"/>
          </w:tcPr>
          <w:p>
            <w:pPr>
              <w:jc w:val="left"/>
            </w:pPr>
            <w:r/>
            <w:r>
              <w:rPr>
                <w:rFonts w:ascii="Cambria" w:hAnsi="Cambria"/>
                <w:b w:val="0"/>
                <w:i w:val="0"/>
                <w:sz w:val="20"/>
              </w:rPr>
              <w:t>Academic Leadership</w:t>
            </w:r>
          </w:p>
        </w:tc>
        <w:tc>
          <w:tcPr>
            <w:tcW w:type="dxa" w:w="3515"/>
          </w:tcPr>
          <w:p>
            <w:pPr>
              <w:jc w:val="left"/>
            </w:pPr>
            <w:r/>
            <w:r>
              <w:rPr>
                <w:rFonts w:ascii="Cambria" w:hAnsi="Cambria"/>
                <w:b w:val="0"/>
                <w:i w:val="0"/>
                <w:sz w:val="20"/>
              </w:rPr>
              <w:t>Formulate vision and mission of the department aligned with institutional goals and NEP 2020. Ensure curriculum design, revision, and delivery meet industry and accreditation standards. Promote innovative teaching methods (ICT, blended learning, experiential learning).</w:t>
            </w:r>
          </w:p>
        </w:tc>
        <w:tc>
          <w:tcPr>
            <w:tcW w:type="dxa" w:w="3685"/>
          </w:tcPr>
          <w:p>
            <w:pPr>
              <w:jc w:val="left"/>
            </w:pPr>
            <w:r/>
            <w:r>
              <w:rPr>
                <w:rFonts w:ascii="Cambria" w:hAnsi="Cambria"/>
                <w:b w:val="0"/>
                <w:i w:val="0"/>
                <w:sz w:val="20"/>
              </w:rPr>
              <w:t>Enhanced teaching–learning quality. Updated, multidisciplinary, and outcome-based curriculum. Improved student academic performance and employability.</w:t>
            </w:r>
          </w:p>
        </w:tc>
      </w:tr>
      <w:tr>
        <w:tc>
          <w:tcPr>
            <w:tcW w:type="dxa" w:w="1474"/>
            <w:shd w:val="clear" w:color="auto" w:fill="E8EEF5"/>
          </w:tcPr>
          <w:p>
            <w:pPr>
              <w:jc w:val="left"/>
            </w:pPr>
            <w:r/>
            <w:r>
              <w:rPr>
                <w:rFonts w:ascii="Cambria" w:hAnsi="Cambria"/>
                <w:b w:val="0"/>
                <w:i w:val="0"/>
                <w:sz w:val="20"/>
              </w:rPr>
              <w:t>Administration &amp; Governance</w:t>
            </w:r>
          </w:p>
        </w:tc>
        <w:tc>
          <w:tcPr>
            <w:tcW w:type="dxa" w:w="3515"/>
            <w:shd w:val="clear" w:color="auto" w:fill="E8EEF5"/>
          </w:tcPr>
          <w:p>
            <w:pPr>
              <w:jc w:val="left"/>
            </w:pPr>
            <w:r/>
            <w:r>
              <w:rPr>
                <w:rFonts w:ascii="Cambria" w:hAnsi="Cambria"/>
                <w:b w:val="0"/>
                <w:i w:val="0"/>
                <w:sz w:val="20"/>
              </w:rPr>
              <w:t>Manage day-to-day functioning of the department. Allocate workload and resources effectively. Conduct departmental meetings and submit reports to higher administration.</w:t>
            </w:r>
          </w:p>
        </w:tc>
        <w:tc>
          <w:tcPr>
            <w:tcW w:type="dxa" w:w="3685"/>
            <w:shd w:val="clear" w:color="auto" w:fill="E8EEF5"/>
          </w:tcPr>
          <w:p>
            <w:pPr>
              <w:jc w:val="left"/>
            </w:pPr>
            <w:r/>
            <w:r>
              <w:rPr>
                <w:rFonts w:ascii="Cambria" w:hAnsi="Cambria"/>
                <w:b w:val="0"/>
                <w:i w:val="0"/>
                <w:sz w:val="20"/>
              </w:rPr>
              <w:t>Transparent and efficient departmental functioning. Optimized resource utilization. Strong communication between department and institution.</w:t>
            </w:r>
          </w:p>
        </w:tc>
      </w:tr>
      <w:tr>
        <w:tc>
          <w:tcPr>
            <w:tcW w:type="dxa" w:w="1474"/>
          </w:tcPr>
          <w:p>
            <w:pPr>
              <w:jc w:val="left"/>
            </w:pPr>
            <w:r/>
            <w:r>
              <w:rPr>
                <w:rFonts w:ascii="Cambria" w:hAnsi="Cambria"/>
                <w:b w:val="0"/>
                <w:i w:val="0"/>
                <w:sz w:val="20"/>
              </w:rPr>
              <w:t>Faculty Development</w:t>
            </w:r>
          </w:p>
        </w:tc>
        <w:tc>
          <w:tcPr>
            <w:tcW w:type="dxa" w:w="3515"/>
          </w:tcPr>
          <w:p>
            <w:pPr>
              <w:jc w:val="left"/>
            </w:pPr>
            <w:r/>
            <w:r>
              <w:rPr>
                <w:rFonts w:ascii="Cambria" w:hAnsi="Cambria"/>
                <w:b w:val="0"/>
                <w:i w:val="0"/>
                <w:sz w:val="20"/>
              </w:rPr>
              <w:t>Recruit and mentor faculty. Conduct Faculty Development Programs (FDPs) and workshops. Evaluate faculty performance and recommend career progression.</w:t>
            </w:r>
          </w:p>
        </w:tc>
        <w:tc>
          <w:tcPr>
            <w:tcW w:type="dxa" w:w="3685"/>
          </w:tcPr>
          <w:p>
            <w:pPr>
              <w:jc w:val="left"/>
            </w:pPr>
            <w:r/>
            <w:r>
              <w:rPr>
                <w:rFonts w:ascii="Cambria" w:hAnsi="Cambria"/>
                <w:b w:val="0"/>
                <w:i w:val="0"/>
                <w:sz w:val="20"/>
              </w:rPr>
              <w:t>Highly skilled, motivated, and research-oriented faculty. Faculty contributions to publications, patents, and projects. Improved teaching quality and research output.</w:t>
            </w:r>
          </w:p>
        </w:tc>
      </w:tr>
      <w:tr>
        <w:tc>
          <w:tcPr>
            <w:tcW w:type="dxa" w:w="1474"/>
            <w:shd w:val="clear" w:color="auto" w:fill="E8EEF5"/>
          </w:tcPr>
          <w:p>
            <w:pPr>
              <w:jc w:val="left"/>
            </w:pPr>
            <w:r/>
            <w:r>
              <w:rPr>
                <w:rFonts w:ascii="Cambria" w:hAnsi="Cambria"/>
                <w:b w:val="0"/>
                <w:i w:val="0"/>
                <w:sz w:val="20"/>
              </w:rPr>
              <w:t>Student Support &amp; Development</w:t>
            </w:r>
          </w:p>
        </w:tc>
        <w:tc>
          <w:tcPr>
            <w:tcW w:type="dxa" w:w="3515"/>
            <w:shd w:val="clear" w:color="auto" w:fill="E8EEF5"/>
          </w:tcPr>
          <w:p>
            <w:pPr>
              <w:jc w:val="left"/>
            </w:pPr>
            <w:r/>
            <w:r>
              <w:rPr>
                <w:rFonts w:ascii="Cambria" w:hAnsi="Cambria"/>
                <w:b w:val="0"/>
                <w:i w:val="0"/>
                <w:sz w:val="20"/>
              </w:rPr>
              <w:t>Implement mentoring and counseling systems. Facilitate internships, placements, and higher education opportunities. Organize student research, entrepreneurship, and extension activities.</w:t>
            </w:r>
          </w:p>
        </w:tc>
        <w:tc>
          <w:tcPr>
            <w:tcW w:type="dxa" w:w="3685"/>
            <w:shd w:val="clear" w:color="auto" w:fill="E8EEF5"/>
          </w:tcPr>
          <w:p>
            <w:pPr>
              <w:jc w:val="left"/>
            </w:pPr>
            <w:r/>
            <w:r>
              <w:rPr>
                <w:rFonts w:ascii="Cambria" w:hAnsi="Cambria"/>
                <w:b w:val="0"/>
                <w:i w:val="0"/>
                <w:sz w:val="20"/>
              </w:rPr>
              <w:t>Increased student success rates and placements. Stronger industry-readiness and employability skills. Improved student satisfaction and well-being.</w:t>
            </w:r>
          </w:p>
        </w:tc>
      </w:tr>
      <w:tr>
        <w:tc>
          <w:tcPr>
            <w:tcW w:type="dxa" w:w="1474"/>
          </w:tcPr>
          <w:p>
            <w:pPr>
              <w:jc w:val="left"/>
            </w:pPr>
            <w:r/>
            <w:r>
              <w:rPr>
                <w:rFonts w:ascii="Cambria" w:hAnsi="Cambria"/>
                <w:b w:val="0"/>
                <w:i w:val="0"/>
                <w:sz w:val="20"/>
              </w:rPr>
              <w:t>Research &amp; Innovation</w:t>
            </w:r>
          </w:p>
        </w:tc>
        <w:tc>
          <w:tcPr>
            <w:tcW w:type="dxa" w:w="3515"/>
          </w:tcPr>
          <w:p>
            <w:pPr>
              <w:jc w:val="left"/>
            </w:pPr>
            <w:r/>
            <w:r>
              <w:rPr>
                <w:rFonts w:ascii="Cambria" w:hAnsi="Cambria"/>
                <w:b w:val="0"/>
                <w:i w:val="0"/>
                <w:sz w:val="20"/>
              </w:rPr>
              <w:t>Promote departmental research culture. Encourage faculty and students to publish, file patents, and secure funded projects. Facilitate industry collaborations and consultancy.</w:t>
            </w:r>
          </w:p>
        </w:tc>
        <w:tc>
          <w:tcPr>
            <w:tcW w:type="dxa" w:w="3685"/>
          </w:tcPr>
          <w:p>
            <w:pPr>
              <w:jc w:val="left"/>
            </w:pPr>
            <w:r/>
            <w:r>
              <w:rPr>
                <w:rFonts w:ascii="Cambria" w:hAnsi="Cambria"/>
                <w:b w:val="0"/>
                <w:i w:val="0"/>
                <w:sz w:val="20"/>
              </w:rPr>
              <w:t>Increased research publications, IPR, and funding. Strong industry linkages and consultancy revenues. Recognition of department as a research hub.</w:t>
            </w:r>
          </w:p>
        </w:tc>
      </w:tr>
      <w:tr>
        <w:tc>
          <w:tcPr>
            <w:tcW w:type="dxa" w:w="1474"/>
            <w:shd w:val="clear" w:color="auto" w:fill="E8EEF5"/>
          </w:tcPr>
          <w:p>
            <w:pPr>
              <w:jc w:val="left"/>
            </w:pPr>
            <w:r/>
            <w:r>
              <w:rPr>
                <w:rFonts w:ascii="Cambria" w:hAnsi="Cambria"/>
                <w:b w:val="0"/>
                <w:i w:val="0"/>
                <w:sz w:val="20"/>
              </w:rPr>
              <w:t>Quality Assurance &amp; Accreditation</w:t>
            </w:r>
          </w:p>
        </w:tc>
        <w:tc>
          <w:tcPr>
            <w:tcW w:type="dxa" w:w="3515"/>
            <w:shd w:val="clear" w:color="auto" w:fill="E8EEF5"/>
          </w:tcPr>
          <w:p>
            <w:pPr>
              <w:jc w:val="left"/>
            </w:pPr>
            <w:r/>
            <w:r>
              <w:rPr>
                <w:rFonts w:ascii="Cambria" w:hAnsi="Cambria"/>
                <w:b w:val="0"/>
                <w:i w:val="0"/>
                <w:sz w:val="20"/>
              </w:rPr>
              <w:t>Monitor CO–PO–PSO attainment levels. Conduct academic audits and analyze feedback. Ensure compliance with NAAC, NBA, NIRF, QS I-GAUGE standards.</w:t>
            </w:r>
          </w:p>
        </w:tc>
        <w:tc>
          <w:tcPr>
            <w:tcW w:type="dxa" w:w="3685"/>
            <w:shd w:val="clear" w:color="auto" w:fill="E8EEF5"/>
          </w:tcPr>
          <w:p>
            <w:pPr>
              <w:jc w:val="left"/>
            </w:pPr>
            <w:r/>
            <w:r>
              <w:rPr>
                <w:rFonts w:ascii="Cambria" w:hAnsi="Cambria"/>
                <w:b w:val="0"/>
                <w:i w:val="0"/>
                <w:sz w:val="20"/>
              </w:rPr>
              <w:t>Accreditation readiness and improved rankings. Continuous quality enhancement. Strong evidence-based documentation.</w:t>
            </w:r>
          </w:p>
        </w:tc>
      </w:tr>
      <w:tr>
        <w:tc>
          <w:tcPr>
            <w:tcW w:type="dxa" w:w="1474"/>
          </w:tcPr>
          <w:p>
            <w:pPr>
              <w:jc w:val="left"/>
            </w:pPr>
            <w:r/>
            <w:r>
              <w:rPr>
                <w:rFonts w:ascii="Cambria" w:hAnsi="Cambria"/>
                <w:b w:val="0"/>
                <w:i w:val="0"/>
                <w:sz w:val="20"/>
              </w:rPr>
              <w:t>Strategic Development &amp; Linkages</w:t>
            </w:r>
          </w:p>
        </w:tc>
        <w:tc>
          <w:tcPr>
            <w:tcW w:type="dxa" w:w="3515"/>
          </w:tcPr>
          <w:p>
            <w:pPr>
              <w:jc w:val="left"/>
            </w:pPr>
            <w:r/>
            <w:r>
              <w:rPr>
                <w:rFonts w:ascii="Cambria" w:hAnsi="Cambria"/>
                <w:b w:val="0"/>
                <w:i w:val="0"/>
                <w:sz w:val="20"/>
              </w:rPr>
              <w:t>Establish MoUs with industry, academia, and research organizations. Promote international collaborations and exchange programs. Align departmental growth with SDGs and institutional strategic plan.</w:t>
            </w:r>
          </w:p>
        </w:tc>
        <w:tc>
          <w:tcPr>
            <w:tcW w:type="dxa" w:w="3685"/>
          </w:tcPr>
          <w:p>
            <w:pPr>
              <w:jc w:val="left"/>
            </w:pPr>
            <w:r/>
            <w:r>
              <w:rPr>
                <w:rFonts w:ascii="Cambria" w:hAnsi="Cambria"/>
                <w:b w:val="0"/>
                <w:i w:val="0"/>
                <w:sz w:val="20"/>
              </w:rPr>
              <w:t>Enhanced global reputation of the department. Improved industry–academia collaboration. Sustainable departmental development.</w:t>
            </w:r>
          </w:p>
        </w:tc>
      </w:tr>
      <w:tr>
        <w:tc>
          <w:tcPr>
            <w:tcW w:type="dxa" w:w="1474"/>
            <w:shd w:val="clear" w:color="auto" w:fill="E8EEF5"/>
          </w:tcPr>
          <w:p>
            <w:pPr>
              <w:jc w:val="left"/>
            </w:pPr>
            <w:r/>
            <w:r>
              <w:rPr>
                <w:rFonts w:ascii="Cambria" w:hAnsi="Cambria"/>
                <w:b w:val="0"/>
                <w:i w:val="0"/>
                <w:sz w:val="20"/>
              </w:rPr>
              <w:t>Examinations &amp; Evaluation</w:t>
            </w:r>
          </w:p>
        </w:tc>
        <w:tc>
          <w:tcPr>
            <w:tcW w:type="dxa" w:w="3515"/>
            <w:shd w:val="clear" w:color="auto" w:fill="E8EEF5"/>
          </w:tcPr>
          <w:p>
            <w:pPr>
              <w:jc w:val="left"/>
            </w:pPr>
            <w:r/>
            <w:r>
              <w:rPr>
                <w:rFonts w:ascii="Cambria" w:hAnsi="Cambria"/>
                <w:b w:val="0"/>
                <w:i w:val="0"/>
                <w:sz w:val="20"/>
              </w:rPr>
              <w:t>Conduct internal assessments, exams, and evaluations fairly. Adopt innovative assessment methods (rubrics, projects, case studies). Ensure timely declaration of results.</w:t>
            </w:r>
          </w:p>
        </w:tc>
        <w:tc>
          <w:tcPr>
            <w:tcW w:type="dxa" w:w="3685"/>
            <w:shd w:val="clear" w:color="auto" w:fill="E8EEF5"/>
          </w:tcPr>
          <w:p>
            <w:pPr>
              <w:jc w:val="left"/>
            </w:pPr>
            <w:r/>
            <w:r>
              <w:rPr>
                <w:rFonts w:ascii="Cambria" w:hAnsi="Cambria"/>
                <w:b w:val="0"/>
                <w:i w:val="0"/>
                <w:sz w:val="20"/>
              </w:rPr>
              <w:t>Fair and transparent evaluation system. Better student learning outcomes. Reduced examination-related grievances.</w:t>
            </w:r>
          </w:p>
        </w:tc>
      </w:tr>
      <w:tr>
        <w:tc>
          <w:tcPr>
            <w:tcW w:type="dxa" w:w="1474"/>
          </w:tcPr>
          <w:p>
            <w:pPr>
              <w:jc w:val="left"/>
            </w:pPr>
            <w:r/>
            <w:r>
              <w:rPr>
                <w:rFonts w:ascii="Cambria" w:hAnsi="Cambria"/>
                <w:b w:val="0"/>
                <w:i w:val="0"/>
                <w:sz w:val="20"/>
              </w:rPr>
              <w:t>Community Engagement</w:t>
            </w:r>
          </w:p>
        </w:tc>
        <w:tc>
          <w:tcPr>
            <w:tcW w:type="dxa" w:w="3515"/>
          </w:tcPr>
          <w:p>
            <w:pPr>
              <w:jc w:val="left"/>
            </w:pPr>
            <w:r/>
            <w:r>
              <w:rPr>
                <w:rFonts w:ascii="Cambria" w:hAnsi="Cambria"/>
                <w:b w:val="0"/>
                <w:i w:val="0"/>
                <w:sz w:val="20"/>
              </w:rPr>
              <w:t>Promote extension and outreach programs. Encourage student/faculty involvement in societal development. Implement eco-friendly and green initiatives.</w:t>
            </w:r>
          </w:p>
        </w:tc>
        <w:tc>
          <w:tcPr>
            <w:tcW w:type="dxa" w:w="3685"/>
          </w:tcPr>
          <w:p>
            <w:pPr>
              <w:jc w:val="left"/>
            </w:pPr>
            <w:r/>
            <w:r>
              <w:rPr>
                <w:rFonts w:ascii="Cambria" w:hAnsi="Cambria"/>
                <w:b w:val="0"/>
                <w:i w:val="0"/>
                <w:sz w:val="20"/>
              </w:rPr>
              <w:t>Strong community–institution relationship. Contribution to social responsibility and sustainability. Enhanced institutional reputation in society.</w:t>
            </w:r>
          </w:p>
        </w:tc>
      </w:tr>
      <w:tr>
        <w:tc>
          <w:tcPr>
            <w:tcW w:type="dxa" w:w="1474"/>
            <w:shd w:val="clear" w:color="auto" w:fill="E8EEF5"/>
          </w:tcPr>
          <w:p>
            <w:pPr>
              <w:jc w:val="left"/>
            </w:pPr>
            <w:r/>
            <w:r>
              <w:rPr>
                <w:rFonts w:ascii="Cambria" w:hAnsi="Cambria"/>
                <w:b w:val="0"/>
                <w:i w:val="0"/>
                <w:sz w:val="20"/>
              </w:rPr>
              <w:t>Reporting &amp; Accountability</w:t>
            </w:r>
          </w:p>
        </w:tc>
        <w:tc>
          <w:tcPr>
            <w:tcW w:type="dxa" w:w="3515"/>
            <w:shd w:val="clear" w:color="auto" w:fill="E8EEF5"/>
          </w:tcPr>
          <w:p>
            <w:pPr>
              <w:jc w:val="left"/>
            </w:pPr>
            <w:r/>
            <w:r>
              <w:rPr>
                <w:rFonts w:ascii="Cambria" w:hAnsi="Cambria"/>
                <w:b w:val="0"/>
                <w:i w:val="0"/>
                <w:sz w:val="20"/>
              </w:rPr>
              <w:t>Maintain records of departmental activities, research, and finances. Submit periodic reports to institutional authorities. Ensure transparency and ethical governance.</w:t>
            </w:r>
          </w:p>
        </w:tc>
        <w:tc>
          <w:tcPr>
            <w:tcW w:type="dxa" w:w="3685"/>
            <w:shd w:val="clear" w:color="auto" w:fill="E8EEF5"/>
          </w:tcPr>
          <w:p>
            <w:pPr>
              <w:jc w:val="left"/>
            </w:pPr>
            <w:r/>
            <w:r>
              <w:rPr>
                <w:rFonts w:ascii="Cambria" w:hAnsi="Cambria"/>
                <w:b w:val="0"/>
                <w:i w:val="0"/>
                <w:sz w:val="20"/>
              </w:rPr>
              <w:t>Accountability in academic and administrative functions. Data-driven decision-making. Improved trust within and outside the institution.</w:t>
            </w:r>
          </w:p>
        </w:tc>
      </w:tr>
    </w:tbl>
    <w:p>
      <w:pPr>
        <w:spacing w:after="120"/>
      </w:pPr>
    </w:p>
    <w:p>
      <w:pPr>
        <w:keepNext/>
        <w:spacing w:before="280" w:after="160"/>
        <w:jc w:val="left"/>
      </w:pPr>
      <w:r>
        <w:rPr>
          <w:rFonts w:ascii="Cambria" w:hAnsi="Cambria"/>
          <w:b/>
          <w:i w:val="0"/>
          <w:color w:val="1F3A5F"/>
          <w:sz w:val="26"/>
        </w:rPr>
        <w:t>Checklists and Dashboards for Practical Monitoring of HoD Performance in Higher Education Institutions (HEIs)</w:t>
      </w:r>
    </w:p>
    <w:p>
      <w:pPr>
        <w:keepNext/>
        <w:spacing w:before="280" w:after="160"/>
        <w:jc w:val="left"/>
      </w:pPr>
      <w:r>
        <w:rPr>
          <w:rFonts w:ascii="Cambria" w:hAnsi="Cambria"/>
          <w:b/>
          <w:i w:val="0"/>
          <w:color w:val="1F3A5F"/>
          <w:sz w:val="24"/>
        </w:rPr>
        <w:t>1. Academic Planning Checklist</w:t>
      </w:r>
    </w:p>
    <w:p>
      <w:pPr>
        <w:pStyle w:val="ListBullet"/>
        <w:spacing w:after="80"/>
        <w:jc w:val="both"/>
      </w:pPr>
      <w:r>
        <w:rPr>
          <w:rFonts w:ascii="Cambria" w:hAnsi="Cambria"/>
          <w:b w:val="0"/>
          <w:i w:val="0"/>
          <w:sz w:val="22"/>
        </w:rPr>
        <w:t>Academic calendar prepared and aligned with institutional calendar.</w:t>
      </w:r>
    </w:p>
    <w:p>
      <w:pPr>
        <w:pStyle w:val="ListBullet"/>
        <w:spacing w:after="80"/>
        <w:jc w:val="both"/>
      </w:pPr>
      <w:r>
        <w:rPr>
          <w:rFonts w:ascii="Cambria" w:hAnsi="Cambria"/>
          <w:b w:val="0"/>
          <w:i w:val="0"/>
          <w:sz w:val="22"/>
        </w:rPr>
        <w:t>Course allocation and workload distribution completed.</w:t>
      </w:r>
    </w:p>
    <w:p>
      <w:pPr>
        <w:pStyle w:val="ListBullet"/>
        <w:spacing w:after="80"/>
        <w:jc w:val="both"/>
      </w:pPr>
      <w:r>
        <w:rPr>
          <w:rFonts w:ascii="Cambria" w:hAnsi="Cambria"/>
          <w:b w:val="0"/>
          <w:i w:val="0"/>
          <w:sz w:val="22"/>
        </w:rPr>
        <w:t>Lesson plans and course files submitted by all faculty.</w:t>
      </w:r>
    </w:p>
    <w:p>
      <w:pPr>
        <w:pStyle w:val="ListBullet"/>
        <w:spacing w:after="80"/>
        <w:jc w:val="both"/>
      </w:pPr>
      <w:r>
        <w:rPr>
          <w:rFonts w:ascii="Cambria" w:hAnsi="Cambria"/>
          <w:b w:val="0"/>
          <w:i w:val="0"/>
          <w:sz w:val="22"/>
        </w:rPr>
        <w:t>Laboratory schedules, tutorials, and project work planned.</w:t>
      </w:r>
    </w:p>
    <w:p>
      <w:pPr>
        <w:pStyle w:val="ListBullet"/>
        <w:spacing w:after="80"/>
        <w:jc w:val="both"/>
      </w:pPr>
      <w:r>
        <w:rPr>
          <w:rFonts w:ascii="Cambria" w:hAnsi="Cambria"/>
          <w:b w:val="0"/>
          <w:i w:val="0"/>
          <w:sz w:val="22"/>
        </w:rPr>
        <w:t>Strategies for slow and advanced learners identified.</w:t>
      </w:r>
    </w:p>
    <w:p>
      <w:pPr>
        <w:pStyle w:val="ListBullet"/>
        <w:spacing w:after="80"/>
        <w:jc w:val="both"/>
      </w:pPr>
      <w:r>
        <w:rPr>
          <w:rFonts w:ascii="Cambria" w:hAnsi="Cambria"/>
          <w:b w:val="0"/>
          <w:i w:val="0"/>
          <w:sz w:val="22"/>
        </w:rPr>
        <w:t>Value-added / certificate courses planned.</w:t>
      </w:r>
    </w:p>
    <w:p>
      <w:pPr>
        <w:keepNext/>
        <w:spacing w:before="280" w:after="160"/>
        <w:jc w:val="left"/>
      </w:pPr>
      <w:r>
        <w:rPr>
          <w:rFonts w:ascii="Cambria" w:hAnsi="Cambria"/>
          <w:b/>
          <w:i w:val="0"/>
          <w:color w:val="1F3A5F"/>
          <w:sz w:val="24"/>
        </w:rPr>
        <w:t>2. Teaching–Learning &amp; Student Support Checklist</w:t>
      </w:r>
    </w:p>
    <w:p>
      <w:pPr>
        <w:pStyle w:val="ListBullet"/>
        <w:spacing w:after="80"/>
        <w:jc w:val="both"/>
      </w:pPr>
      <w:r>
        <w:rPr>
          <w:rFonts w:ascii="Cambria" w:hAnsi="Cambria"/>
          <w:b w:val="0"/>
          <w:i w:val="0"/>
          <w:sz w:val="22"/>
        </w:rPr>
        <w:t>Regular monitoring of class engagement and attendance.</w:t>
      </w:r>
    </w:p>
    <w:p>
      <w:pPr>
        <w:pStyle w:val="ListBullet"/>
        <w:spacing w:after="80"/>
        <w:jc w:val="both"/>
      </w:pPr>
      <w:r>
        <w:rPr>
          <w:rFonts w:ascii="Cambria" w:hAnsi="Cambria"/>
          <w:b w:val="0"/>
          <w:i w:val="0"/>
          <w:sz w:val="22"/>
        </w:rPr>
        <w:t>Student mentoring and counseling sessions conducted.</w:t>
      </w:r>
    </w:p>
    <w:p>
      <w:pPr>
        <w:pStyle w:val="ListBullet"/>
        <w:spacing w:after="80"/>
        <w:jc w:val="both"/>
      </w:pPr>
      <w:r>
        <w:rPr>
          <w:rFonts w:ascii="Cambria" w:hAnsi="Cambria"/>
          <w:b w:val="0"/>
          <w:i w:val="0"/>
          <w:sz w:val="22"/>
        </w:rPr>
        <w:t>Internal assessments and evaluations conducted as per schedule.</w:t>
      </w:r>
    </w:p>
    <w:p>
      <w:pPr>
        <w:pStyle w:val="ListBullet"/>
        <w:spacing w:after="80"/>
        <w:jc w:val="both"/>
      </w:pPr>
      <w:r>
        <w:rPr>
          <w:rFonts w:ascii="Cambria" w:hAnsi="Cambria"/>
          <w:b w:val="0"/>
          <w:i w:val="0"/>
          <w:sz w:val="22"/>
        </w:rPr>
        <w:t>Feedback from students collected and analyzed.</w:t>
      </w:r>
    </w:p>
    <w:p>
      <w:pPr>
        <w:pStyle w:val="ListBullet"/>
        <w:spacing w:after="80"/>
        <w:jc w:val="both"/>
      </w:pPr>
      <w:r>
        <w:rPr>
          <w:rFonts w:ascii="Cambria" w:hAnsi="Cambria"/>
          <w:b w:val="0"/>
          <w:i w:val="0"/>
          <w:sz w:val="22"/>
        </w:rPr>
        <w:t>Remedial classes conducted for weak students.</w:t>
      </w:r>
    </w:p>
    <w:p>
      <w:pPr>
        <w:pStyle w:val="ListBullet"/>
        <w:spacing w:after="80"/>
        <w:jc w:val="both"/>
      </w:pPr>
      <w:r>
        <w:rPr>
          <w:rFonts w:ascii="Cambria" w:hAnsi="Cambria"/>
          <w:b w:val="0"/>
          <w:i w:val="0"/>
          <w:sz w:val="22"/>
        </w:rPr>
        <w:t>Placement, internship, and higher education support provided.</w:t>
      </w:r>
    </w:p>
    <w:p>
      <w:pPr>
        <w:keepNext/>
        <w:spacing w:before="280" w:after="160"/>
        <w:jc w:val="left"/>
      </w:pPr>
      <w:r>
        <w:rPr>
          <w:rFonts w:ascii="Cambria" w:hAnsi="Cambria"/>
          <w:b/>
          <w:i w:val="0"/>
          <w:color w:val="1F3A5F"/>
          <w:sz w:val="24"/>
        </w:rPr>
        <w:t>3. Research &amp; Innovation Checklist</w:t>
      </w:r>
    </w:p>
    <w:p>
      <w:pPr>
        <w:pStyle w:val="ListBullet"/>
        <w:spacing w:after="80"/>
        <w:jc w:val="both"/>
      </w:pPr>
      <w:r>
        <w:rPr>
          <w:rFonts w:ascii="Cambria" w:hAnsi="Cambria"/>
          <w:b w:val="0"/>
          <w:i w:val="0"/>
          <w:sz w:val="22"/>
        </w:rPr>
        <w:t>Research publications by faculty and students tracked.</w:t>
      </w:r>
    </w:p>
    <w:p>
      <w:pPr>
        <w:pStyle w:val="ListBullet"/>
        <w:spacing w:after="80"/>
        <w:jc w:val="both"/>
      </w:pPr>
      <w:r>
        <w:rPr>
          <w:rFonts w:ascii="Cambria" w:hAnsi="Cambria"/>
          <w:b w:val="0"/>
          <w:i w:val="0"/>
          <w:sz w:val="22"/>
        </w:rPr>
        <w:t>Funded projects/consultancy proposals submitted.</w:t>
      </w:r>
    </w:p>
    <w:p>
      <w:pPr>
        <w:pStyle w:val="ListBullet"/>
        <w:spacing w:after="80"/>
        <w:jc w:val="both"/>
      </w:pPr>
      <w:r>
        <w:rPr>
          <w:rFonts w:ascii="Cambria" w:hAnsi="Cambria"/>
          <w:b w:val="0"/>
          <w:i w:val="0"/>
          <w:sz w:val="22"/>
        </w:rPr>
        <w:t>Patents/IPR filed or in process.</w:t>
      </w:r>
    </w:p>
    <w:p>
      <w:pPr>
        <w:pStyle w:val="ListBullet"/>
        <w:spacing w:after="80"/>
        <w:jc w:val="both"/>
      </w:pPr>
      <w:r>
        <w:rPr>
          <w:rFonts w:ascii="Cambria" w:hAnsi="Cambria"/>
          <w:b w:val="0"/>
          <w:i w:val="0"/>
          <w:sz w:val="22"/>
        </w:rPr>
        <w:t>Industry linkages / MoUs active.</w:t>
      </w:r>
    </w:p>
    <w:p>
      <w:pPr>
        <w:pStyle w:val="ListBullet"/>
        <w:spacing w:after="80"/>
        <w:jc w:val="both"/>
      </w:pPr>
      <w:r>
        <w:rPr>
          <w:rFonts w:ascii="Cambria" w:hAnsi="Cambria"/>
          <w:b w:val="0"/>
          <w:i w:val="0"/>
          <w:sz w:val="22"/>
        </w:rPr>
        <w:t>Student participation in research, hackathons, and innovation challenges.</w:t>
      </w:r>
    </w:p>
    <w:p>
      <w:pPr>
        <w:keepNext/>
        <w:spacing w:before="280" w:after="160"/>
        <w:jc w:val="left"/>
      </w:pPr>
      <w:r>
        <w:rPr>
          <w:rFonts w:ascii="Cambria" w:hAnsi="Cambria"/>
          <w:b/>
          <w:i w:val="0"/>
          <w:color w:val="1F3A5F"/>
          <w:sz w:val="24"/>
        </w:rPr>
        <w:t>4. Quality Assurance &amp; Accreditation Checklist</w:t>
      </w:r>
    </w:p>
    <w:p>
      <w:pPr>
        <w:pStyle w:val="ListBullet"/>
        <w:spacing w:after="80"/>
        <w:jc w:val="both"/>
      </w:pPr>
      <w:r>
        <w:rPr>
          <w:rFonts w:ascii="Cambria" w:hAnsi="Cambria"/>
          <w:b w:val="0"/>
          <w:i w:val="0"/>
          <w:sz w:val="22"/>
        </w:rPr>
        <w:t>CO–PO–PSO mapping completed and attainment levels analyzed.</w:t>
      </w:r>
    </w:p>
    <w:p>
      <w:pPr>
        <w:pStyle w:val="ListBullet"/>
        <w:spacing w:after="80"/>
        <w:jc w:val="both"/>
      </w:pPr>
      <w:r>
        <w:rPr>
          <w:rFonts w:ascii="Cambria" w:hAnsi="Cambria"/>
          <w:b w:val="0"/>
          <w:i w:val="0"/>
          <w:sz w:val="22"/>
        </w:rPr>
        <w:t>Academic audit conducted within the department.</w:t>
      </w:r>
    </w:p>
    <w:p>
      <w:pPr>
        <w:pStyle w:val="ListBullet"/>
        <w:spacing w:after="80"/>
        <w:jc w:val="both"/>
      </w:pPr>
      <w:r>
        <w:rPr>
          <w:rFonts w:ascii="Cambria" w:hAnsi="Cambria"/>
          <w:b w:val="0"/>
          <w:i w:val="0"/>
          <w:sz w:val="22"/>
        </w:rPr>
        <w:t>Documentation ready for NAAC/NBA/NIRF/QS reporting.</w:t>
      </w:r>
    </w:p>
    <w:p>
      <w:pPr>
        <w:pStyle w:val="ListBullet"/>
        <w:spacing w:after="80"/>
        <w:jc w:val="both"/>
      </w:pPr>
      <w:r>
        <w:rPr>
          <w:rFonts w:ascii="Cambria" w:hAnsi="Cambria"/>
          <w:b w:val="0"/>
          <w:i w:val="0"/>
          <w:sz w:val="22"/>
        </w:rPr>
        <w:t>Feedback reports implemented with corrective measures.</w:t>
      </w:r>
    </w:p>
    <w:p>
      <w:pPr>
        <w:pStyle w:val="ListBullet"/>
        <w:spacing w:after="80"/>
        <w:jc w:val="both"/>
      </w:pPr>
      <w:r>
        <w:rPr>
          <w:rFonts w:ascii="Cambria" w:hAnsi="Cambria"/>
          <w:b w:val="0"/>
          <w:i w:val="0"/>
          <w:sz w:val="22"/>
        </w:rPr>
        <w:t>Green/energy audit practices in place at departmental level.</w:t>
      </w:r>
    </w:p>
    <w:p>
      <w:pPr>
        <w:keepNext/>
        <w:spacing w:before="280" w:after="160"/>
        <w:jc w:val="left"/>
      </w:pPr>
      <w:r>
        <w:rPr>
          <w:rFonts w:ascii="Cambria" w:hAnsi="Cambria"/>
          <w:b/>
          <w:i w:val="0"/>
          <w:color w:val="1F3A5F"/>
          <w:sz w:val="24"/>
        </w:rPr>
        <w:t>5. Governance &amp; Administration Checklist</w:t>
      </w:r>
    </w:p>
    <w:p>
      <w:pPr>
        <w:pStyle w:val="ListBullet"/>
        <w:spacing w:after="80"/>
        <w:jc w:val="both"/>
      </w:pPr>
      <w:r>
        <w:rPr>
          <w:rFonts w:ascii="Cambria" w:hAnsi="Cambria"/>
          <w:b w:val="0"/>
          <w:i w:val="0"/>
          <w:sz w:val="22"/>
        </w:rPr>
        <w:t>Departmental meetings conducted regularly with minutes recorded.</w:t>
      </w:r>
    </w:p>
    <w:p>
      <w:pPr>
        <w:pStyle w:val="ListBullet"/>
        <w:spacing w:after="80"/>
        <w:jc w:val="both"/>
      </w:pPr>
      <w:r>
        <w:rPr>
          <w:rFonts w:ascii="Cambria" w:hAnsi="Cambria"/>
          <w:b w:val="0"/>
          <w:i w:val="0"/>
          <w:sz w:val="22"/>
        </w:rPr>
        <w:t>Budget utilization documented and reported.</w:t>
      </w:r>
    </w:p>
    <w:p>
      <w:pPr>
        <w:pStyle w:val="ListBullet"/>
        <w:spacing w:after="80"/>
        <w:jc w:val="both"/>
      </w:pPr>
      <w:r>
        <w:rPr>
          <w:rFonts w:ascii="Cambria" w:hAnsi="Cambria"/>
          <w:b w:val="0"/>
          <w:i w:val="0"/>
          <w:sz w:val="22"/>
        </w:rPr>
        <w:t>Infrastructure/lab/equipment requirements addressed.</w:t>
      </w:r>
    </w:p>
    <w:p>
      <w:pPr>
        <w:pStyle w:val="ListBullet"/>
        <w:spacing w:after="80"/>
        <w:jc w:val="both"/>
      </w:pPr>
      <w:r>
        <w:rPr>
          <w:rFonts w:ascii="Cambria" w:hAnsi="Cambria"/>
          <w:b w:val="0"/>
          <w:i w:val="0"/>
          <w:sz w:val="22"/>
        </w:rPr>
        <w:t>Faculty workload norms complied with UGC/AICTE guidelines.</w:t>
      </w:r>
    </w:p>
    <w:p>
      <w:pPr>
        <w:pStyle w:val="ListBullet"/>
        <w:spacing w:after="80"/>
        <w:jc w:val="both"/>
      </w:pPr>
      <w:r>
        <w:rPr>
          <w:rFonts w:ascii="Cambria" w:hAnsi="Cambria"/>
          <w:b w:val="0"/>
          <w:i w:val="0"/>
          <w:sz w:val="22"/>
        </w:rPr>
        <w:t>Grievance redressal mechanisms functional.</w:t>
      </w:r>
    </w:p>
    <w:p>
      <w:pPr>
        <w:keepNext/>
        <w:spacing w:before="280" w:after="160"/>
        <w:jc w:val="left"/>
      </w:pPr>
      <w:r>
        <w:rPr>
          <w:rFonts w:ascii="Cambria" w:hAnsi="Cambria"/>
          <w:b/>
          <w:i w:val="0"/>
          <w:color w:val="1F3A5F"/>
          <w:sz w:val="24"/>
        </w:rPr>
        <w:t>6. Extension &amp; Community Engagement Checklist</w:t>
      </w:r>
    </w:p>
    <w:p>
      <w:pPr>
        <w:pStyle w:val="ListBullet"/>
        <w:spacing w:after="80"/>
        <w:jc w:val="both"/>
      </w:pPr>
      <w:r>
        <w:rPr>
          <w:rFonts w:ascii="Cambria" w:hAnsi="Cambria"/>
          <w:b w:val="0"/>
          <w:i w:val="0"/>
          <w:sz w:val="22"/>
        </w:rPr>
        <w:t>Outreach programs and community projects organized.</w:t>
      </w:r>
    </w:p>
    <w:p>
      <w:pPr>
        <w:pStyle w:val="ListBullet"/>
        <w:spacing w:after="80"/>
        <w:jc w:val="both"/>
      </w:pPr>
      <w:r>
        <w:rPr>
          <w:rFonts w:ascii="Cambria" w:hAnsi="Cambria"/>
          <w:b w:val="0"/>
          <w:i w:val="0"/>
          <w:sz w:val="22"/>
        </w:rPr>
        <w:t>Student/faculty participation in social responsibility initiatives.</w:t>
      </w:r>
    </w:p>
    <w:p>
      <w:pPr>
        <w:pStyle w:val="ListBullet"/>
        <w:spacing w:after="80"/>
        <w:jc w:val="both"/>
      </w:pPr>
      <w:r>
        <w:rPr>
          <w:rFonts w:ascii="Cambria" w:hAnsi="Cambria"/>
          <w:b w:val="0"/>
          <w:i w:val="0"/>
          <w:sz w:val="22"/>
        </w:rPr>
        <w:t>Environmental sustainability practices adopted.</w:t>
      </w:r>
    </w:p>
    <w:p>
      <w:pPr>
        <w:pStyle w:val="ListBullet"/>
        <w:spacing w:after="80"/>
        <w:jc w:val="both"/>
      </w:pPr>
      <w:r>
        <w:rPr>
          <w:rFonts w:ascii="Cambria" w:hAnsi="Cambria"/>
          <w:b w:val="0"/>
          <w:i w:val="0"/>
          <w:sz w:val="22"/>
        </w:rPr>
        <w:t>Collaboration with NGOs, government, or local community established.</w:t>
      </w:r>
    </w:p>
    <w:p>
      <w:pPr>
        <w:keepNext/>
        <w:spacing w:before="280" w:after="160"/>
        <w:jc w:val="left"/>
      </w:pPr>
      <w:r>
        <w:rPr>
          <w:rFonts w:ascii="Cambria" w:hAnsi="Cambria"/>
          <w:b/>
          <w:i w:val="0"/>
          <w:color w:val="1F3A5F"/>
          <w:sz w:val="24"/>
        </w:rPr>
        <w:t>7. Dashboard Metrics (for HoD Performance Review)</w:t>
      </w:r>
    </w:p>
    <w:p>
      <w:pPr>
        <w:spacing w:after="120"/>
        <w:jc w:val="both"/>
      </w:pPr>
      <w:r>
        <w:rPr>
          <w:rFonts w:ascii="Cambria" w:hAnsi="Cambria"/>
          <w:b w:val="0"/>
          <w:i w:val="0"/>
          <w:sz w:val="22"/>
        </w:rPr>
        <w:t>(to be tracked quarterly/annually through Excel or BI tools)</w:t>
      </w:r>
    </w:p>
    <w:p>
      <w:pPr>
        <w:pStyle w:val="ListBullet"/>
        <w:spacing w:after="80"/>
        <w:jc w:val="both"/>
      </w:pPr>
      <w:r>
        <w:rPr>
          <w:rFonts w:ascii="Cambria" w:hAnsi="Cambria"/>
          <w:b w:val="0"/>
          <w:i w:val="0"/>
          <w:sz w:val="22"/>
        </w:rPr>
        <w:t>Teaching–Learning</w:t>
      </w:r>
    </w:p>
    <w:p>
      <w:pPr>
        <w:pStyle w:val="ListBullet2"/>
        <w:spacing w:after="80"/>
        <w:jc w:val="both"/>
      </w:pPr>
      <w:r>
        <w:rPr>
          <w:rFonts w:ascii="Cambria" w:hAnsi="Cambria"/>
          <w:b w:val="0"/>
          <w:i w:val="0"/>
          <w:sz w:val="22"/>
        </w:rPr>
        <w:t>% of syllabus completion by faculty.</w:t>
      </w:r>
    </w:p>
    <w:p>
      <w:pPr>
        <w:pStyle w:val="ListBullet2"/>
        <w:spacing w:after="80"/>
        <w:jc w:val="both"/>
      </w:pPr>
      <w:r>
        <w:rPr>
          <w:rFonts w:ascii="Cambria" w:hAnsi="Cambria"/>
          <w:b w:val="0"/>
          <w:i w:val="0"/>
          <w:sz w:val="22"/>
        </w:rPr>
        <w:t>Average student feedback score (scale 1–5).</w:t>
      </w:r>
    </w:p>
    <w:p>
      <w:pPr>
        <w:pStyle w:val="ListBullet2"/>
        <w:spacing w:after="80"/>
        <w:jc w:val="both"/>
      </w:pPr>
      <w:r>
        <w:rPr>
          <w:rFonts w:ascii="Cambria" w:hAnsi="Cambria"/>
          <w:b w:val="0"/>
          <w:i w:val="0"/>
          <w:sz w:val="22"/>
        </w:rPr>
        <w:t>Student pass % and progression rate.</w:t>
      </w:r>
    </w:p>
    <w:p>
      <w:pPr>
        <w:pStyle w:val="ListBullet"/>
        <w:spacing w:after="80"/>
        <w:jc w:val="both"/>
      </w:pPr>
      <w:r>
        <w:rPr>
          <w:rFonts w:ascii="Cambria" w:hAnsi="Cambria"/>
          <w:b w:val="0"/>
          <w:i w:val="0"/>
          <w:sz w:val="22"/>
        </w:rPr>
        <w:t>Research &amp; Innovation</w:t>
      </w:r>
    </w:p>
    <w:p>
      <w:pPr>
        <w:pStyle w:val="ListBullet2"/>
        <w:spacing w:after="80"/>
        <w:jc w:val="both"/>
      </w:pPr>
      <w:r>
        <w:rPr>
          <w:rFonts w:ascii="Cambria" w:hAnsi="Cambria"/>
          <w:b w:val="0"/>
          <w:i w:val="0"/>
          <w:sz w:val="22"/>
        </w:rPr>
        <w:t>Number of faculty publications.</w:t>
      </w:r>
    </w:p>
    <w:p>
      <w:pPr>
        <w:pStyle w:val="ListBullet2"/>
        <w:spacing w:after="80"/>
        <w:jc w:val="both"/>
      </w:pPr>
      <w:r>
        <w:rPr>
          <w:rFonts w:ascii="Cambria" w:hAnsi="Cambria"/>
          <w:b w:val="0"/>
          <w:i w:val="0"/>
          <w:sz w:val="22"/>
        </w:rPr>
        <w:t>Number of funded projects/consultancy (value in ₹/£).</w:t>
      </w:r>
    </w:p>
    <w:p>
      <w:pPr>
        <w:pStyle w:val="ListBullet2"/>
        <w:spacing w:after="80"/>
        <w:jc w:val="both"/>
      </w:pPr>
      <w:r>
        <w:rPr>
          <w:rFonts w:ascii="Cambria" w:hAnsi="Cambria"/>
          <w:b w:val="0"/>
          <w:i w:val="0"/>
          <w:sz w:val="22"/>
        </w:rPr>
        <w:t>Number of patents/IPR filed/granted.</w:t>
      </w:r>
    </w:p>
    <w:p>
      <w:pPr>
        <w:pStyle w:val="ListBullet"/>
        <w:spacing w:after="80"/>
        <w:jc w:val="both"/>
      </w:pPr>
      <w:r>
        <w:rPr>
          <w:rFonts w:ascii="Cambria" w:hAnsi="Cambria"/>
          <w:b w:val="0"/>
          <w:i w:val="0"/>
          <w:sz w:val="22"/>
        </w:rPr>
        <w:t>Faculty Development</w:t>
      </w:r>
    </w:p>
    <w:p>
      <w:pPr>
        <w:pStyle w:val="ListBullet2"/>
        <w:spacing w:after="80"/>
        <w:jc w:val="both"/>
      </w:pPr>
      <w:r>
        <w:rPr>
          <w:rFonts w:ascii="Cambria" w:hAnsi="Cambria"/>
          <w:b w:val="0"/>
          <w:i w:val="0"/>
          <w:sz w:val="22"/>
        </w:rPr>
        <w:t>FDPs/workshops attended per faculty/year.</w:t>
      </w:r>
    </w:p>
    <w:p>
      <w:pPr>
        <w:pStyle w:val="ListBullet2"/>
        <w:spacing w:after="80"/>
        <w:jc w:val="both"/>
      </w:pPr>
      <w:r>
        <w:rPr>
          <w:rFonts w:ascii="Cambria" w:hAnsi="Cambria"/>
          <w:b w:val="0"/>
          <w:i w:val="0"/>
          <w:sz w:val="22"/>
        </w:rPr>
        <w:t>Average performance appraisal scores.</w:t>
      </w:r>
    </w:p>
    <w:p>
      <w:pPr>
        <w:pStyle w:val="ListBullet"/>
        <w:spacing w:after="80"/>
        <w:jc w:val="both"/>
      </w:pPr>
      <w:r>
        <w:rPr>
          <w:rFonts w:ascii="Cambria" w:hAnsi="Cambria"/>
          <w:b w:val="0"/>
          <w:i w:val="0"/>
          <w:sz w:val="22"/>
        </w:rPr>
        <w:t>Student Support</w:t>
      </w:r>
    </w:p>
    <w:p>
      <w:pPr>
        <w:pStyle w:val="ListBullet2"/>
        <w:spacing w:after="80"/>
        <w:jc w:val="both"/>
      </w:pPr>
      <w:r>
        <w:rPr>
          <w:rFonts w:ascii="Cambria" w:hAnsi="Cambria"/>
          <w:b w:val="0"/>
          <w:i w:val="0"/>
          <w:sz w:val="22"/>
        </w:rPr>
        <w:t>Placement % achieved.</w:t>
      </w:r>
    </w:p>
    <w:p>
      <w:pPr>
        <w:pStyle w:val="ListBullet2"/>
        <w:spacing w:after="80"/>
        <w:jc w:val="both"/>
      </w:pPr>
      <w:r>
        <w:rPr>
          <w:rFonts w:ascii="Cambria" w:hAnsi="Cambria"/>
          <w:b w:val="0"/>
          <w:i w:val="0"/>
          <w:sz w:val="22"/>
        </w:rPr>
        <w:t>Internships secured per semester.</w:t>
      </w:r>
    </w:p>
    <w:p>
      <w:r>
        <w:br w:type="page"/>
      </w:r>
    </w:p>
    <w:p>
      <w:pPr>
        <w:keepNext/>
        <w:spacing w:before="280" w:after="160"/>
        <w:jc w:val="left"/>
      </w:pPr>
      <w:r>
        <w:rPr>
          <w:rFonts w:ascii="Cambria" w:hAnsi="Cambria"/>
          <w:b/>
          <w:i w:val="0"/>
          <w:color w:val="1F3A5F"/>
          <w:sz w:val="30"/>
        </w:rPr>
        <w:t>3. Responsibilities of HoD in Academic Activities</w:t>
      </w:r>
    </w:p>
    <w:p>
      <w:pPr>
        <w:pStyle w:val="ListBullet"/>
        <w:spacing w:after="80"/>
        <w:jc w:val="both"/>
      </w:pPr>
      <w:r>
        <w:rPr>
          <w:rFonts w:ascii="Cambria" w:hAnsi="Cambria"/>
          <w:b w:val="0"/>
          <w:i w:val="0"/>
          <w:sz w:val="22"/>
        </w:rPr>
        <w:t>Academic Planning &amp; Calendar</w:t>
      </w:r>
    </w:p>
    <w:p>
      <w:pPr>
        <w:pStyle w:val="ListBullet2"/>
        <w:spacing w:after="80"/>
        <w:jc w:val="both"/>
      </w:pPr>
      <w:r>
        <w:rPr>
          <w:rFonts w:ascii="Cambria" w:hAnsi="Cambria"/>
          <w:b w:val="0"/>
          <w:i w:val="0"/>
          <w:sz w:val="22"/>
        </w:rPr>
        <w:t>Prepares divisional academic calendar aligned with institutional calendar.</w:t>
      </w:r>
    </w:p>
    <w:p>
      <w:pPr>
        <w:pStyle w:val="ListBullet2"/>
        <w:spacing w:after="80"/>
        <w:jc w:val="both"/>
      </w:pPr>
      <w:r>
        <w:rPr>
          <w:rFonts w:ascii="Cambria" w:hAnsi="Cambria"/>
          <w:b w:val="0"/>
          <w:i w:val="0"/>
          <w:sz w:val="22"/>
        </w:rPr>
        <w:t>Ensures curriculum is implemented as per regulatory and accreditation guidelines.</w:t>
      </w:r>
    </w:p>
    <w:p>
      <w:pPr>
        <w:pStyle w:val="ListBullet"/>
        <w:spacing w:after="80"/>
        <w:jc w:val="both"/>
      </w:pPr>
      <w:r>
        <w:rPr>
          <w:rFonts w:ascii="Cambria" w:hAnsi="Cambria"/>
          <w:b w:val="0"/>
          <w:i w:val="0"/>
          <w:sz w:val="22"/>
        </w:rPr>
        <w:t>Course Allocation &amp; Workload Distribution</w:t>
      </w:r>
    </w:p>
    <w:p>
      <w:pPr>
        <w:pStyle w:val="ListBullet2"/>
        <w:spacing w:after="80"/>
        <w:jc w:val="both"/>
      </w:pPr>
      <w:r>
        <w:rPr>
          <w:rFonts w:ascii="Cambria" w:hAnsi="Cambria"/>
          <w:b w:val="0"/>
          <w:i w:val="0"/>
          <w:sz w:val="22"/>
        </w:rPr>
        <w:t>Assigns courses and teaching workload equitably based on faculty expertise and norms (UGC/AICTE).</w:t>
      </w:r>
    </w:p>
    <w:p>
      <w:pPr>
        <w:pStyle w:val="ListBullet2"/>
        <w:spacing w:after="80"/>
        <w:jc w:val="both"/>
      </w:pPr>
      <w:r>
        <w:rPr>
          <w:rFonts w:ascii="Cambria" w:hAnsi="Cambria"/>
          <w:b w:val="0"/>
          <w:i w:val="0"/>
          <w:sz w:val="22"/>
        </w:rPr>
        <w:t>Prepares semester-wise timetables for theory, labs, and tutorials.</w:t>
      </w:r>
    </w:p>
    <w:p>
      <w:pPr>
        <w:pStyle w:val="ListBullet"/>
        <w:spacing w:after="80"/>
        <w:jc w:val="both"/>
      </w:pPr>
      <w:r>
        <w:rPr>
          <w:rFonts w:ascii="Cambria" w:hAnsi="Cambria"/>
          <w:b w:val="0"/>
          <w:i w:val="0"/>
          <w:sz w:val="22"/>
        </w:rPr>
        <w:t>Curriculum Implementation (OBE Compliance)</w:t>
      </w:r>
    </w:p>
    <w:p>
      <w:pPr>
        <w:pStyle w:val="ListBullet2"/>
        <w:spacing w:after="80"/>
        <w:jc w:val="both"/>
      </w:pPr>
      <w:r>
        <w:rPr>
          <w:rFonts w:ascii="Cambria" w:hAnsi="Cambria"/>
          <w:b w:val="0"/>
          <w:i w:val="0"/>
          <w:sz w:val="22"/>
        </w:rPr>
        <w:t>Ensures CO–PO–PSO mapping for every course.</w:t>
      </w:r>
    </w:p>
    <w:p>
      <w:pPr>
        <w:pStyle w:val="ListBullet2"/>
        <w:spacing w:after="80"/>
        <w:jc w:val="both"/>
      </w:pPr>
      <w:r>
        <w:rPr>
          <w:rFonts w:ascii="Cambria" w:hAnsi="Cambria"/>
          <w:b w:val="0"/>
          <w:i w:val="0"/>
          <w:sz w:val="22"/>
        </w:rPr>
        <w:t>Reviews course files, lesson plans, and teaching diaries of faculty.</w:t>
      </w:r>
    </w:p>
    <w:p>
      <w:pPr>
        <w:pStyle w:val="ListBullet2"/>
        <w:spacing w:after="80"/>
        <w:jc w:val="both"/>
      </w:pPr>
      <w:r>
        <w:rPr>
          <w:rFonts w:ascii="Cambria" w:hAnsi="Cambria"/>
          <w:b w:val="0"/>
          <w:i w:val="0"/>
          <w:sz w:val="22"/>
        </w:rPr>
        <w:t>Integrates value-added programs, electives, and skill-development initiatives.</w:t>
      </w:r>
    </w:p>
    <w:p>
      <w:pPr>
        <w:pStyle w:val="ListBullet"/>
        <w:spacing w:after="80"/>
        <w:jc w:val="both"/>
      </w:pPr>
      <w:r>
        <w:rPr>
          <w:rFonts w:ascii="Cambria" w:hAnsi="Cambria"/>
          <w:b w:val="0"/>
          <w:i w:val="0"/>
          <w:sz w:val="22"/>
        </w:rPr>
        <w:t>Laboratory &amp; Project Work</w:t>
      </w:r>
    </w:p>
    <w:p>
      <w:pPr>
        <w:pStyle w:val="ListBullet2"/>
        <w:spacing w:after="80"/>
        <w:jc w:val="both"/>
      </w:pPr>
      <w:r>
        <w:rPr>
          <w:rFonts w:ascii="Cambria" w:hAnsi="Cambria"/>
          <w:b w:val="0"/>
          <w:i w:val="0"/>
          <w:sz w:val="22"/>
        </w:rPr>
        <w:t>Approves lab schedules, manuals, and resource allocation.</w:t>
      </w:r>
    </w:p>
    <w:p>
      <w:pPr>
        <w:pStyle w:val="ListBullet2"/>
        <w:spacing w:after="80"/>
        <w:jc w:val="both"/>
      </w:pPr>
      <w:r>
        <w:rPr>
          <w:rFonts w:ascii="Cambria" w:hAnsi="Cambria"/>
          <w:b w:val="0"/>
          <w:i w:val="0"/>
          <w:sz w:val="22"/>
        </w:rPr>
        <w:t>Oversees student projects, theses, and research activities.</w:t>
      </w:r>
    </w:p>
    <w:p>
      <w:pPr>
        <w:pStyle w:val="ListBullet2"/>
        <w:spacing w:after="80"/>
        <w:jc w:val="both"/>
      </w:pPr>
      <w:r>
        <w:rPr>
          <w:rFonts w:ascii="Cambria" w:hAnsi="Cambria"/>
          <w:b w:val="0"/>
          <w:i w:val="0"/>
          <w:sz w:val="22"/>
        </w:rPr>
        <w:t>Constitutes review committees for project monitoring.</w:t>
      </w:r>
    </w:p>
    <w:p>
      <w:pPr>
        <w:pStyle w:val="ListBullet"/>
        <w:spacing w:after="80"/>
        <w:jc w:val="both"/>
      </w:pPr>
      <w:r>
        <w:rPr>
          <w:rFonts w:ascii="Cambria" w:hAnsi="Cambria"/>
          <w:b w:val="0"/>
          <w:i w:val="0"/>
          <w:sz w:val="22"/>
        </w:rPr>
        <w:t>Teaching–Learning Quality Monitoring</w:t>
      </w:r>
    </w:p>
    <w:p>
      <w:pPr>
        <w:pStyle w:val="ListBullet2"/>
        <w:spacing w:after="80"/>
        <w:jc w:val="both"/>
      </w:pPr>
      <w:r>
        <w:rPr>
          <w:rFonts w:ascii="Cambria" w:hAnsi="Cambria"/>
          <w:b w:val="0"/>
          <w:i w:val="0"/>
          <w:sz w:val="22"/>
        </w:rPr>
        <w:t>Conducts classroom observations, peer reviews, and feedback analysis.</w:t>
      </w:r>
    </w:p>
    <w:p>
      <w:pPr>
        <w:pStyle w:val="ListBullet2"/>
        <w:spacing w:after="80"/>
        <w:jc w:val="both"/>
      </w:pPr>
      <w:r>
        <w:rPr>
          <w:rFonts w:ascii="Cambria" w:hAnsi="Cambria"/>
          <w:b w:val="0"/>
          <w:i w:val="0"/>
          <w:sz w:val="22"/>
        </w:rPr>
        <w:t>Tracks student progress via assignments, internal tests, and attendance.</w:t>
      </w:r>
    </w:p>
    <w:p>
      <w:pPr>
        <w:pStyle w:val="ListBullet2"/>
        <w:spacing w:after="80"/>
        <w:jc w:val="both"/>
      </w:pPr>
      <w:r>
        <w:rPr>
          <w:rFonts w:ascii="Cambria" w:hAnsi="Cambria"/>
          <w:b w:val="0"/>
          <w:i w:val="0"/>
          <w:sz w:val="22"/>
        </w:rPr>
        <w:t>Introduces remedial and mentoring support for slow learners; enrichment programs for advanced learners.</w:t>
      </w:r>
    </w:p>
    <w:p>
      <w:pPr>
        <w:pStyle w:val="ListBullet"/>
        <w:spacing w:after="80"/>
        <w:jc w:val="both"/>
      </w:pPr>
      <w:r>
        <w:rPr>
          <w:rFonts w:ascii="Cambria" w:hAnsi="Cambria"/>
          <w:b w:val="0"/>
          <w:i w:val="0"/>
          <w:sz w:val="22"/>
        </w:rPr>
        <w:t>Examination &amp; Evaluation</w:t>
      </w:r>
    </w:p>
    <w:p>
      <w:pPr>
        <w:pStyle w:val="ListBullet2"/>
        <w:spacing w:after="80"/>
        <w:jc w:val="both"/>
      </w:pPr>
      <w:r>
        <w:rPr>
          <w:rFonts w:ascii="Cambria" w:hAnsi="Cambria"/>
          <w:b w:val="0"/>
          <w:i w:val="0"/>
          <w:sz w:val="22"/>
        </w:rPr>
        <w:t>Coordinates internal examinations, question paper setting, moderation, and evaluation.</w:t>
      </w:r>
    </w:p>
    <w:p>
      <w:pPr>
        <w:pStyle w:val="ListBullet2"/>
        <w:spacing w:after="80"/>
        <w:jc w:val="both"/>
      </w:pPr>
      <w:r>
        <w:rPr>
          <w:rFonts w:ascii="Cambria" w:hAnsi="Cambria"/>
          <w:b w:val="0"/>
          <w:i w:val="0"/>
          <w:sz w:val="22"/>
        </w:rPr>
        <w:t>Ensures assessments align with Bloom's Taxonomy and mapped COs.</w:t>
      </w:r>
    </w:p>
    <w:p>
      <w:pPr>
        <w:pStyle w:val="ListBullet2"/>
        <w:spacing w:after="80"/>
        <w:jc w:val="both"/>
      </w:pPr>
      <w:r>
        <w:rPr>
          <w:rFonts w:ascii="Cambria" w:hAnsi="Cambria"/>
          <w:b w:val="0"/>
          <w:i w:val="0"/>
          <w:sz w:val="22"/>
        </w:rPr>
        <w:t>Monitors timely submission of marks, records, and attainment reports.</w:t>
      </w:r>
    </w:p>
    <w:p>
      <w:pPr>
        <w:pStyle w:val="ListBullet"/>
        <w:spacing w:after="80"/>
        <w:jc w:val="both"/>
      </w:pPr>
      <w:r>
        <w:rPr>
          <w:rFonts w:ascii="Cambria" w:hAnsi="Cambria"/>
          <w:b w:val="0"/>
          <w:i w:val="0"/>
          <w:sz w:val="22"/>
        </w:rPr>
        <w:t>Outcome-Based Education (OBE) &amp; CQI</w:t>
      </w:r>
    </w:p>
    <w:p>
      <w:pPr>
        <w:pStyle w:val="ListBullet2"/>
        <w:spacing w:after="80"/>
        <w:jc w:val="both"/>
      </w:pPr>
      <w:r>
        <w:rPr>
          <w:rFonts w:ascii="Cambria" w:hAnsi="Cambria"/>
          <w:b w:val="0"/>
          <w:i w:val="0"/>
          <w:sz w:val="22"/>
        </w:rPr>
        <w:t>Reviews CO/PO/PSO attainment reports each semester.</w:t>
      </w:r>
    </w:p>
    <w:p>
      <w:pPr>
        <w:pStyle w:val="ListBullet2"/>
        <w:spacing w:after="80"/>
        <w:jc w:val="both"/>
      </w:pPr>
      <w:r>
        <w:rPr>
          <w:rFonts w:ascii="Cambria" w:hAnsi="Cambria"/>
          <w:b w:val="0"/>
          <w:i w:val="0"/>
          <w:sz w:val="22"/>
        </w:rPr>
        <w:t>Initiates action plans for gaps through remedials, FDPs, or curriculum updates.</w:t>
      </w:r>
    </w:p>
    <w:p>
      <w:pPr>
        <w:pStyle w:val="ListBullet2"/>
        <w:spacing w:after="80"/>
        <w:jc w:val="both"/>
      </w:pPr>
      <w:r>
        <w:rPr>
          <w:rFonts w:ascii="Cambria" w:hAnsi="Cambria"/>
          <w:b w:val="0"/>
          <w:i w:val="0"/>
          <w:sz w:val="22"/>
        </w:rPr>
        <w:t>Ensures continuous quality improvement (CQI) through evidence.</w:t>
      </w:r>
    </w:p>
    <w:p>
      <w:pPr>
        <w:pStyle w:val="ListBullet"/>
        <w:spacing w:after="80"/>
        <w:jc w:val="both"/>
      </w:pPr>
      <w:r>
        <w:rPr>
          <w:rFonts w:ascii="Cambria" w:hAnsi="Cambria"/>
          <w:b w:val="0"/>
          <w:i w:val="0"/>
          <w:sz w:val="22"/>
        </w:rPr>
        <w:t>Research &amp; FDP Integration</w:t>
      </w:r>
    </w:p>
    <w:p>
      <w:pPr>
        <w:pStyle w:val="ListBullet2"/>
        <w:spacing w:after="80"/>
        <w:jc w:val="both"/>
      </w:pPr>
      <w:r>
        <w:rPr>
          <w:rFonts w:ascii="Cambria" w:hAnsi="Cambria"/>
          <w:b w:val="0"/>
          <w:i w:val="0"/>
          <w:sz w:val="22"/>
        </w:rPr>
        <w:t>Encourages faculty research, publications, and funded projects.</w:t>
      </w:r>
    </w:p>
    <w:p>
      <w:pPr>
        <w:pStyle w:val="ListBullet2"/>
        <w:spacing w:after="80"/>
        <w:jc w:val="both"/>
      </w:pPr>
      <w:r>
        <w:rPr>
          <w:rFonts w:ascii="Cambria" w:hAnsi="Cambria"/>
          <w:b w:val="0"/>
          <w:i w:val="0"/>
          <w:sz w:val="22"/>
        </w:rPr>
        <w:t>Plans FDPs, workshops, and seminars for faculty and students.</w:t>
      </w:r>
    </w:p>
    <w:p>
      <w:pPr>
        <w:pStyle w:val="ListBullet"/>
        <w:spacing w:after="80"/>
        <w:jc w:val="both"/>
      </w:pPr>
      <w:r>
        <w:rPr>
          <w:rFonts w:ascii="Cambria" w:hAnsi="Cambria"/>
          <w:b w:val="0"/>
          <w:i w:val="0"/>
          <w:sz w:val="22"/>
        </w:rPr>
        <w:t>Documentation &amp; Audit Readiness</w:t>
      </w:r>
    </w:p>
    <w:p>
      <w:pPr>
        <w:pStyle w:val="ListBullet2"/>
        <w:spacing w:after="80"/>
        <w:jc w:val="both"/>
      </w:pPr>
      <w:r>
        <w:rPr>
          <w:rFonts w:ascii="Cambria" w:hAnsi="Cambria"/>
          <w:b w:val="0"/>
          <w:i w:val="0"/>
          <w:sz w:val="22"/>
        </w:rPr>
        <w:t>Maintains academic records: course files, lab records, exam papers, attainment sheets.</w:t>
      </w:r>
    </w:p>
    <w:p>
      <w:pPr>
        <w:pStyle w:val="ListBullet2"/>
        <w:spacing w:after="80"/>
        <w:jc w:val="both"/>
      </w:pPr>
      <w:r>
        <w:rPr>
          <w:rFonts w:ascii="Cambria" w:hAnsi="Cambria"/>
          <w:b w:val="0"/>
          <w:i w:val="0"/>
          <w:sz w:val="22"/>
        </w:rPr>
        <w:t>Prepares consolidated academic reports for AQAR/SSR/SAR submissions.</w:t>
      </w:r>
    </w:p>
    <w:p>
      <w:pPr>
        <w:pStyle w:val="ListBullet2"/>
        <w:spacing w:after="80"/>
        <w:jc w:val="both"/>
      </w:pPr>
      <w:r>
        <w:rPr>
          <w:rFonts w:ascii="Cambria" w:hAnsi="Cambria"/>
          <w:b w:val="0"/>
          <w:i w:val="0"/>
          <w:sz w:val="22"/>
        </w:rPr>
        <w:t>Ensures evidence traceability: Teaching → Evaluation → Attainment → Action Plan.</w:t>
      </w:r>
    </w:p>
    <w:p>
      <w:pPr>
        <w:keepNext/>
        <w:spacing w:before="280" w:after="160"/>
        <w:jc w:val="left"/>
      </w:pPr>
      <w:r>
        <w:rPr>
          <w:rFonts w:ascii="Cambria" w:hAnsi="Cambria"/>
          <w:b/>
          <w:i w:val="0"/>
          <w:color w:val="1F3A5F"/>
          <w:sz w:val="26"/>
        </w:rPr>
        <w:t>Tangible Outcomes of HoD's Academic Role</w:t>
      </w:r>
    </w:p>
    <w:p>
      <w:pPr>
        <w:pStyle w:val="ListBullet"/>
        <w:spacing w:after="80"/>
        <w:jc w:val="both"/>
      </w:pPr>
      <w:r>
        <w:rPr>
          <w:rFonts w:ascii="Cambria" w:hAnsi="Cambria"/>
          <w:b w:val="0"/>
          <w:i w:val="0"/>
          <w:sz w:val="22"/>
        </w:rPr>
        <w:t>100% courses mapped to CO–PO–PSO with documented course files.</w:t>
      </w:r>
    </w:p>
    <w:p>
      <w:pPr>
        <w:pStyle w:val="ListBullet"/>
        <w:spacing w:after="80"/>
        <w:jc w:val="both"/>
      </w:pPr>
      <w:r>
        <w:rPr>
          <w:rFonts w:ascii="Cambria" w:hAnsi="Cambria"/>
          <w:b w:val="0"/>
          <w:i w:val="0"/>
          <w:sz w:val="22"/>
        </w:rPr>
        <w:t>CO attainment improved YoY (+5–7%).</w:t>
      </w:r>
    </w:p>
    <w:p>
      <w:pPr>
        <w:pStyle w:val="ListBullet"/>
        <w:spacing w:after="80"/>
        <w:jc w:val="both"/>
      </w:pPr>
      <w:r>
        <w:rPr>
          <w:rFonts w:ascii="Cambria" w:hAnsi="Cambria"/>
          <w:b w:val="0"/>
          <w:i w:val="0"/>
          <w:sz w:val="22"/>
        </w:rPr>
        <w:t>Student backlog % reduced via remedials.</w:t>
      </w:r>
    </w:p>
    <w:p>
      <w:pPr>
        <w:pStyle w:val="ListBullet"/>
        <w:spacing w:after="80"/>
        <w:jc w:val="both"/>
      </w:pPr>
      <w:r>
        <w:rPr>
          <w:rFonts w:ascii="Cambria" w:hAnsi="Cambria"/>
          <w:b w:val="0"/>
          <w:i w:val="0"/>
          <w:sz w:val="22"/>
        </w:rPr>
        <w:t>Student satisfaction with teaching-learning ↑ each year.</w:t>
      </w:r>
    </w:p>
    <w:p>
      <w:pPr>
        <w:pStyle w:val="ListBullet"/>
        <w:spacing w:after="80"/>
        <w:jc w:val="both"/>
      </w:pPr>
      <w:r>
        <w:rPr>
          <w:rFonts w:ascii="Cambria" w:hAnsi="Cambria"/>
          <w:b w:val="0"/>
          <w:i w:val="0"/>
          <w:sz w:val="22"/>
        </w:rPr>
        <w:t>Faculty research output and FDP participation increased.</w:t>
      </w:r>
    </w:p>
    <w:p>
      <w:pPr>
        <w:keepNext/>
        <w:spacing w:before="280" w:after="160"/>
        <w:jc w:val="left"/>
      </w:pPr>
      <w:r>
        <w:rPr>
          <w:rFonts w:ascii="Cambria" w:hAnsi="Cambria"/>
          <w:b/>
          <w:i w:val="0"/>
          <w:color w:val="1F3A5F"/>
          <w:sz w:val="26"/>
        </w:rPr>
        <w:t>HoD Academic Responsibilities – Policy → Action → Evidence → Outcome Table</w:t>
      </w:r>
    </w:p>
    <w:tbl>
      <w:tblPr>
        <w:tblStyle w:val="TableGrid"/>
        <w:tblW w:type="auto" w:w="0"/>
        <w:jc w:val="center"/>
        <w:tblLayout w:type="fixed"/>
        <w:tblLook w:firstColumn="1" w:firstRow="1" w:lastColumn="0" w:lastRow="0" w:noHBand="0" w:noVBand="1" w:val="04A0"/>
        <w:tblLayout w:type="fixed"/>
      </w:tblPr>
      <w:tblGrid>
        <w:gridCol w:w="1701"/>
        <w:gridCol w:w="2438"/>
        <w:gridCol w:w="2268"/>
        <w:gridCol w:w="2268"/>
      </w:tblGrid>
      <w:tr>
        <w:tc>
          <w:tcPr>
            <w:tcW w:type="dxa" w:w="1701"/>
            <w:shd w:val="clear" w:color="auto" w:fill="1F3A5F"/>
          </w:tcPr>
          <w:p>
            <w:pPr>
              <w:jc w:val="center"/>
            </w:pPr>
            <w:r/>
            <w:r>
              <w:rPr>
                <w:rFonts w:ascii="Cambria" w:hAnsi="Cambria"/>
                <w:b/>
                <w:i w:val="0"/>
                <w:color w:val="FFFFFF"/>
                <w:sz w:val="20"/>
              </w:rPr>
              <w:t>Policy / Responsibility</w:t>
            </w:r>
          </w:p>
        </w:tc>
        <w:tc>
          <w:tcPr>
            <w:tcW w:type="dxa" w:w="2438"/>
            <w:shd w:val="clear" w:color="auto" w:fill="1F3A5F"/>
          </w:tcPr>
          <w:p>
            <w:pPr>
              <w:jc w:val="center"/>
            </w:pPr>
            <w:r/>
            <w:r>
              <w:rPr>
                <w:rFonts w:ascii="Cambria" w:hAnsi="Cambria"/>
                <w:b/>
                <w:i w:val="0"/>
                <w:color w:val="FFFFFF"/>
                <w:sz w:val="20"/>
              </w:rPr>
              <w:t>Action by HoD</w:t>
            </w:r>
          </w:p>
        </w:tc>
        <w:tc>
          <w:tcPr>
            <w:tcW w:type="dxa" w:w="2268"/>
            <w:shd w:val="clear" w:color="auto" w:fill="1F3A5F"/>
          </w:tcPr>
          <w:p>
            <w:pPr>
              <w:jc w:val="center"/>
            </w:pPr>
            <w:r/>
            <w:r>
              <w:rPr>
                <w:rFonts w:ascii="Cambria" w:hAnsi="Cambria"/>
                <w:b/>
                <w:i w:val="0"/>
                <w:color w:val="FFFFFF"/>
                <w:sz w:val="20"/>
              </w:rPr>
              <w:t>Evidence/Documents</w:t>
            </w:r>
          </w:p>
        </w:tc>
        <w:tc>
          <w:tcPr>
            <w:tcW w:type="dxa" w:w="2268"/>
            <w:shd w:val="clear" w:color="auto" w:fill="1F3A5F"/>
          </w:tcPr>
          <w:p>
            <w:pPr>
              <w:jc w:val="center"/>
            </w:pPr>
            <w:r/>
            <w:r>
              <w:rPr>
                <w:rFonts w:ascii="Cambria" w:hAnsi="Cambria"/>
                <w:b/>
                <w:i w:val="0"/>
                <w:color w:val="FFFFFF"/>
                <w:sz w:val="20"/>
              </w:rPr>
              <w:t>Tangible Outcomes (Numeric &amp; Measurable)</w:t>
            </w:r>
          </w:p>
        </w:tc>
      </w:tr>
      <w:tr>
        <w:tc>
          <w:tcPr>
            <w:tcW w:type="dxa" w:w="1701"/>
          </w:tcPr>
          <w:p>
            <w:pPr>
              <w:jc w:val="left"/>
            </w:pPr>
            <w:r/>
            <w:r>
              <w:rPr>
                <w:rFonts w:ascii="Cambria" w:hAnsi="Cambria"/>
                <w:b w:val="0"/>
                <w:i w:val="0"/>
                <w:sz w:val="20"/>
              </w:rPr>
              <w:t>Academic Planning &amp; Calendar</w:t>
            </w:r>
          </w:p>
        </w:tc>
        <w:tc>
          <w:tcPr>
            <w:tcW w:type="dxa" w:w="2438"/>
          </w:tcPr>
          <w:p>
            <w:pPr>
              <w:jc w:val="left"/>
            </w:pPr>
            <w:r/>
            <w:r>
              <w:rPr>
                <w:rFonts w:ascii="Cambria" w:hAnsi="Cambria"/>
                <w:b w:val="0"/>
                <w:i w:val="0"/>
                <w:sz w:val="20"/>
              </w:rPr>
              <w:t>Prepare academic calendar, align with institutional calendar, plan timetable for classes/labs.</w:t>
            </w:r>
          </w:p>
        </w:tc>
        <w:tc>
          <w:tcPr>
            <w:tcW w:type="dxa" w:w="2268"/>
          </w:tcPr>
          <w:p>
            <w:pPr>
              <w:jc w:val="left"/>
            </w:pPr>
            <w:r/>
            <w:r>
              <w:rPr>
                <w:rFonts w:ascii="Cambria" w:hAnsi="Cambria"/>
                <w:b w:val="0"/>
                <w:i w:val="0"/>
                <w:sz w:val="20"/>
              </w:rPr>
              <w:t>Approved divisional academic calendar, timetables.</w:t>
            </w:r>
          </w:p>
        </w:tc>
        <w:tc>
          <w:tcPr>
            <w:tcW w:type="dxa" w:w="2268"/>
          </w:tcPr>
          <w:p>
            <w:pPr>
              <w:jc w:val="left"/>
            </w:pPr>
            <w:r/>
            <w:r>
              <w:rPr>
                <w:rFonts w:ascii="Cambria" w:hAnsi="Cambria"/>
                <w:b w:val="0"/>
                <w:i w:val="0"/>
                <w:sz w:val="20"/>
              </w:rPr>
              <w:t>100% courses covered; 0 deviation from schedule; student satisfaction ↑ from 3.8 → 4.4/5.</w:t>
            </w:r>
          </w:p>
        </w:tc>
      </w:tr>
      <w:tr>
        <w:tc>
          <w:tcPr>
            <w:tcW w:type="dxa" w:w="1701"/>
            <w:shd w:val="clear" w:color="auto" w:fill="E8EEF5"/>
          </w:tcPr>
          <w:p>
            <w:pPr>
              <w:jc w:val="left"/>
            </w:pPr>
            <w:r/>
            <w:r>
              <w:rPr>
                <w:rFonts w:ascii="Cambria" w:hAnsi="Cambria"/>
                <w:b w:val="0"/>
                <w:i w:val="0"/>
                <w:sz w:val="20"/>
              </w:rPr>
              <w:t>Course Allocation &amp; Workload Distribution</w:t>
            </w:r>
          </w:p>
        </w:tc>
        <w:tc>
          <w:tcPr>
            <w:tcW w:type="dxa" w:w="2438"/>
            <w:shd w:val="clear" w:color="auto" w:fill="E8EEF5"/>
          </w:tcPr>
          <w:p>
            <w:pPr>
              <w:jc w:val="left"/>
            </w:pPr>
            <w:r/>
            <w:r>
              <w:rPr>
                <w:rFonts w:ascii="Cambria" w:hAnsi="Cambria"/>
                <w:b w:val="0"/>
                <w:i w:val="0"/>
                <w:sz w:val="20"/>
              </w:rPr>
              <w:t>Assign workload equitably based on faculty expertise &amp; UGC/AICTE norms.</w:t>
            </w:r>
          </w:p>
        </w:tc>
        <w:tc>
          <w:tcPr>
            <w:tcW w:type="dxa" w:w="2268"/>
            <w:shd w:val="clear" w:color="auto" w:fill="E8EEF5"/>
          </w:tcPr>
          <w:p>
            <w:pPr>
              <w:jc w:val="left"/>
            </w:pPr>
            <w:r/>
            <w:r>
              <w:rPr>
                <w:rFonts w:ascii="Cambria" w:hAnsi="Cambria"/>
                <w:b w:val="0"/>
                <w:i w:val="0"/>
                <w:sz w:val="20"/>
              </w:rPr>
              <w:t>Faculty workload sheets (signed), course allocation matrix.</w:t>
            </w:r>
          </w:p>
        </w:tc>
        <w:tc>
          <w:tcPr>
            <w:tcW w:type="dxa" w:w="2268"/>
            <w:shd w:val="clear" w:color="auto" w:fill="E8EEF5"/>
          </w:tcPr>
          <w:p>
            <w:pPr>
              <w:jc w:val="left"/>
            </w:pPr>
            <w:r/>
            <w:r>
              <w:rPr>
                <w:rFonts w:ascii="Cambria" w:hAnsi="Cambria"/>
                <w:b w:val="0"/>
                <w:i w:val="0"/>
                <w:sz w:val="20"/>
              </w:rPr>
              <w:t>Workload compliance 100%; faculty satisfaction ↑ from 82% → 94%.</w:t>
            </w:r>
          </w:p>
        </w:tc>
      </w:tr>
      <w:tr>
        <w:tc>
          <w:tcPr>
            <w:tcW w:type="dxa" w:w="1701"/>
          </w:tcPr>
          <w:p>
            <w:pPr>
              <w:jc w:val="left"/>
            </w:pPr>
            <w:r/>
            <w:r>
              <w:rPr>
                <w:rFonts w:ascii="Cambria" w:hAnsi="Cambria"/>
                <w:b w:val="0"/>
                <w:i w:val="0"/>
                <w:sz w:val="20"/>
              </w:rPr>
              <w:t>Curriculum Implementation (OBE Compliance)</w:t>
            </w:r>
          </w:p>
        </w:tc>
        <w:tc>
          <w:tcPr>
            <w:tcW w:type="dxa" w:w="2438"/>
          </w:tcPr>
          <w:p>
            <w:pPr>
              <w:jc w:val="left"/>
            </w:pPr>
            <w:r/>
            <w:r>
              <w:rPr>
                <w:rFonts w:ascii="Cambria" w:hAnsi="Cambria"/>
                <w:b w:val="0"/>
                <w:i w:val="0"/>
                <w:sz w:val="20"/>
              </w:rPr>
              <w:t>Ensure CO–PO–PSO mapping; review course files, lesson plans.</w:t>
            </w:r>
          </w:p>
        </w:tc>
        <w:tc>
          <w:tcPr>
            <w:tcW w:type="dxa" w:w="2268"/>
          </w:tcPr>
          <w:p>
            <w:pPr>
              <w:jc w:val="left"/>
            </w:pPr>
            <w:r/>
            <w:r>
              <w:rPr>
                <w:rFonts w:ascii="Cambria" w:hAnsi="Cambria"/>
                <w:b w:val="0"/>
                <w:i w:val="0"/>
                <w:sz w:val="20"/>
              </w:rPr>
              <w:t>Course files, CO–PO mapping sheets, teaching diaries.</w:t>
            </w:r>
          </w:p>
        </w:tc>
        <w:tc>
          <w:tcPr>
            <w:tcW w:type="dxa" w:w="2268"/>
          </w:tcPr>
          <w:p>
            <w:pPr>
              <w:jc w:val="left"/>
            </w:pPr>
            <w:r/>
            <w:r>
              <w:rPr>
                <w:rFonts w:ascii="Cambria" w:hAnsi="Cambria"/>
                <w:b w:val="0"/>
                <w:i w:val="0"/>
                <w:sz w:val="20"/>
              </w:rPr>
              <w:t>100% courses mapped; CO attainment ↑ 6% YoY.</w:t>
            </w:r>
          </w:p>
        </w:tc>
      </w:tr>
      <w:tr>
        <w:tc>
          <w:tcPr>
            <w:tcW w:type="dxa" w:w="1701"/>
            <w:shd w:val="clear" w:color="auto" w:fill="E8EEF5"/>
          </w:tcPr>
          <w:p>
            <w:pPr>
              <w:jc w:val="left"/>
            </w:pPr>
            <w:r/>
            <w:r>
              <w:rPr>
                <w:rFonts w:ascii="Cambria" w:hAnsi="Cambria"/>
                <w:b w:val="0"/>
                <w:i w:val="0"/>
                <w:sz w:val="20"/>
              </w:rPr>
              <w:t>Laboratory &amp; Project Work</w:t>
            </w:r>
          </w:p>
        </w:tc>
        <w:tc>
          <w:tcPr>
            <w:tcW w:type="dxa" w:w="2438"/>
            <w:shd w:val="clear" w:color="auto" w:fill="E8EEF5"/>
          </w:tcPr>
          <w:p>
            <w:pPr>
              <w:jc w:val="left"/>
            </w:pPr>
            <w:r/>
            <w:r>
              <w:rPr>
                <w:rFonts w:ascii="Cambria" w:hAnsi="Cambria"/>
                <w:b w:val="0"/>
                <w:i w:val="0"/>
                <w:sz w:val="20"/>
              </w:rPr>
              <w:t>Approve lab manuals, project allocation; monitor progress.</w:t>
            </w:r>
          </w:p>
        </w:tc>
        <w:tc>
          <w:tcPr>
            <w:tcW w:type="dxa" w:w="2268"/>
            <w:shd w:val="clear" w:color="auto" w:fill="E8EEF5"/>
          </w:tcPr>
          <w:p>
            <w:pPr>
              <w:jc w:val="left"/>
            </w:pPr>
            <w:r/>
            <w:r>
              <w:rPr>
                <w:rFonts w:ascii="Cambria" w:hAnsi="Cambria"/>
                <w:b w:val="0"/>
                <w:i w:val="0"/>
                <w:sz w:val="20"/>
              </w:rPr>
              <w:t>Lab manuals, student logbooks, project allocation list, review committee minutes.</w:t>
            </w:r>
          </w:p>
        </w:tc>
        <w:tc>
          <w:tcPr>
            <w:tcW w:type="dxa" w:w="2268"/>
            <w:shd w:val="clear" w:color="auto" w:fill="E8EEF5"/>
          </w:tcPr>
          <w:p>
            <w:pPr>
              <w:jc w:val="left"/>
            </w:pPr>
            <w:r/>
            <w:r>
              <w:rPr>
                <w:rFonts w:ascii="Cambria" w:hAnsi="Cambria"/>
                <w:b w:val="0"/>
                <w:i w:val="0"/>
                <w:sz w:val="20"/>
              </w:rPr>
              <w:t>98% project completion on time; 90% labs with updated manuals.</w:t>
            </w:r>
          </w:p>
        </w:tc>
      </w:tr>
      <w:tr>
        <w:tc>
          <w:tcPr>
            <w:tcW w:type="dxa" w:w="1701"/>
          </w:tcPr>
          <w:p>
            <w:pPr>
              <w:jc w:val="left"/>
            </w:pPr>
            <w:r/>
            <w:r>
              <w:rPr>
                <w:rFonts w:ascii="Cambria" w:hAnsi="Cambria"/>
                <w:b w:val="0"/>
                <w:i w:val="0"/>
                <w:sz w:val="20"/>
              </w:rPr>
              <w:t>Teaching–Learning Monitoring</w:t>
            </w:r>
          </w:p>
        </w:tc>
        <w:tc>
          <w:tcPr>
            <w:tcW w:type="dxa" w:w="2438"/>
          </w:tcPr>
          <w:p>
            <w:pPr>
              <w:jc w:val="left"/>
            </w:pPr>
            <w:r/>
            <w:r>
              <w:rPr>
                <w:rFonts w:ascii="Cambria" w:hAnsi="Cambria"/>
                <w:b w:val="0"/>
                <w:i w:val="0"/>
                <w:sz w:val="20"/>
              </w:rPr>
              <w:t>Collect feedback, conduct peer/classroom reviews, track progress.</w:t>
            </w:r>
          </w:p>
        </w:tc>
        <w:tc>
          <w:tcPr>
            <w:tcW w:type="dxa" w:w="2268"/>
          </w:tcPr>
          <w:p>
            <w:pPr>
              <w:jc w:val="left"/>
            </w:pPr>
            <w:r/>
            <w:r>
              <w:rPr>
                <w:rFonts w:ascii="Cambria" w:hAnsi="Cambria"/>
                <w:b w:val="0"/>
                <w:i w:val="0"/>
                <w:sz w:val="20"/>
              </w:rPr>
              <w:t>Feedback reports, classroom observation forms, attendance registers.</w:t>
            </w:r>
          </w:p>
        </w:tc>
        <w:tc>
          <w:tcPr>
            <w:tcW w:type="dxa" w:w="2268"/>
          </w:tcPr>
          <w:p>
            <w:pPr>
              <w:jc w:val="left"/>
            </w:pPr>
            <w:r/>
            <w:r>
              <w:rPr>
                <w:rFonts w:ascii="Cambria" w:hAnsi="Cambria"/>
                <w:b w:val="0"/>
                <w:i w:val="0"/>
                <w:sz w:val="20"/>
              </w:rPr>
              <w:t>Feedback rating ↑ from 3.7 → 4.3/5; attendance ↑ 8% YoY.</w:t>
            </w:r>
          </w:p>
        </w:tc>
      </w:tr>
      <w:tr>
        <w:tc>
          <w:tcPr>
            <w:tcW w:type="dxa" w:w="1701"/>
            <w:shd w:val="clear" w:color="auto" w:fill="E8EEF5"/>
          </w:tcPr>
          <w:p>
            <w:pPr>
              <w:jc w:val="left"/>
            </w:pPr>
            <w:r/>
            <w:r>
              <w:rPr>
                <w:rFonts w:ascii="Cambria" w:hAnsi="Cambria"/>
                <w:b w:val="0"/>
                <w:i w:val="0"/>
                <w:sz w:val="20"/>
              </w:rPr>
              <w:t>Examination &amp; Evaluation</w:t>
            </w:r>
          </w:p>
        </w:tc>
        <w:tc>
          <w:tcPr>
            <w:tcW w:type="dxa" w:w="2438"/>
            <w:shd w:val="clear" w:color="auto" w:fill="E8EEF5"/>
          </w:tcPr>
          <w:p>
            <w:pPr>
              <w:jc w:val="left"/>
            </w:pPr>
            <w:r/>
            <w:r>
              <w:rPr>
                <w:rFonts w:ascii="Cambria" w:hAnsi="Cambria"/>
                <w:b w:val="0"/>
                <w:i w:val="0"/>
                <w:sz w:val="20"/>
              </w:rPr>
              <w:t>Schedule internals, approve question papers, monitor moderation &amp; evaluation.</w:t>
            </w:r>
          </w:p>
        </w:tc>
        <w:tc>
          <w:tcPr>
            <w:tcW w:type="dxa" w:w="2268"/>
            <w:shd w:val="clear" w:color="auto" w:fill="E8EEF5"/>
          </w:tcPr>
          <w:p>
            <w:pPr>
              <w:jc w:val="left"/>
            </w:pPr>
            <w:r/>
            <w:r>
              <w:rPr>
                <w:rFonts w:ascii="Cambria" w:hAnsi="Cambria"/>
                <w:b w:val="0"/>
                <w:i w:val="0"/>
                <w:sz w:val="20"/>
              </w:rPr>
              <w:t>Exam timetables, question papers, mark sheets, moderation reports.</w:t>
            </w:r>
          </w:p>
        </w:tc>
        <w:tc>
          <w:tcPr>
            <w:tcW w:type="dxa" w:w="2268"/>
            <w:shd w:val="clear" w:color="auto" w:fill="E8EEF5"/>
          </w:tcPr>
          <w:p>
            <w:pPr>
              <w:jc w:val="left"/>
            </w:pPr>
            <w:r/>
            <w:r>
              <w:rPr>
                <w:rFonts w:ascii="Cambria" w:hAnsi="Cambria"/>
                <w:b w:val="0"/>
                <w:i w:val="0"/>
                <w:sz w:val="20"/>
              </w:rPr>
              <w:t>100% exams conducted on schedule; backlog % reduced from 18% → 10%.</w:t>
            </w:r>
          </w:p>
        </w:tc>
      </w:tr>
      <w:tr>
        <w:tc>
          <w:tcPr>
            <w:tcW w:type="dxa" w:w="1701"/>
          </w:tcPr>
          <w:p>
            <w:pPr>
              <w:jc w:val="left"/>
            </w:pPr>
            <w:r/>
            <w:r>
              <w:rPr>
                <w:rFonts w:ascii="Cambria" w:hAnsi="Cambria"/>
                <w:b w:val="0"/>
                <w:i w:val="0"/>
                <w:sz w:val="20"/>
              </w:rPr>
              <w:t>OBE Attainment &amp; CQI</w:t>
            </w:r>
          </w:p>
        </w:tc>
        <w:tc>
          <w:tcPr>
            <w:tcW w:type="dxa" w:w="2438"/>
          </w:tcPr>
          <w:p>
            <w:pPr>
              <w:jc w:val="left"/>
            </w:pPr>
            <w:r/>
            <w:r>
              <w:rPr>
                <w:rFonts w:ascii="Cambria" w:hAnsi="Cambria"/>
                <w:b w:val="0"/>
                <w:i w:val="0"/>
                <w:sz w:val="20"/>
              </w:rPr>
              <w:t>Analyze CO/PO/PSO attainment; initiate action plans for gaps.</w:t>
            </w:r>
          </w:p>
        </w:tc>
        <w:tc>
          <w:tcPr>
            <w:tcW w:type="dxa" w:w="2268"/>
          </w:tcPr>
          <w:p>
            <w:pPr>
              <w:jc w:val="left"/>
            </w:pPr>
            <w:r/>
            <w:r>
              <w:rPr>
                <w:rFonts w:ascii="Cambria" w:hAnsi="Cambria"/>
                <w:b w:val="0"/>
                <w:i w:val="0"/>
                <w:sz w:val="20"/>
              </w:rPr>
              <w:t>Attainment reports, Action Taken Reports (ATRs).</w:t>
            </w:r>
          </w:p>
        </w:tc>
        <w:tc>
          <w:tcPr>
            <w:tcW w:type="dxa" w:w="2268"/>
          </w:tcPr>
          <w:p>
            <w:pPr>
              <w:jc w:val="left"/>
            </w:pPr>
            <w:r/>
            <w:r>
              <w:rPr>
                <w:rFonts w:ascii="Cambria" w:hAnsi="Cambria"/>
                <w:b w:val="0"/>
                <w:i w:val="0"/>
                <w:sz w:val="20"/>
              </w:rPr>
              <w:t>Average CO attainment ↑ from 72% → 78%; continuous improvement documented.</w:t>
            </w:r>
          </w:p>
        </w:tc>
      </w:tr>
      <w:tr>
        <w:tc>
          <w:tcPr>
            <w:tcW w:type="dxa" w:w="1701"/>
            <w:shd w:val="clear" w:color="auto" w:fill="E8EEF5"/>
          </w:tcPr>
          <w:p>
            <w:pPr>
              <w:jc w:val="left"/>
            </w:pPr>
            <w:r/>
            <w:r>
              <w:rPr>
                <w:rFonts w:ascii="Cambria" w:hAnsi="Cambria"/>
                <w:b w:val="0"/>
                <w:i w:val="0"/>
                <w:sz w:val="20"/>
              </w:rPr>
              <w:t>Research &amp; FDP Integration</w:t>
            </w:r>
          </w:p>
        </w:tc>
        <w:tc>
          <w:tcPr>
            <w:tcW w:type="dxa" w:w="2438"/>
            <w:shd w:val="clear" w:color="auto" w:fill="E8EEF5"/>
          </w:tcPr>
          <w:p>
            <w:pPr>
              <w:jc w:val="left"/>
            </w:pPr>
            <w:r/>
            <w:r>
              <w:rPr>
                <w:rFonts w:ascii="Cambria" w:hAnsi="Cambria"/>
                <w:b w:val="0"/>
                <w:i w:val="0"/>
                <w:sz w:val="20"/>
              </w:rPr>
              <w:t>Promote research, organize FDPs, workshops, seminars.</w:t>
            </w:r>
          </w:p>
        </w:tc>
        <w:tc>
          <w:tcPr>
            <w:tcW w:type="dxa" w:w="2268"/>
            <w:shd w:val="clear" w:color="auto" w:fill="E8EEF5"/>
          </w:tcPr>
          <w:p>
            <w:pPr>
              <w:jc w:val="left"/>
            </w:pPr>
            <w:r/>
            <w:r>
              <w:rPr>
                <w:rFonts w:ascii="Cambria" w:hAnsi="Cambria"/>
                <w:b w:val="0"/>
                <w:i w:val="0"/>
                <w:sz w:val="20"/>
              </w:rPr>
              <w:t>FDP reports, research publication records, grant sanction letters.</w:t>
            </w:r>
          </w:p>
        </w:tc>
        <w:tc>
          <w:tcPr>
            <w:tcW w:type="dxa" w:w="2268"/>
            <w:shd w:val="clear" w:color="auto" w:fill="E8EEF5"/>
          </w:tcPr>
          <w:p>
            <w:pPr>
              <w:jc w:val="left"/>
            </w:pPr>
            <w:r/>
            <w:r>
              <w:rPr>
                <w:rFonts w:ascii="Cambria" w:hAnsi="Cambria"/>
                <w:b w:val="0"/>
                <w:i w:val="0"/>
                <w:sz w:val="20"/>
              </w:rPr>
              <w:t>Faculty FDP participation ↑ 40%; publications ↑ 31%.</w:t>
            </w:r>
          </w:p>
        </w:tc>
      </w:tr>
      <w:tr>
        <w:tc>
          <w:tcPr>
            <w:tcW w:type="dxa" w:w="1701"/>
          </w:tcPr>
          <w:p>
            <w:pPr>
              <w:jc w:val="left"/>
            </w:pPr>
            <w:r/>
            <w:r>
              <w:rPr>
                <w:rFonts w:ascii="Cambria" w:hAnsi="Cambria"/>
                <w:b w:val="0"/>
                <w:i w:val="0"/>
                <w:sz w:val="20"/>
              </w:rPr>
              <w:t>Documentation &amp; Audit Readiness</w:t>
            </w:r>
          </w:p>
        </w:tc>
        <w:tc>
          <w:tcPr>
            <w:tcW w:type="dxa" w:w="2438"/>
          </w:tcPr>
          <w:p>
            <w:pPr>
              <w:jc w:val="left"/>
            </w:pPr>
            <w:r/>
            <w:r>
              <w:rPr>
                <w:rFonts w:ascii="Cambria" w:hAnsi="Cambria"/>
                <w:b w:val="0"/>
                <w:i w:val="0"/>
                <w:sz w:val="20"/>
              </w:rPr>
              <w:t>Maintain all academic records systematically.</w:t>
            </w:r>
          </w:p>
        </w:tc>
        <w:tc>
          <w:tcPr>
            <w:tcW w:type="dxa" w:w="2268"/>
          </w:tcPr>
          <w:p>
            <w:pPr>
              <w:jc w:val="left"/>
            </w:pPr>
            <w:r/>
            <w:r>
              <w:rPr>
                <w:rFonts w:ascii="Cambria" w:hAnsi="Cambria"/>
                <w:b w:val="0"/>
                <w:i w:val="0"/>
                <w:sz w:val="20"/>
              </w:rPr>
              <w:t>Course files, lab records, attainment sheets, annual departmental reports.</w:t>
            </w:r>
          </w:p>
        </w:tc>
        <w:tc>
          <w:tcPr>
            <w:tcW w:type="dxa" w:w="2268"/>
          </w:tcPr>
          <w:p>
            <w:pPr>
              <w:jc w:val="left"/>
            </w:pPr>
            <w:r/>
            <w:r>
              <w:rPr>
                <w:rFonts w:ascii="Cambria" w:hAnsi="Cambria"/>
                <w:b w:val="0"/>
                <w:i w:val="0"/>
                <w:sz w:val="20"/>
              </w:rPr>
              <w:t>100% records maintained; audit queries resolved without objections.</w:t>
            </w:r>
          </w:p>
        </w:tc>
      </w:tr>
    </w:tbl>
    <w:p>
      <w:pPr>
        <w:spacing w:after="120"/>
      </w:pPr>
    </w:p>
    <w:p>
      <w:pPr>
        <w:keepNext/>
        <w:spacing w:before="280" w:after="160"/>
        <w:jc w:val="left"/>
      </w:pPr>
      <w:r>
        <w:rPr>
          <w:rFonts w:ascii="Cambria" w:hAnsi="Cambria"/>
          <w:b/>
          <w:i w:val="0"/>
          <w:color w:val="1F3A5F"/>
          <w:sz w:val="30"/>
        </w:rPr>
        <w:t>4. Planning, Monitoring, and Control of the Academic System by the HoD for his/her Division in HEIs</w:t>
      </w:r>
    </w:p>
    <w:p>
      <w:pPr>
        <w:keepNext/>
        <w:spacing w:before="280" w:after="160"/>
        <w:jc w:val="left"/>
      </w:pPr>
      <w:r>
        <w:rPr>
          <w:rFonts w:ascii="Cambria" w:hAnsi="Cambria"/>
          <w:b/>
          <w:i w:val="0"/>
          <w:color w:val="1F3A5F"/>
          <w:sz w:val="26"/>
        </w:rPr>
        <w:t>Planning</w:t>
      </w:r>
    </w:p>
    <w:p>
      <w:pPr>
        <w:pStyle w:val="ListBullet"/>
        <w:spacing w:after="80"/>
        <w:jc w:val="both"/>
      </w:pPr>
      <w:r>
        <w:rPr>
          <w:rFonts w:ascii="Cambria" w:hAnsi="Cambria"/>
          <w:b w:val="0"/>
          <w:i w:val="0"/>
          <w:sz w:val="22"/>
        </w:rPr>
        <w:t>Academic Calendar Development</w:t>
      </w:r>
    </w:p>
    <w:p>
      <w:pPr>
        <w:pStyle w:val="ListBullet2"/>
        <w:spacing w:after="80"/>
        <w:jc w:val="both"/>
      </w:pPr>
      <w:r>
        <w:rPr>
          <w:rFonts w:ascii="Cambria" w:hAnsi="Cambria"/>
          <w:b w:val="0"/>
          <w:i w:val="0"/>
          <w:sz w:val="22"/>
        </w:rPr>
        <w:t>The HoD prepares the departmental academic calendar in line with the institutional calendar to ensure synchronization of teaching, examinations, and co-curricular activities.</w:t>
      </w:r>
    </w:p>
    <w:p>
      <w:pPr>
        <w:pStyle w:val="ListBullet2"/>
        <w:spacing w:after="80"/>
        <w:jc w:val="both"/>
      </w:pPr>
      <w:r>
        <w:rPr>
          <w:rFonts w:ascii="Cambria" w:hAnsi="Cambria"/>
          <w:b w:val="0"/>
          <w:i w:val="0"/>
          <w:sz w:val="22"/>
        </w:rPr>
        <w:t>Incorporates critical timelines for curriculum coverage, internal assessments, project submissions, workshops, and community engagement activities.</w:t>
      </w:r>
    </w:p>
    <w:p>
      <w:pPr>
        <w:pStyle w:val="ListBullet"/>
        <w:spacing w:after="80"/>
        <w:jc w:val="both"/>
      </w:pPr>
      <w:r>
        <w:rPr>
          <w:rFonts w:ascii="Cambria" w:hAnsi="Cambria"/>
          <w:b w:val="0"/>
          <w:i w:val="0"/>
          <w:sz w:val="22"/>
        </w:rPr>
        <w:t>Course Allocation &amp; Workload Distribution</w:t>
      </w:r>
    </w:p>
    <w:p>
      <w:pPr>
        <w:pStyle w:val="ListBullet2"/>
        <w:spacing w:after="80"/>
        <w:jc w:val="both"/>
      </w:pPr>
      <w:r>
        <w:rPr>
          <w:rFonts w:ascii="Cambria" w:hAnsi="Cambria"/>
          <w:b w:val="0"/>
          <w:i w:val="0"/>
          <w:sz w:val="22"/>
        </w:rPr>
        <w:t>Allocates courses to faculty based on subject expertise, teaching experience, and workload norms as per UGC/AICTE guidelines.</w:t>
      </w:r>
    </w:p>
    <w:p>
      <w:pPr>
        <w:pStyle w:val="ListBullet2"/>
        <w:spacing w:after="80"/>
        <w:jc w:val="both"/>
      </w:pPr>
      <w:r>
        <w:rPr>
          <w:rFonts w:ascii="Cambria" w:hAnsi="Cambria"/>
          <w:b w:val="0"/>
          <w:i w:val="0"/>
          <w:sz w:val="22"/>
        </w:rPr>
        <w:t>Balances teaching, research, and administrative responsibilities across faculty to avoid overburdening.</w:t>
      </w:r>
    </w:p>
    <w:p>
      <w:pPr>
        <w:pStyle w:val="ListBullet2"/>
        <w:spacing w:after="80"/>
        <w:jc w:val="both"/>
      </w:pPr>
      <w:r>
        <w:rPr>
          <w:rFonts w:ascii="Cambria" w:hAnsi="Cambria"/>
          <w:b w:val="0"/>
          <w:i w:val="0"/>
          <w:sz w:val="22"/>
        </w:rPr>
        <w:t>Ensures laboratory and tutorial classes are equitably distributed among faculty and staff.</w:t>
      </w:r>
    </w:p>
    <w:p>
      <w:pPr>
        <w:pStyle w:val="ListBullet"/>
        <w:spacing w:after="80"/>
        <w:jc w:val="both"/>
      </w:pPr>
      <w:r>
        <w:rPr>
          <w:rFonts w:ascii="Cambria" w:hAnsi="Cambria"/>
          <w:b w:val="0"/>
          <w:i w:val="0"/>
          <w:sz w:val="22"/>
        </w:rPr>
        <w:t>Curriculum &amp; Outcome-Based Education (OBE) Planning</w:t>
      </w:r>
    </w:p>
    <w:p>
      <w:pPr>
        <w:pStyle w:val="ListBullet2"/>
        <w:spacing w:after="80"/>
        <w:jc w:val="both"/>
      </w:pPr>
      <w:r>
        <w:rPr>
          <w:rFonts w:ascii="Cambria" w:hAnsi="Cambria"/>
          <w:b w:val="0"/>
          <w:i w:val="0"/>
          <w:sz w:val="22"/>
        </w:rPr>
        <w:t>Ensures curriculum delivery is mapped with Course Outcomes (COs), Program Outcomes (POs), and Program Specific Outcomes (PSOs).</w:t>
      </w:r>
    </w:p>
    <w:p>
      <w:pPr>
        <w:pStyle w:val="ListBullet2"/>
        <w:spacing w:after="80"/>
        <w:jc w:val="both"/>
      </w:pPr>
      <w:r>
        <w:rPr>
          <w:rFonts w:ascii="Cambria" w:hAnsi="Cambria"/>
          <w:b w:val="0"/>
          <w:i w:val="0"/>
          <w:sz w:val="22"/>
        </w:rPr>
        <w:t>Aligns departmental curriculum with NAAC/NBA requirements, NEP 2020 mandates, and industry needs.</w:t>
      </w:r>
    </w:p>
    <w:p>
      <w:pPr>
        <w:pStyle w:val="ListBullet2"/>
        <w:spacing w:after="80"/>
        <w:jc w:val="both"/>
      </w:pPr>
      <w:r>
        <w:rPr>
          <w:rFonts w:ascii="Cambria" w:hAnsi="Cambria"/>
          <w:b w:val="0"/>
          <w:i w:val="0"/>
          <w:sz w:val="22"/>
        </w:rPr>
        <w:t>Integrates multidisciplinary and skill-oriented components into the academic plan.</w:t>
      </w:r>
    </w:p>
    <w:p>
      <w:pPr>
        <w:pStyle w:val="ListBullet"/>
        <w:spacing w:after="80"/>
        <w:jc w:val="both"/>
      </w:pPr>
      <w:r>
        <w:rPr>
          <w:rFonts w:ascii="Cambria" w:hAnsi="Cambria"/>
          <w:b w:val="0"/>
          <w:i w:val="0"/>
          <w:sz w:val="22"/>
        </w:rPr>
        <w:t>Laboratory, Projects, and Industry Interaction</w:t>
      </w:r>
    </w:p>
    <w:p>
      <w:pPr>
        <w:pStyle w:val="ListBullet2"/>
        <w:spacing w:after="80"/>
        <w:jc w:val="both"/>
      </w:pPr>
      <w:r>
        <w:rPr>
          <w:rFonts w:ascii="Cambria" w:hAnsi="Cambria"/>
          <w:b w:val="0"/>
          <w:i w:val="0"/>
          <w:sz w:val="22"/>
        </w:rPr>
        <w:t>Plans laboratory sessions, experimental schedules, and project-based learning activities.</w:t>
      </w:r>
    </w:p>
    <w:p>
      <w:pPr>
        <w:pStyle w:val="ListBullet2"/>
        <w:spacing w:after="80"/>
        <w:jc w:val="both"/>
      </w:pPr>
      <w:r>
        <w:rPr>
          <w:rFonts w:ascii="Cambria" w:hAnsi="Cambria"/>
          <w:b w:val="0"/>
          <w:i w:val="0"/>
          <w:sz w:val="22"/>
        </w:rPr>
        <w:t>Establishes linkages with industry for internships, seminars, guest lectures, and industrial visits.</w:t>
      </w:r>
    </w:p>
    <w:p>
      <w:pPr>
        <w:pStyle w:val="ListBullet2"/>
        <w:spacing w:after="80"/>
        <w:jc w:val="both"/>
      </w:pPr>
      <w:r>
        <w:rPr>
          <w:rFonts w:ascii="Cambria" w:hAnsi="Cambria"/>
          <w:b w:val="0"/>
          <w:i w:val="0"/>
          <w:sz w:val="22"/>
        </w:rPr>
        <w:t>Designs research and innovation-driven projects for UG/PG students.</w:t>
      </w:r>
    </w:p>
    <w:p>
      <w:pPr>
        <w:pStyle w:val="ListBullet"/>
        <w:spacing w:after="80"/>
        <w:jc w:val="both"/>
      </w:pPr>
      <w:r>
        <w:rPr>
          <w:rFonts w:ascii="Cambria" w:hAnsi="Cambria"/>
          <w:b w:val="0"/>
          <w:i w:val="0"/>
          <w:sz w:val="22"/>
        </w:rPr>
        <w:t>Resource Forecasting &amp; Infrastructure Planning</w:t>
      </w:r>
    </w:p>
    <w:p>
      <w:pPr>
        <w:pStyle w:val="ListBullet2"/>
        <w:spacing w:after="80"/>
        <w:jc w:val="both"/>
      </w:pPr>
      <w:r>
        <w:rPr>
          <w:rFonts w:ascii="Cambria" w:hAnsi="Cambria"/>
          <w:b w:val="0"/>
          <w:i w:val="0"/>
          <w:sz w:val="22"/>
        </w:rPr>
        <w:t>Anticipates requirements for classrooms, laboratories, ICT-enabled teaching tools, and library resources.</w:t>
      </w:r>
    </w:p>
    <w:p>
      <w:pPr>
        <w:pStyle w:val="ListBullet2"/>
        <w:spacing w:after="80"/>
        <w:jc w:val="both"/>
      </w:pPr>
      <w:r>
        <w:rPr>
          <w:rFonts w:ascii="Cambria" w:hAnsi="Cambria"/>
          <w:b w:val="0"/>
          <w:i w:val="0"/>
          <w:sz w:val="22"/>
        </w:rPr>
        <w:t>Proposes budgets for new equipment, software licenses, and learning management systems (LMS).</w:t>
      </w:r>
    </w:p>
    <w:p>
      <w:pPr>
        <w:pStyle w:val="ListBullet2"/>
        <w:spacing w:after="80"/>
        <w:jc w:val="both"/>
      </w:pPr>
      <w:r>
        <w:rPr>
          <w:rFonts w:ascii="Cambria" w:hAnsi="Cambria"/>
          <w:b w:val="0"/>
          <w:i w:val="0"/>
          <w:sz w:val="22"/>
        </w:rPr>
        <w:t>Ensures sufficient faculty strength as per AICTE/UGC norms and plans for recruitment if required.</w:t>
      </w:r>
    </w:p>
    <w:p>
      <w:pPr>
        <w:pStyle w:val="ListBullet"/>
        <w:spacing w:after="80"/>
        <w:jc w:val="both"/>
      </w:pPr>
      <w:r>
        <w:rPr>
          <w:rFonts w:ascii="Cambria" w:hAnsi="Cambria"/>
          <w:b w:val="0"/>
          <w:i w:val="0"/>
          <w:sz w:val="22"/>
        </w:rPr>
        <w:t>Student-Centric Strategies</w:t>
      </w:r>
    </w:p>
    <w:p>
      <w:pPr>
        <w:pStyle w:val="ListBullet2"/>
        <w:spacing w:after="80"/>
        <w:jc w:val="both"/>
      </w:pPr>
      <w:r>
        <w:rPr>
          <w:rFonts w:ascii="Cambria" w:hAnsi="Cambria"/>
          <w:b w:val="0"/>
          <w:i w:val="0"/>
          <w:sz w:val="22"/>
        </w:rPr>
        <w:t>Identifies slow learners through diagnostic assessments and plans remedial classes, bridge courses, and mentoring.</w:t>
      </w:r>
    </w:p>
    <w:p>
      <w:pPr>
        <w:pStyle w:val="ListBullet2"/>
        <w:spacing w:after="80"/>
        <w:jc w:val="both"/>
      </w:pPr>
      <w:r>
        <w:rPr>
          <w:rFonts w:ascii="Cambria" w:hAnsi="Cambria"/>
          <w:b w:val="0"/>
          <w:i w:val="0"/>
          <w:sz w:val="22"/>
        </w:rPr>
        <w:t>Encourages advanced learners to engage in value-added programs, research projects, certifications, and competitive examinations.</w:t>
      </w:r>
    </w:p>
    <w:p>
      <w:pPr>
        <w:pStyle w:val="ListBullet2"/>
        <w:spacing w:after="80"/>
        <w:jc w:val="both"/>
      </w:pPr>
      <w:r>
        <w:rPr>
          <w:rFonts w:ascii="Cambria" w:hAnsi="Cambria"/>
          <w:b w:val="0"/>
          <w:i w:val="0"/>
          <w:sz w:val="22"/>
        </w:rPr>
        <w:t>Promotes inclusivity by planning academic support for students from diverse backgrounds.</w:t>
      </w:r>
    </w:p>
    <w:p>
      <w:pPr>
        <w:keepNext/>
        <w:spacing w:before="280" w:after="160"/>
        <w:jc w:val="left"/>
      </w:pPr>
      <w:r>
        <w:rPr>
          <w:rFonts w:ascii="Cambria" w:hAnsi="Cambria"/>
          <w:b/>
          <w:i w:val="0"/>
          <w:color w:val="1F3A5F"/>
          <w:sz w:val="26"/>
        </w:rPr>
        <w:t>Monitoring</w:t>
      </w:r>
    </w:p>
    <w:p>
      <w:pPr>
        <w:pStyle w:val="ListBullet"/>
        <w:spacing w:after="80"/>
        <w:jc w:val="both"/>
      </w:pPr>
      <w:r>
        <w:rPr>
          <w:rFonts w:ascii="Cambria" w:hAnsi="Cambria"/>
          <w:b w:val="0"/>
          <w:i w:val="0"/>
          <w:sz w:val="22"/>
        </w:rPr>
        <w:t>Teaching–Learning Process Oversight</w:t>
      </w:r>
    </w:p>
    <w:p>
      <w:pPr>
        <w:pStyle w:val="ListBullet2"/>
        <w:spacing w:after="80"/>
        <w:jc w:val="both"/>
      </w:pPr>
      <w:r>
        <w:rPr>
          <w:rFonts w:ascii="Cambria" w:hAnsi="Cambria"/>
          <w:b w:val="0"/>
          <w:i w:val="0"/>
          <w:sz w:val="22"/>
        </w:rPr>
        <w:t>Reviews lesson plans, teaching diaries, and course files submitted by faculty to ensure adherence to syllabus coverage.</w:t>
      </w:r>
    </w:p>
    <w:p>
      <w:pPr>
        <w:pStyle w:val="ListBullet"/>
        <w:spacing w:after="80"/>
        <w:jc w:val="both"/>
      </w:pPr>
      <w:r>
        <w:rPr>
          <w:rFonts w:ascii="Cambria" w:hAnsi="Cambria"/>
          <w:b w:val="0"/>
          <w:i w:val="0"/>
          <w:sz w:val="22"/>
        </w:rPr>
        <w:t>Student Performance &amp; Attendance Tracking</w:t>
      </w:r>
    </w:p>
    <w:p>
      <w:pPr>
        <w:pStyle w:val="ListBullet2"/>
        <w:spacing w:after="80"/>
        <w:jc w:val="both"/>
      </w:pPr>
      <w:r>
        <w:rPr>
          <w:rFonts w:ascii="Cambria" w:hAnsi="Cambria"/>
          <w:b w:val="0"/>
          <w:i w:val="0"/>
          <w:sz w:val="22"/>
        </w:rPr>
        <w:t>Monitors continuous assessment marks, assignment submissions, and attendance records regularly.</w:t>
      </w:r>
    </w:p>
    <w:p>
      <w:pPr>
        <w:pStyle w:val="ListBullet2"/>
        <w:spacing w:after="80"/>
        <w:jc w:val="both"/>
      </w:pPr>
      <w:r>
        <w:rPr>
          <w:rFonts w:ascii="Cambria" w:hAnsi="Cambria"/>
          <w:b w:val="0"/>
          <w:i w:val="0"/>
          <w:sz w:val="22"/>
        </w:rPr>
        <w:t>Identifies at-risk students early through diagnostic analysis for timely remedial intervention.</w:t>
      </w:r>
    </w:p>
    <w:p>
      <w:pPr>
        <w:pStyle w:val="ListBullet"/>
        <w:spacing w:after="80"/>
        <w:jc w:val="both"/>
      </w:pPr>
      <w:r>
        <w:rPr>
          <w:rFonts w:ascii="Cambria" w:hAnsi="Cambria"/>
          <w:b w:val="0"/>
          <w:i w:val="0"/>
          <w:sz w:val="22"/>
        </w:rPr>
        <w:t>Examination &amp; Evaluation Monitoring</w:t>
      </w:r>
    </w:p>
    <w:p>
      <w:pPr>
        <w:pStyle w:val="ListBullet2"/>
        <w:spacing w:after="80"/>
        <w:jc w:val="both"/>
      </w:pPr>
      <w:r>
        <w:rPr>
          <w:rFonts w:ascii="Cambria" w:hAnsi="Cambria"/>
          <w:b w:val="0"/>
          <w:i w:val="0"/>
          <w:sz w:val="22"/>
        </w:rPr>
        <w:t>Ensures question papers, evaluation, and moderation processes comply with academic standards.</w:t>
      </w:r>
    </w:p>
    <w:p>
      <w:pPr>
        <w:pStyle w:val="ListBullet2"/>
        <w:spacing w:after="80"/>
        <w:jc w:val="both"/>
      </w:pPr>
      <w:r>
        <w:rPr>
          <w:rFonts w:ascii="Cambria" w:hAnsi="Cambria"/>
          <w:b w:val="0"/>
          <w:i w:val="0"/>
          <w:sz w:val="22"/>
        </w:rPr>
        <w:t>Reviews internal exam results and conducts post-exam analysis for CO–PO–PSO attainment.</w:t>
      </w:r>
    </w:p>
    <w:p>
      <w:pPr>
        <w:pStyle w:val="ListBullet"/>
        <w:spacing w:after="80"/>
        <w:jc w:val="both"/>
      </w:pPr>
      <w:r>
        <w:rPr>
          <w:rFonts w:ascii="Cambria" w:hAnsi="Cambria"/>
          <w:b w:val="0"/>
          <w:i w:val="0"/>
          <w:sz w:val="22"/>
        </w:rPr>
        <w:t>Faculty Performance Monitoring</w:t>
      </w:r>
    </w:p>
    <w:p>
      <w:pPr>
        <w:pStyle w:val="ListBullet2"/>
        <w:spacing w:after="80"/>
        <w:jc w:val="both"/>
      </w:pPr>
      <w:r>
        <w:rPr>
          <w:rFonts w:ascii="Cambria" w:hAnsi="Cambria"/>
          <w:b w:val="0"/>
          <w:i w:val="0"/>
          <w:sz w:val="22"/>
        </w:rPr>
        <w:t>Conducts periodic classroom observations and peer reviews of faculty teaching methods.</w:t>
      </w:r>
    </w:p>
    <w:p>
      <w:pPr>
        <w:pStyle w:val="ListBullet2"/>
        <w:spacing w:after="80"/>
        <w:jc w:val="both"/>
      </w:pPr>
      <w:r>
        <w:rPr>
          <w:rFonts w:ascii="Cambria" w:hAnsi="Cambria"/>
          <w:b w:val="0"/>
          <w:i w:val="0"/>
          <w:sz w:val="22"/>
        </w:rPr>
        <w:t>Reviews student feedback and takes corrective measures for underperforming faculty.</w:t>
      </w:r>
    </w:p>
    <w:p>
      <w:pPr>
        <w:pStyle w:val="ListBullet"/>
        <w:spacing w:after="80"/>
        <w:jc w:val="both"/>
      </w:pPr>
      <w:r>
        <w:rPr>
          <w:rFonts w:ascii="Cambria" w:hAnsi="Cambria"/>
          <w:b w:val="0"/>
          <w:i w:val="0"/>
          <w:sz w:val="22"/>
        </w:rPr>
        <w:t>Research &amp; FDP Monitoring</w:t>
      </w:r>
    </w:p>
    <w:p>
      <w:pPr>
        <w:pStyle w:val="ListBullet2"/>
        <w:spacing w:after="80"/>
        <w:jc w:val="both"/>
      </w:pPr>
      <w:r>
        <w:rPr>
          <w:rFonts w:ascii="Cambria" w:hAnsi="Cambria"/>
          <w:b w:val="0"/>
          <w:i w:val="0"/>
          <w:sz w:val="22"/>
        </w:rPr>
        <w:t>Tracks faculty publications, funded projects, patents, and consultancy engagements.</w:t>
      </w:r>
    </w:p>
    <w:p>
      <w:pPr>
        <w:pStyle w:val="ListBullet2"/>
        <w:spacing w:after="80"/>
        <w:jc w:val="both"/>
      </w:pPr>
      <w:r>
        <w:rPr>
          <w:rFonts w:ascii="Cambria" w:hAnsi="Cambria"/>
          <w:b w:val="0"/>
          <w:i w:val="0"/>
          <w:sz w:val="22"/>
        </w:rPr>
        <w:t>Monitors FDP/workshop participation to ensure continuous professional development.</w:t>
      </w:r>
    </w:p>
    <w:p>
      <w:pPr>
        <w:pStyle w:val="ListBullet"/>
        <w:spacing w:after="80"/>
        <w:jc w:val="both"/>
      </w:pPr>
      <w:r>
        <w:rPr>
          <w:rFonts w:ascii="Cambria" w:hAnsi="Cambria"/>
          <w:b w:val="0"/>
          <w:i w:val="0"/>
          <w:sz w:val="22"/>
        </w:rPr>
        <w:t>Infrastructure &amp; Resource Utilization Monitoring</w:t>
      </w:r>
    </w:p>
    <w:p>
      <w:pPr>
        <w:pStyle w:val="ListBullet2"/>
        <w:spacing w:after="80"/>
        <w:jc w:val="both"/>
      </w:pPr>
      <w:r>
        <w:rPr>
          <w:rFonts w:ascii="Cambria" w:hAnsi="Cambria"/>
          <w:b w:val="0"/>
          <w:i w:val="0"/>
          <w:sz w:val="22"/>
        </w:rPr>
        <w:t>Reviews laboratory equipment usage, maintenance schedules, and ICT resource utilization.</w:t>
      </w:r>
    </w:p>
    <w:p>
      <w:pPr>
        <w:pStyle w:val="ListBullet2"/>
        <w:spacing w:after="80"/>
        <w:jc w:val="both"/>
      </w:pPr>
      <w:r>
        <w:rPr>
          <w:rFonts w:ascii="Cambria" w:hAnsi="Cambria"/>
          <w:b w:val="0"/>
          <w:i w:val="0"/>
          <w:sz w:val="22"/>
        </w:rPr>
        <w:t>Ensures library resources, journals, and e-resources are adequately utilized by students and faculty.</w:t>
      </w:r>
    </w:p>
    <w:p>
      <w:pPr>
        <w:keepNext/>
        <w:spacing w:before="280" w:after="160"/>
        <w:jc w:val="left"/>
      </w:pPr>
      <w:r>
        <w:rPr>
          <w:rFonts w:ascii="Cambria" w:hAnsi="Cambria"/>
          <w:b/>
          <w:i w:val="0"/>
          <w:color w:val="1F3A5F"/>
          <w:sz w:val="26"/>
        </w:rPr>
        <w:t>Control</w:t>
      </w:r>
    </w:p>
    <w:p>
      <w:pPr>
        <w:pStyle w:val="ListBullet"/>
        <w:spacing w:after="80"/>
        <w:jc w:val="both"/>
      </w:pPr>
      <w:r>
        <w:rPr>
          <w:rFonts w:ascii="Cambria" w:hAnsi="Cambria"/>
          <w:b w:val="0"/>
          <w:i w:val="0"/>
          <w:sz w:val="22"/>
        </w:rPr>
        <w:t>Corrective Action for Academic Gaps</w:t>
      </w:r>
    </w:p>
    <w:p>
      <w:pPr>
        <w:pStyle w:val="ListBullet2"/>
        <w:spacing w:after="80"/>
        <w:jc w:val="both"/>
      </w:pPr>
      <w:r>
        <w:rPr>
          <w:rFonts w:ascii="Cambria" w:hAnsi="Cambria"/>
          <w:b w:val="0"/>
          <w:i w:val="0"/>
          <w:sz w:val="22"/>
        </w:rPr>
        <w:t>Initiates remedial classes, bridge courses, and mentoring for students with low attainment or high backlogs.</w:t>
      </w:r>
    </w:p>
    <w:p>
      <w:pPr>
        <w:pStyle w:val="ListBullet2"/>
        <w:spacing w:after="80"/>
        <w:jc w:val="both"/>
      </w:pPr>
      <w:r>
        <w:rPr>
          <w:rFonts w:ascii="Cambria" w:hAnsi="Cambria"/>
          <w:b w:val="0"/>
          <w:i w:val="0"/>
          <w:sz w:val="22"/>
        </w:rPr>
        <w:t>Directs faculty to revise lesson plans or teaching methods based on feedback and attainment analysis.</w:t>
      </w:r>
    </w:p>
    <w:p>
      <w:pPr>
        <w:pStyle w:val="ListBullet"/>
        <w:spacing w:after="80"/>
        <w:jc w:val="both"/>
      </w:pPr>
      <w:r>
        <w:rPr>
          <w:rFonts w:ascii="Cambria" w:hAnsi="Cambria"/>
          <w:b w:val="0"/>
          <w:i w:val="0"/>
          <w:sz w:val="22"/>
        </w:rPr>
        <w:t>Quality Assurance &amp; Compliance Control</w:t>
      </w:r>
    </w:p>
    <w:p>
      <w:pPr>
        <w:pStyle w:val="ListBullet2"/>
        <w:spacing w:after="80"/>
        <w:jc w:val="both"/>
      </w:pPr>
      <w:r>
        <w:rPr>
          <w:rFonts w:ascii="Cambria" w:hAnsi="Cambria"/>
          <w:b w:val="0"/>
          <w:i w:val="0"/>
          <w:sz w:val="22"/>
        </w:rPr>
        <w:t>Ensures all academic activities comply with NAAC, NBA, NIRF, and QS I-GAUGE requirements.</w:t>
      </w:r>
    </w:p>
    <w:p>
      <w:pPr>
        <w:pStyle w:val="ListBullet2"/>
        <w:spacing w:after="80"/>
        <w:jc w:val="both"/>
      </w:pPr>
      <w:r>
        <w:rPr>
          <w:rFonts w:ascii="Cambria" w:hAnsi="Cambria"/>
          <w:b w:val="0"/>
          <w:i w:val="0"/>
          <w:sz w:val="22"/>
        </w:rPr>
        <w:t>Conducts periodic internal audits of course files, attainment reports, and documentation.</w:t>
      </w:r>
    </w:p>
    <w:p>
      <w:pPr>
        <w:pStyle w:val="ListBullet"/>
        <w:spacing w:after="80"/>
        <w:jc w:val="both"/>
      </w:pPr>
      <w:r>
        <w:rPr>
          <w:rFonts w:ascii="Cambria" w:hAnsi="Cambria"/>
          <w:b w:val="0"/>
          <w:i w:val="0"/>
          <w:sz w:val="22"/>
        </w:rPr>
        <w:t>Resource Allocation Control</w:t>
      </w:r>
    </w:p>
    <w:p>
      <w:pPr>
        <w:pStyle w:val="ListBullet2"/>
        <w:spacing w:after="80"/>
        <w:jc w:val="both"/>
      </w:pPr>
      <w:r>
        <w:rPr>
          <w:rFonts w:ascii="Cambria" w:hAnsi="Cambria"/>
          <w:b w:val="0"/>
          <w:i w:val="0"/>
          <w:sz w:val="22"/>
        </w:rPr>
        <w:t>Controls budget utilization for labs, FDPs, research, and student support activities.</w:t>
      </w:r>
    </w:p>
    <w:p>
      <w:pPr>
        <w:pStyle w:val="ListBullet2"/>
        <w:spacing w:after="80"/>
        <w:jc w:val="both"/>
      </w:pPr>
      <w:r>
        <w:rPr>
          <w:rFonts w:ascii="Cambria" w:hAnsi="Cambria"/>
          <w:b w:val="0"/>
          <w:i w:val="0"/>
          <w:sz w:val="22"/>
        </w:rPr>
        <w:t>Ensures equitable distribution of infrastructure and ICT resources across faculty and students.</w:t>
      </w:r>
    </w:p>
    <w:p>
      <w:pPr>
        <w:pStyle w:val="ListBullet"/>
        <w:spacing w:after="80"/>
        <w:jc w:val="both"/>
      </w:pPr>
      <w:r>
        <w:rPr>
          <w:rFonts w:ascii="Cambria" w:hAnsi="Cambria"/>
          <w:b w:val="0"/>
          <w:i w:val="0"/>
          <w:sz w:val="22"/>
        </w:rPr>
        <w:t>Faculty Accountability Control</w:t>
      </w:r>
    </w:p>
    <w:p>
      <w:pPr>
        <w:pStyle w:val="ListBullet2"/>
        <w:spacing w:after="80"/>
        <w:jc w:val="both"/>
      </w:pPr>
      <w:r>
        <w:rPr>
          <w:rFonts w:ascii="Cambria" w:hAnsi="Cambria"/>
          <w:b w:val="0"/>
          <w:i w:val="0"/>
          <w:sz w:val="22"/>
        </w:rPr>
        <w:t>Enforces workload norms and ensures faculty accountability through signed documentation.</w:t>
      </w:r>
    </w:p>
    <w:p>
      <w:pPr>
        <w:pStyle w:val="ListBullet2"/>
        <w:spacing w:after="80"/>
        <w:jc w:val="both"/>
      </w:pPr>
      <w:r>
        <w:rPr>
          <w:rFonts w:ascii="Cambria" w:hAnsi="Cambria"/>
          <w:b w:val="0"/>
          <w:i w:val="0"/>
          <w:sz w:val="22"/>
        </w:rPr>
        <w:t>Takes corrective action on faculty underperformance through mentoring, FDPs, or workload adjustment.</w:t>
      </w:r>
    </w:p>
    <w:p>
      <w:pPr>
        <w:pStyle w:val="ListBullet"/>
        <w:spacing w:after="80"/>
        <w:jc w:val="both"/>
      </w:pPr>
      <w:r>
        <w:rPr>
          <w:rFonts w:ascii="Cambria" w:hAnsi="Cambria"/>
          <w:b w:val="0"/>
          <w:i w:val="0"/>
          <w:sz w:val="22"/>
        </w:rPr>
        <w:t>Continuous Quality Improvement (CQI) Control</w:t>
      </w:r>
    </w:p>
    <w:p>
      <w:pPr>
        <w:pStyle w:val="ListBullet2"/>
        <w:spacing w:after="80"/>
        <w:jc w:val="both"/>
      </w:pPr>
      <w:r>
        <w:rPr>
          <w:rFonts w:ascii="Cambria" w:hAnsi="Cambria"/>
          <w:b w:val="0"/>
          <w:i w:val="0"/>
          <w:sz w:val="22"/>
        </w:rPr>
        <w:t>Closes the loop on CO–PO–PSO attainment gaps through Action Taken Reports (ATRs).</w:t>
      </w:r>
    </w:p>
    <w:p>
      <w:pPr>
        <w:pStyle w:val="ListBullet2"/>
        <w:spacing w:after="80"/>
        <w:jc w:val="both"/>
      </w:pPr>
      <w:r>
        <w:rPr>
          <w:rFonts w:ascii="Cambria" w:hAnsi="Cambria"/>
          <w:b w:val="0"/>
          <w:i w:val="0"/>
          <w:sz w:val="22"/>
        </w:rPr>
        <w:t>Reviews YoY trends to ensure sustained improvement across all academic parameters.</w:t>
      </w:r>
    </w:p>
    <w:p>
      <w:pPr>
        <w:keepNext/>
        <w:spacing w:before="280" w:after="160"/>
        <w:jc w:val="left"/>
      </w:pPr>
      <w:r>
        <w:rPr>
          <w:rFonts w:ascii="Cambria" w:hAnsi="Cambria"/>
          <w:b/>
          <w:i w:val="0"/>
          <w:color w:val="1F3A5F"/>
          <w:sz w:val="26"/>
        </w:rPr>
        <w:t>Evidence/Documents for Planning, Monitoring, and Control</w:t>
      </w:r>
    </w:p>
    <w:p>
      <w:pPr>
        <w:pStyle w:val="ListBullet"/>
        <w:spacing w:after="80"/>
        <w:jc w:val="both"/>
      </w:pPr>
      <w:r>
        <w:rPr>
          <w:rFonts w:ascii="Cambria" w:hAnsi="Cambria"/>
          <w:b w:val="0"/>
          <w:i w:val="0"/>
          <w:sz w:val="22"/>
        </w:rPr>
        <w:t>Departmental academic calendar and timetables.</w:t>
      </w:r>
    </w:p>
    <w:p>
      <w:pPr>
        <w:pStyle w:val="ListBullet"/>
        <w:spacing w:after="80"/>
        <w:jc w:val="both"/>
      </w:pPr>
      <w:r>
        <w:rPr>
          <w:rFonts w:ascii="Cambria" w:hAnsi="Cambria"/>
          <w:b w:val="0"/>
          <w:i w:val="0"/>
          <w:sz w:val="22"/>
        </w:rPr>
        <w:t>Course allocation matrix and workload distribution sheets.</w:t>
      </w:r>
    </w:p>
    <w:p>
      <w:pPr>
        <w:pStyle w:val="ListBullet"/>
        <w:spacing w:after="80"/>
        <w:jc w:val="both"/>
      </w:pPr>
      <w:r>
        <w:rPr>
          <w:rFonts w:ascii="Cambria" w:hAnsi="Cambria"/>
          <w:b w:val="0"/>
          <w:i w:val="0"/>
          <w:sz w:val="22"/>
        </w:rPr>
        <w:t>CO–PO–PSO mapping sheets and attainment reports.</w:t>
      </w:r>
    </w:p>
    <w:p>
      <w:pPr>
        <w:pStyle w:val="ListBullet"/>
        <w:spacing w:after="80"/>
        <w:jc w:val="both"/>
      </w:pPr>
      <w:r>
        <w:rPr>
          <w:rFonts w:ascii="Cambria" w:hAnsi="Cambria"/>
          <w:b w:val="0"/>
          <w:i w:val="0"/>
          <w:sz w:val="22"/>
        </w:rPr>
        <w:t>Classroom observation forms and peer review reports.</w:t>
      </w:r>
    </w:p>
    <w:p>
      <w:pPr>
        <w:pStyle w:val="ListBullet"/>
        <w:spacing w:after="80"/>
        <w:jc w:val="both"/>
      </w:pPr>
      <w:r>
        <w:rPr>
          <w:rFonts w:ascii="Cambria" w:hAnsi="Cambria"/>
          <w:b w:val="0"/>
          <w:i w:val="0"/>
          <w:sz w:val="22"/>
        </w:rPr>
        <w:t>Student feedback reports and consolidated analysis.</w:t>
      </w:r>
    </w:p>
    <w:p>
      <w:pPr>
        <w:pStyle w:val="ListBullet"/>
        <w:spacing w:after="80"/>
        <w:jc w:val="both"/>
      </w:pPr>
      <w:r>
        <w:rPr>
          <w:rFonts w:ascii="Cambria" w:hAnsi="Cambria"/>
          <w:b w:val="0"/>
          <w:i w:val="0"/>
          <w:sz w:val="22"/>
        </w:rPr>
        <w:t>Internal examination question papers, mark sheets, and moderation reports.</w:t>
      </w:r>
    </w:p>
    <w:p>
      <w:pPr>
        <w:pStyle w:val="ListBullet"/>
        <w:spacing w:after="80"/>
        <w:jc w:val="both"/>
      </w:pPr>
      <w:r>
        <w:rPr>
          <w:rFonts w:ascii="Cambria" w:hAnsi="Cambria"/>
          <w:b w:val="0"/>
          <w:i w:val="0"/>
          <w:sz w:val="22"/>
        </w:rPr>
        <w:t>Remedial class schedules, mentoring logs, and bridge course records.</w:t>
      </w:r>
    </w:p>
    <w:p>
      <w:pPr>
        <w:pStyle w:val="ListBullet"/>
        <w:spacing w:after="80"/>
        <w:jc w:val="both"/>
      </w:pPr>
      <w:r>
        <w:rPr>
          <w:rFonts w:ascii="Cambria" w:hAnsi="Cambria"/>
          <w:b w:val="0"/>
          <w:i w:val="0"/>
          <w:sz w:val="22"/>
        </w:rPr>
        <w:t>Action Taken Reports (ATRs) on identified gaps.</w:t>
      </w:r>
    </w:p>
    <w:p>
      <w:pPr>
        <w:pStyle w:val="ListBullet"/>
        <w:spacing w:after="80"/>
        <w:jc w:val="both"/>
      </w:pPr>
      <w:r>
        <w:rPr>
          <w:rFonts w:ascii="Cambria" w:hAnsi="Cambria"/>
          <w:b w:val="0"/>
          <w:i w:val="0"/>
          <w:sz w:val="22"/>
        </w:rPr>
        <w:t>Budget proposals, utilization certificates, and resource allocation records.</w:t>
      </w:r>
    </w:p>
    <w:p>
      <w:pPr>
        <w:pStyle w:val="ListBullet"/>
        <w:spacing w:after="80"/>
        <w:jc w:val="both"/>
      </w:pPr>
      <w:r>
        <w:rPr>
          <w:rFonts w:ascii="Cambria" w:hAnsi="Cambria"/>
          <w:b w:val="0"/>
          <w:i w:val="0"/>
          <w:sz w:val="22"/>
        </w:rPr>
        <w:t>Internal audit reports and compliance checklists.</w:t>
      </w:r>
    </w:p>
    <w:p>
      <w:pPr>
        <w:keepNext/>
        <w:spacing w:before="280" w:after="160"/>
        <w:jc w:val="left"/>
      </w:pPr>
      <w:r>
        <w:rPr>
          <w:rFonts w:ascii="Cambria" w:hAnsi="Cambria"/>
          <w:b/>
          <w:i w:val="0"/>
          <w:color w:val="1F3A5F"/>
          <w:sz w:val="26"/>
        </w:rPr>
        <w:t>OBE Mapping (PO/PSO Links) for Planning, Monitoring, and Control</w:t>
      </w:r>
    </w:p>
    <w:p>
      <w:pPr>
        <w:pStyle w:val="ListBullet"/>
        <w:spacing w:after="80"/>
        <w:jc w:val="both"/>
      </w:pPr>
      <w:r>
        <w:rPr>
          <w:rFonts w:ascii="Cambria" w:hAnsi="Cambria"/>
          <w:b w:val="0"/>
          <w:i w:val="0"/>
          <w:sz w:val="22"/>
        </w:rPr>
        <w:t>PO1: Engineering/Core Knowledge → curriculum planning and delivery.</w:t>
      </w:r>
    </w:p>
    <w:p>
      <w:pPr>
        <w:pStyle w:val="ListBullet"/>
        <w:spacing w:after="80"/>
        <w:jc w:val="both"/>
      </w:pPr>
      <w:r>
        <w:rPr>
          <w:rFonts w:ascii="Cambria" w:hAnsi="Cambria"/>
          <w:b w:val="0"/>
          <w:i w:val="0"/>
          <w:sz w:val="22"/>
        </w:rPr>
        <w:t>PO2: Problem Analysis → monitoring of assessments and remedial planning.</w:t>
      </w:r>
    </w:p>
    <w:p>
      <w:pPr>
        <w:pStyle w:val="ListBullet"/>
        <w:spacing w:after="80"/>
        <w:jc w:val="both"/>
      </w:pPr>
      <w:r>
        <w:rPr>
          <w:rFonts w:ascii="Cambria" w:hAnsi="Cambria"/>
          <w:b w:val="0"/>
          <w:i w:val="0"/>
          <w:sz w:val="22"/>
        </w:rPr>
        <w:t>PO9: Individual &amp; Team Work → committee-based monitoring and control.</w:t>
      </w:r>
    </w:p>
    <w:p>
      <w:pPr>
        <w:pStyle w:val="ListBullet"/>
        <w:spacing w:after="80"/>
        <w:jc w:val="both"/>
      </w:pPr>
      <w:r>
        <w:rPr>
          <w:rFonts w:ascii="Cambria" w:hAnsi="Cambria"/>
          <w:b w:val="0"/>
          <w:i w:val="0"/>
          <w:sz w:val="22"/>
        </w:rPr>
        <w:t>PO11: Project Management &amp; Finance → resource and budget control.</w:t>
      </w:r>
    </w:p>
    <w:p>
      <w:pPr>
        <w:pStyle w:val="ListBullet"/>
        <w:spacing w:after="80"/>
        <w:jc w:val="both"/>
      </w:pPr>
      <w:r>
        <w:rPr>
          <w:rFonts w:ascii="Cambria" w:hAnsi="Cambria"/>
          <w:b w:val="0"/>
          <w:i w:val="0"/>
          <w:sz w:val="22"/>
        </w:rPr>
        <w:t>PO12: Life-long Learning → FDP monitoring and faculty development control.</w:t>
      </w:r>
    </w:p>
    <w:p>
      <w:pPr>
        <w:keepNext/>
        <w:spacing w:before="280" w:after="160"/>
        <w:jc w:val="left"/>
      </w:pPr>
      <w:r>
        <w:rPr>
          <w:rFonts w:ascii="Cambria" w:hAnsi="Cambria"/>
          <w:b/>
          <w:i w:val="0"/>
          <w:color w:val="1F3A5F"/>
          <w:sz w:val="26"/>
        </w:rPr>
        <w:t>Tangible &amp; Numeric Outcomes</w:t>
      </w:r>
    </w:p>
    <w:p>
      <w:pPr>
        <w:pStyle w:val="ListBullet"/>
        <w:spacing w:after="80"/>
        <w:jc w:val="both"/>
      </w:pPr>
      <w:r>
        <w:rPr>
          <w:rFonts w:ascii="Cambria" w:hAnsi="Cambria"/>
          <w:b w:val="0"/>
          <w:i w:val="0"/>
          <w:sz w:val="22"/>
        </w:rPr>
        <w:t>100% courses monitored for CO–PO–PSO attainment each semester.</w:t>
      </w:r>
    </w:p>
    <w:p>
      <w:pPr>
        <w:pStyle w:val="ListBullet"/>
        <w:spacing w:after="80"/>
        <w:jc w:val="both"/>
      </w:pPr>
      <w:r>
        <w:rPr>
          <w:rFonts w:ascii="Cambria" w:hAnsi="Cambria"/>
          <w:b w:val="0"/>
          <w:i w:val="0"/>
          <w:sz w:val="22"/>
        </w:rPr>
        <w:t>Student backlog % reduced from 18% → 10% through control measures.</w:t>
      </w:r>
    </w:p>
    <w:p>
      <w:pPr>
        <w:pStyle w:val="ListBullet"/>
        <w:spacing w:after="80"/>
        <w:jc w:val="both"/>
      </w:pPr>
      <w:r>
        <w:rPr>
          <w:rFonts w:ascii="Cambria" w:hAnsi="Cambria"/>
          <w:b w:val="0"/>
          <w:i w:val="0"/>
          <w:sz w:val="22"/>
        </w:rPr>
        <w:t>CO attainment improved by +6% YoY through planning–monitoring–control cycle.</w:t>
      </w:r>
    </w:p>
    <w:p>
      <w:pPr>
        <w:pStyle w:val="ListBullet"/>
        <w:spacing w:after="80"/>
        <w:jc w:val="both"/>
      </w:pPr>
      <w:r>
        <w:rPr>
          <w:rFonts w:ascii="Cambria" w:hAnsi="Cambria"/>
          <w:b w:val="0"/>
          <w:i w:val="0"/>
          <w:sz w:val="22"/>
        </w:rPr>
        <w:t>95%+ classes conducted as per planned timetable with minimal deviation.</w:t>
      </w:r>
    </w:p>
    <w:p>
      <w:pPr>
        <w:pStyle w:val="ListBullet"/>
        <w:spacing w:after="80"/>
        <w:jc w:val="both"/>
      </w:pPr>
      <w:r>
        <w:rPr>
          <w:rFonts w:ascii="Cambria" w:hAnsi="Cambria"/>
          <w:b w:val="0"/>
          <w:i w:val="0"/>
          <w:sz w:val="22"/>
        </w:rPr>
        <w:t>100% faculty workload within UGC/AICTE norms, verified through monitoring.</w:t>
      </w:r>
    </w:p>
    <w:p>
      <w:pPr>
        <w:pStyle w:val="ListBullet"/>
        <w:spacing w:after="80"/>
        <w:jc w:val="both"/>
      </w:pPr>
      <w:r>
        <w:rPr>
          <w:rFonts w:ascii="Cambria" w:hAnsi="Cambria"/>
          <w:b w:val="0"/>
          <w:i w:val="0"/>
          <w:sz w:val="22"/>
        </w:rPr>
        <w:t>Student satisfaction with academic planning ↑ from 3.8 → 4.4/5.</w:t>
      </w:r>
    </w:p>
    <w:p>
      <w:pPr>
        <w:keepNext/>
        <w:spacing w:before="280" w:after="160"/>
        <w:jc w:val="left"/>
      </w:pPr>
      <w:r>
        <w:rPr>
          <w:rFonts w:ascii="Cambria" w:hAnsi="Cambria"/>
          <w:b/>
          <w:i w:val="0"/>
          <w:color w:val="1F3A5F"/>
          <w:sz w:val="26"/>
        </w:rPr>
        <w:t>How the Planning–Monitoring–Control Cycle Ensures Continuous Improvement</w:t>
      </w:r>
    </w:p>
    <w:p>
      <w:pPr>
        <w:spacing w:after="80"/>
        <w:ind w:left="340" w:hanging="340"/>
        <w:jc w:val="both"/>
      </w:pPr>
      <w:r>
        <w:rPr>
          <w:rFonts w:ascii="Cambria" w:hAnsi="Cambria"/>
          <w:b w:val="0"/>
          <w:i w:val="0"/>
          <w:sz w:val="22"/>
        </w:rPr>
        <w:t xml:space="preserve">1. </w:t>
      </w:r>
      <w:r>
        <w:rPr>
          <w:rFonts w:ascii="Cambria" w:hAnsi="Cambria"/>
          <w:b w:val="0"/>
          <w:i w:val="0"/>
          <w:sz w:val="22"/>
        </w:rPr>
        <w:t>Planning Stage</w:t>
      </w:r>
    </w:p>
    <w:p>
      <w:pPr>
        <w:pStyle w:val="ListBullet2"/>
        <w:spacing w:after="80"/>
        <w:jc w:val="both"/>
      </w:pPr>
      <w:r>
        <w:rPr>
          <w:rFonts w:ascii="Cambria" w:hAnsi="Cambria"/>
          <w:b w:val="0"/>
          <w:i w:val="0"/>
          <w:sz w:val="22"/>
        </w:rPr>
        <w:t>Academic calendar, workload, and curriculum planned at the start of the semester.</w:t>
      </w:r>
    </w:p>
    <w:p>
      <w:pPr>
        <w:pStyle w:val="ListBullet2"/>
        <w:spacing w:after="80"/>
        <w:jc w:val="both"/>
      </w:pPr>
      <w:r>
        <w:rPr>
          <w:rFonts w:ascii="Cambria" w:hAnsi="Cambria"/>
          <w:b w:val="0"/>
          <w:i w:val="0"/>
          <w:sz w:val="22"/>
        </w:rPr>
        <w:t>Evidence: Academic calendar, course allocation matrix, timetables.</w:t>
      </w:r>
    </w:p>
    <w:p>
      <w:pPr>
        <w:spacing w:after="80"/>
        <w:ind w:left="340" w:hanging="340"/>
        <w:jc w:val="both"/>
      </w:pPr>
      <w:r>
        <w:rPr>
          <w:rFonts w:ascii="Cambria" w:hAnsi="Cambria"/>
          <w:b w:val="0"/>
          <w:i w:val="0"/>
          <w:sz w:val="22"/>
        </w:rPr>
        <w:t xml:space="preserve">2. </w:t>
      </w:r>
      <w:r>
        <w:rPr>
          <w:rFonts w:ascii="Cambria" w:hAnsi="Cambria"/>
          <w:b w:val="0"/>
          <w:i w:val="0"/>
          <w:sz w:val="22"/>
        </w:rPr>
        <w:t>Monitoring Stage</w:t>
      </w:r>
    </w:p>
    <w:p>
      <w:pPr>
        <w:pStyle w:val="ListBullet2"/>
        <w:spacing w:after="80"/>
        <w:jc w:val="both"/>
      </w:pPr>
      <w:r>
        <w:rPr>
          <w:rFonts w:ascii="Cambria" w:hAnsi="Cambria"/>
          <w:b w:val="0"/>
          <w:i w:val="0"/>
          <w:sz w:val="22"/>
        </w:rPr>
        <w:t>Teaching–learning process, faculty performance, and resource utilization tracked continuously.</w:t>
      </w:r>
    </w:p>
    <w:p>
      <w:pPr>
        <w:pStyle w:val="ListBullet2"/>
        <w:spacing w:after="80"/>
        <w:jc w:val="both"/>
      </w:pPr>
      <w:r>
        <w:rPr>
          <w:rFonts w:ascii="Cambria" w:hAnsi="Cambria"/>
          <w:b w:val="0"/>
          <w:i w:val="0"/>
          <w:sz w:val="22"/>
        </w:rPr>
        <w:t>Evidence: Classroom observation forms, feedback reports, attainment sheets.</w:t>
      </w:r>
    </w:p>
    <w:p>
      <w:pPr>
        <w:spacing w:after="80"/>
        <w:ind w:left="340" w:hanging="340"/>
        <w:jc w:val="both"/>
      </w:pPr>
      <w:r>
        <w:rPr>
          <w:rFonts w:ascii="Cambria" w:hAnsi="Cambria"/>
          <w:b w:val="0"/>
          <w:i w:val="0"/>
          <w:sz w:val="22"/>
        </w:rPr>
        <w:t xml:space="preserve">3. </w:t>
      </w:r>
      <w:r>
        <w:rPr>
          <w:rFonts w:ascii="Cambria" w:hAnsi="Cambria"/>
          <w:b w:val="0"/>
          <w:i w:val="0"/>
          <w:sz w:val="22"/>
        </w:rPr>
        <w:t>Control Stage</w:t>
      </w:r>
    </w:p>
    <w:p>
      <w:pPr>
        <w:pStyle w:val="ListBullet2"/>
        <w:spacing w:after="80"/>
        <w:jc w:val="both"/>
      </w:pPr>
      <w:r>
        <w:rPr>
          <w:rFonts w:ascii="Cambria" w:hAnsi="Cambria"/>
          <w:b w:val="0"/>
          <w:i w:val="0"/>
          <w:sz w:val="22"/>
        </w:rPr>
        <w:t>Corrective actions taken for gaps in academic delivery, faculty performance, or resource use.</w:t>
      </w:r>
    </w:p>
    <w:p>
      <w:pPr>
        <w:pStyle w:val="ListBullet2"/>
        <w:spacing w:after="80"/>
        <w:jc w:val="both"/>
      </w:pPr>
      <w:r>
        <w:rPr>
          <w:rFonts w:ascii="Cambria" w:hAnsi="Cambria"/>
          <w:b w:val="0"/>
          <w:i w:val="0"/>
          <w:sz w:val="22"/>
        </w:rPr>
        <w:t>Evidence: Action Taken Reports (ATRs), revised lesson plans, remedial schedules.</w:t>
      </w:r>
    </w:p>
    <w:p>
      <w:pPr>
        <w:spacing w:after="80"/>
        <w:ind w:left="340" w:hanging="340"/>
        <w:jc w:val="both"/>
      </w:pPr>
      <w:r>
        <w:rPr>
          <w:rFonts w:ascii="Cambria" w:hAnsi="Cambria"/>
          <w:b w:val="0"/>
          <w:i w:val="0"/>
          <w:sz w:val="22"/>
        </w:rPr>
        <w:t xml:space="preserve">4. </w:t>
      </w:r>
      <w:r>
        <w:rPr>
          <w:rFonts w:ascii="Cambria" w:hAnsi="Cambria"/>
          <w:b w:val="0"/>
          <w:i w:val="0"/>
          <w:sz w:val="22"/>
        </w:rPr>
        <w:t>Continuous Improvement</w:t>
      </w:r>
    </w:p>
    <w:p>
      <w:pPr>
        <w:pStyle w:val="ListBullet2"/>
        <w:spacing w:after="80"/>
        <w:jc w:val="both"/>
      </w:pPr>
      <w:r>
        <w:rPr>
          <w:rFonts w:ascii="Cambria" w:hAnsi="Cambria"/>
          <w:b w:val="0"/>
          <w:i w:val="0"/>
          <w:sz w:val="22"/>
        </w:rPr>
        <w:t>Year-on-year comparison of attainment, backlog %, and satisfaction scores.</w:t>
      </w:r>
    </w:p>
    <w:p>
      <w:pPr>
        <w:pStyle w:val="ListBullet2"/>
        <w:spacing w:after="80"/>
        <w:jc w:val="both"/>
      </w:pPr>
      <w:r>
        <w:rPr>
          <w:rFonts w:ascii="Cambria" w:hAnsi="Cambria"/>
          <w:b w:val="0"/>
          <w:i w:val="0"/>
          <w:sz w:val="22"/>
        </w:rPr>
        <w:t>Each cycle closes the loop and feeds into the next semester's planning.</w:t>
      </w:r>
    </w:p>
    <w:p>
      <w:pPr>
        <w:keepNext/>
        <w:spacing w:before="280" w:after="160"/>
        <w:jc w:val="left"/>
      </w:pPr>
      <w:r>
        <w:rPr>
          <w:rFonts w:ascii="Cambria" w:hAnsi="Cambria"/>
          <w:b/>
          <w:i w:val="0"/>
          <w:color w:val="1F3A5F"/>
          <w:sz w:val="26"/>
        </w:rPr>
        <w:t>Why This Matters for Accreditation</w:t>
      </w:r>
    </w:p>
    <w:p>
      <w:pPr>
        <w:pStyle w:val="ListBullet"/>
        <w:spacing w:after="80"/>
        <w:jc w:val="both"/>
      </w:pPr>
      <w:r>
        <w:rPr>
          <w:rFonts w:ascii="Cambria" w:hAnsi="Cambria"/>
          <w:b w:val="0"/>
          <w:i w:val="0"/>
          <w:sz w:val="22"/>
        </w:rPr>
        <w:t>Demonstrates systematic academic governance across planning, execution, and corrective action.</w:t>
      </w:r>
    </w:p>
    <w:p>
      <w:pPr>
        <w:pStyle w:val="ListBullet"/>
        <w:spacing w:after="80"/>
        <w:jc w:val="both"/>
      </w:pPr>
      <w:r>
        <w:rPr>
          <w:rFonts w:ascii="Cambria" w:hAnsi="Cambria"/>
          <w:b w:val="0"/>
          <w:i w:val="0"/>
          <w:sz w:val="22"/>
        </w:rPr>
        <w:t>Strengthens NAAC Criterion 2 (Teaching-Learning &amp; Evaluation) and NBA Criterion 3 (Course Outcomes).</w:t>
      </w:r>
    </w:p>
    <w:p>
      <w:pPr>
        <w:pStyle w:val="ListBullet"/>
        <w:spacing w:after="80"/>
        <w:jc w:val="both"/>
      </w:pPr>
      <w:r>
        <w:rPr>
          <w:rFonts w:ascii="Cambria" w:hAnsi="Cambria"/>
          <w:b w:val="0"/>
          <w:i w:val="0"/>
          <w:sz w:val="22"/>
        </w:rPr>
        <w:t>Provides numeric, documented, and signed evidence at every stage of the cycle.</w:t>
      </w:r>
    </w:p>
    <w:p>
      <w:pPr>
        <w:pStyle w:val="ListBullet"/>
        <w:spacing w:after="80"/>
        <w:jc w:val="both"/>
      </w:pPr>
      <w:r>
        <w:rPr>
          <w:rFonts w:ascii="Cambria" w:hAnsi="Cambria"/>
          <w:b w:val="0"/>
          <w:i w:val="0"/>
          <w:sz w:val="22"/>
        </w:rPr>
        <w:t>Shows continuous quality improvement (CQI) through traceable baseline vs. improvement data.</w:t>
      </w:r>
    </w:p>
    <w:p>
      <w:pPr>
        <w:keepNext/>
        <w:spacing w:before="280" w:after="160"/>
        <w:jc w:val="left"/>
      </w:pPr>
      <w:r>
        <w:rPr>
          <w:rFonts w:ascii="Cambria" w:hAnsi="Cambria"/>
          <w:b/>
          <w:i w:val="0"/>
          <w:color w:val="1F3A5F"/>
          <w:sz w:val="26"/>
        </w:rPr>
        <w:t>Planning, Monitoring, and Control – Policy → Action → Evidence → Outcome Table</w:t>
      </w:r>
    </w:p>
    <w:tbl>
      <w:tblPr>
        <w:tblStyle w:val="TableGrid"/>
        <w:tblW w:type="auto" w:w="0"/>
        <w:jc w:val="center"/>
        <w:tblLayout w:type="fixed"/>
        <w:tblLook w:firstColumn="1" w:firstRow="1" w:lastColumn="0" w:lastRow="0" w:noHBand="0" w:noVBand="1" w:val="04A0"/>
        <w:tblLayout w:type="fixed"/>
      </w:tblPr>
      <w:tblGrid>
        <w:gridCol w:w="1701"/>
        <w:gridCol w:w="2438"/>
        <w:gridCol w:w="2268"/>
        <w:gridCol w:w="2268"/>
      </w:tblGrid>
      <w:tr>
        <w:tc>
          <w:tcPr>
            <w:tcW w:type="dxa" w:w="1701"/>
            <w:shd w:val="clear" w:color="auto" w:fill="1F3A5F"/>
          </w:tcPr>
          <w:p>
            <w:pPr>
              <w:jc w:val="center"/>
            </w:pPr>
            <w:r/>
            <w:r>
              <w:rPr>
                <w:rFonts w:ascii="Cambria" w:hAnsi="Cambria"/>
                <w:b/>
                <w:i w:val="0"/>
                <w:color w:val="FFFFFF"/>
                <w:sz w:val="20"/>
              </w:rPr>
              <w:t>Policy / Responsibility</w:t>
            </w:r>
          </w:p>
        </w:tc>
        <w:tc>
          <w:tcPr>
            <w:tcW w:type="dxa" w:w="2438"/>
            <w:shd w:val="clear" w:color="auto" w:fill="1F3A5F"/>
          </w:tcPr>
          <w:p>
            <w:pPr>
              <w:jc w:val="center"/>
            </w:pPr>
            <w:r/>
            <w:r>
              <w:rPr>
                <w:rFonts w:ascii="Cambria" w:hAnsi="Cambria"/>
                <w:b/>
                <w:i w:val="0"/>
                <w:color w:val="FFFFFF"/>
                <w:sz w:val="20"/>
              </w:rPr>
              <w:t>Action by HoD</w:t>
            </w:r>
          </w:p>
        </w:tc>
        <w:tc>
          <w:tcPr>
            <w:tcW w:type="dxa" w:w="2268"/>
            <w:shd w:val="clear" w:color="auto" w:fill="1F3A5F"/>
          </w:tcPr>
          <w:p>
            <w:pPr>
              <w:jc w:val="center"/>
            </w:pPr>
            <w:r/>
            <w:r>
              <w:rPr>
                <w:rFonts w:ascii="Cambria" w:hAnsi="Cambria"/>
                <w:b/>
                <w:i w:val="0"/>
                <w:color w:val="FFFFFF"/>
                <w:sz w:val="20"/>
              </w:rPr>
              <w:t>Evidence/Documents</w:t>
            </w:r>
          </w:p>
        </w:tc>
        <w:tc>
          <w:tcPr>
            <w:tcW w:type="dxa" w:w="2268"/>
            <w:shd w:val="clear" w:color="auto" w:fill="1F3A5F"/>
          </w:tcPr>
          <w:p>
            <w:pPr>
              <w:jc w:val="center"/>
            </w:pPr>
            <w:r/>
            <w:r>
              <w:rPr>
                <w:rFonts w:ascii="Cambria" w:hAnsi="Cambria"/>
                <w:b/>
                <w:i w:val="0"/>
                <w:color w:val="FFFFFF"/>
                <w:sz w:val="20"/>
              </w:rPr>
              <w:t>Tangible Outcomes (Numeric &amp; Measurable)</w:t>
            </w:r>
          </w:p>
        </w:tc>
      </w:tr>
      <w:tr>
        <w:tc>
          <w:tcPr>
            <w:tcW w:type="dxa" w:w="1701"/>
          </w:tcPr>
          <w:p>
            <w:pPr>
              <w:jc w:val="left"/>
            </w:pPr>
            <w:r/>
            <w:r>
              <w:rPr>
                <w:rFonts w:ascii="Cambria" w:hAnsi="Cambria"/>
                <w:b w:val="0"/>
                <w:i w:val="0"/>
                <w:sz w:val="20"/>
              </w:rPr>
              <w:t>Academic Calendar Planning</w:t>
            </w:r>
          </w:p>
        </w:tc>
        <w:tc>
          <w:tcPr>
            <w:tcW w:type="dxa" w:w="2438"/>
          </w:tcPr>
          <w:p>
            <w:pPr>
              <w:jc w:val="left"/>
            </w:pPr>
            <w:r/>
            <w:r>
              <w:rPr>
                <w:rFonts w:ascii="Cambria" w:hAnsi="Cambria"/>
                <w:b w:val="0"/>
                <w:i w:val="0"/>
                <w:sz w:val="20"/>
              </w:rPr>
              <w:t>Prepare and circulate academic calendar aligned with institutional calendar.</w:t>
            </w:r>
          </w:p>
        </w:tc>
        <w:tc>
          <w:tcPr>
            <w:tcW w:type="dxa" w:w="2268"/>
          </w:tcPr>
          <w:p>
            <w:pPr>
              <w:jc w:val="left"/>
            </w:pPr>
            <w:r/>
            <w:r>
              <w:rPr>
                <w:rFonts w:ascii="Cambria" w:hAnsi="Cambria"/>
                <w:b w:val="0"/>
                <w:i w:val="0"/>
                <w:sz w:val="20"/>
              </w:rPr>
              <w:t>Approved academic calendar, circulars.</w:t>
            </w:r>
          </w:p>
        </w:tc>
        <w:tc>
          <w:tcPr>
            <w:tcW w:type="dxa" w:w="2268"/>
          </w:tcPr>
          <w:p>
            <w:pPr>
              <w:jc w:val="left"/>
            </w:pPr>
            <w:r/>
            <w:r>
              <w:rPr>
                <w:rFonts w:ascii="Cambria" w:hAnsi="Cambria"/>
                <w:b w:val="0"/>
                <w:i w:val="0"/>
                <w:sz w:val="20"/>
              </w:rPr>
              <w:t>100% synchronization with institutional calendar; 0 schedule conflicts.</w:t>
            </w:r>
          </w:p>
        </w:tc>
      </w:tr>
      <w:tr>
        <w:tc>
          <w:tcPr>
            <w:tcW w:type="dxa" w:w="1701"/>
            <w:shd w:val="clear" w:color="auto" w:fill="E8EEF5"/>
          </w:tcPr>
          <w:p>
            <w:pPr>
              <w:jc w:val="left"/>
            </w:pPr>
            <w:r/>
            <w:r>
              <w:rPr>
                <w:rFonts w:ascii="Cambria" w:hAnsi="Cambria"/>
                <w:b w:val="0"/>
                <w:i w:val="0"/>
                <w:sz w:val="20"/>
              </w:rPr>
              <w:t>Teaching–Learning Monitoring</w:t>
            </w:r>
          </w:p>
        </w:tc>
        <w:tc>
          <w:tcPr>
            <w:tcW w:type="dxa" w:w="2438"/>
            <w:shd w:val="clear" w:color="auto" w:fill="E8EEF5"/>
          </w:tcPr>
          <w:p>
            <w:pPr>
              <w:jc w:val="left"/>
            </w:pPr>
            <w:r/>
            <w:r>
              <w:rPr>
                <w:rFonts w:ascii="Cambria" w:hAnsi="Cambria"/>
                <w:b w:val="0"/>
                <w:i w:val="0"/>
                <w:sz w:val="20"/>
              </w:rPr>
              <w:t>Conduct classroom observations, review feedback, track attendance.</w:t>
            </w:r>
          </w:p>
        </w:tc>
        <w:tc>
          <w:tcPr>
            <w:tcW w:type="dxa" w:w="2268"/>
            <w:shd w:val="clear" w:color="auto" w:fill="E8EEF5"/>
          </w:tcPr>
          <w:p>
            <w:pPr>
              <w:jc w:val="left"/>
            </w:pPr>
            <w:r/>
            <w:r>
              <w:rPr>
                <w:rFonts w:ascii="Cambria" w:hAnsi="Cambria"/>
                <w:b w:val="0"/>
                <w:i w:val="0"/>
                <w:sz w:val="20"/>
              </w:rPr>
              <w:t>Observation forms, feedback reports, attendance registers.</w:t>
            </w:r>
          </w:p>
        </w:tc>
        <w:tc>
          <w:tcPr>
            <w:tcW w:type="dxa" w:w="2268"/>
            <w:shd w:val="clear" w:color="auto" w:fill="E8EEF5"/>
          </w:tcPr>
          <w:p>
            <w:pPr>
              <w:jc w:val="left"/>
            </w:pPr>
            <w:r/>
            <w:r>
              <w:rPr>
                <w:rFonts w:ascii="Cambria" w:hAnsi="Cambria"/>
                <w:b w:val="0"/>
                <w:i w:val="0"/>
                <w:sz w:val="20"/>
              </w:rPr>
              <w:t>Feedback rating ↑ from 3.8 → 4.4/5; attendance ↑ 8% YoY.</w:t>
            </w:r>
          </w:p>
        </w:tc>
      </w:tr>
      <w:tr>
        <w:tc>
          <w:tcPr>
            <w:tcW w:type="dxa" w:w="1701"/>
          </w:tcPr>
          <w:p>
            <w:pPr>
              <w:jc w:val="left"/>
            </w:pPr>
            <w:r/>
            <w:r>
              <w:rPr>
                <w:rFonts w:ascii="Cambria" w:hAnsi="Cambria"/>
                <w:b w:val="0"/>
                <w:i w:val="0"/>
                <w:sz w:val="20"/>
              </w:rPr>
              <w:t>Faculty Performance Control</w:t>
            </w:r>
          </w:p>
        </w:tc>
        <w:tc>
          <w:tcPr>
            <w:tcW w:type="dxa" w:w="2438"/>
          </w:tcPr>
          <w:p>
            <w:pPr>
              <w:jc w:val="left"/>
            </w:pPr>
            <w:r/>
            <w:r>
              <w:rPr>
                <w:rFonts w:ascii="Cambria" w:hAnsi="Cambria"/>
                <w:b w:val="0"/>
                <w:i w:val="0"/>
                <w:sz w:val="20"/>
              </w:rPr>
              <w:t>Review peer feedback, mentor underperforming faculty, redistribute workload.</w:t>
            </w:r>
          </w:p>
        </w:tc>
        <w:tc>
          <w:tcPr>
            <w:tcW w:type="dxa" w:w="2268"/>
          </w:tcPr>
          <w:p>
            <w:pPr>
              <w:jc w:val="left"/>
            </w:pPr>
            <w:r/>
            <w:r>
              <w:rPr>
                <w:rFonts w:ascii="Cambria" w:hAnsi="Cambria"/>
                <w:b w:val="0"/>
                <w:i w:val="0"/>
                <w:sz w:val="20"/>
              </w:rPr>
              <w:t>Appraisal reports, mentoring logs, workload sheets.</w:t>
            </w:r>
          </w:p>
        </w:tc>
        <w:tc>
          <w:tcPr>
            <w:tcW w:type="dxa" w:w="2268"/>
          </w:tcPr>
          <w:p>
            <w:pPr>
              <w:jc w:val="left"/>
            </w:pPr>
            <w:r/>
            <w:r>
              <w:rPr>
                <w:rFonts w:ascii="Cambria" w:hAnsi="Cambria"/>
                <w:b w:val="0"/>
                <w:i w:val="0"/>
                <w:sz w:val="20"/>
              </w:rPr>
              <w:t>80% performance gaps closed within the cycle.</w:t>
            </w:r>
          </w:p>
        </w:tc>
      </w:tr>
      <w:tr>
        <w:tc>
          <w:tcPr>
            <w:tcW w:type="dxa" w:w="1701"/>
            <w:shd w:val="clear" w:color="auto" w:fill="E8EEF5"/>
          </w:tcPr>
          <w:p>
            <w:pPr>
              <w:jc w:val="left"/>
            </w:pPr>
            <w:r/>
            <w:r>
              <w:rPr>
                <w:rFonts w:ascii="Cambria" w:hAnsi="Cambria"/>
                <w:b w:val="0"/>
                <w:i w:val="0"/>
                <w:sz w:val="20"/>
              </w:rPr>
              <w:t>Resource Utilization Monitoring</w:t>
            </w:r>
          </w:p>
        </w:tc>
        <w:tc>
          <w:tcPr>
            <w:tcW w:type="dxa" w:w="2438"/>
            <w:shd w:val="clear" w:color="auto" w:fill="E8EEF5"/>
          </w:tcPr>
          <w:p>
            <w:pPr>
              <w:jc w:val="left"/>
            </w:pPr>
            <w:r/>
            <w:r>
              <w:rPr>
                <w:rFonts w:ascii="Cambria" w:hAnsi="Cambria"/>
                <w:b w:val="0"/>
                <w:i w:val="0"/>
                <w:sz w:val="20"/>
              </w:rPr>
              <w:t>Track lab, ICT, and library resource usage; ensure equitable allocation.</w:t>
            </w:r>
          </w:p>
        </w:tc>
        <w:tc>
          <w:tcPr>
            <w:tcW w:type="dxa" w:w="2268"/>
            <w:shd w:val="clear" w:color="auto" w:fill="E8EEF5"/>
          </w:tcPr>
          <w:p>
            <w:pPr>
              <w:jc w:val="left"/>
            </w:pPr>
            <w:r/>
            <w:r>
              <w:rPr>
                <w:rFonts w:ascii="Cambria" w:hAnsi="Cambria"/>
                <w:b w:val="0"/>
                <w:i w:val="0"/>
                <w:sz w:val="20"/>
              </w:rPr>
              <w:t>Utilization logs, lab registers, library footfall data.</w:t>
            </w:r>
          </w:p>
        </w:tc>
        <w:tc>
          <w:tcPr>
            <w:tcW w:type="dxa" w:w="2268"/>
            <w:shd w:val="clear" w:color="auto" w:fill="E8EEF5"/>
          </w:tcPr>
          <w:p>
            <w:pPr>
              <w:jc w:val="left"/>
            </w:pPr>
            <w:r/>
            <w:r>
              <w:rPr>
                <w:rFonts w:ascii="Cambria" w:hAnsi="Cambria"/>
                <w:b w:val="0"/>
                <w:i w:val="0"/>
                <w:sz w:val="20"/>
              </w:rPr>
              <w:t>Lab utilization ↑ 20% YoY; 0 cases of resource underuse.</w:t>
            </w:r>
          </w:p>
        </w:tc>
      </w:tr>
      <w:tr>
        <w:tc>
          <w:tcPr>
            <w:tcW w:type="dxa" w:w="1701"/>
          </w:tcPr>
          <w:p>
            <w:pPr>
              <w:jc w:val="left"/>
            </w:pPr>
            <w:r/>
            <w:r>
              <w:rPr>
                <w:rFonts w:ascii="Cambria" w:hAnsi="Cambria"/>
                <w:b w:val="0"/>
                <w:i w:val="0"/>
                <w:sz w:val="20"/>
              </w:rPr>
              <w:t>CO–PO–PSO Attainment Control</w:t>
            </w:r>
          </w:p>
        </w:tc>
        <w:tc>
          <w:tcPr>
            <w:tcW w:type="dxa" w:w="2438"/>
          </w:tcPr>
          <w:p>
            <w:pPr>
              <w:jc w:val="left"/>
            </w:pPr>
            <w:r/>
            <w:r>
              <w:rPr>
                <w:rFonts w:ascii="Cambria" w:hAnsi="Cambria"/>
                <w:b w:val="0"/>
                <w:i w:val="0"/>
                <w:sz w:val="20"/>
              </w:rPr>
              <w:t>Analyze attainment gaps; initiate remedials, bridge courses, FDPs.</w:t>
            </w:r>
          </w:p>
        </w:tc>
        <w:tc>
          <w:tcPr>
            <w:tcW w:type="dxa" w:w="2268"/>
          </w:tcPr>
          <w:p>
            <w:pPr>
              <w:jc w:val="left"/>
            </w:pPr>
            <w:r/>
            <w:r>
              <w:rPr>
                <w:rFonts w:ascii="Cambria" w:hAnsi="Cambria"/>
                <w:b w:val="0"/>
                <w:i w:val="0"/>
                <w:sz w:val="20"/>
              </w:rPr>
              <w:t>Attainment reports, Action Taken Reports (ATRs).</w:t>
            </w:r>
          </w:p>
        </w:tc>
        <w:tc>
          <w:tcPr>
            <w:tcW w:type="dxa" w:w="2268"/>
          </w:tcPr>
          <w:p>
            <w:pPr>
              <w:jc w:val="left"/>
            </w:pPr>
            <w:r/>
            <w:r>
              <w:rPr>
                <w:rFonts w:ascii="Cambria" w:hAnsi="Cambria"/>
                <w:b w:val="0"/>
                <w:i w:val="0"/>
                <w:sz w:val="20"/>
              </w:rPr>
              <w:t>CO attainment ↑ from 72% → 78% (+6% YoY).</w:t>
            </w:r>
          </w:p>
        </w:tc>
      </w:tr>
      <w:tr>
        <w:tc>
          <w:tcPr>
            <w:tcW w:type="dxa" w:w="1701"/>
            <w:shd w:val="clear" w:color="auto" w:fill="E8EEF5"/>
          </w:tcPr>
          <w:p>
            <w:pPr>
              <w:jc w:val="left"/>
            </w:pPr>
            <w:r/>
            <w:r>
              <w:rPr>
                <w:rFonts w:ascii="Cambria" w:hAnsi="Cambria"/>
                <w:b w:val="0"/>
                <w:i w:val="0"/>
                <w:sz w:val="20"/>
              </w:rPr>
              <w:t>Budget &amp; Infrastructure Control</w:t>
            </w:r>
          </w:p>
        </w:tc>
        <w:tc>
          <w:tcPr>
            <w:tcW w:type="dxa" w:w="2438"/>
            <w:shd w:val="clear" w:color="auto" w:fill="E8EEF5"/>
          </w:tcPr>
          <w:p>
            <w:pPr>
              <w:jc w:val="left"/>
            </w:pPr>
            <w:r/>
            <w:r>
              <w:rPr>
                <w:rFonts w:ascii="Cambria" w:hAnsi="Cambria"/>
                <w:b w:val="0"/>
                <w:i w:val="0"/>
                <w:sz w:val="20"/>
              </w:rPr>
              <w:t>Monitor budget utilization; control equitable resource distribution.</w:t>
            </w:r>
          </w:p>
        </w:tc>
        <w:tc>
          <w:tcPr>
            <w:tcW w:type="dxa" w:w="2268"/>
            <w:shd w:val="clear" w:color="auto" w:fill="E8EEF5"/>
          </w:tcPr>
          <w:p>
            <w:pPr>
              <w:jc w:val="left"/>
            </w:pPr>
            <w:r/>
            <w:r>
              <w:rPr>
                <w:rFonts w:ascii="Cambria" w:hAnsi="Cambria"/>
                <w:b w:val="0"/>
                <w:i w:val="0"/>
                <w:sz w:val="20"/>
              </w:rPr>
              <w:t>Budget utilization certificates, purchase records.</w:t>
            </w:r>
          </w:p>
        </w:tc>
        <w:tc>
          <w:tcPr>
            <w:tcW w:type="dxa" w:w="2268"/>
            <w:shd w:val="clear" w:color="auto" w:fill="E8EEF5"/>
          </w:tcPr>
          <w:p>
            <w:pPr>
              <w:jc w:val="left"/>
            </w:pPr>
            <w:r/>
            <w:r>
              <w:rPr>
                <w:rFonts w:ascii="Cambria" w:hAnsi="Cambria"/>
                <w:b w:val="0"/>
                <w:i w:val="0"/>
                <w:sz w:val="20"/>
              </w:rPr>
              <w:t>92% budget utilization; 0 audit objections.</w:t>
            </w:r>
          </w:p>
        </w:tc>
      </w:tr>
      <w:tr>
        <w:tc>
          <w:tcPr>
            <w:tcW w:type="dxa" w:w="1701"/>
          </w:tcPr>
          <w:p>
            <w:pPr>
              <w:jc w:val="left"/>
            </w:pPr>
            <w:r/>
            <w:r>
              <w:rPr>
                <w:rFonts w:ascii="Cambria" w:hAnsi="Cambria"/>
                <w:b w:val="0"/>
                <w:i w:val="0"/>
                <w:sz w:val="20"/>
              </w:rPr>
              <w:t>Student Backlog Control</w:t>
            </w:r>
          </w:p>
        </w:tc>
        <w:tc>
          <w:tcPr>
            <w:tcW w:type="dxa" w:w="2438"/>
          </w:tcPr>
          <w:p>
            <w:pPr>
              <w:jc w:val="left"/>
            </w:pPr>
            <w:r/>
            <w:r>
              <w:rPr>
                <w:rFonts w:ascii="Cambria" w:hAnsi="Cambria"/>
                <w:b w:val="0"/>
                <w:i w:val="0"/>
                <w:sz w:val="20"/>
              </w:rPr>
              <w:t>Identify at-risk students; organize remedial classes and mentoring.</w:t>
            </w:r>
          </w:p>
        </w:tc>
        <w:tc>
          <w:tcPr>
            <w:tcW w:type="dxa" w:w="2268"/>
          </w:tcPr>
          <w:p>
            <w:pPr>
              <w:jc w:val="left"/>
            </w:pPr>
            <w:r/>
            <w:r>
              <w:rPr>
                <w:rFonts w:ascii="Cambria" w:hAnsi="Cambria"/>
                <w:b w:val="0"/>
                <w:i w:val="0"/>
                <w:sz w:val="20"/>
              </w:rPr>
              <w:t>Backlog tracking register, remedial attendance sheets.</w:t>
            </w:r>
          </w:p>
        </w:tc>
        <w:tc>
          <w:tcPr>
            <w:tcW w:type="dxa" w:w="2268"/>
          </w:tcPr>
          <w:p>
            <w:pPr>
              <w:jc w:val="left"/>
            </w:pPr>
            <w:r/>
            <w:r>
              <w:rPr>
                <w:rFonts w:ascii="Cambria" w:hAnsi="Cambria"/>
                <w:b w:val="0"/>
                <w:i w:val="0"/>
                <w:sz w:val="20"/>
              </w:rPr>
              <w:t>Backlog % reduced from 18% → 10%.</w:t>
            </w:r>
          </w:p>
        </w:tc>
      </w:tr>
      <w:tr>
        <w:tc>
          <w:tcPr>
            <w:tcW w:type="dxa" w:w="1701"/>
            <w:shd w:val="clear" w:color="auto" w:fill="E8EEF5"/>
          </w:tcPr>
          <w:p>
            <w:pPr>
              <w:jc w:val="left"/>
            </w:pPr>
            <w:r/>
            <w:r>
              <w:rPr>
                <w:rFonts w:ascii="Cambria" w:hAnsi="Cambria"/>
                <w:b w:val="0"/>
                <w:i w:val="0"/>
                <w:sz w:val="20"/>
              </w:rPr>
              <w:t>Quality Compliance Control</w:t>
            </w:r>
          </w:p>
        </w:tc>
        <w:tc>
          <w:tcPr>
            <w:tcW w:type="dxa" w:w="2438"/>
            <w:shd w:val="clear" w:color="auto" w:fill="E8EEF5"/>
          </w:tcPr>
          <w:p>
            <w:pPr>
              <w:jc w:val="left"/>
            </w:pPr>
            <w:r/>
            <w:r>
              <w:rPr>
                <w:rFonts w:ascii="Cambria" w:hAnsi="Cambria"/>
                <w:b w:val="0"/>
                <w:i w:val="0"/>
                <w:sz w:val="20"/>
              </w:rPr>
              <w:t>Conduct internal audits of course files and documentation.</w:t>
            </w:r>
          </w:p>
        </w:tc>
        <w:tc>
          <w:tcPr>
            <w:tcW w:type="dxa" w:w="2268"/>
            <w:shd w:val="clear" w:color="auto" w:fill="E8EEF5"/>
          </w:tcPr>
          <w:p>
            <w:pPr>
              <w:jc w:val="left"/>
            </w:pPr>
            <w:r/>
            <w:r>
              <w:rPr>
                <w:rFonts w:ascii="Cambria" w:hAnsi="Cambria"/>
                <w:b w:val="0"/>
                <w:i w:val="0"/>
                <w:sz w:val="20"/>
              </w:rPr>
              <w:t>Internal audit checklists, compliance reports.</w:t>
            </w:r>
          </w:p>
        </w:tc>
        <w:tc>
          <w:tcPr>
            <w:tcW w:type="dxa" w:w="2268"/>
            <w:shd w:val="clear" w:color="auto" w:fill="E8EEF5"/>
          </w:tcPr>
          <w:p>
            <w:pPr>
              <w:jc w:val="left"/>
            </w:pPr>
            <w:r/>
            <w:r>
              <w:rPr>
                <w:rFonts w:ascii="Cambria" w:hAnsi="Cambria"/>
                <w:b w:val="0"/>
                <w:i w:val="0"/>
                <w:sz w:val="20"/>
              </w:rPr>
              <w:t>100% course files compliant; audit queries resolved without objections.</w:t>
            </w:r>
          </w:p>
        </w:tc>
      </w:tr>
    </w:tbl>
    <w:p>
      <w:pPr>
        <w:spacing w:after="120"/>
      </w:pPr>
    </w:p>
    <w:p>
      <w:r>
        <w:br w:type="page"/>
      </w:r>
    </w:p>
    <w:p>
      <w:pPr>
        <w:keepNext/>
        <w:spacing w:before="280" w:after="160"/>
        <w:jc w:val="left"/>
      </w:pPr>
      <w:r>
        <w:rPr>
          <w:rFonts w:ascii="Cambria" w:hAnsi="Cambria"/>
          <w:b/>
          <w:i w:val="0"/>
          <w:color w:val="1F3A5F"/>
          <w:sz w:val="30"/>
        </w:rPr>
        <w:t>5. HoD's Responsibility in Planning and Controlling Departmental Budgets</w:t>
      </w:r>
    </w:p>
    <w:p>
      <w:pPr>
        <w:keepNext/>
        <w:spacing w:before="280" w:after="160"/>
        <w:jc w:val="left"/>
      </w:pPr>
      <w:r>
        <w:rPr>
          <w:rFonts w:ascii="Cambria" w:hAnsi="Cambria"/>
          <w:b/>
          <w:i w:val="0"/>
          <w:color w:val="1F3A5F"/>
          <w:sz w:val="26"/>
        </w:rPr>
        <w:t>Policy Statement</w:t>
      </w:r>
    </w:p>
    <w:p>
      <w:pPr>
        <w:pStyle w:val="ListBullet"/>
        <w:spacing w:after="80"/>
        <w:jc w:val="both"/>
      </w:pPr>
      <w:r>
        <w:rPr>
          <w:rFonts w:ascii="Cambria" w:hAnsi="Cambria"/>
          <w:b w:val="0"/>
          <w:i w:val="0"/>
          <w:sz w:val="22"/>
        </w:rPr>
        <w:t>The HoD shall plan, propose, and control the utilization of departmental budgets across operational, maintenance, development, faculty development, student support, research &amp; consultancy, and compliance categories, ensuring transparency, audit-readiness, and alignment with institutional and OBE goals.</w:t>
      </w:r>
    </w:p>
    <w:p>
      <w:pPr>
        <w:keepNext/>
        <w:spacing w:before="280" w:after="160"/>
        <w:jc w:val="left"/>
      </w:pPr>
      <w:r>
        <w:rPr>
          <w:rFonts w:ascii="Cambria" w:hAnsi="Cambria"/>
          <w:b/>
          <w:i w:val="0"/>
          <w:color w:val="1F3A5F"/>
          <w:sz w:val="26"/>
        </w:rPr>
        <w:t>Policy (Budget Type) – Action, Evidence, OBE Mapping, and Outcome Table</w:t>
      </w:r>
    </w:p>
    <w:tbl>
      <w:tblPr>
        <w:tblStyle w:val="TableGrid"/>
        <w:tblW w:type="auto" w:w="0"/>
        <w:jc w:val="center"/>
        <w:tblLayout w:type="fixed"/>
        <w:tblLook w:firstColumn="1" w:firstRow="1" w:lastColumn="0" w:lastRow="0" w:noHBand="0" w:noVBand="1" w:val="04A0"/>
        <w:tblLayout w:type="fixed"/>
      </w:tblPr>
      <w:tblGrid>
        <w:gridCol w:w="1531"/>
        <w:gridCol w:w="2154"/>
        <w:gridCol w:w="2041"/>
        <w:gridCol w:w="1871"/>
        <w:gridCol w:w="2608"/>
      </w:tblGrid>
      <w:tr>
        <w:tc>
          <w:tcPr>
            <w:tcW w:type="dxa" w:w="1531"/>
            <w:shd w:val="clear" w:color="auto" w:fill="1F3A5F"/>
          </w:tcPr>
          <w:p>
            <w:pPr>
              <w:jc w:val="center"/>
            </w:pPr>
            <w:r/>
            <w:r>
              <w:rPr>
                <w:rFonts w:ascii="Cambria" w:hAnsi="Cambria"/>
                <w:b/>
                <w:i w:val="0"/>
                <w:color w:val="FFFFFF"/>
                <w:sz w:val="20"/>
              </w:rPr>
              <w:t>Policy (Budget Type)</w:t>
            </w:r>
          </w:p>
        </w:tc>
        <w:tc>
          <w:tcPr>
            <w:tcW w:type="dxa" w:w="2154"/>
            <w:shd w:val="clear" w:color="auto" w:fill="1F3A5F"/>
          </w:tcPr>
          <w:p>
            <w:pPr>
              <w:jc w:val="center"/>
            </w:pPr>
            <w:r/>
            <w:r>
              <w:rPr>
                <w:rFonts w:ascii="Cambria" w:hAnsi="Cambria"/>
                <w:b/>
                <w:i w:val="0"/>
                <w:color w:val="FFFFFF"/>
                <w:sz w:val="20"/>
              </w:rPr>
              <w:t>Action (By HoD)</w:t>
            </w:r>
          </w:p>
        </w:tc>
        <w:tc>
          <w:tcPr>
            <w:tcW w:type="dxa" w:w="2041"/>
            <w:shd w:val="clear" w:color="auto" w:fill="1F3A5F"/>
          </w:tcPr>
          <w:p>
            <w:pPr>
              <w:jc w:val="center"/>
            </w:pPr>
            <w:r/>
            <w:r>
              <w:rPr>
                <w:rFonts w:ascii="Cambria" w:hAnsi="Cambria"/>
                <w:b/>
                <w:i w:val="0"/>
                <w:color w:val="FFFFFF"/>
                <w:sz w:val="20"/>
              </w:rPr>
              <w:t>Evidence (Audit Docs)</w:t>
            </w:r>
          </w:p>
        </w:tc>
        <w:tc>
          <w:tcPr>
            <w:tcW w:type="dxa" w:w="1871"/>
            <w:shd w:val="clear" w:color="auto" w:fill="1F3A5F"/>
          </w:tcPr>
          <w:p>
            <w:pPr>
              <w:jc w:val="center"/>
            </w:pPr>
            <w:r/>
            <w:r>
              <w:rPr>
                <w:rFonts w:ascii="Cambria" w:hAnsi="Cambria"/>
                <w:b/>
                <w:i w:val="0"/>
                <w:color w:val="FFFFFF"/>
                <w:sz w:val="20"/>
              </w:rPr>
              <w:t>OBE Mapping (POs/PSOs)</w:t>
            </w:r>
          </w:p>
        </w:tc>
        <w:tc>
          <w:tcPr>
            <w:tcW w:type="dxa" w:w="2608"/>
            <w:shd w:val="clear" w:color="auto" w:fill="1F3A5F"/>
          </w:tcPr>
          <w:p>
            <w:pPr>
              <w:jc w:val="center"/>
            </w:pPr>
            <w:r/>
            <w:r>
              <w:rPr>
                <w:rFonts w:ascii="Cambria" w:hAnsi="Cambria"/>
                <w:b/>
                <w:i w:val="0"/>
                <w:color w:val="FFFFFF"/>
                <w:sz w:val="20"/>
              </w:rPr>
              <w:t>Outcome (Numeric &amp; Measurable)</w:t>
            </w:r>
          </w:p>
        </w:tc>
      </w:tr>
      <w:tr>
        <w:tc>
          <w:tcPr>
            <w:tcW w:type="dxa" w:w="1531"/>
          </w:tcPr>
          <w:p>
            <w:pPr>
              <w:jc w:val="left"/>
            </w:pPr>
            <w:r/>
            <w:r>
              <w:rPr>
                <w:rFonts w:ascii="Cambria" w:hAnsi="Cambria"/>
                <w:b w:val="0"/>
                <w:i w:val="0"/>
                <w:sz w:val="20"/>
              </w:rPr>
              <w:t>Faculty Development Budget</w:t>
            </w:r>
          </w:p>
        </w:tc>
        <w:tc>
          <w:tcPr>
            <w:tcW w:type="dxa" w:w="2154"/>
          </w:tcPr>
          <w:p>
            <w:pPr>
              <w:jc w:val="left"/>
            </w:pPr>
            <w:r/>
            <w:r>
              <w:rPr>
                <w:rFonts w:ascii="Cambria" w:hAnsi="Cambria"/>
                <w:b w:val="0"/>
                <w:i w:val="0"/>
                <w:sz w:val="20"/>
              </w:rPr>
              <w:t>Fund FDPs, workshops, certifications, conferences.</w:t>
            </w:r>
          </w:p>
        </w:tc>
        <w:tc>
          <w:tcPr>
            <w:tcW w:type="dxa" w:w="2041"/>
          </w:tcPr>
          <w:p>
            <w:pPr>
              <w:jc w:val="left"/>
            </w:pPr>
            <w:r/>
            <w:r>
              <w:rPr>
                <w:rFonts w:ascii="Cambria" w:hAnsi="Cambria"/>
                <w:b w:val="0"/>
                <w:i w:val="0"/>
                <w:sz w:val="20"/>
              </w:rPr>
              <w:t>FDP Budget Sheets, Reimbursement Records, Faculty Participation Reports.</w:t>
            </w:r>
          </w:p>
        </w:tc>
        <w:tc>
          <w:tcPr>
            <w:tcW w:type="dxa" w:w="1871"/>
          </w:tcPr>
          <w:p>
            <w:pPr>
              <w:jc w:val="left"/>
            </w:pPr>
            <w:r/>
            <w:r>
              <w:rPr>
                <w:rFonts w:ascii="Cambria" w:hAnsi="Cambria"/>
                <w:b w:val="0"/>
                <w:i w:val="0"/>
                <w:sz w:val="20"/>
              </w:rPr>
              <w:t>PO12 (Life-long Learning), PSO3 (Research Readiness).</w:t>
            </w:r>
          </w:p>
        </w:tc>
        <w:tc>
          <w:tcPr>
            <w:tcW w:type="dxa" w:w="2608"/>
          </w:tcPr>
          <w:p>
            <w:pPr>
              <w:jc w:val="left"/>
            </w:pPr>
            <w:r/>
            <w:r>
              <w:rPr>
                <w:rFonts w:ascii="Cambria" w:hAnsi="Cambria"/>
                <w:b w:val="0"/>
                <w:i w:val="0"/>
                <w:sz w:val="20"/>
              </w:rPr>
              <w:t>Avg. 2.5 FDPs per faculty; ≥80% faculty trained in emerging areas.</w:t>
            </w:r>
          </w:p>
        </w:tc>
      </w:tr>
      <w:tr>
        <w:tc>
          <w:tcPr>
            <w:tcW w:type="dxa" w:w="1531"/>
            <w:shd w:val="clear" w:color="auto" w:fill="E8EEF5"/>
          </w:tcPr>
          <w:p>
            <w:pPr>
              <w:jc w:val="left"/>
            </w:pPr>
            <w:r/>
            <w:r>
              <w:rPr>
                <w:rFonts w:ascii="Cambria" w:hAnsi="Cambria"/>
                <w:b w:val="0"/>
                <w:i w:val="0"/>
                <w:sz w:val="20"/>
              </w:rPr>
              <w:t>Student Support Budget</w:t>
            </w:r>
          </w:p>
        </w:tc>
        <w:tc>
          <w:tcPr>
            <w:tcW w:type="dxa" w:w="2154"/>
            <w:shd w:val="clear" w:color="auto" w:fill="E8EEF5"/>
          </w:tcPr>
          <w:p>
            <w:pPr>
              <w:jc w:val="left"/>
            </w:pPr>
            <w:r/>
            <w:r>
              <w:rPr>
                <w:rFonts w:ascii="Cambria" w:hAnsi="Cambria"/>
                <w:b w:val="0"/>
                <w:i w:val="0"/>
                <w:sz w:val="20"/>
              </w:rPr>
              <w:t>Support student projects, internships, competitions, scholarships.</w:t>
            </w:r>
          </w:p>
        </w:tc>
        <w:tc>
          <w:tcPr>
            <w:tcW w:type="dxa" w:w="2041"/>
            <w:shd w:val="clear" w:color="auto" w:fill="E8EEF5"/>
          </w:tcPr>
          <w:p>
            <w:pPr>
              <w:jc w:val="left"/>
            </w:pPr>
            <w:r/>
            <w:r>
              <w:rPr>
                <w:rFonts w:ascii="Cambria" w:hAnsi="Cambria"/>
                <w:b w:val="0"/>
                <w:i w:val="0"/>
                <w:sz w:val="20"/>
              </w:rPr>
              <w:t>Project Sanction Orders, Internship MoUs, Funding Records.</w:t>
            </w:r>
          </w:p>
        </w:tc>
        <w:tc>
          <w:tcPr>
            <w:tcW w:type="dxa" w:w="1871"/>
            <w:shd w:val="clear" w:color="auto" w:fill="E8EEF5"/>
          </w:tcPr>
          <w:p>
            <w:pPr>
              <w:jc w:val="left"/>
            </w:pPr>
            <w:r/>
            <w:r>
              <w:rPr>
                <w:rFonts w:ascii="Cambria" w:hAnsi="Cambria"/>
                <w:b w:val="0"/>
                <w:i w:val="0"/>
                <w:sz w:val="20"/>
              </w:rPr>
              <w:t>PO9 (Team Work), PO10 (Communication).</w:t>
            </w:r>
          </w:p>
        </w:tc>
        <w:tc>
          <w:tcPr>
            <w:tcW w:type="dxa" w:w="2608"/>
            <w:shd w:val="clear" w:color="auto" w:fill="E8EEF5"/>
          </w:tcPr>
          <w:p>
            <w:pPr>
              <w:jc w:val="left"/>
            </w:pPr>
            <w:r/>
            <w:r>
              <w:rPr>
                <w:rFonts w:ascii="Cambria" w:hAnsi="Cambria"/>
                <w:b w:val="0"/>
                <w:i w:val="0"/>
                <w:sz w:val="20"/>
              </w:rPr>
              <w:t>20 funded projects; 35% students in national events; pass % ↑ by 10%.</w:t>
            </w:r>
          </w:p>
        </w:tc>
      </w:tr>
      <w:tr>
        <w:tc>
          <w:tcPr>
            <w:tcW w:type="dxa" w:w="1531"/>
          </w:tcPr>
          <w:p>
            <w:pPr>
              <w:jc w:val="left"/>
            </w:pPr>
            <w:r/>
            <w:r>
              <w:rPr>
                <w:rFonts w:ascii="Cambria" w:hAnsi="Cambria"/>
                <w:b w:val="0"/>
                <w:i w:val="0"/>
                <w:sz w:val="20"/>
              </w:rPr>
              <w:t>Research &amp; Consultancy Budget</w:t>
            </w:r>
          </w:p>
        </w:tc>
        <w:tc>
          <w:tcPr>
            <w:tcW w:type="dxa" w:w="2154"/>
          </w:tcPr>
          <w:p>
            <w:pPr>
              <w:jc w:val="left"/>
            </w:pPr>
            <w:r/>
            <w:r>
              <w:rPr>
                <w:rFonts w:ascii="Cambria" w:hAnsi="Cambria"/>
                <w:b w:val="0"/>
                <w:i w:val="0"/>
                <w:sz w:val="20"/>
              </w:rPr>
              <w:t>Provide seed money; support funded projects &amp; consultancy.</w:t>
            </w:r>
          </w:p>
        </w:tc>
        <w:tc>
          <w:tcPr>
            <w:tcW w:type="dxa" w:w="2041"/>
          </w:tcPr>
          <w:p>
            <w:pPr>
              <w:jc w:val="left"/>
            </w:pPr>
            <w:r/>
            <w:r>
              <w:rPr>
                <w:rFonts w:ascii="Cambria" w:hAnsi="Cambria"/>
                <w:b w:val="0"/>
                <w:i w:val="0"/>
                <w:sz w:val="20"/>
              </w:rPr>
              <w:t>Seed Money Approvals, Consultancy MoUs, Funding Agency Reports.</w:t>
            </w:r>
          </w:p>
        </w:tc>
        <w:tc>
          <w:tcPr>
            <w:tcW w:type="dxa" w:w="1871"/>
          </w:tcPr>
          <w:p>
            <w:pPr>
              <w:jc w:val="left"/>
            </w:pPr>
            <w:r/>
            <w:r>
              <w:rPr>
                <w:rFonts w:ascii="Cambria" w:hAnsi="Cambria"/>
                <w:b w:val="0"/>
                <w:i w:val="0"/>
                <w:sz w:val="20"/>
              </w:rPr>
              <w:t>PO4 (Investigations), PSO2 (Research &amp; Innovation).</w:t>
            </w:r>
          </w:p>
        </w:tc>
        <w:tc>
          <w:tcPr>
            <w:tcW w:type="dxa" w:w="2608"/>
          </w:tcPr>
          <w:p>
            <w:pPr>
              <w:jc w:val="left"/>
            </w:pPr>
            <w:r/>
            <w:r>
              <w:rPr>
                <w:rFonts w:ascii="Cambria" w:hAnsi="Cambria"/>
                <w:b w:val="0"/>
                <w:i w:val="0"/>
                <w:sz w:val="20"/>
              </w:rPr>
              <w:t>Consultancy revenue ↑ from ₹5L → ₹8L; ≥3 funded projects/year.</w:t>
            </w:r>
          </w:p>
        </w:tc>
      </w:tr>
      <w:tr>
        <w:tc>
          <w:tcPr>
            <w:tcW w:type="dxa" w:w="1531"/>
            <w:shd w:val="clear" w:color="auto" w:fill="E8EEF5"/>
          </w:tcPr>
          <w:p>
            <w:pPr>
              <w:jc w:val="left"/>
            </w:pPr>
            <w:r/>
            <w:r>
              <w:rPr>
                <w:rFonts w:ascii="Cambria" w:hAnsi="Cambria"/>
                <w:b w:val="0"/>
                <w:i w:val="0"/>
                <w:sz w:val="20"/>
              </w:rPr>
              <w:t>Compliance &amp; Audit</w:t>
            </w:r>
          </w:p>
        </w:tc>
        <w:tc>
          <w:tcPr>
            <w:tcW w:type="dxa" w:w="2154"/>
            <w:shd w:val="clear" w:color="auto" w:fill="E8EEF5"/>
          </w:tcPr>
          <w:p>
            <w:pPr>
              <w:jc w:val="left"/>
            </w:pPr>
            <w:r/>
            <w:r>
              <w:rPr>
                <w:rFonts w:ascii="Cambria" w:hAnsi="Cambria"/>
                <w:b w:val="0"/>
                <w:i w:val="0"/>
                <w:sz w:val="20"/>
              </w:rPr>
              <w:t>Submit budgets to Finance Committee; ensure transparency.</w:t>
            </w:r>
          </w:p>
        </w:tc>
        <w:tc>
          <w:tcPr>
            <w:tcW w:type="dxa" w:w="2041"/>
            <w:shd w:val="clear" w:color="auto" w:fill="E8EEF5"/>
          </w:tcPr>
          <w:p>
            <w:pPr>
              <w:jc w:val="left"/>
            </w:pPr>
            <w:r/>
            <w:r>
              <w:rPr>
                <w:rFonts w:ascii="Cambria" w:hAnsi="Cambria"/>
                <w:b w:val="0"/>
                <w:i w:val="0"/>
                <w:sz w:val="20"/>
              </w:rPr>
              <w:t>Finance Committee Minutes, Audit Reports, Compliance Docs.</w:t>
            </w:r>
          </w:p>
        </w:tc>
        <w:tc>
          <w:tcPr>
            <w:tcW w:type="dxa" w:w="1871"/>
            <w:shd w:val="clear" w:color="auto" w:fill="E8EEF5"/>
          </w:tcPr>
          <w:p>
            <w:pPr>
              <w:jc w:val="left"/>
            </w:pPr>
            <w:r/>
            <w:r>
              <w:rPr>
                <w:rFonts w:ascii="Cambria" w:hAnsi="Cambria"/>
                <w:b w:val="0"/>
                <w:i w:val="0"/>
                <w:sz w:val="20"/>
              </w:rPr>
              <w:t>PO11 (Project Management), PO12 (Life-long Learning).</w:t>
            </w:r>
          </w:p>
        </w:tc>
        <w:tc>
          <w:tcPr>
            <w:tcW w:type="dxa" w:w="2608"/>
            <w:shd w:val="clear" w:color="auto" w:fill="E8EEF5"/>
          </w:tcPr>
          <w:p>
            <w:pPr>
              <w:jc w:val="left"/>
            </w:pPr>
            <w:r/>
            <w:r>
              <w:rPr>
                <w:rFonts w:ascii="Cambria" w:hAnsi="Cambria"/>
                <w:b w:val="0"/>
                <w:i w:val="0"/>
                <w:sz w:val="20"/>
              </w:rPr>
              <w:t>100% compliance; zero audit objections; budgets sanctioned on time.</w:t>
            </w:r>
          </w:p>
        </w:tc>
      </w:tr>
    </w:tbl>
    <w:p>
      <w:pPr>
        <w:spacing w:after="120"/>
      </w:pPr>
    </w:p>
    <w:p>
      <w:pPr>
        <w:keepNext/>
        <w:spacing w:before="280" w:after="160"/>
        <w:jc w:val="left"/>
      </w:pPr>
      <w:r>
        <w:rPr>
          <w:rFonts w:ascii="Cambria" w:hAnsi="Cambria"/>
          <w:b/>
          <w:i w:val="0"/>
          <w:color w:val="1F3A5F"/>
          <w:sz w:val="26"/>
        </w:rPr>
        <w:t>Examples of Numeric Outcomes for Each Budget Type</w:t>
      </w:r>
    </w:p>
    <w:tbl>
      <w:tblPr>
        <w:tblStyle w:val="TableGrid"/>
        <w:tblW w:type="auto" w:w="0"/>
        <w:jc w:val="center"/>
        <w:tblLayout w:type="fixed"/>
        <w:tblLook w:firstColumn="1" w:firstRow="1" w:lastColumn="0" w:lastRow="0" w:noHBand="0" w:noVBand="1" w:val="04A0"/>
        <w:tblLayout w:type="fixed"/>
      </w:tblPr>
      <w:tblGrid>
        <w:gridCol w:w="2835"/>
        <w:gridCol w:w="6973"/>
      </w:tblGrid>
      <w:tr>
        <w:tc>
          <w:tcPr>
            <w:tcW w:type="dxa" w:w="2835"/>
            <w:shd w:val="clear" w:color="auto" w:fill="1F3A5F"/>
          </w:tcPr>
          <w:p>
            <w:pPr>
              <w:jc w:val="center"/>
            </w:pPr>
            <w:r/>
            <w:r>
              <w:rPr>
                <w:rFonts w:ascii="Cambria" w:hAnsi="Cambria"/>
                <w:b/>
                <w:i w:val="0"/>
                <w:color w:val="FFFFFF"/>
                <w:sz w:val="20"/>
              </w:rPr>
              <w:t>Policy (Budget Type)</w:t>
            </w:r>
          </w:p>
        </w:tc>
        <w:tc>
          <w:tcPr>
            <w:tcW w:type="dxa" w:w="6973"/>
            <w:shd w:val="clear" w:color="auto" w:fill="1F3A5F"/>
          </w:tcPr>
          <w:p>
            <w:pPr>
              <w:jc w:val="center"/>
            </w:pPr>
            <w:r/>
            <w:r>
              <w:rPr>
                <w:rFonts w:ascii="Cambria" w:hAnsi="Cambria"/>
                <w:b/>
                <w:i w:val="0"/>
                <w:color w:val="FFFFFF"/>
                <w:sz w:val="20"/>
              </w:rPr>
              <w:t>Outcome (Numeric &amp; Measurable)</w:t>
            </w:r>
          </w:p>
        </w:tc>
      </w:tr>
      <w:tr>
        <w:tc>
          <w:tcPr>
            <w:tcW w:type="dxa" w:w="2835"/>
          </w:tcPr>
          <w:p>
            <w:pPr>
              <w:jc w:val="left"/>
            </w:pPr>
            <w:r/>
            <w:r>
              <w:rPr>
                <w:rFonts w:ascii="Cambria" w:hAnsi="Cambria"/>
                <w:b w:val="0"/>
                <w:i w:val="0"/>
                <w:sz w:val="20"/>
              </w:rPr>
              <w:t>Operational Budget</w:t>
            </w:r>
          </w:p>
        </w:tc>
        <w:tc>
          <w:tcPr>
            <w:tcW w:type="dxa" w:w="6973"/>
          </w:tcPr>
          <w:p>
            <w:pPr>
              <w:jc w:val="left"/>
            </w:pPr>
            <w:r/>
            <w:r>
              <w:rPr>
                <w:rFonts w:ascii="Cambria" w:hAnsi="Cambria"/>
                <w:b w:val="0"/>
                <w:i w:val="0"/>
                <w:sz w:val="20"/>
              </w:rPr>
              <w:t>92% utilization achieved; 100% lab readiness; ≥90% classes conducted without interruption.</w:t>
            </w:r>
          </w:p>
        </w:tc>
      </w:tr>
      <w:tr>
        <w:tc>
          <w:tcPr>
            <w:tcW w:type="dxa" w:w="2835"/>
            <w:shd w:val="clear" w:color="auto" w:fill="E8EEF5"/>
          </w:tcPr>
          <w:p>
            <w:pPr>
              <w:jc w:val="left"/>
            </w:pPr>
            <w:r/>
            <w:r>
              <w:rPr>
                <w:rFonts w:ascii="Cambria" w:hAnsi="Cambria"/>
                <w:b w:val="0"/>
                <w:i w:val="0"/>
                <w:sz w:val="20"/>
              </w:rPr>
              <w:t>Maintenance Budget</w:t>
            </w:r>
          </w:p>
        </w:tc>
        <w:tc>
          <w:tcPr>
            <w:tcW w:type="dxa" w:w="6973"/>
            <w:shd w:val="clear" w:color="auto" w:fill="E8EEF5"/>
          </w:tcPr>
          <w:p>
            <w:pPr>
              <w:jc w:val="left"/>
            </w:pPr>
            <w:r/>
            <w:r>
              <w:rPr>
                <w:rFonts w:ascii="Cambria" w:hAnsi="Cambria"/>
                <w:b w:val="0"/>
                <w:i w:val="0"/>
                <w:sz w:val="20"/>
              </w:rPr>
              <w:t>Equipment uptime improved from 85% → 96%; downtime reduced by 11%; 15 machines calibrated.</w:t>
            </w:r>
          </w:p>
        </w:tc>
      </w:tr>
      <w:tr>
        <w:tc>
          <w:tcPr>
            <w:tcW w:type="dxa" w:w="2835"/>
          </w:tcPr>
          <w:p>
            <w:pPr>
              <w:jc w:val="left"/>
            </w:pPr>
            <w:r/>
            <w:r>
              <w:rPr>
                <w:rFonts w:ascii="Cambria" w:hAnsi="Cambria"/>
                <w:b w:val="0"/>
                <w:i w:val="0"/>
                <w:sz w:val="20"/>
              </w:rPr>
              <w:t>Development Budget</w:t>
            </w:r>
          </w:p>
        </w:tc>
        <w:tc>
          <w:tcPr>
            <w:tcW w:type="dxa" w:w="6973"/>
          </w:tcPr>
          <w:p>
            <w:pPr>
              <w:jc w:val="left"/>
            </w:pPr>
            <w:r/>
            <w:r>
              <w:rPr>
                <w:rFonts w:ascii="Cambria" w:hAnsi="Cambria"/>
                <w:b w:val="0"/>
                <w:i w:val="0"/>
                <w:sz w:val="20"/>
              </w:rPr>
              <w:t>2 new labs added; 15% YoY growth in infra; ₹12 lakhs invested in modernization; NIRF infra score improved.</w:t>
            </w:r>
          </w:p>
        </w:tc>
      </w:tr>
      <w:tr>
        <w:tc>
          <w:tcPr>
            <w:tcW w:type="dxa" w:w="2835"/>
            <w:shd w:val="clear" w:color="auto" w:fill="E8EEF5"/>
          </w:tcPr>
          <w:p>
            <w:pPr>
              <w:jc w:val="left"/>
            </w:pPr>
            <w:r/>
            <w:r>
              <w:rPr>
                <w:rFonts w:ascii="Cambria" w:hAnsi="Cambria"/>
                <w:b w:val="0"/>
                <w:i w:val="0"/>
                <w:sz w:val="20"/>
              </w:rPr>
              <w:t>Faculty Development Budget</w:t>
            </w:r>
          </w:p>
        </w:tc>
        <w:tc>
          <w:tcPr>
            <w:tcW w:type="dxa" w:w="6973"/>
            <w:shd w:val="clear" w:color="auto" w:fill="E8EEF5"/>
          </w:tcPr>
          <w:p>
            <w:pPr>
              <w:jc w:val="left"/>
            </w:pPr>
            <w:r/>
            <w:r>
              <w:rPr>
                <w:rFonts w:ascii="Cambria" w:hAnsi="Cambria"/>
                <w:b w:val="0"/>
                <w:i w:val="0"/>
                <w:sz w:val="20"/>
              </w:rPr>
              <w:t>Avg. 2.5 FDPs per faculty per year; ≥80% faculty trained in emerging domains; ₹6 lakhs spent on FDPs.</w:t>
            </w:r>
          </w:p>
        </w:tc>
      </w:tr>
      <w:tr>
        <w:tc>
          <w:tcPr>
            <w:tcW w:type="dxa" w:w="2835"/>
          </w:tcPr>
          <w:p>
            <w:pPr>
              <w:jc w:val="left"/>
            </w:pPr>
            <w:r/>
            <w:r>
              <w:rPr>
                <w:rFonts w:ascii="Cambria" w:hAnsi="Cambria"/>
                <w:b w:val="0"/>
                <w:i w:val="0"/>
                <w:sz w:val="20"/>
              </w:rPr>
              <w:t>Student Support Budget</w:t>
            </w:r>
          </w:p>
        </w:tc>
        <w:tc>
          <w:tcPr>
            <w:tcW w:type="dxa" w:w="6973"/>
          </w:tcPr>
          <w:p>
            <w:pPr>
              <w:jc w:val="left"/>
            </w:pPr>
            <w:r/>
            <w:r>
              <w:rPr>
                <w:rFonts w:ascii="Cambria" w:hAnsi="Cambria"/>
                <w:b w:val="0"/>
                <w:i w:val="0"/>
                <w:sz w:val="20"/>
              </w:rPr>
              <w:t>20 funded student projects; 35% students supported for national competitions; pass % improved by 10%.</w:t>
            </w:r>
          </w:p>
        </w:tc>
      </w:tr>
      <w:tr>
        <w:tc>
          <w:tcPr>
            <w:tcW w:type="dxa" w:w="2835"/>
            <w:shd w:val="clear" w:color="auto" w:fill="E8EEF5"/>
          </w:tcPr>
          <w:p>
            <w:pPr>
              <w:jc w:val="left"/>
            </w:pPr>
            <w:r/>
            <w:r>
              <w:rPr>
                <w:rFonts w:ascii="Cambria" w:hAnsi="Cambria"/>
                <w:b w:val="0"/>
                <w:i w:val="0"/>
                <w:sz w:val="20"/>
              </w:rPr>
              <w:t>Research &amp; Consultancy Budget</w:t>
            </w:r>
          </w:p>
        </w:tc>
        <w:tc>
          <w:tcPr>
            <w:tcW w:type="dxa" w:w="6973"/>
            <w:shd w:val="clear" w:color="auto" w:fill="E8EEF5"/>
          </w:tcPr>
          <w:p>
            <w:pPr>
              <w:jc w:val="left"/>
            </w:pPr>
            <w:r/>
            <w:r>
              <w:rPr>
                <w:rFonts w:ascii="Cambria" w:hAnsi="Cambria"/>
                <w:b w:val="0"/>
                <w:i w:val="0"/>
                <w:sz w:val="20"/>
              </w:rPr>
              <w:t>Consultancy revenue ↑ from ₹5 lakhs → ₹8 lakhs; 3 externally funded projects; 5 patents filed.</w:t>
            </w:r>
          </w:p>
        </w:tc>
      </w:tr>
      <w:tr>
        <w:tc>
          <w:tcPr>
            <w:tcW w:type="dxa" w:w="2835"/>
          </w:tcPr>
          <w:p>
            <w:pPr>
              <w:jc w:val="left"/>
            </w:pPr>
            <w:r/>
            <w:r>
              <w:rPr>
                <w:rFonts w:ascii="Cambria" w:hAnsi="Cambria"/>
                <w:b w:val="0"/>
                <w:i w:val="0"/>
                <w:sz w:val="20"/>
              </w:rPr>
              <w:t>Compliance &amp; Audit</w:t>
            </w:r>
          </w:p>
        </w:tc>
        <w:tc>
          <w:tcPr>
            <w:tcW w:type="dxa" w:w="6973"/>
          </w:tcPr>
          <w:p>
            <w:pPr>
              <w:jc w:val="left"/>
            </w:pPr>
            <w:r/>
            <w:r>
              <w:rPr>
                <w:rFonts w:ascii="Cambria" w:hAnsi="Cambria"/>
                <w:b w:val="0"/>
                <w:i w:val="0"/>
                <w:sz w:val="20"/>
              </w:rPr>
              <w:t>100% timely submission; 0 audit objections; 100% budget sanction approvals within cycle.</w:t>
            </w:r>
          </w:p>
        </w:tc>
      </w:tr>
    </w:tbl>
    <w:p>
      <w:pPr>
        <w:spacing w:after="120"/>
      </w:pPr>
    </w:p>
    <w:p>
      <w:pPr>
        <w:keepNext/>
        <w:spacing w:before="280" w:after="160"/>
        <w:jc w:val="left"/>
      </w:pPr>
      <w:r>
        <w:rPr>
          <w:rFonts w:ascii="Cambria" w:hAnsi="Cambria"/>
          <w:b/>
          <w:i w:val="0"/>
          <w:color w:val="1F3A5F"/>
          <w:sz w:val="26"/>
        </w:rPr>
        <w:t>Continuous Improvement via Numeric Tracking</w:t>
      </w:r>
    </w:p>
    <w:p>
      <w:pPr>
        <w:spacing w:after="80"/>
        <w:ind w:left="340" w:hanging="340"/>
        <w:jc w:val="both"/>
      </w:pPr>
      <w:r>
        <w:rPr>
          <w:rFonts w:ascii="Cambria" w:hAnsi="Cambria"/>
          <w:b w:val="0"/>
          <w:i w:val="0"/>
          <w:sz w:val="22"/>
        </w:rPr>
        <w:t xml:space="preserve">1. </w:t>
      </w:r>
      <w:r>
        <w:rPr>
          <w:rFonts w:ascii="Cambria" w:hAnsi="Cambria"/>
          <w:b w:val="0"/>
          <w:i w:val="0"/>
          <w:sz w:val="22"/>
        </w:rPr>
        <w:t>Inputs (Budget Policy = Operational, Maintenance, Development, etc.)</w:t>
      </w:r>
    </w:p>
    <w:p>
      <w:pPr>
        <w:pStyle w:val="ListBullet2"/>
        <w:spacing w:after="80"/>
        <w:jc w:val="both"/>
      </w:pPr>
      <w:r>
        <w:rPr>
          <w:rFonts w:ascii="Cambria" w:hAnsi="Cambria"/>
          <w:b w:val="0"/>
          <w:i w:val="0"/>
          <w:sz w:val="22"/>
        </w:rPr>
        <w:t>HoD prepares planned vs. utilized budgets.</w:t>
      </w:r>
    </w:p>
    <w:p>
      <w:pPr>
        <w:pStyle w:val="ListBullet2"/>
        <w:spacing w:after="80"/>
        <w:jc w:val="both"/>
      </w:pPr>
      <w:r>
        <w:rPr>
          <w:rFonts w:ascii="Cambria" w:hAnsi="Cambria"/>
          <w:b w:val="0"/>
          <w:i w:val="0"/>
          <w:sz w:val="22"/>
        </w:rPr>
        <w:t>Evidence: Proposals, utilization certificates, AMC records, FDP reports.</w:t>
      </w:r>
    </w:p>
    <w:p>
      <w:pPr>
        <w:spacing w:after="80"/>
        <w:ind w:left="340" w:hanging="340"/>
        <w:jc w:val="both"/>
      </w:pPr>
      <w:r>
        <w:rPr>
          <w:rFonts w:ascii="Cambria" w:hAnsi="Cambria"/>
          <w:b w:val="0"/>
          <w:i w:val="0"/>
          <w:sz w:val="22"/>
        </w:rPr>
        <w:t xml:space="preserve">2. </w:t>
      </w:r>
      <w:r>
        <w:rPr>
          <w:rFonts w:ascii="Cambria" w:hAnsi="Cambria"/>
          <w:b w:val="0"/>
          <w:i w:val="0"/>
          <w:sz w:val="22"/>
        </w:rPr>
        <w:t>Numeric Tracking (KPIs)</w:t>
      </w:r>
    </w:p>
    <w:p>
      <w:pPr>
        <w:pStyle w:val="ListBullet2"/>
        <w:spacing w:after="80"/>
        <w:jc w:val="both"/>
      </w:pPr>
      <w:r>
        <w:rPr>
          <w:rFonts w:ascii="Cambria" w:hAnsi="Cambria"/>
          <w:b w:val="0"/>
          <w:i w:val="0"/>
          <w:sz w:val="22"/>
        </w:rPr>
        <w:t>Utilization % → e.g., 92% utilization vs. 85% baseline.</w:t>
      </w:r>
    </w:p>
    <w:p>
      <w:pPr>
        <w:pStyle w:val="ListBullet2"/>
        <w:spacing w:after="80"/>
        <w:jc w:val="both"/>
      </w:pPr>
      <w:r>
        <w:rPr>
          <w:rFonts w:ascii="Cambria" w:hAnsi="Cambria"/>
          <w:b w:val="0"/>
          <w:i w:val="0"/>
          <w:sz w:val="22"/>
        </w:rPr>
        <w:t>YoY Growth % → e.g., development budget ↑ 15% YoY.</w:t>
      </w:r>
    </w:p>
    <w:p>
      <w:pPr>
        <w:pStyle w:val="ListBullet2"/>
        <w:spacing w:after="80"/>
        <w:jc w:val="both"/>
      </w:pPr>
      <w:r>
        <w:rPr>
          <w:rFonts w:ascii="Cambria" w:hAnsi="Cambria"/>
          <w:b w:val="0"/>
          <w:i w:val="0"/>
          <w:sz w:val="22"/>
        </w:rPr>
        <w:t>Infrastructure upgrades → e.g., 2 new labs added, ICT adoption ↑ 17%.</w:t>
      </w:r>
    </w:p>
    <w:p>
      <w:pPr>
        <w:pStyle w:val="ListBullet2"/>
        <w:spacing w:after="80"/>
        <w:jc w:val="both"/>
      </w:pPr>
      <w:r>
        <w:rPr>
          <w:rFonts w:ascii="Cambria" w:hAnsi="Cambria"/>
          <w:b w:val="0"/>
          <w:i w:val="0"/>
          <w:sz w:val="22"/>
        </w:rPr>
        <w:t>Faculty FDPs/Research → e.g., 2.5 FDPs/faculty, publications ↑ 31%.</w:t>
      </w:r>
    </w:p>
    <w:p>
      <w:pPr>
        <w:pStyle w:val="ListBullet2"/>
        <w:spacing w:after="80"/>
        <w:jc w:val="both"/>
      </w:pPr>
      <w:r>
        <w:rPr>
          <w:rFonts w:ascii="Cambria" w:hAnsi="Cambria"/>
          <w:b w:val="0"/>
          <w:i w:val="0"/>
          <w:sz w:val="22"/>
        </w:rPr>
        <w:t>Student projects/support → e.g., 20 funded projects, pass % ↑ 10%.</w:t>
      </w:r>
    </w:p>
    <w:p>
      <w:pPr>
        <w:spacing w:after="80"/>
        <w:ind w:left="340" w:hanging="340"/>
        <w:jc w:val="both"/>
      </w:pPr>
      <w:r>
        <w:rPr>
          <w:rFonts w:ascii="Cambria" w:hAnsi="Cambria"/>
          <w:b w:val="0"/>
          <w:i w:val="0"/>
          <w:sz w:val="22"/>
        </w:rPr>
        <w:t xml:space="preserve">3. </w:t>
      </w:r>
      <w:r>
        <w:rPr>
          <w:rFonts w:ascii="Cambria" w:hAnsi="Cambria"/>
          <w:b w:val="0"/>
          <w:i w:val="0"/>
          <w:sz w:val="22"/>
        </w:rPr>
        <w:t>OBE Linkage (CO/PO/PSO Attainment)</w:t>
      </w:r>
    </w:p>
    <w:p>
      <w:pPr>
        <w:pStyle w:val="ListBullet2"/>
        <w:spacing w:after="80"/>
        <w:jc w:val="both"/>
      </w:pPr>
      <w:r>
        <w:rPr>
          <w:rFonts w:ascii="Cambria" w:hAnsi="Cambria"/>
          <w:b w:val="0"/>
          <w:i w:val="0"/>
          <w:sz w:val="22"/>
        </w:rPr>
        <w:t>Operational Budget → PO11, PO12 (project management &amp; lifelong learning).</w:t>
      </w:r>
    </w:p>
    <w:p>
      <w:pPr>
        <w:pStyle w:val="ListBullet2"/>
        <w:spacing w:after="80"/>
        <w:jc w:val="both"/>
      </w:pPr>
      <w:r>
        <w:rPr>
          <w:rFonts w:ascii="Cambria" w:hAnsi="Cambria"/>
          <w:b w:val="0"/>
          <w:i w:val="0"/>
          <w:sz w:val="22"/>
        </w:rPr>
        <w:t>Maintenance Budget → PO1, PSO2 (knowledge &amp; lab proficiency).</w:t>
      </w:r>
    </w:p>
    <w:p>
      <w:pPr>
        <w:pStyle w:val="ListBullet2"/>
        <w:spacing w:after="80"/>
        <w:jc w:val="both"/>
      </w:pPr>
      <w:r>
        <w:rPr>
          <w:rFonts w:ascii="Cambria" w:hAnsi="Cambria"/>
          <w:b w:val="0"/>
          <w:i w:val="0"/>
          <w:sz w:val="22"/>
        </w:rPr>
        <w:t>Development Budget → PSO3, PO7, PO8 (specialization, sustainability, ethics).</w:t>
      </w:r>
    </w:p>
    <w:p>
      <w:pPr>
        <w:pStyle w:val="ListBullet2"/>
        <w:spacing w:after="80"/>
        <w:jc w:val="both"/>
      </w:pPr>
      <w:r>
        <w:rPr>
          <w:rFonts w:ascii="Cambria" w:hAnsi="Cambria"/>
          <w:b w:val="0"/>
          <w:i w:val="0"/>
          <w:sz w:val="22"/>
        </w:rPr>
        <w:t>Research Budget → PO4, PSO2 (investigations &amp; innovation).</w:t>
      </w:r>
    </w:p>
    <w:p>
      <w:pPr>
        <w:pStyle w:val="ListBullet2"/>
        <w:spacing w:after="80"/>
        <w:jc w:val="both"/>
      </w:pPr>
      <w:r>
        <w:rPr>
          <w:rFonts w:ascii="Cambria" w:hAnsi="Cambria"/>
          <w:b w:val="0"/>
          <w:i w:val="0"/>
          <w:sz w:val="22"/>
        </w:rPr>
        <w:t>Outcomes from budgets feed into PO/PSO attainment reports.</w:t>
      </w:r>
    </w:p>
    <w:p>
      <w:pPr>
        <w:spacing w:after="80"/>
        <w:ind w:left="340" w:hanging="340"/>
        <w:jc w:val="both"/>
      </w:pPr>
      <w:r>
        <w:rPr>
          <w:rFonts w:ascii="Cambria" w:hAnsi="Cambria"/>
          <w:b w:val="0"/>
          <w:i w:val="0"/>
          <w:sz w:val="22"/>
        </w:rPr>
        <w:t xml:space="preserve">4. </w:t>
      </w:r>
      <w:r>
        <w:rPr>
          <w:rFonts w:ascii="Cambria" w:hAnsi="Cambria"/>
          <w:b w:val="0"/>
          <w:i w:val="0"/>
          <w:sz w:val="22"/>
        </w:rPr>
        <w:t>Continuous Improvement (Year-on-Year Evidence)</w:t>
      </w:r>
    </w:p>
    <w:p>
      <w:pPr>
        <w:pStyle w:val="ListBullet2"/>
        <w:spacing w:after="80"/>
        <w:jc w:val="both"/>
      </w:pPr>
      <w:r>
        <w:rPr>
          <w:rFonts w:ascii="Cambria" w:hAnsi="Cambria"/>
          <w:b w:val="0"/>
          <w:i w:val="0"/>
          <w:sz w:val="22"/>
        </w:rPr>
        <w:t>Each cycle compares baseline vs. improvement.</w:t>
      </w:r>
    </w:p>
    <w:p>
      <w:pPr>
        <w:pStyle w:val="ListBullet2"/>
        <w:spacing w:after="80"/>
        <w:jc w:val="both"/>
      </w:pPr>
      <w:r>
        <w:rPr>
          <w:rFonts w:ascii="Cambria" w:hAnsi="Cambria"/>
          <w:b w:val="0"/>
          <w:i w:val="0"/>
          <w:sz w:val="22"/>
        </w:rPr>
        <w:t>Example trace:</w:t>
      </w:r>
    </w:p>
    <w:p>
      <w:pPr>
        <w:pStyle w:val="ListBullet2"/>
        <w:spacing w:after="80"/>
        <w:jc w:val="both"/>
      </w:pPr>
      <w:r>
        <w:rPr>
          <w:rFonts w:ascii="Cambria" w:hAnsi="Cambria"/>
          <w:b w:val="0"/>
          <w:i w:val="0"/>
          <w:sz w:val="22"/>
        </w:rPr>
        <w:t>Pass % = 78% (2022–23) → 88% (2023–24) → +10% YoY.</w:t>
      </w:r>
    </w:p>
    <w:p>
      <w:pPr>
        <w:pStyle w:val="ListBullet2"/>
        <w:spacing w:after="80"/>
        <w:jc w:val="both"/>
      </w:pPr>
      <w:r>
        <w:rPr>
          <w:rFonts w:ascii="Cambria" w:hAnsi="Cambria"/>
          <w:b w:val="0"/>
          <w:i w:val="0"/>
          <w:sz w:val="22"/>
        </w:rPr>
        <w:t>FDPs = 1.8 per faculty (2022–23) → 2.3 (2023–24) → +28% YoY.</w:t>
      </w:r>
    </w:p>
    <w:p>
      <w:pPr>
        <w:pStyle w:val="ListBullet2"/>
        <w:spacing w:after="80"/>
        <w:jc w:val="both"/>
      </w:pPr>
      <w:r>
        <w:rPr>
          <w:rFonts w:ascii="Cambria" w:hAnsi="Cambria"/>
          <w:b w:val="0"/>
          <w:i w:val="0"/>
          <w:sz w:val="22"/>
        </w:rPr>
        <w:t>Equipment uptime = 85% → 96% → +11% YoY.</w:t>
      </w:r>
    </w:p>
    <w:p>
      <w:pPr>
        <w:pStyle w:val="ListBullet2"/>
        <w:spacing w:after="80"/>
        <w:jc w:val="both"/>
      </w:pPr>
      <w:r>
        <w:rPr>
          <w:rFonts w:ascii="Cambria" w:hAnsi="Cambria"/>
          <w:b w:val="0"/>
          <w:i w:val="0"/>
          <w:sz w:val="22"/>
        </w:rPr>
        <w:t>Research revenue = ₹5L → ₹8L → +60% YoY.</w:t>
      </w:r>
    </w:p>
    <w:p>
      <w:pPr>
        <w:pStyle w:val="ListBullet2"/>
        <w:spacing w:after="80"/>
        <w:jc w:val="both"/>
      </w:pPr>
      <w:r>
        <w:rPr>
          <w:rFonts w:ascii="Cambria" w:hAnsi="Cambria"/>
          <w:b w:val="0"/>
          <w:i w:val="0"/>
          <w:sz w:val="22"/>
        </w:rPr>
        <w:t>These numeric changes = proof of continuous improvement.</w:t>
      </w:r>
    </w:p>
    <w:p>
      <w:pPr>
        <w:spacing w:after="80"/>
        <w:ind w:left="340" w:hanging="340"/>
        <w:jc w:val="both"/>
      </w:pPr>
      <w:r>
        <w:rPr>
          <w:rFonts w:ascii="Cambria" w:hAnsi="Cambria"/>
          <w:b w:val="0"/>
          <w:i w:val="0"/>
          <w:sz w:val="22"/>
        </w:rPr>
        <w:t xml:space="preserve">5. </w:t>
      </w:r>
      <w:r>
        <w:rPr>
          <w:rFonts w:ascii="Cambria" w:hAnsi="Cambria"/>
          <w:b w:val="0"/>
          <w:i w:val="0"/>
          <w:sz w:val="22"/>
        </w:rPr>
        <w:t>Audit Presentation</w:t>
      </w:r>
    </w:p>
    <w:p>
      <w:pPr>
        <w:pStyle w:val="ListBullet2"/>
        <w:spacing w:after="80"/>
        <w:jc w:val="both"/>
      </w:pPr>
      <w:r>
        <w:rPr>
          <w:rFonts w:ascii="Cambria" w:hAnsi="Cambria"/>
          <w:b w:val="0"/>
          <w:i w:val="0"/>
          <w:sz w:val="22"/>
        </w:rPr>
        <w:t>Excel Tracker + Dashboard → auto-captures utilization, YoY growth, RAG indicators.</w:t>
      </w:r>
    </w:p>
    <w:p>
      <w:pPr>
        <w:pStyle w:val="ListBullet2"/>
        <w:spacing w:after="80"/>
        <w:jc w:val="both"/>
      </w:pPr>
      <w:r>
        <w:rPr>
          <w:rFonts w:ascii="Cambria" w:hAnsi="Cambria"/>
          <w:b w:val="0"/>
          <w:i w:val="0"/>
          <w:sz w:val="22"/>
        </w:rPr>
        <w:t>CO–PO–PSO Attainment Matrix → shows how improvements in infra, FDPs, research, and student projects raise PO/PSO attainment year after year.</w:t>
      </w:r>
    </w:p>
    <w:p>
      <w:pPr>
        <w:keepNext/>
        <w:spacing w:before="280" w:after="160"/>
        <w:jc w:val="left"/>
      </w:pPr>
      <w:r>
        <w:rPr>
          <w:rFonts w:ascii="Cambria" w:hAnsi="Cambria"/>
          <w:b/>
          <w:i w:val="0"/>
          <w:color w:val="1F3A5F"/>
          <w:sz w:val="26"/>
        </w:rPr>
        <w:t>Transparency Framework in Budget–OBE Traceability</w:t>
      </w:r>
    </w:p>
    <w:p>
      <w:pPr>
        <w:spacing w:after="80"/>
        <w:ind w:left="340" w:hanging="340"/>
        <w:jc w:val="both"/>
      </w:pPr>
      <w:r>
        <w:rPr>
          <w:rFonts w:ascii="Cambria" w:hAnsi="Cambria"/>
          <w:b w:val="0"/>
          <w:i w:val="0"/>
          <w:sz w:val="22"/>
        </w:rPr>
        <w:t xml:space="preserve">1. </w:t>
      </w:r>
      <w:r>
        <w:rPr>
          <w:rFonts w:ascii="Cambria" w:hAnsi="Cambria"/>
          <w:b w:val="0"/>
          <w:i w:val="0"/>
          <w:sz w:val="22"/>
        </w:rPr>
        <w:t>Policy → Budget Type</w:t>
      </w:r>
    </w:p>
    <w:p>
      <w:pPr>
        <w:pStyle w:val="ListBullet2"/>
        <w:spacing w:after="80"/>
        <w:jc w:val="both"/>
      </w:pPr>
      <w:r>
        <w:rPr>
          <w:rFonts w:ascii="Cambria" w:hAnsi="Cambria"/>
          <w:b w:val="0"/>
          <w:i w:val="0"/>
          <w:sz w:val="22"/>
        </w:rPr>
        <w:t>Operational, Maintenance, Development, FDP, Student Support, Research &amp; Consultancy.</w:t>
      </w:r>
    </w:p>
    <w:p>
      <w:pPr>
        <w:spacing w:after="80"/>
        <w:ind w:left="340" w:hanging="340"/>
        <w:jc w:val="both"/>
      </w:pPr>
      <w:r>
        <w:rPr>
          <w:rFonts w:ascii="Cambria" w:hAnsi="Cambria"/>
          <w:b w:val="0"/>
          <w:i w:val="0"/>
          <w:sz w:val="22"/>
        </w:rPr>
        <w:t xml:space="preserve">2. </w:t>
      </w:r>
      <w:r>
        <w:rPr>
          <w:rFonts w:ascii="Cambria" w:hAnsi="Cambria"/>
          <w:b w:val="0"/>
          <w:i w:val="0"/>
          <w:sz w:val="22"/>
        </w:rPr>
        <w:t>Action → Implementation by HoD</w:t>
      </w:r>
    </w:p>
    <w:p>
      <w:pPr>
        <w:pStyle w:val="ListBullet2"/>
        <w:spacing w:after="80"/>
        <w:jc w:val="both"/>
      </w:pPr>
      <w:r>
        <w:rPr>
          <w:rFonts w:ascii="Cambria" w:hAnsi="Cambria"/>
          <w:b w:val="0"/>
          <w:i w:val="0"/>
          <w:sz w:val="22"/>
        </w:rPr>
        <w:t>Budget prepared, resources allocated, utilization monitored.</w:t>
      </w:r>
    </w:p>
    <w:p>
      <w:pPr>
        <w:spacing w:after="80"/>
        <w:ind w:left="340" w:hanging="340"/>
        <w:jc w:val="both"/>
      </w:pPr>
      <w:r>
        <w:rPr>
          <w:rFonts w:ascii="Cambria" w:hAnsi="Cambria"/>
          <w:b w:val="0"/>
          <w:i w:val="0"/>
          <w:sz w:val="22"/>
        </w:rPr>
        <w:t xml:space="preserve">3. </w:t>
      </w:r>
      <w:r>
        <w:rPr>
          <w:rFonts w:ascii="Cambria" w:hAnsi="Cambria"/>
          <w:b w:val="0"/>
          <w:i w:val="0"/>
          <w:sz w:val="22"/>
        </w:rPr>
        <w:t>Evidence → Verifiable Documents</w:t>
      </w:r>
    </w:p>
    <w:p>
      <w:pPr>
        <w:pStyle w:val="ListBullet2"/>
        <w:spacing w:after="80"/>
        <w:jc w:val="both"/>
      </w:pPr>
      <w:r>
        <w:rPr>
          <w:rFonts w:ascii="Cambria" w:hAnsi="Cambria"/>
          <w:b w:val="0"/>
          <w:i w:val="0"/>
          <w:sz w:val="22"/>
        </w:rPr>
        <w:t>Annual budget proposals</w:t>
      </w:r>
    </w:p>
    <w:p>
      <w:pPr>
        <w:pStyle w:val="ListBullet2"/>
        <w:spacing w:after="80"/>
        <w:jc w:val="both"/>
      </w:pPr>
      <w:r>
        <w:rPr>
          <w:rFonts w:ascii="Cambria" w:hAnsi="Cambria"/>
          <w:b w:val="0"/>
          <w:i w:val="0"/>
          <w:sz w:val="22"/>
        </w:rPr>
        <w:t>Utilization certificates</w:t>
      </w:r>
    </w:p>
    <w:p>
      <w:pPr>
        <w:pStyle w:val="ListBullet2"/>
        <w:spacing w:after="80"/>
        <w:jc w:val="both"/>
      </w:pPr>
      <w:r>
        <w:rPr>
          <w:rFonts w:ascii="Cambria" w:hAnsi="Cambria"/>
          <w:b w:val="0"/>
          <w:i w:val="0"/>
          <w:sz w:val="22"/>
        </w:rPr>
        <w:t>AMC contracts &amp; maintenance logs</w:t>
      </w:r>
    </w:p>
    <w:p>
      <w:pPr>
        <w:pStyle w:val="ListBullet2"/>
        <w:spacing w:after="80"/>
        <w:jc w:val="both"/>
      </w:pPr>
      <w:r>
        <w:rPr>
          <w:rFonts w:ascii="Cambria" w:hAnsi="Cambria"/>
          <w:b w:val="0"/>
          <w:i w:val="0"/>
          <w:sz w:val="22"/>
        </w:rPr>
        <w:t>FDP participation reports</w:t>
      </w:r>
    </w:p>
    <w:p>
      <w:pPr>
        <w:pStyle w:val="ListBullet2"/>
        <w:spacing w:after="80"/>
        <w:jc w:val="both"/>
      </w:pPr>
      <w:r>
        <w:rPr>
          <w:rFonts w:ascii="Cambria" w:hAnsi="Cambria"/>
          <w:b w:val="0"/>
          <w:i w:val="0"/>
          <w:sz w:val="22"/>
        </w:rPr>
        <w:t>Student project sanction orders</w:t>
      </w:r>
    </w:p>
    <w:p>
      <w:pPr>
        <w:pStyle w:val="ListBullet2"/>
        <w:spacing w:after="80"/>
        <w:jc w:val="both"/>
      </w:pPr>
      <w:r>
        <w:rPr>
          <w:rFonts w:ascii="Cambria" w:hAnsi="Cambria"/>
          <w:b w:val="0"/>
          <w:i w:val="0"/>
          <w:sz w:val="22"/>
        </w:rPr>
        <w:t>Research funding approvals</w:t>
      </w:r>
    </w:p>
    <w:p>
      <w:pPr>
        <w:pStyle w:val="ListBullet2"/>
        <w:spacing w:after="80"/>
        <w:jc w:val="both"/>
      </w:pPr>
      <w:r>
        <w:rPr>
          <w:rFonts w:ascii="Cambria" w:hAnsi="Cambria"/>
          <w:b w:val="0"/>
          <w:i w:val="0"/>
          <w:sz w:val="22"/>
        </w:rPr>
        <w:t>Finance committee minutes</w:t>
      </w:r>
    </w:p>
    <w:p>
      <w:pPr>
        <w:spacing w:after="80"/>
        <w:ind w:left="340" w:hanging="340"/>
        <w:jc w:val="both"/>
      </w:pPr>
      <w:r>
        <w:rPr>
          <w:rFonts w:ascii="Cambria" w:hAnsi="Cambria"/>
          <w:b w:val="0"/>
          <w:i w:val="0"/>
          <w:sz w:val="22"/>
        </w:rPr>
        <w:t xml:space="preserve">4. </w:t>
      </w:r>
      <w:r>
        <w:rPr>
          <w:rFonts w:ascii="Cambria" w:hAnsi="Cambria"/>
          <w:b w:val="0"/>
          <w:i w:val="0"/>
          <w:sz w:val="22"/>
        </w:rPr>
        <w:t>OBE Mapping → POs/PSOs Strengthened</w:t>
      </w:r>
    </w:p>
    <w:p>
      <w:pPr>
        <w:pStyle w:val="ListBullet2"/>
        <w:spacing w:after="80"/>
        <w:jc w:val="both"/>
      </w:pPr>
      <w:r>
        <w:rPr>
          <w:rFonts w:ascii="Cambria" w:hAnsi="Cambria"/>
          <w:b w:val="0"/>
          <w:i w:val="0"/>
          <w:sz w:val="22"/>
        </w:rPr>
        <w:t>PO11 (Project Management &amp; Finance)</w:t>
      </w:r>
    </w:p>
    <w:p>
      <w:pPr>
        <w:pStyle w:val="ListBullet2"/>
        <w:spacing w:after="80"/>
        <w:jc w:val="both"/>
      </w:pPr>
      <w:r>
        <w:rPr>
          <w:rFonts w:ascii="Cambria" w:hAnsi="Cambria"/>
          <w:b w:val="0"/>
          <w:i w:val="0"/>
          <w:sz w:val="22"/>
        </w:rPr>
        <w:t>PO12 (Life-long Learning)</w:t>
      </w:r>
    </w:p>
    <w:p>
      <w:pPr>
        <w:pStyle w:val="ListBullet2"/>
        <w:spacing w:after="80"/>
        <w:jc w:val="both"/>
      </w:pPr>
      <w:r>
        <w:rPr>
          <w:rFonts w:ascii="Cambria" w:hAnsi="Cambria"/>
          <w:b w:val="0"/>
          <w:i w:val="0"/>
          <w:sz w:val="22"/>
        </w:rPr>
        <w:t>PO4 (Investigations)</w:t>
      </w:r>
    </w:p>
    <w:p>
      <w:pPr>
        <w:pStyle w:val="ListBullet2"/>
        <w:spacing w:after="80"/>
        <w:jc w:val="both"/>
      </w:pPr>
      <w:r>
        <w:rPr>
          <w:rFonts w:ascii="Cambria" w:hAnsi="Cambria"/>
          <w:b w:val="0"/>
          <w:i w:val="0"/>
          <w:sz w:val="22"/>
        </w:rPr>
        <w:t>PSO2 (Innovation &amp; Research)</w:t>
      </w:r>
    </w:p>
    <w:p>
      <w:pPr>
        <w:pStyle w:val="ListBullet2"/>
        <w:spacing w:after="80"/>
        <w:jc w:val="both"/>
      </w:pPr>
      <w:r>
        <w:rPr>
          <w:rFonts w:ascii="Cambria" w:hAnsi="Cambria"/>
          <w:b w:val="0"/>
          <w:i w:val="0"/>
          <w:sz w:val="22"/>
        </w:rPr>
        <w:t>PSO3 (Specialization Readiness)</w:t>
      </w:r>
    </w:p>
    <w:p>
      <w:pPr>
        <w:spacing w:after="80"/>
        <w:ind w:left="340" w:hanging="340"/>
        <w:jc w:val="both"/>
      </w:pPr>
      <w:r>
        <w:rPr>
          <w:rFonts w:ascii="Cambria" w:hAnsi="Cambria"/>
          <w:b w:val="0"/>
          <w:i w:val="0"/>
          <w:sz w:val="22"/>
        </w:rPr>
        <w:t xml:space="preserve">5. </w:t>
      </w:r>
      <w:r>
        <w:rPr>
          <w:rFonts w:ascii="Cambria" w:hAnsi="Cambria"/>
          <w:b w:val="0"/>
          <w:i w:val="0"/>
          <w:sz w:val="22"/>
        </w:rPr>
        <w:t>Outcome → Numeric Results</w:t>
      </w:r>
    </w:p>
    <w:p>
      <w:pPr>
        <w:pStyle w:val="ListBullet2"/>
        <w:spacing w:after="80"/>
        <w:jc w:val="both"/>
      </w:pPr>
      <w:r>
        <w:rPr>
          <w:rFonts w:ascii="Cambria" w:hAnsi="Cambria"/>
          <w:b w:val="0"/>
          <w:i w:val="0"/>
          <w:sz w:val="22"/>
        </w:rPr>
        <w:t>Utilization % (e.g., 92%)</w:t>
      </w:r>
    </w:p>
    <w:p>
      <w:pPr>
        <w:pStyle w:val="ListBullet2"/>
        <w:spacing w:after="80"/>
        <w:jc w:val="both"/>
      </w:pPr>
      <w:r>
        <w:rPr>
          <w:rFonts w:ascii="Cambria" w:hAnsi="Cambria"/>
          <w:b w:val="0"/>
          <w:i w:val="0"/>
          <w:sz w:val="22"/>
        </w:rPr>
        <w:t>YoY Growth (e.g., +15%)</w:t>
      </w:r>
    </w:p>
    <w:p>
      <w:pPr>
        <w:pStyle w:val="ListBullet2"/>
        <w:spacing w:after="80"/>
        <w:jc w:val="both"/>
      </w:pPr>
      <w:r>
        <w:rPr>
          <w:rFonts w:ascii="Cambria" w:hAnsi="Cambria"/>
          <w:b w:val="0"/>
          <w:i w:val="0"/>
          <w:sz w:val="22"/>
        </w:rPr>
        <w:t>FDPs per faculty (e.g., 2.5)</w:t>
      </w:r>
    </w:p>
    <w:p>
      <w:pPr>
        <w:pStyle w:val="ListBullet2"/>
        <w:spacing w:after="80"/>
        <w:jc w:val="both"/>
      </w:pPr>
      <w:r>
        <w:rPr>
          <w:rFonts w:ascii="Cambria" w:hAnsi="Cambria"/>
          <w:b w:val="0"/>
          <w:i w:val="0"/>
          <w:sz w:val="22"/>
        </w:rPr>
        <w:t>Student projects funded (e.g., 20)</w:t>
      </w:r>
    </w:p>
    <w:p>
      <w:pPr>
        <w:pStyle w:val="ListBullet2"/>
        <w:spacing w:after="80"/>
        <w:jc w:val="both"/>
      </w:pPr>
      <w:r>
        <w:rPr>
          <w:rFonts w:ascii="Cambria" w:hAnsi="Cambria"/>
          <w:b w:val="0"/>
          <w:i w:val="0"/>
          <w:sz w:val="22"/>
        </w:rPr>
        <w:t>Research revenue (e.g., ₹8L)</w:t>
      </w:r>
    </w:p>
    <w:p>
      <w:pPr>
        <w:pStyle w:val="ListBullet2"/>
        <w:spacing w:after="80"/>
        <w:jc w:val="both"/>
      </w:pPr>
      <w:r>
        <w:rPr>
          <w:rFonts w:ascii="Cambria" w:hAnsi="Cambria"/>
          <w:b w:val="0"/>
          <w:i w:val="0"/>
          <w:sz w:val="22"/>
        </w:rPr>
        <w:t>Equipment uptime (e.g., 96%)</w:t>
      </w:r>
    </w:p>
    <w:p>
      <w:pPr>
        <w:keepNext/>
        <w:spacing w:before="280" w:after="160"/>
        <w:jc w:val="left"/>
      </w:pPr>
      <w:r>
        <w:rPr>
          <w:rFonts w:ascii="Cambria" w:hAnsi="Cambria"/>
          <w:b/>
          <w:i w:val="0"/>
          <w:color w:val="1F3A5F"/>
          <w:sz w:val="26"/>
        </w:rPr>
        <w:t>OBE-Compliant</w:t>
      </w:r>
    </w:p>
    <w:p>
      <w:pPr>
        <w:pStyle w:val="ListBullet"/>
        <w:spacing w:after="80"/>
        <w:jc w:val="both"/>
      </w:pPr>
      <w:r>
        <w:rPr>
          <w:rFonts w:ascii="Cambria" w:hAnsi="Cambria"/>
          <w:b w:val="0"/>
          <w:i w:val="0"/>
          <w:sz w:val="22"/>
        </w:rPr>
        <w:t>Budgets are no longer “just financial records” but are mapped to POs/PSOs.</w:t>
      </w:r>
    </w:p>
    <w:p>
      <w:pPr>
        <w:pStyle w:val="ListBullet"/>
        <w:spacing w:after="80"/>
        <w:jc w:val="both"/>
      </w:pPr>
      <w:r>
        <w:rPr>
          <w:rFonts w:ascii="Cambria" w:hAnsi="Cambria"/>
          <w:b w:val="0"/>
          <w:i w:val="0"/>
          <w:sz w:val="22"/>
        </w:rPr>
        <w:t>Example:</w:t>
      </w:r>
    </w:p>
    <w:p>
      <w:pPr>
        <w:pStyle w:val="ListBullet2"/>
        <w:spacing w:after="80"/>
        <w:jc w:val="both"/>
      </w:pPr>
      <w:r>
        <w:rPr>
          <w:rFonts w:ascii="Cambria" w:hAnsi="Cambria"/>
          <w:b w:val="0"/>
          <w:i w:val="0"/>
          <w:sz w:val="22"/>
        </w:rPr>
        <w:t>Faculty Development Budget → PO12 (Life-long Learning), PSO3 (Research Readiness).</w:t>
      </w:r>
    </w:p>
    <w:p>
      <w:pPr>
        <w:pStyle w:val="ListBullet2"/>
        <w:spacing w:after="80"/>
        <w:jc w:val="both"/>
      </w:pPr>
      <w:r>
        <w:rPr>
          <w:rFonts w:ascii="Cambria" w:hAnsi="Cambria"/>
          <w:b w:val="0"/>
          <w:i w:val="0"/>
          <w:sz w:val="22"/>
        </w:rPr>
        <w:t>Research &amp; Consultancy Budget → PO4 (Investigations), PSO2 (Innovation &amp; Research).</w:t>
      </w:r>
    </w:p>
    <w:p>
      <w:pPr>
        <w:pStyle w:val="ListBullet"/>
        <w:spacing w:after="80"/>
        <w:jc w:val="both"/>
      </w:pPr>
      <w:r>
        <w:rPr>
          <w:rFonts w:ascii="Cambria" w:hAnsi="Cambria"/>
          <w:b w:val="0"/>
          <w:i w:val="0"/>
          <w:sz w:val="22"/>
        </w:rPr>
        <w:t>Shows that financial resources directly contribute to learning outcomes.</w:t>
      </w:r>
    </w:p>
    <w:p>
      <w:pPr>
        <w:keepNext/>
        <w:spacing w:before="280" w:after="160"/>
        <w:jc w:val="left"/>
      </w:pPr>
      <w:r>
        <w:rPr>
          <w:rFonts w:ascii="Cambria" w:hAnsi="Cambria"/>
          <w:b/>
          <w:i w:val="0"/>
          <w:color w:val="1F3A5F"/>
          <w:sz w:val="26"/>
        </w:rPr>
        <w:t>Audit-Ready</w:t>
      </w:r>
    </w:p>
    <w:p>
      <w:pPr>
        <w:pStyle w:val="ListBullet"/>
        <w:spacing w:after="80"/>
        <w:jc w:val="both"/>
      </w:pPr>
      <w:r>
        <w:rPr>
          <w:rFonts w:ascii="Cambria" w:hAnsi="Cambria"/>
          <w:b w:val="0"/>
          <w:i w:val="0"/>
          <w:sz w:val="22"/>
        </w:rPr>
        <w:t>Each budget entry is backed with verifiable evidence:</w:t>
      </w:r>
    </w:p>
    <w:p>
      <w:pPr>
        <w:pStyle w:val="ListBullet2"/>
        <w:spacing w:after="80"/>
        <w:jc w:val="both"/>
      </w:pPr>
      <w:r>
        <w:rPr>
          <w:rFonts w:ascii="Cambria" w:hAnsi="Cambria"/>
          <w:b w:val="0"/>
          <w:i w:val="0"/>
          <w:sz w:val="22"/>
        </w:rPr>
        <w:t>Proposals, Utilization Certificates, AMC logs, FDP reports, MoUs.</w:t>
      </w:r>
    </w:p>
    <w:p>
      <w:pPr>
        <w:pStyle w:val="ListBullet"/>
        <w:spacing w:after="80"/>
        <w:jc w:val="both"/>
      </w:pPr>
      <w:r>
        <w:rPr>
          <w:rFonts w:ascii="Cambria" w:hAnsi="Cambria"/>
          <w:b w:val="0"/>
          <w:i w:val="0"/>
          <w:sz w:val="22"/>
        </w:rPr>
        <w:t>Numeric tracking (utilization %, YoY growth, FDP count, student projects, infra upgrades).</w:t>
      </w:r>
    </w:p>
    <w:p>
      <w:pPr>
        <w:pStyle w:val="ListBullet"/>
        <w:spacing w:after="80"/>
        <w:jc w:val="both"/>
      </w:pPr>
      <w:r>
        <w:rPr>
          <w:rFonts w:ascii="Cambria" w:hAnsi="Cambria"/>
          <w:b w:val="0"/>
          <w:i w:val="0"/>
          <w:sz w:val="22"/>
        </w:rPr>
        <w:t>Transparency → Peer reviewers can open a link in the tracker and validate the document.</w:t>
      </w:r>
    </w:p>
    <w:p>
      <w:pPr>
        <w:keepNext/>
        <w:spacing w:before="280" w:after="160"/>
        <w:jc w:val="left"/>
      </w:pPr>
      <w:r>
        <w:rPr>
          <w:rFonts w:ascii="Cambria" w:hAnsi="Cambria"/>
          <w:b/>
          <w:i w:val="0"/>
          <w:color w:val="1F3A5F"/>
          <w:sz w:val="26"/>
        </w:rPr>
        <w:t>NAAC/NBA-Aligned</w:t>
      </w:r>
    </w:p>
    <w:p>
      <w:pPr>
        <w:pStyle w:val="ListBullet"/>
        <w:spacing w:after="80"/>
        <w:jc w:val="both"/>
      </w:pPr>
      <w:r>
        <w:rPr>
          <w:rFonts w:ascii="Cambria" w:hAnsi="Cambria"/>
          <w:b w:val="0"/>
          <w:i w:val="0"/>
          <w:sz w:val="22"/>
        </w:rPr>
        <w:t>NAAC Criterion 2.4, 2.5, 6.4 → teaching-learning, evaluation, and financial management.</w:t>
      </w:r>
    </w:p>
    <w:p>
      <w:pPr>
        <w:pStyle w:val="ListBullet"/>
        <w:spacing w:after="80"/>
        <w:jc w:val="both"/>
      </w:pPr>
      <w:r>
        <w:rPr>
          <w:rFonts w:ascii="Cambria" w:hAnsi="Cambria"/>
          <w:b w:val="0"/>
          <w:i w:val="0"/>
          <w:sz w:val="22"/>
        </w:rPr>
        <w:t>NBA SAR Criterion 3.1.3 (Direct Attainment Calculation) → shows how resources feed into PO/PSO attainment.</w:t>
      </w:r>
    </w:p>
    <w:p>
      <w:pPr>
        <w:pStyle w:val="ListBullet"/>
        <w:spacing w:after="80"/>
        <w:jc w:val="both"/>
      </w:pPr>
      <w:r>
        <w:rPr>
          <w:rFonts w:ascii="Cambria" w:hAnsi="Cambria"/>
          <w:b w:val="0"/>
          <w:i w:val="0"/>
          <w:sz w:val="22"/>
        </w:rPr>
        <w:t>Continuous Improvement → baseline vs improvement YoY, with tangible outcomes (e.g., 10% ↑ pass %, 15% ↑ infra investment, 28% ↑ FDP participation).</w:t>
      </w:r>
    </w:p>
    <w:p>
      <w:pPr>
        <w:pStyle w:val="ListBullet"/>
        <w:spacing w:after="80"/>
        <w:jc w:val="both"/>
      </w:pPr>
      <w:r>
        <w:rPr>
          <w:rFonts w:ascii="Cambria" w:hAnsi="Cambria"/>
          <w:b w:val="0"/>
          <w:i w:val="0"/>
          <w:sz w:val="22"/>
        </w:rPr>
        <w:t>Presentation-friendly → dashboards (line charts, radar charts, RAG indicators) make impact visible at a glance.</w:t>
      </w:r>
    </w:p>
    <w:p>
      <w:r>
        <w:br w:type="page"/>
      </w:r>
    </w:p>
    <w:p>
      <w:pPr>
        <w:keepNext/>
        <w:spacing w:before="280" w:after="160"/>
        <w:jc w:val="left"/>
      </w:pPr>
      <w:r>
        <w:rPr>
          <w:rFonts w:ascii="Cambria" w:hAnsi="Cambria"/>
          <w:b/>
          <w:i w:val="0"/>
          <w:color w:val="1F3A5F"/>
          <w:sz w:val="30"/>
        </w:rPr>
        <w:t>6. HoD's Role in Conducting DDC (Departmental Development Committee) Meetings Once per Semester</w:t>
      </w:r>
    </w:p>
    <w:p>
      <w:pPr>
        <w:keepNext/>
        <w:spacing w:before="280" w:after="160"/>
        <w:jc w:val="left"/>
      </w:pPr>
      <w:r>
        <w:rPr>
          <w:rFonts w:ascii="Cambria" w:hAnsi="Cambria"/>
          <w:b/>
          <w:i w:val="0"/>
          <w:color w:val="1F3A5F"/>
          <w:sz w:val="26"/>
        </w:rPr>
        <w:t>Policy Statement</w:t>
      </w:r>
    </w:p>
    <w:p>
      <w:pPr>
        <w:pStyle w:val="ListBullet"/>
        <w:spacing w:after="80"/>
        <w:jc w:val="both"/>
      </w:pPr>
      <w:r>
        <w:rPr>
          <w:rFonts w:ascii="Cambria" w:hAnsi="Cambria"/>
          <w:b w:val="0"/>
          <w:i w:val="0"/>
          <w:sz w:val="22"/>
        </w:rPr>
        <w:t>The HoD shall organize Departmental Development Committee (DDC) meetings once per semester to plan, review, and approve academic, laboratory, and research development initiatives.</w:t>
      </w:r>
    </w:p>
    <w:p>
      <w:pPr>
        <w:keepNext/>
        <w:spacing w:before="280" w:after="160"/>
        <w:jc w:val="left"/>
      </w:pPr>
      <w:r>
        <w:rPr>
          <w:rFonts w:ascii="Cambria" w:hAnsi="Cambria"/>
          <w:b/>
          <w:i w:val="0"/>
          <w:color w:val="1F3A5F"/>
          <w:sz w:val="26"/>
        </w:rPr>
        <w:t>Actions by HoD</w:t>
      </w:r>
    </w:p>
    <w:p>
      <w:pPr>
        <w:pStyle w:val="ListBullet"/>
        <w:spacing w:after="80"/>
        <w:jc w:val="both"/>
      </w:pPr>
      <w:r>
        <w:rPr>
          <w:rFonts w:ascii="Cambria" w:hAnsi="Cambria"/>
          <w:b w:val="0"/>
          <w:i w:val="0"/>
          <w:sz w:val="22"/>
        </w:rPr>
        <w:t>Constitute the DDC with faculty, lab in-charges, and external/industry experts (if applicable).</w:t>
      </w:r>
    </w:p>
    <w:p>
      <w:pPr>
        <w:pStyle w:val="ListBullet"/>
        <w:spacing w:after="80"/>
        <w:jc w:val="both"/>
      </w:pPr>
      <w:r>
        <w:rPr>
          <w:rFonts w:ascii="Cambria" w:hAnsi="Cambria"/>
          <w:b w:val="0"/>
          <w:i w:val="0"/>
          <w:sz w:val="22"/>
        </w:rPr>
        <w:t>Schedule at least two meetings per academic year (one per semester).</w:t>
      </w:r>
    </w:p>
    <w:p>
      <w:pPr>
        <w:pStyle w:val="ListBullet"/>
        <w:spacing w:after="80"/>
        <w:jc w:val="both"/>
      </w:pPr>
      <w:r>
        <w:rPr>
          <w:rFonts w:ascii="Cambria" w:hAnsi="Cambria"/>
          <w:b w:val="0"/>
          <w:i w:val="0"/>
          <w:sz w:val="22"/>
        </w:rPr>
        <w:t>Prepare agenda covering:</w:t>
      </w:r>
    </w:p>
    <w:p>
      <w:pPr>
        <w:pStyle w:val="ListBullet2"/>
        <w:spacing w:after="80"/>
        <w:jc w:val="both"/>
      </w:pPr>
      <w:r>
        <w:rPr>
          <w:rFonts w:ascii="Cambria" w:hAnsi="Cambria"/>
          <w:b w:val="0"/>
          <w:i w:val="0"/>
          <w:sz w:val="22"/>
        </w:rPr>
        <w:t>Curriculum updates &amp; outcome-based education alignment (CO–PO–PSO).</w:t>
      </w:r>
    </w:p>
    <w:p>
      <w:pPr>
        <w:pStyle w:val="ListBullet2"/>
        <w:spacing w:after="80"/>
        <w:jc w:val="both"/>
      </w:pPr>
      <w:r>
        <w:rPr>
          <w:rFonts w:ascii="Cambria" w:hAnsi="Cambria"/>
          <w:b w:val="0"/>
          <w:i w:val="0"/>
          <w:sz w:val="22"/>
        </w:rPr>
        <w:t>Laboratory modernization and ICT integration.</w:t>
      </w:r>
    </w:p>
    <w:p>
      <w:pPr>
        <w:pStyle w:val="ListBullet2"/>
        <w:spacing w:after="80"/>
        <w:jc w:val="both"/>
      </w:pPr>
      <w:r>
        <w:rPr>
          <w:rFonts w:ascii="Cambria" w:hAnsi="Cambria"/>
          <w:b w:val="0"/>
          <w:i w:val="0"/>
          <w:sz w:val="22"/>
        </w:rPr>
        <w:t>Research, consultancy, and FDP planning.</w:t>
      </w:r>
    </w:p>
    <w:p>
      <w:pPr>
        <w:pStyle w:val="ListBullet2"/>
        <w:spacing w:after="80"/>
        <w:jc w:val="both"/>
      </w:pPr>
      <w:r>
        <w:rPr>
          <w:rFonts w:ascii="Cambria" w:hAnsi="Cambria"/>
          <w:b w:val="0"/>
          <w:i w:val="0"/>
          <w:sz w:val="22"/>
        </w:rPr>
        <w:t>Student project/placement support initiatives.</w:t>
      </w:r>
    </w:p>
    <w:p>
      <w:pPr>
        <w:pStyle w:val="ListBullet"/>
        <w:spacing w:after="80"/>
        <w:jc w:val="both"/>
      </w:pPr>
      <w:r>
        <w:rPr>
          <w:rFonts w:ascii="Cambria" w:hAnsi="Cambria"/>
          <w:b w:val="0"/>
          <w:i w:val="0"/>
          <w:sz w:val="22"/>
        </w:rPr>
        <w:t>Record minutes of meeting (MoM) with action items, responsible persons, and deadlines.</w:t>
      </w:r>
    </w:p>
    <w:p>
      <w:pPr>
        <w:pStyle w:val="ListBullet"/>
        <w:spacing w:after="80"/>
        <w:jc w:val="both"/>
      </w:pPr>
      <w:r>
        <w:rPr>
          <w:rFonts w:ascii="Cambria" w:hAnsi="Cambria"/>
          <w:b w:val="0"/>
          <w:i w:val="0"/>
          <w:sz w:val="22"/>
        </w:rPr>
        <w:t>Forward approved proposals to BoS (Board of Studies) / Academic Council / Finance Committee for implementation.</w:t>
      </w:r>
    </w:p>
    <w:p>
      <w:pPr>
        <w:pStyle w:val="ListBullet"/>
        <w:spacing w:after="80"/>
        <w:jc w:val="both"/>
      </w:pPr>
      <w:r>
        <w:rPr>
          <w:rFonts w:ascii="Cambria" w:hAnsi="Cambria"/>
          <w:b w:val="0"/>
          <w:i w:val="0"/>
          <w:sz w:val="22"/>
        </w:rPr>
        <w:t>Review implementation progress in subsequent meetings.</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Meeting notices &amp; agenda.</w:t>
      </w:r>
    </w:p>
    <w:p>
      <w:pPr>
        <w:pStyle w:val="ListBullet"/>
        <w:spacing w:after="80"/>
        <w:jc w:val="both"/>
      </w:pPr>
      <w:r>
        <w:rPr>
          <w:rFonts w:ascii="Cambria" w:hAnsi="Cambria"/>
          <w:b w:val="0"/>
          <w:i w:val="0"/>
          <w:sz w:val="22"/>
        </w:rPr>
        <w:t>Attendance sheets of participants.</w:t>
      </w:r>
    </w:p>
    <w:p>
      <w:pPr>
        <w:pStyle w:val="ListBullet"/>
        <w:spacing w:after="80"/>
        <w:jc w:val="both"/>
      </w:pPr>
      <w:r>
        <w:rPr>
          <w:rFonts w:ascii="Cambria" w:hAnsi="Cambria"/>
          <w:b w:val="0"/>
          <w:i w:val="0"/>
          <w:sz w:val="22"/>
        </w:rPr>
        <w:t>Signed minutes of meeting (MoM).</w:t>
      </w:r>
    </w:p>
    <w:p>
      <w:pPr>
        <w:pStyle w:val="ListBullet"/>
        <w:spacing w:after="80"/>
        <w:jc w:val="both"/>
      </w:pPr>
      <w:r>
        <w:rPr>
          <w:rFonts w:ascii="Cambria" w:hAnsi="Cambria"/>
          <w:b w:val="0"/>
          <w:i w:val="0"/>
          <w:sz w:val="22"/>
        </w:rPr>
        <w:t>Action taken reports (ATR) on previous decisions.</w:t>
      </w:r>
    </w:p>
    <w:p>
      <w:pPr>
        <w:pStyle w:val="ListBullet"/>
        <w:spacing w:after="80"/>
        <w:jc w:val="both"/>
      </w:pPr>
      <w:r>
        <w:rPr>
          <w:rFonts w:ascii="Cambria" w:hAnsi="Cambria"/>
          <w:b w:val="0"/>
          <w:i w:val="0"/>
          <w:sz w:val="22"/>
        </w:rPr>
        <w:t>Budget proposals, lab purchase records, ICT upgrade documents.</w:t>
      </w:r>
    </w:p>
    <w:p>
      <w:pPr>
        <w:keepNext/>
        <w:spacing w:before="280" w:after="160"/>
        <w:jc w:val="left"/>
      </w:pPr>
      <w:r>
        <w:rPr>
          <w:rFonts w:ascii="Cambria" w:hAnsi="Cambria"/>
          <w:b/>
          <w:i w:val="0"/>
          <w:color w:val="1F3A5F"/>
          <w:sz w:val="26"/>
        </w:rPr>
        <w:t>OBE Mapping (PO/PSO Links)</w:t>
      </w:r>
    </w:p>
    <w:p>
      <w:pPr>
        <w:pStyle w:val="ListBullet"/>
        <w:spacing w:after="80"/>
        <w:jc w:val="both"/>
      </w:pPr>
      <w:r>
        <w:rPr>
          <w:rFonts w:ascii="Cambria" w:hAnsi="Cambria"/>
          <w:b w:val="0"/>
          <w:i w:val="0"/>
          <w:sz w:val="22"/>
        </w:rPr>
        <w:t>PO11: Project Management &amp; Finance – students benefit from systematic planning.</w:t>
      </w:r>
    </w:p>
    <w:p>
      <w:pPr>
        <w:pStyle w:val="ListBullet"/>
        <w:spacing w:after="80"/>
        <w:jc w:val="both"/>
      </w:pPr>
      <w:r>
        <w:rPr>
          <w:rFonts w:ascii="Cambria" w:hAnsi="Cambria"/>
          <w:b w:val="0"/>
          <w:i w:val="0"/>
          <w:sz w:val="22"/>
        </w:rPr>
        <w:t>PO12: Life-long Learning – curriculum/lab improvements update student skills.</w:t>
      </w:r>
    </w:p>
    <w:p>
      <w:pPr>
        <w:pStyle w:val="ListBullet"/>
        <w:spacing w:after="80"/>
        <w:jc w:val="both"/>
      </w:pPr>
      <w:r>
        <w:rPr>
          <w:rFonts w:ascii="Cambria" w:hAnsi="Cambria"/>
          <w:b w:val="0"/>
          <w:i w:val="0"/>
          <w:sz w:val="22"/>
        </w:rPr>
        <w:t>PSO2: Innovation &amp; Research – lab/research upgrades enable projects &amp; publications.</w:t>
      </w:r>
    </w:p>
    <w:p>
      <w:pPr>
        <w:pStyle w:val="ListBullet"/>
        <w:spacing w:after="80"/>
        <w:jc w:val="both"/>
      </w:pPr>
      <w:r>
        <w:rPr>
          <w:rFonts w:ascii="Cambria" w:hAnsi="Cambria"/>
          <w:b w:val="0"/>
          <w:i w:val="0"/>
          <w:sz w:val="22"/>
        </w:rPr>
        <w:t>PSO3: Specialization Readiness – new lab/ICT infra supports advanced courses.</w:t>
      </w:r>
    </w:p>
    <w:p>
      <w:pPr>
        <w:keepNext/>
        <w:spacing w:before="280" w:after="160"/>
        <w:jc w:val="left"/>
      </w:pPr>
      <w:r>
        <w:rPr>
          <w:rFonts w:ascii="Cambria" w:hAnsi="Cambria"/>
          <w:b/>
          <w:i w:val="0"/>
          <w:color w:val="1F3A5F"/>
          <w:sz w:val="26"/>
        </w:rPr>
        <w:t>Tangible &amp; Numeric Outcomes</w:t>
      </w:r>
    </w:p>
    <w:p>
      <w:pPr>
        <w:pStyle w:val="ListBullet"/>
        <w:spacing w:after="80"/>
        <w:jc w:val="both"/>
      </w:pPr>
      <w:r>
        <w:rPr>
          <w:rFonts w:ascii="Cambria" w:hAnsi="Cambria"/>
          <w:b w:val="0"/>
          <w:i w:val="0"/>
          <w:sz w:val="22"/>
        </w:rPr>
        <w:t>Minimum 2 DDC meetings per year documented with MoM.</w:t>
      </w:r>
    </w:p>
    <w:p>
      <w:pPr>
        <w:pStyle w:val="ListBullet"/>
        <w:spacing w:after="80"/>
        <w:jc w:val="both"/>
      </w:pPr>
      <w:r>
        <w:rPr>
          <w:rFonts w:ascii="Cambria" w:hAnsi="Cambria"/>
          <w:b w:val="0"/>
          <w:i w:val="0"/>
          <w:sz w:val="22"/>
        </w:rPr>
        <w:t>≥80% of action items implemented within the same academic year.</w:t>
      </w:r>
    </w:p>
    <w:p>
      <w:pPr>
        <w:pStyle w:val="ListBullet"/>
        <w:spacing w:after="80"/>
        <w:jc w:val="both"/>
      </w:pPr>
      <w:r>
        <w:rPr>
          <w:rFonts w:ascii="Cambria" w:hAnsi="Cambria"/>
          <w:b w:val="0"/>
          <w:i w:val="0"/>
          <w:sz w:val="22"/>
        </w:rPr>
        <w:t>At least 1–2 new labs/ICT upgrades per year approved through DDC.</w:t>
      </w:r>
    </w:p>
    <w:p>
      <w:pPr>
        <w:pStyle w:val="ListBullet"/>
        <w:spacing w:after="80"/>
        <w:jc w:val="both"/>
      </w:pPr>
      <w:r>
        <w:rPr>
          <w:rFonts w:ascii="Cambria" w:hAnsi="Cambria"/>
          <w:b w:val="0"/>
          <w:i w:val="0"/>
          <w:sz w:val="22"/>
        </w:rPr>
        <w:t>≥5 curriculum revisions (CO–PO–PSO mapping updates) every 3 years.</w:t>
      </w:r>
    </w:p>
    <w:p>
      <w:pPr>
        <w:pStyle w:val="ListBullet"/>
        <w:spacing w:after="80"/>
        <w:jc w:val="both"/>
      </w:pPr>
      <w:r>
        <w:rPr>
          <w:rFonts w:ascii="Cambria" w:hAnsi="Cambria"/>
          <w:b w:val="0"/>
          <w:i w:val="0"/>
          <w:sz w:val="22"/>
        </w:rPr>
        <w:t>YoY growth in student projects/research outputs linked to DDC decisions (e.g., publications ↑ 20%).</w:t>
      </w:r>
    </w:p>
    <w:p>
      <w:pPr>
        <w:pStyle w:val="ListBullet"/>
        <w:spacing w:after="80"/>
        <w:jc w:val="both"/>
      </w:pPr>
      <w:r>
        <w:rPr>
          <w:rFonts w:ascii="Cambria" w:hAnsi="Cambria"/>
          <w:b w:val="0"/>
          <w:i w:val="0"/>
          <w:sz w:val="22"/>
        </w:rPr>
        <w:t>Improved student satisfaction survey scores on labs/teaching resources by ≥10%.</w:t>
      </w:r>
    </w:p>
    <w:p>
      <w:pPr>
        <w:keepNext/>
        <w:spacing w:before="280" w:after="160"/>
        <w:jc w:val="left"/>
      </w:pPr>
      <w:r>
        <w:rPr>
          <w:rFonts w:ascii="Cambria" w:hAnsi="Cambria"/>
          <w:b/>
          <w:i w:val="0"/>
          <w:color w:val="1F3A5F"/>
          <w:sz w:val="26"/>
        </w:rPr>
        <w:t>Evidence/Documents for DDC Meetings</w:t>
      </w:r>
    </w:p>
    <w:p>
      <w:pPr>
        <w:spacing w:after="80"/>
        <w:ind w:left="340" w:hanging="340"/>
        <w:jc w:val="both"/>
      </w:pPr>
      <w:r>
        <w:rPr>
          <w:rFonts w:ascii="Cambria" w:hAnsi="Cambria"/>
          <w:b w:val="0"/>
          <w:i w:val="0"/>
          <w:sz w:val="22"/>
        </w:rPr>
        <w:t xml:space="preserve">1. </w:t>
      </w:r>
      <w:r>
        <w:rPr>
          <w:rFonts w:ascii="Cambria" w:hAnsi="Cambria"/>
          <w:b w:val="0"/>
          <w:i w:val="0"/>
          <w:sz w:val="22"/>
        </w:rPr>
        <w:t>Meeting Notices &amp; Agenda</w:t>
      </w:r>
    </w:p>
    <w:p>
      <w:pPr>
        <w:pStyle w:val="ListBullet2"/>
        <w:spacing w:after="80"/>
        <w:jc w:val="both"/>
      </w:pPr>
      <w:r>
        <w:rPr>
          <w:rFonts w:ascii="Cambria" w:hAnsi="Cambria"/>
          <w:b w:val="0"/>
          <w:i w:val="0"/>
          <w:sz w:val="22"/>
        </w:rPr>
        <w:t>Official circular/email sent to committee members.</w:t>
      </w:r>
    </w:p>
    <w:p>
      <w:pPr>
        <w:pStyle w:val="ListBullet2"/>
        <w:spacing w:after="80"/>
        <w:jc w:val="both"/>
      </w:pPr>
      <w:r>
        <w:rPr>
          <w:rFonts w:ascii="Cambria" w:hAnsi="Cambria"/>
          <w:b w:val="0"/>
          <w:i w:val="0"/>
          <w:sz w:val="22"/>
        </w:rPr>
        <w:t>Agenda covering academic development, lab upgrades, research, FDPs, and student support.</w:t>
      </w:r>
    </w:p>
    <w:p>
      <w:pPr>
        <w:spacing w:after="80"/>
        <w:ind w:left="340" w:hanging="340"/>
        <w:jc w:val="both"/>
      </w:pPr>
      <w:r>
        <w:rPr>
          <w:rFonts w:ascii="Cambria" w:hAnsi="Cambria"/>
          <w:b w:val="0"/>
          <w:i w:val="0"/>
          <w:sz w:val="22"/>
        </w:rPr>
        <w:t xml:space="preserve">2. </w:t>
      </w:r>
      <w:r>
        <w:rPr>
          <w:rFonts w:ascii="Cambria" w:hAnsi="Cambria"/>
          <w:b w:val="0"/>
          <w:i w:val="0"/>
          <w:sz w:val="22"/>
        </w:rPr>
        <w:t>Attendance Sheets of Participants</w:t>
      </w:r>
    </w:p>
    <w:p>
      <w:pPr>
        <w:pStyle w:val="ListBullet2"/>
        <w:spacing w:after="80"/>
        <w:jc w:val="both"/>
      </w:pPr>
      <w:r>
        <w:rPr>
          <w:rFonts w:ascii="Cambria" w:hAnsi="Cambria"/>
          <w:b w:val="0"/>
          <w:i w:val="0"/>
          <w:sz w:val="22"/>
        </w:rPr>
        <w:t>Signed attendance by faculty, HoD, lab in-charges, external/industry experts (if included).</w:t>
      </w:r>
    </w:p>
    <w:p>
      <w:pPr>
        <w:pStyle w:val="ListBullet2"/>
        <w:spacing w:after="80"/>
        <w:jc w:val="both"/>
      </w:pPr>
      <w:r>
        <w:rPr>
          <w:rFonts w:ascii="Cambria" w:hAnsi="Cambria"/>
          <w:b w:val="0"/>
          <w:i w:val="0"/>
          <w:sz w:val="22"/>
        </w:rPr>
        <w:t>Ensures quorum and compliance with governance norms.</w:t>
      </w:r>
    </w:p>
    <w:p>
      <w:pPr>
        <w:spacing w:after="80"/>
        <w:ind w:left="340" w:hanging="340"/>
        <w:jc w:val="both"/>
      </w:pPr>
      <w:r>
        <w:rPr>
          <w:rFonts w:ascii="Cambria" w:hAnsi="Cambria"/>
          <w:b w:val="0"/>
          <w:i w:val="0"/>
          <w:sz w:val="22"/>
        </w:rPr>
        <w:t xml:space="preserve">3. </w:t>
      </w:r>
      <w:r>
        <w:rPr>
          <w:rFonts w:ascii="Cambria" w:hAnsi="Cambria"/>
          <w:b w:val="0"/>
          <w:i w:val="0"/>
          <w:sz w:val="22"/>
        </w:rPr>
        <w:t>Signed Minutes of Meeting (MoM)</w:t>
      </w:r>
    </w:p>
    <w:p>
      <w:pPr>
        <w:pStyle w:val="ListBullet2"/>
        <w:spacing w:after="80"/>
        <w:jc w:val="both"/>
      </w:pPr>
      <w:r>
        <w:rPr>
          <w:rFonts w:ascii="Cambria" w:hAnsi="Cambria"/>
          <w:b w:val="0"/>
          <w:i w:val="0"/>
          <w:sz w:val="22"/>
        </w:rPr>
        <w:t>Detailed record of discussions, decisions taken, and proposals approved.</w:t>
      </w:r>
    </w:p>
    <w:p>
      <w:pPr>
        <w:pStyle w:val="ListBullet2"/>
        <w:spacing w:after="80"/>
        <w:jc w:val="both"/>
      </w:pPr>
      <w:r>
        <w:rPr>
          <w:rFonts w:ascii="Cambria" w:hAnsi="Cambria"/>
          <w:b w:val="0"/>
          <w:i w:val="0"/>
          <w:sz w:val="22"/>
        </w:rPr>
        <w:t>Signed by HoD and DDC members for authenticity.</w:t>
      </w:r>
    </w:p>
    <w:p>
      <w:pPr>
        <w:spacing w:after="80"/>
        <w:ind w:left="340" w:hanging="340"/>
        <w:jc w:val="both"/>
      </w:pPr>
      <w:r>
        <w:rPr>
          <w:rFonts w:ascii="Cambria" w:hAnsi="Cambria"/>
          <w:b w:val="0"/>
          <w:i w:val="0"/>
          <w:sz w:val="22"/>
        </w:rPr>
        <w:t xml:space="preserve">4. </w:t>
      </w:r>
      <w:r>
        <w:rPr>
          <w:rFonts w:ascii="Cambria" w:hAnsi="Cambria"/>
          <w:b w:val="0"/>
          <w:i w:val="0"/>
          <w:sz w:val="22"/>
        </w:rPr>
        <w:t>Action Taken Reports (ATR)</w:t>
      </w:r>
    </w:p>
    <w:p>
      <w:pPr>
        <w:pStyle w:val="ListBullet2"/>
        <w:spacing w:after="80"/>
        <w:jc w:val="both"/>
      </w:pPr>
      <w:r>
        <w:rPr>
          <w:rFonts w:ascii="Cambria" w:hAnsi="Cambria"/>
          <w:b w:val="0"/>
          <w:i w:val="0"/>
          <w:sz w:val="22"/>
        </w:rPr>
        <w:t>Follow-up report on previous meeting's decisions.</w:t>
      </w:r>
    </w:p>
    <w:p>
      <w:pPr>
        <w:pStyle w:val="ListBullet2"/>
        <w:spacing w:after="80"/>
        <w:jc w:val="both"/>
      </w:pPr>
      <w:r>
        <w:rPr>
          <w:rFonts w:ascii="Cambria" w:hAnsi="Cambria"/>
          <w:b w:val="0"/>
          <w:i w:val="0"/>
          <w:sz w:val="22"/>
        </w:rPr>
        <w:t>Clearly marks completed, in-progress, pending action items.</w:t>
      </w:r>
    </w:p>
    <w:p>
      <w:pPr>
        <w:spacing w:after="80"/>
        <w:ind w:left="340" w:hanging="340"/>
        <w:jc w:val="both"/>
      </w:pPr>
      <w:r>
        <w:rPr>
          <w:rFonts w:ascii="Cambria" w:hAnsi="Cambria"/>
          <w:b w:val="0"/>
          <w:i w:val="0"/>
          <w:sz w:val="22"/>
        </w:rPr>
        <w:t xml:space="preserve">5. </w:t>
      </w:r>
      <w:r>
        <w:rPr>
          <w:rFonts w:ascii="Cambria" w:hAnsi="Cambria"/>
          <w:b w:val="0"/>
          <w:i w:val="0"/>
          <w:sz w:val="22"/>
        </w:rPr>
        <w:t>Budget Proposals</w:t>
      </w:r>
    </w:p>
    <w:p>
      <w:pPr>
        <w:pStyle w:val="ListBullet2"/>
        <w:spacing w:after="80"/>
        <w:jc w:val="both"/>
      </w:pPr>
      <w:r>
        <w:rPr>
          <w:rFonts w:ascii="Cambria" w:hAnsi="Cambria"/>
          <w:b w:val="0"/>
          <w:i w:val="0"/>
          <w:sz w:val="22"/>
        </w:rPr>
        <w:t>Cost estimates for lab modernization, ICT tools, and academic initiatives.</w:t>
      </w:r>
    </w:p>
    <w:p>
      <w:pPr>
        <w:pStyle w:val="ListBullet2"/>
        <w:spacing w:after="80"/>
        <w:jc w:val="both"/>
      </w:pPr>
      <w:r>
        <w:rPr>
          <w:rFonts w:ascii="Cambria" w:hAnsi="Cambria"/>
          <w:b w:val="0"/>
          <w:i w:val="0"/>
          <w:sz w:val="22"/>
        </w:rPr>
        <w:t>Linked to departmental/board approvals.</w:t>
      </w:r>
    </w:p>
    <w:p>
      <w:pPr>
        <w:spacing w:after="80"/>
        <w:ind w:left="340" w:hanging="340"/>
        <w:jc w:val="both"/>
      </w:pPr>
      <w:r>
        <w:rPr>
          <w:rFonts w:ascii="Cambria" w:hAnsi="Cambria"/>
          <w:b w:val="0"/>
          <w:i w:val="0"/>
          <w:sz w:val="22"/>
        </w:rPr>
        <w:t xml:space="preserve">6. </w:t>
      </w:r>
      <w:r>
        <w:rPr>
          <w:rFonts w:ascii="Cambria" w:hAnsi="Cambria"/>
          <w:b w:val="0"/>
          <w:i w:val="0"/>
          <w:sz w:val="22"/>
        </w:rPr>
        <w:t>Lab Purchase Records</w:t>
      </w:r>
    </w:p>
    <w:p>
      <w:pPr>
        <w:pStyle w:val="ListBullet2"/>
        <w:spacing w:after="80"/>
        <w:jc w:val="both"/>
      </w:pPr>
      <w:r>
        <w:rPr>
          <w:rFonts w:ascii="Cambria" w:hAnsi="Cambria"/>
          <w:b w:val="0"/>
          <w:i w:val="0"/>
          <w:sz w:val="22"/>
        </w:rPr>
        <w:t>Vendor quotations, purchase orders, invoices.</w:t>
      </w:r>
    </w:p>
    <w:p>
      <w:pPr>
        <w:pStyle w:val="ListBullet2"/>
        <w:spacing w:after="80"/>
        <w:jc w:val="both"/>
      </w:pPr>
      <w:r>
        <w:rPr>
          <w:rFonts w:ascii="Cambria" w:hAnsi="Cambria"/>
          <w:b w:val="0"/>
          <w:i w:val="0"/>
          <w:sz w:val="22"/>
        </w:rPr>
        <w:t>Installation and calibration certificates for new equipment.</w:t>
      </w:r>
    </w:p>
    <w:p>
      <w:pPr>
        <w:spacing w:after="80"/>
        <w:ind w:left="340" w:hanging="340"/>
        <w:jc w:val="both"/>
      </w:pPr>
      <w:r>
        <w:rPr>
          <w:rFonts w:ascii="Cambria" w:hAnsi="Cambria"/>
          <w:b w:val="0"/>
          <w:i w:val="0"/>
          <w:sz w:val="22"/>
        </w:rPr>
        <w:t xml:space="preserve">7. </w:t>
      </w:r>
      <w:r>
        <w:rPr>
          <w:rFonts w:ascii="Cambria" w:hAnsi="Cambria"/>
          <w:b w:val="0"/>
          <w:i w:val="0"/>
          <w:sz w:val="22"/>
        </w:rPr>
        <w:t>ICT Upgrade Documents</w:t>
      </w:r>
    </w:p>
    <w:p>
      <w:pPr>
        <w:pStyle w:val="ListBullet2"/>
        <w:spacing w:after="80"/>
        <w:jc w:val="both"/>
      </w:pPr>
      <w:r>
        <w:rPr>
          <w:rFonts w:ascii="Cambria" w:hAnsi="Cambria"/>
          <w:b w:val="0"/>
          <w:i w:val="0"/>
          <w:sz w:val="22"/>
        </w:rPr>
        <w:t>Procurement of software licenses, e-learning platforms, LMS integration.</w:t>
      </w:r>
    </w:p>
    <w:p>
      <w:pPr>
        <w:pStyle w:val="ListBullet2"/>
        <w:spacing w:after="80"/>
        <w:jc w:val="both"/>
      </w:pPr>
      <w:r>
        <w:rPr>
          <w:rFonts w:ascii="Cambria" w:hAnsi="Cambria"/>
          <w:b w:val="0"/>
          <w:i w:val="0"/>
          <w:sz w:val="22"/>
        </w:rPr>
        <w:t>Reports of ICT-enabled teaching adoption (e.g., smart classrooms, online labs).</w:t>
      </w:r>
    </w:p>
    <w:p>
      <w:pPr>
        <w:keepNext/>
        <w:spacing w:before="280" w:after="160"/>
        <w:jc w:val="left"/>
      </w:pPr>
      <w:r>
        <w:rPr>
          <w:rFonts w:ascii="Cambria" w:hAnsi="Cambria"/>
          <w:b/>
          <w:i w:val="0"/>
          <w:color w:val="1F3A5F"/>
          <w:sz w:val="26"/>
        </w:rPr>
        <w:t>Audit-Ready Evidence Structure for DDC Meetings</w:t>
      </w:r>
    </w:p>
    <w:p>
      <w:pPr>
        <w:spacing w:after="80"/>
        <w:ind w:left="340" w:hanging="340"/>
        <w:jc w:val="both"/>
      </w:pPr>
      <w:r>
        <w:rPr>
          <w:rFonts w:ascii="Cambria" w:hAnsi="Cambria"/>
          <w:b w:val="0"/>
          <w:i w:val="0"/>
          <w:sz w:val="22"/>
        </w:rPr>
        <w:t xml:space="preserve">1. </w:t>
      </w:r>
      <w:r>
        <w:rPr>
          <w:rFonts w:ascii="Cambria" w:hAnsi="Cambria"/>
          <w:b w:val="0"/>
          <w:i w:val="0"/>
          <w:sz w:val="22"/>
        </w:rPr>
        <w:t>Meeting Notices &amp; Agenda</w:t>
      </w:r>
    </w:p>
    <w:p>
      <w:pPr>
        <w:pStyle w:val="ListBullet2"/>
        <w:spacing w:after="80"/>
        <w:jc w:val="both"/>
      </w:pPr>
      <w:r>
        <w:rPr>
          <w:rFonts w:ascii="Cambria" w:hAnsi="Cambria"/>
          <w:b w:val="0"/>
          <w:i w:val="0"/>
          <w:sz w:val="22"/>
        </w:rPr>
        <w:t>Circulated by HoD well in advance.</w:t>
      </w:r>
    </w:p>
    <w:p>
      <w:pPr>
        <w:pStyle w:val="ListBullet2"/>
        <w:spacing w:after="80"/>
        <w:jc w:val="both"/>
      </w:pPr>
      <w:r>
        <w:rPr>
          <w:rFonts w:ascii="Cambria" w:hAnsi="Cambria"/>
          <w:b w:val="0"/>
          <w:i w:val="0"/>
          <w:sz w:val="22"/>
        </w:rPr>
        <w:t>Contains date, time, members, and key topics.</w:t>
      </w:r>
    </w:p>
    <w:p>
      <w:pPr>
        <w:pStyle w:val="ListBullet2"/>
        <w:spacing w:after="80"/>
        <w:jc w:val="both"/>
      </w:pPr>
      <w:r>
        <w:rPr>
          <w:rFonts w:ascii="Cambria" w:hAnsi="Cambria"/>
          <w:b w:val="0"/>
          <w:i w:val="0"/>
          <w:sz w:val="22"/>
        </w:rPr>
        <w:t>Acts as proof that the meeting was planned, not ad-hoc.</w:t>
      </w:r>
    </w:p>
    <w:p>
      <w:pPr>
        <w:spacing w:after="80"/>
        <w:ind w:left="340" w:hanging="340"/>
        <w:jc w:val="both"/>
      </w:pPr>
      <w:r>
        <w:rPr>
          <w:rFonts w:ascii="Cambria" w:hAnsi="Cambria"/>
          <w:b w:val="0"/>
          <w:i w:val="0"/>
          <w:sz w:val="22"/>
        </w:rPr>
        <w:t xml:space="preserve">2. </w:t>
      </w:r>
      <w:r>
        <w:rPr>
          <w:rFonts w:ascii="Cambria" w:hAnsi="Cambria"/>
          <w:b w:val="0"/>
          <w:i w:val="0"/>
          <w:sz w:val="22"/>
        </w:rPr>
        <w:t>Attendance Sheets</w:t>
      </w:r>
    </w:p>
    <w:p>
      <w:pPr>
        <w:pStyle w:val="ListBullet2"/>
        <w:spacing w:after="80"/>
        <w:jc w:val="both"/>
      </w:pPr>
      <w:r>
        <w:rPr>
          <w:rFonts w:ascii="Cambria" w:hAnsi="Cambria"/>
          <w:b w:val="0"/>
          <w:i w:val="0"/>
          <w:sz w:val="22"/>
        </w:rPr>
        <w:t>Signed by all participants (faculty, HoD, lab staff, external experts if any).</w:t>
      </w:r>
    </w:p>
    <w:p>
      <w:pPr>
        <w:pStyle w:val="ListBullet2"/>
        <w:spacing w:after="80"/>
        <w:jc w:val="both"/>
      </w:pPr>
      <w:r>
        <w:rPr>
          <w:rFonts w:ascii="Cambria" w:hAnsi="Cambria"/>
          <w:b w:val="0"/>
          <w:i w:val="0"/>
          <w:sz w:val="22"/>
        </w:rPr>
        <w:t>Confirms quorum and departmental participation.</w:t>
      </w:r>
    </w:p>
    <w:p>
      <w:pPr>
        <w:spacing w:after="80"/>
        <w:ind w:left="340" w:hanging="340"/>
        <w:jc w:val="both"/>
      </w:pPr>
      <w:r>
        <w:rPr>
          <w:rFonts w:ascii="Cambria" w:hAnsi="Cambria"/>
          <w:b w:val="0"/>
          <w:i w:val="0"/>
          <w:sz w:val="22"/>
        </w:rPr>
        <w:t xml:space="preserve">3. </w:t>
      </w:r>
      <w:r>
        <w:rPr>
          <w:rFonts w:ascii="Cambria" w:hAnsi="Cambria"/>
          <w:b w:val="0"/>
          <w:i w:val="0"/>
          <w:sz w:val="22"/>
        </w:rPr>
        <w:t>Minutes of Meeting (MoM)</w:t>
      </w:r>
    </w:p>
    <w:p>
      <w:pPr>
        <w:pStyle w:val="ListBullet2"/>
        <w:spacing w:after="80"/>
        <w:jc w:val="both"/>
      </w:pPr>
      <w:r>
        <w:rPr>
          <w:rFonts w:ascii="Cambria" w:hAnsi="Cambria"/>
          <w:b w:val="0"/>
          <w:i w:val="0"/>
          <w:sz w:val="22"/>
        </w:rPr>
        <w:t>Official record of discussions and decisions.</w:t>
      </w:r>
    </w:p>
    <w:p>
      <w:pPr>
        <w:pStyle w:val="ListBullet2"/>
        <w:spacing w:after="80"/>
        <w:jc w:val="both"/>
      </w:pPr>
      <w:r>
        <w:rPr>
          <w:rFonts w:ascii="Cambria" w:hAnsi="Cambria"/>
          <w:b w:val="0"/>
          <w:i w:val="0"/>
          <w:sz w:val="22"/>
        </w:rPr>
        <w:t>Signed by the HoD and committee members for validity.</w:t>
      </w:r>
    </w:p>
    <w:p>
      <w:pPr>
        <w:pStyle w:val="ListBullet2"/>
        <w:spacing w:after="80"/>
        <w:jc w:val="both"/>
      </w:pPr>
      <w:r>
        <w:rPr>
          <w:rFonts w:ascii="Cambria" w:hAnsi="Cambria"/>
          <w:b w:val="0"/>
          <w:i w:val="0"/>
          <w:sz w:val="22"/>
        </w:rPr>
        <w:t>Each point mapped to an action item with responsibility &amp; deadline.</w:t>
      </w:r>
    </w:p>
    <w:p>
      <w:pPr>
        <w:spacing w:after="80"/>
        <w:ind w:left="340" w:hanging="340"/>
        <w:jc w:val="both"/>
      </w:pPr>
      <w:r>
        <w:rPr>
          <w:rFonts w:ascii="Cambria" w:hAnsi="Cambria"/>
          <w:b w:val="0"/>
          <w:i w:val="0"/>
          <w:sz w:val="22"/>
        </w:rPr>
        <w:t xml:space="preserve">4. </w:t>
      </w:r>
      <w:r>
        <w:rPr>
          <w:rFonts w:ascii="Cambria" w:hAnsi="Cambria"/>
          <w:b w:val="0"/>
          <w:i w:val="0"/>
          <w:sz w:val="22"/>
        </w:rPr>
        <w:t>Action Taken Report (ATR)</w:t>
      </w:r>
    </w:p>
    <w:p>
      <w:pPr>
        <w:pStyle w:val="ListBullet2"/>
        <w:spacing w:after="80"/>
        <w:jc w:val="both"/>
      </w:pPr>
      <w:r>
        <w:rPr>
          <w:rFonts w:ascii="Cambria" w:hAnsi="Cambria"/>
          <w:b w:val="0"/>
          <w:i w:val="0"/>
          <w:sz w:val="22"/>
        </w:rPr>
        <w:t>Prepared in the next DDC meeting.</w:t>
      </w:r>
    </w:p>
    <w:p>
      <w:pPr>
        <w:pStyle w:val="ListBullet2"/>
        <w:spacing w:after="80"/>
        <w:jc w:val="both"/>
      </w:pPr>
      <w:r>
        <w:rPr>
          <w:rFonts w:ascii="Cambria" w:hAnsi="Cambria"/>
          <w:b w:val="0"/>
          <w:i w:val="0"/>
          <w:sz w:val="22"/>
        </w:rPr>
        <w:t>Shows which previous action items are completed, in progress, or pending.</w:t>
      </w:r>
    </w:p>
    <w:p>
      <w:pPr>
        <w:pStyle w:val="ListBullet2"/>
        <w:spacing w:after="80"/>
        <w:jc w:val="both"/>
      </w:pPr>
      <w:r>
        <w:rPr>
          <w:rFonts w:ascii="Cambria" w:hAnsi="Cambria"/>
          <w:b w:val="0"/>
          <w:i w:val="0"/>
          <w:sz w:val="22"/>
        </w:rPr>
        <w:t>Demonstrates continuous improvement cycle.</w:t>
      </w:r>
    </w:p>
    <w:p>
      <w:pPr>
        <w:spacing w:after="80"/>
        <w:ind w:left="340" w:hanging="340"/>
        <w:jc w:val="both"/>
      </w:pPr>
      <w:r>
        <w:rPr>
          <w:rFonts w:ascii="Cambria" w:hAnsi="Cambria"/>
          <w:b w:val="0"/>
          <w:i w:val="0"/>
          <w:sz w:val="22"/>
        </w:rPr>
        <w:t xml:space="preserve">5. </w:t>
      </w:r>
      <w:r>
        <w:rPr>
          <w:rFonts w:ascii="Cambria" w:hAnsi="Cambria"/>
          <w:b w:val="0"/>
          <w:i w:val="0"/>
          <w:sz w:val="22"/>
        </w:rPr>
        <w:t>Budget Proposals &amp; Approvals</w:t>
      </w:r>
    </w:p>
    <w:p>
      <w:pPr>
        <w:pStyle w:val="ListBullet2"/>
        <w:spacing w:after="80"/>
        <w:jc w:val="both"/>
      </w:pPr>
      <w:r>
        <w:rPr>
          <w:rFonts w:ascii="Cambria" w:hAnsi="Cambria"/>
          <w:b w:val="0"/>
          <w:i w:val="0"/>
          <w:sz w:val="22"/>
        </w:rPr>
        <w:t>Attached proposals for new labs, ICT upgrades, FDPs, or research.</w:t>
      </w:r>
    </w:p>
    <w:p>
      <w:pPr>
        <w:pStyle w:val="ListBullet2"/>
        <w:spacing w:after="80"/>
        <w:jc w:val="both"/>
      </w:pPr>
      <w:r>
        <w:rPr>
          <w:rFonts w:ascii="Cambria" w:hAnsi="Cambria"/>
          <w:b w:val="0"/>
          <w:i w:val="0"/>
          <w:sz w:val="22"/>
        </w:rPr>
        <w:t>Forwarded to BoS/Finance Committee with sanction notes.</w:t>
      </w:r>
    </w:p>
    <w:p>
      <w:pPr>
        <w:spacing w:after="80"/>
        <w:ind w:left="340" w:hanging="340"/>
        <w:jc w:val="both"/>
      </w:pPr>
      <w:r>
        <w:rPr>
          <w:rFonts w:ascii="Cambria" w:hAnsi="Cambria"/>
          <w:b w:val="0"/>
          <w:i w:val="0"/>
          <w:sz w:val="22"/>
        </w:rPr>
        <w:t xml:space="preserve">6. </w:t>
      </w:r>
      <w:r>
        <w:rPr>
          <w:rFonts w:ascii="Cambria" w:hAnsi="Cambria"/>
          <w:b w:val="0"/>
          <w:i w:val="0"/>
          <w:sz w:val="22"/>
        </w:rPr>
        <w:t>Purchase Records (Labs/ICT)</w:t>
      </w:r>
    </w:p>
    <w:p>
      <w:pPr>
        <w:pStyle w:val="ListBullet2"/>
        <w:spacing w:after="80"/>
        <w:jc w:val="both"/>
      </w:pPr>
      <w:r>
        <w:rPr>
          <w:rFonts w:ascii="Cambria" w:hAnsi="Cambria"/>
          <w:b w:val="0"/>
          <w:i w:val="0"/>
          <w:sz w:val="22"/>
        </w:rPr>
        <w:t>Quotations, POs, invoices, calibration/installation certificates.</w:t>
      </w:r>
    </w:p>
    <w:p>
      <w:pPr>
        <w:pStyle w:val="ListBullet2"/>
        <w:spacing w:after="80"/>
        <w:jc w:val="both"/>
      </w:pPr>
      <w:r>
        <w:rPr>
          <w:rFonts w:ascii="Cambria" w:hAnsi="Cambria"/>
          <w:b w:val="0"/>
          <w:i w:val="0"/>
          <w:sz w:val="22"/>
        </w:rPr>
        <w:t>Proof that decisions were implemented.</w:t>
      </w:r>
    </w:p>
    <w:p>
      <w:pPr>
        <w:keepNext/>
        <w:spacing w:before="280" w:after="160"/>
        <w:jc w:val="left"/>
      </w:pPr>
      <w:r>
        <w:rPr>
          <w:rFonts w:ascii="Cambria" w:hAnsi="Cambria"/>
          <w:b/>
          <w:i w:val="0"/>
          <w:color w:val="1F3A5F"/>
          <w:sz w:val="26"/>
        </w:rPr>
        <w:t>Transparency Framework for DDC Meetings</w:t>
      </w:r>
    </w:p>
    <w:p>
      <w:pPr>
        <w:spacing w:after="80"/>
        <w:ind w:left="340" w:hanging="340"/>
        <w:jc w:val="both"/>
      </w:pPr>
      <w:r>
        <w:rPr>
          <w:rFonts w:ascii="Cambria" w:hAnsi="Cambria"/>
          <w:b w:val="0"/>
          <w:i w:val="0"/>
          <w:sz w:val="22"/>
        </w:rPr>
        <w:t xml:space="preserve">1. </w:t>
      </w:r>
      <w:r>
        <w:rPr>
          <w:rFonts w:ascii="Cambria" w:hAnsi="Cambria"/>
          <w:b w:val="0"/>
          <w:i w:val="0"/>
          <w:sz w:val="22"/>
        </w:rPr>
        <w:t>Decision-Making (MoM)</w:t>
      </w:r>
    </w:p>
    <w:p>
      <w:pPr>
        <w:pStyle w:val="ListBullet2"/>
        <w:spacing w:after="80"/>
        <w:jc w:val="both"/>
      </w:pPr>
      <w:r>
        <w:rPr>
          <w:rFonts w:ascii="Cambria" w:hAnsi="Cambria"/>
          <w:b w:val="0"/>
          <w:i w:val="0"/>
          <w:sz w:val="22"/>
        </w:rPr>
        <w:t>All major decisions (e.g., lab upgrades, curriculum revisions, FDP planning) are recorded in signed Minutes of Meeting (MoM).</w:t>
      </w:r>
    </w:p>
    <w:p>
      <w:pPr>
        <w:pStyle w:val="ListBullet2"/>
        <w:spacing w:after="80"/>
        <w:jc w:val="both"/>
      </w:pPr>
      <w:r>
        <w:rPr>
          <w:rFonts w:ascii="Cambria" w:hAnsi="Cambria"/>
          <w:b w:val="0"/>
          <w:i w:val="0"/>
          <w:sz w:val="22"/>
        </w:rPr>
        <w:t>Each decision has a responsible person + timeline.</w:t>
      </w:r>
    </w:p>
    <w:p>
      <w:pPr>
        <w:spacing w:after="80"/>
        <w:ind w:left="340" w:hanging="340"/>
        <w:jc w:val="both"/>
      </w:pPr>
      <w:r>
        <w:rPr>
          <w:rFonts w:ascii="Cambria" w:hAnsi="Cambria"/>
          <w:b w:val="0"/>
          <w:i w:val="0"/>
          <w:sz w:val="22"/>
        </w:rPr>
        <w:t xml:space="preserve">2. </w:t>
      </w:r>
      <w:r>
        <w:rPr>
          <w:rFonts w:ascii="Cambria" w:hAnsi="Cambria"/>
          <w:b w:val="0"/>
          <w:i w:val="0"/>
          <w:sz w:val="22"/>
        </w:rPr>
        <w:t>Traceability to Action (ATR)</w:t>
      </w:r>
    </w:p>
    <w:p>
      <w:pPr>
        <w:pStyle w:val="ListBullet2"/>
        <w:spacing w:after="80"/>
        <w:jc w:val="both"/>
      </w:pPr>
      <w:r>
        <w:rPr>
          <w:rFonts w:ascii="Cambria" w:hAnsi="Cambria"/>
          <w:b w:val="0"/>
          <w:i w:val="0"/>
          <w:sz w:val="22"/>
        </w:rPr>
        <w:t>At the next DDC meeting, the Action Taken Report (ATR) shows the status of each MoM decision: completed, ongoing, pending.</w:t>
      </w:r>
    </w:p>
    <w:p>
      <w:pPr>
        <w:pStyle w:val="ListBullet2"/>
        <w:spacing w:after="80"/>
        <w:jc w:val="both"/>
      </w:pPr>
      <w:r>
        <w:rPr>
          <w:rFonts w:ascii="Cambria" w:hAnsi="Cambria"/>
          <w:b w:val="0"/>
          <w:i w:val="0"/>
          <w:sz w:val="22"/>
        </w:rPr>
        <w:t>This proves follow-through and accountability.</w:t>
      </w:r>
    </w:p>
    <w:p>
      <w:pPr>
        <w:spacing w:after="80"/>
        <w:ind w:left="340" w:hanging="340"/>
        <w:jc w:val="both"/>
      </w:pPr>
      <w:r>
        <w:rPr>
          <w:rFonts w:ascii="Cambria" w:hAnsi="Cambria"/>
          <w:b w:val="0"/>
          <w:i w:val="0"/>
          <w:sz w:val="22"/>
        </w:rPr>
        <w:t xml:space="preserve">3. </w:t>
      </w:r>
      <w:r>
        <w:rPr>
          <w:rFonts w:ascii="Cambria" w:hAnsi="Cambria"/>
          <w:b w:val="0"/>
          <w:i w:val="0"/>
          <w:sz w:val="22"/>
        </w:rPr>
        <w:t>Evidence of Implementation</w:t>
      </w:r>
    </w:p>
    <w:p>
      <w:pPr>
        <w:pStyle w:val="ListBullet2"/>
        <w:spacing w:after="80"/>
        <w:jc w:val="both"/>
      </w:pPr>
      <w:r>
        <w:rPr>
          <w:rFonts w:ascii="Cambria" w:hAnsi="Cambria"/>
          <w:b w:val="0"/>
          <w:i w:val="0"/>
          <w:sz w:val="22"/>
        </w:rPr>
        <w:t>If a lab upgrade was approved → purchase orders, invoices, and installation certificates must be attached.</w:t>
      </w:r>
    </w:p>
    <w:p>
      <w:pPr>
        <w:pStyle w:val="ListBullet2"/>
        <w:spacing w:after="80"/>
        <w:jc w:val="both"/>
      </w:pPr>
      <w:r>
        <w:rPr>
          <w:rFonts w:ascii="Cambria" w:hAnsi="Cambria"/>
          <w:b w:val="0"/>
          <w:i w:val="0"/>
          <w:sz w:val="22"/>
        </w:rPr>
        <w:t>If an FDP was approved → budget sanction note + participation certificates serve as proof.</w:t>
      </w:r>
    </w:p>
    <w:p>
      <w:pPr>
        <w:pStyle w:val="ListBullet2"/>
        <w:spacing w:after="80"/>
        <w:jc w:val="both"/>
      </w:pPr>
      <w:r>
        <w:rPr>
          <w:rFonts w:ascii="Cambria" w:hAnsi="Cambria"/>
          <w:b w:val="0"/>
          <w:i w:val="0"/>
          <w:sz w:val="22"/>
        </w:rPr>
        <w:t>If a curriculum change was approved → BoS/Academic Council approvals become evidence.</w:t>
      </w:r>
    </w:p>
    <w:p>
      <w:pPr>
        <w:spacing w:after="80"/>
        <w:ind w:left="340" w:hanging="340"/>
        <w:jc w:val="both"/>
      </w:pPr>
      <w:r>
        <w:rPr>
          <w:rFonts w:ascii="Cambria" w:hAnsi="Cambria"/>
          <w:b w:val="0"/>
          <w:i w:val="0"/>
          <w:sz w:val="22"/>
        </w:rPr>
        <w:t xml:space="preserve">4. </w:t>
      </w:r>
      <w:r>
        <w:rPr>
          <w:rFonts w:ascii="Cambria" w:hAnsi="Cambria"/>
          <w:b w:val="0"/>
          <w:i w:val="0"/>
          <w:sz w:val="22"/>
        </w:rPr>
        <w:t>Outcome Measurement</w:t>
      </w:r>
    </w:p>
    <w:p>
      <w:pPr>
        <w:pStyle w:val="ListBullet2"/>
        <w:spacing w:after="80"/>
        <w:jc w:val="both"/>
      </w:pPr>
      <w:r>
        <w:rPr>
          <w:rFonts w:ascii="Cambria" w:hAnsi="Cambria"/>
          <w:b w:val="0"/>
          <w:i w:val="0"/>
          <w:sz w:val="22"/>
        </w:rPr>
        <w:t>Decisions are tied to numeric outcomes:</w:t>
      </w:r>
    </w:p>
    <w:p>
      <w:pPr>
        <w:spacing w:after="120"/>
        <w:jc w:val="both"/>
      </w:pPr>
      <w:r>
        <w:rPr>
          <w:rFonts w:ascii="Cambria" w:hAnsi="Cambria"/>
          <w:b w:val="0"/>
          <w:i/>
          <w:sz w:val="22"/>
        </w:rPr>
        <w:t>Lab uptime improved by 12%</w:t>
      </w:r>
    </w:p>
    <w:p>
      <w:pPr>
        <w:spacing w:after="120"/>
        <w:jc w:val="both"/>
      </w:pPr>
      <w:r>
        <w:rPr>
          <w:rFonts w:ascii="Cambria" w:hAnsi="Cambria"/>
          <w:b w:val="0"/>
          <w:i/>
          <w:sz w:val="22"/>
        </w:rPr>
        <w:t>CO attainment ↑ from 76% to 82%</w:t>
      </w:r>
    </w:p>
    <w:p>
      <w:pPr>
        <w:spacing w:after="120"/>
        <w:jc w:val="both"/>
      </w:pPr>
      <w:r>
        <w:rPr>
          <w:rFonts w:ascii="Cambria" w:hAnsi="Cambria"/>
          <w:b w:val="0"/>
          <w:i/>
          <w:sz w:val="22"/>
        </w:rPr>
        <w:t>Student feedback score ↑ by 0.4 on a 5-point scale</w:t>
      </w:r>
    </w:p>
    <w:p>
      <w:pPr>
        <w:keepNext/>
        <w:spacing w:before="280" w:after="160"/>
        <w:jc w:val="left"/>
      </w:pPr>
      <w:r>
        <w:rPr>
          <w:rFonts w:ascii="Cambria" w:hAnsi="Cambria"/>
          <w:b/>
          <w:i w:val="0"/>
          <w:color w:val="1F3A5F"/>
          <w:sz w:val="26"/>
        </w:rPr>
        <w:t>Continuous Improvement Cycle via DDC Meetings</w:t>
      </w:r>
    </w:p>
    <w:p>
      <w:pPr>
        <w:spacing w:after="80"/>
        <w:ind w:left="340" w:hanging="340"/>
        <w:jc w:val="both"/>
      </w:pPr>
      <w:r>
        <w:rPr>
          <w:rFonts w:ascii="Cambria" w:hAnsi="Cambria"/>
          <w:b w:val="0"/>
          <w:i w:val="0"/>
          <w:sz w:val="22"/>
        </w:rPr>
        <w:t xml:space="preserve">1. </w:t>
      </w:r>
      <w:r>
        <w:rPr>
          <w:rFonts w:ascii="Cambria" w:hAnsi="Cambria"/>
          <w:b w:val="0"/>
          <w:i w:val="0"/>
          <w:sz w:val="22"/>
        </w:rPr>
        <w:t>Meeting → Decision (MoM)</w:t>
      </w:r>
    </w:p>
    <w:p>
      <w:pPr>
        <w:spacing w:after="120"/>
        <w:jc w:val="both"/>
      </w:pPr>
      <w:r>
        <w:rPr>
          <w:rFonts w:ascii="Cambria" w:hAnsi="Cambria"/>
          <w:b w:val="0"/>
          <w:i/>
          <w:sz w:val="22"/>
        </w:rPr>
        <w:t>Example: Approve upgrade of Data Science Lab; Revise CO–PO mapping for CSE301.</w:t>
      </w:r>
    </w:p>
    <w:p>
      <w:pPr>
        <w:pStyle w:val="ListBullet2"/>
        <w:spacing w:after="80"/>
        <w:jc w:val="both"/>
      </w:pPr>
      <w:r>
        <w:rPr>
          <w:rFonts w:ascii="Cambria" w:hAnsi="Cambria"/>
          <w:b w:val="0"/>
          <w:i w:val="0"/>
          <w:sz w:val="22"/>
        </w:rPr>
        <w:t>Evidence: Signed MoM (Minutes of Meeting).</w:t>
      </w:r>
    </w:p>
    <w:p>
      <w:pPr>
        <w:spacing w:after="80"/>
        <w:ind w:left="340" w:hanging="340"/>
        <w:jc w:val="both"/>
      </w:pPr>
      <w:r>
        <w:rPr>
          <w:rFonts w:ascii="Cambria" w:hAnsi="Cambria"/>
          <w:b w:val="0"/>
          <w:i w:val="0"/>
          <w:sz w:val="22"/>
        </w:rPr>
        <w:t xml:space="preserve">2. </w:t>
      </w:r>
      <w:r>
        <w:rPr>
          <w:rFonts w:ascii="Cambria" w:hAnsi="Cambria"/>
          <w:b w:val="0"/>
          <w:i w:val="0"/>
          <w:sz w:val="22"/>
        </w:rPr>
        <w:t>Decision → Action (ATR &amp; Implementation)</w:t>
      </w:r>
    </w:p>
    <w:p>
      <w:pPr>
        <w:pStyle w:val="ListBullet2"/>
        <w:spacing w:after="80"/>
        <w:jc w:val="both"/>
      </w:pPr>
      <w:r>
        <w:rPr>
          <w:rFonts w:ascii="Cambria" w:hAnsi="Cambria"/>
          <w:b w:val="0"/>
          <w:i w:val="0"/>
          <w:sz w:val="22"/>
        </w:rPr>
        <w:t>Next meeting → Action Taken Report (ATR) records completion.</w:t>
      </w:r>
    </w:p>
    <w:p>
      <w:pPr>
        <w:pStyle w:val="ListBullet2"/>
        <w:spacing w:after="80"/>
        <w:jc w:val="both"/>
      </w:pPr>
      <w:r>
        <w:rPr>
          <w:rFonts w:ascii="Cambria" w:hAnsi="Cambria"/>
          <w:b w:val="0"/>
          <w:i w:val="0"/>
          <w:sz w:val="22"/>
        </w:rPr>
        <w:t>Supporting docs: Budget approvals, purchase orders, FDP sanction notes, curriculum revision records.</w:t>
      </w:r>
    </w:p>
    <w:p>
      <w:pPr>
        <w:spacing w:after="80"/>
        <w:ind w:left="340" w:hanging="340"/>
        <w:jc w:val="both"/>
      </w:pPr>
      <w:r>
        <w:rPr>
          <w:rFonts w:ascii="Cambria" w:hAnsi="Cambria"/>
          <w:b w:val="0"/>
          <w:i w:val="0"/>
          <w:sz w:val="22"/>
        </w:rPr>
        <w:t xml:space="preserve">3. </w:t>
      </w:r>
      <w:r>
        <w:rPr>
          <w:rFonts w:ascii="Cambria" w:hAnsi="Cambria"/>
          <w:b w:val="0"/>
          <w:i w:val="0"/>
          <w:sz w:val="22"/>
        </w:rPr>
        <w:t>Action → Measurable Outcome</w:t>
      </w:r>
    </w:p>
    <w:p>
      <w:pPr>
        <w:pStyle w:val="ListBullet2"/>
        <w:spacing w:after="80"/>
        <w:jc w:val="both"/>
      </w:pPr>
      <w:r>
        <w:rPr>
          <w:rFonts w:ascii="Cambria" w:hAnsi="Cambria"/>
          <w:b w:val="0"/>
          <w:i w:val="0"/>
          <w:sz w:val="22"/>
        </w:rPr>
        <w:t>Numeric evidence of impact, e.g.:</w:t>
      </w:r>
    </w:p>
    <w:p>
      <w:pPr>
        <w:spacing w:after="120"/>
        <w:jc w:val="both"/>
      </w:pPr>
      <w:r>
        <w:rPr>
          <w:rFonts w:ascii="Cambria" w:hAnsi="Cambria"/>
          <w:b w:val="0"/>
          <w:i/>
          <w:sz w:val="22"/>
        </w:rPr>
        <w:t>Lab uptime improved: 85% → 96%</w:t>
      </w:r>
    </w:p>
    <w:p>
      <w:pPr>
        <w:spacing w:after="120"/>
        <w:jc w:val="both"/>
      </w:pPr>
      <w:r>
        <w:rPr>
          <w:rFonts w:ascii="Cambria" w:hAnsi="Cambria"/>
          <w:b w:val="0"/>
          <w:i/>
          <w:sz w:val="22"/>
        </w:rPr>
        <w:t>CO attainment: 76% → 82%</w:t>
      </w:r>
    </w:p>
    <w:p>
      <w:pPr>
        <w:spacing w:after="120"/>
        <w:jc w:val="both"/>
      </w:pPr>
      <w:r>
        <w:rPr>
          <w:rFonts w:ascii="Cambria" w:hAnsi="Cambria"/>
          <w:b w:val="0"/>
          <w:i/>
          <w:sz w:val="22"/>
        </w:rPr>
        <w:t>FDPs per faculty: 1.8 → 2.5</w:t>
      </w:r>
    </w:p>
    <w:p>
      <w:pPr>
        <w:spacing w:after="120"/>
        <w:jc w:val="both"/>
      </w:pPr>
      <w:r>
        <w:rPr>
          <w:rFonts w:ascii="Cambria" w:hAnsi="Cambria"/>
          <w:b w:val="0"/>
          <w:i/>
          <w:sz w:val="22"/>
        </w:rPr>
        <w:t>Student project count: 15 → 20</w:t>
      </w:r>
    </w:p>
    <w:p>
      <w:pPr>
        <w:spacing w:after="80"/>
        <w:ind w:left="340" w:hanging="340"/>
        <w:jc w:val="both"/>
      </w:pPr>
      <w:r>
        <w:rPr>
          <w:rFonts w:ascii="Cambria" w:hAnsi="Cambria"/>
          <w:b w:val="0"/>
          <w:i w:val="0"/>
          <w:sz w:val="22"/>
        </w:rPr>
        <w:t xml:space="preserve">4. </w:t>
      </w:r>
      <w:r>
        <w:rPr>
          <w:rFonts w:ascii="Cambria" w:hAnsi="Cambria"/>
          <w:b w:val="0"/>
          <w:i w:val="0"/>
          <w:sz w:val="22"/>
        </w:rPr>
        <w:t>Outcome → OBE Compliance</w:t>
      </w:r>
    </w:p>
    <w:p>
      <w:pPr>
        <w:pStyle w:val="ListBullet2"/>
        <w:spacing w:after="80"/>
        <w:jc w:val="both"/>
      </w:pPr>
      <w:r>
        <w:rPr>
          <w:rFonts w:ascii="Cambria" w:hAnsi="Cambria"/>
          <w:b w:val="0"/>
          <w:i w:val="0"/>
          <w:sz w:val="22"/>
        </w:rPr>
        <w:t>Each improvement mapped to POs/PSOs:</w:t>
      </w:r>
    </w:p>
    <w:p>
      <w:pPr>
        <w:pStyle w:val="ListBullet2"/>
        <w:spacing w:after="80"/>
        <w:jc w:val="both"/>
      </w:pPr>
      <w:r>
        <w:rPr>
          <w:rFonts w:ascii="Cambria" w:hAnsi="Cambria"/>
          <w:b w:val="0"/>
          <w:i w:val="0"/>
          <w:sz w:val="22"/>
        </w:rPr>
        <w:t>Lab upgrades → PSO2 (Lab Proficiency).</w:t>
      </w:r>
    </w:p>
    <w:p>
      <w:pPr>
        <w:pStyle w:val="ListBullet2"/>
        <w:spacing w:after="80"/>
        <w:jc w:val="both"/>
      </w:pPr>
      <w:r>
        <w:rPr>
          <w:rFonts w:ascii="Cambria" w:hAnsi="Cambria"/>
          <w:b w:val="0"/>
          <w:i w:val="0"/>
          <w:sz w:val="22"/>
        </w:rPr>
        <w:t>Curriculum revisions → PO1 (Knowledge), PO12 (Life-long Learning).</w:t>
      </w:r>
    </w:p>
    <w:p>
      <w:pPr>
        <w:pStyle w:val="ListBullet2"/>
        <w:spacing w:after="80"/>
        <w:jc w:val="both"/>
      </w:pPr>
      <w:r>
        <w:rPr>
          <w:rFonts w:ascii="Cambria" w:hAnsi="Cambria"/>
          <w:b w:val="0"/>
          <w:i w:val="0"/>
          <w:sz w:val="22"/>
        </w:rPr>
        <w:t>FDPs → PO12, PSO3 (Research Readiness).</w:t>
      </w:r>
    </w:p>
    <w:p>
      <w:pPr>
        <w:pStyle w:val="ListBullet2"/>
        <w:spacing w:after="80"/>
        <w:jc w:val="both"/>
      </w:pPr>
      <w:r>
        <w:rPr>
          <w:rFonts w:ascii="Cambria" w:hAnsi="Cambria"/>
          <w:b w:val="0"/>
          <w:i w:val="0"/>
          <w:sz w:val="22"/>
        </w:rPr>
        <w:t>Student projects → PO9 (Teamwork), PO10 (Communication).</w:t>
      </w:r>
    </w:p>
    <w:p>
      <w:pPr>
        <w:spacing w:after="80"/>
        <w:ind w:left="340" w:hanging="340"/>
        <w:jc w:val="both"/>
      </w:pPr>
      <w:r>
        <w:rPr>
          <w:rFonts w:ascii="Cambria" w:hAnsi="Cambria"/>
          <w:b w:val="0"/>
          <w:i w:val="0"/>
          <w:sz w:val="22"/>
        </w:rPr>
        <w:t xml:space="preserve">5. </w:t>
      </w:r>
      <w:r>
        <w:rPr>
          <w:rFonts w:ascii="Cambria" w:hAnsi="Cambria"/>
          <w:b w:val="0"/>
          <w:i w:val="0"/>
          <w:sz w:val="22"/>
        </w:rPr>
        <w:t>Year-on-Year Evidence (Paper Trail)</w:t>
      </w:r>
    </w:p>
    <w:p>
      <w:pPr>
        <w:pStyle w:val="ListBullet2"/>
        <w:spacing w:after="80"/>
        <w:jc w:val="both"/>
      </w:pPr>
      <w:r>
        <w:rPr>
          <w:rFonts w:ascii="Cambria" w:hAnsi="Cambria"/>
          <w:b w:val="0"/>
          <w:i w:val="0"/>
          <w:sz w:val="22"/>
        </w:rPr>
        <w:t>Meeting documents (Agenda → Attendance → MoM → ATR → Purchase/Implementation docs).</w:t>
      </w:r>
    </w:p>
    <w:p>
      <w:pPr>
        <w:pStyle w:val="ListBullet2"/>
        <w:spacing w:after="80"/>
        <w:jc w:val="both"/>
      </w:pPr>
      <w:r>
        <w:rPr>
          <w:rFonts w:ascii="Cambria" w:hAnsi="Cambria"/>
          <w:b w:val="0"/>
          <w:i w:val="0"/>
          <w:sz w:val="22"/>
        </w:rPr>
        <w:t>Outcomes tracked in Excel dashboards (utilization %, YoY growth, attainment scores).</w:t>
      </w:r>
    </w:p>
    <w:p>
      <w:pPr>
        <w:spacing w:after="120"/>
        <w:jc w:val="both"/>
      </w:pPr>
      <w:r>
        <w:rPr>
          <w:rFonts w:ascii="Cambria" w:hAnsi="Cambria"/>
          <w:b w:val="0"/>
          <w:i w:val="0"/>
          <w:sz w:val="22"/>
        </w:rPr>
        <w:t xml:space="preserve">Reviewers can literally </w:t>
      </w:r>
      <w:r>
        <w:rPr>
          <w:rFonts w:ascii="Cambria" w:hAnsi="Cambria"/>
          <w:b w:val="0"/>
          <w:i/>
          <w:sz w:val="22"/>
        </w:rPr>
        <w:t>follow the trail</w:t>
      </w:r>
      <w:r>
        <w:rPr>
          <w:rFonts w:ascii="Cambria" w:hAnsi="Cambria"/>
          <w:b w:val="0"/>
          <w:i w:val="0"/>
          <w:sz w:val="22"/>
        </w:rPr>
        <w:t xml:space="preserve"> → from decision → action → numeric improvement → OBE compliance.</w:t>
      </w:r>
    </w:p>
    <w:p>
      <w:pPr>
        <w:keepNext/>
        <w:spacing w:before="280" w:after="160"/>
        <w:jc w:val="left"/>
      </w:pPr>
      <w:r>
        <w:rPr>
          <w:rFonts w:ascii="Cambria" w:hAnsi="Cambria"/>
          <w:b/>
          <w:i w:val="0"/>
          <w:color w:val="1F3A5F"/>
          <w:sz w:val="26"/>
        </w:rPr>
        <w:t>DDC Traceability Chain</w:t>
      </w:r>
    </w:p>
    <w:p>
      <w:pPr>
        <w:spacing w:after="80"/>
        <w:ind w:left="340" w:hanging="340"/>
        <w:jc w:val="both"/>
      </w:pPr>
      <w:r>
        <w:rPr>
          <w:rFonts w:ascii="Cambria" w:hAnsi="Cambria"/>
          <w:b w:val="0"/>
          <w:i w:val="0"/>
          <w:sz w:val="22"/>
        </w:rPr>
        <w:t xml:space="preserve">1. </w:t>
      </w:r>
      <w:r>
        <w:rPr>
          <w:rFonts w:ascii="Cambria" w:hAnsi="Cambria"/>
          <w:b w:val="0"/>
          <w:i w:val="0"/>
          <w:sz w:val="22"/>
        </w:rPr>
        <w:t>Minutes of Meeting (MoM)</w:t>
      </w:r>
    </w:p>
    <w:p>
      <w:pPr>
        <w:spacing w:after="120"/>
        <w:jc w:val="both"/>
      </w:pPr>
      <w:r>
        <w:rPr>
          <w:rFonts w:ascii="Cambria" w:hAnsi="Cambria"/>
          <w:b w:val="0"/>
          <w:i w:val="0"/>
          <w:sz w:val="22"/>
        </w:rPr>
        <w:t xml:space="preserve">Decision is formally recorded (e.g., </w:t>
      </w:r>
      <w:r>
        <w:rPr>
          <w:rFonts w:ascii="Cambria" w:hAnsi="Cambria"/>
          <w:b w:val="0"/>
          <w:i/>
          <w:sz w:val="22"/>
        </w:rPr>
        <w:t>Upgrade Data Science Lab</w:t>
      </w:r>
      <w:r>
        <w:rPr>
          <w:rFonts w:ascii="Cambria" w:hAnsi="Cambria"/>
          <w:b w:val="0"/>
          <w:i w:val="0"/>
          <w:sz w:val="22"/>
        </w:rPr>
        <w:t>).</w:t>
      </w:r>
    </w:p>
    <w:p>
      <w:pPr>
        <w:pStyle w:val="ListBullet2"/>
        <w:spacing w:after="80"/>
        <w:jc w:val="both"/>
      </w:pPr>
      <w:r>
        <w:rPr>
          <w:rFonts w:ascii="Cambria" w:hAnsi="Cambria"/>
          <w:b w:val="0"/>
          <w:i w:val="0"/>
          <w:sz w:val="22"/>
        </w:rPr>
        <w:t>Signed by HoD and committee members.</w:t>
      </w:r>
    </w:p>
    <w:p>
      <w:pPr>
        <w:spacing w:after="80"/>
        <w:ind w:left="340" w:hanging="340"/>
        <w:jc w:val="both"/>
      </w:pPr>
      <w:r>
        <w:rPr>
          <w:rFonts w:ascii="Cambria" w:hAnsi="Cambria"/>
          <w:b w:val="0"/>
          <w:i w:val="0"/>
          <w:sz w:val="22"/>
        </w:rPr>
        <w:t xml:space="preserve">2. </w:t>
      </w:r>
      <w:r>
        <w:rPr>
          <w:rFonts w:ascii="Cambria" w:hAnsi="Cambria"/>
          <w:b w:val="0"/>
          <w:i w:val="0"/>
          <w:sz w:val="22"/>
        </w:rPr>
        <w:t>Action Taken Report (ATR)</w:t>
      </w:r>
    </w:p>
    <w:p>
      <w:pPr>
        <w:pStyle w:val="ListBullet2"/>
        <w:spacing w:after="80"/>
        <w:jc w:val="both"/>
      </w:pPr>
      <w:r>
        <w:rPr>
          <w:rFonts w:ascii="Cambria" w:hAnsi="Cambria"/>
          <w:b w:val="0"/>
          <w:i w:val="0"/>
          <w:sz w:val="22"/>
        </w:rPr>
        <w:t>Next meeting → shows whether decision was implemented.</w:t>
      </w:r>
    </w:p>
    <w:p>
      <w:pPr>
        <w:spacing w:after="120"/>
        <w:jc w:val="both"/>
      </w:pPr>
      <w:r>
        <w:rPr>
          <w:rFonts w:ascii="Cambria" w:hAnsi="Cambria"/>
          <w:b w:val="0"/>
          <w:i w:val="0"/>
          <w:sz w:val="22"/>
        </w:rPr>
        <w:t xml:space="preserve">Status: </w:t>
      </w:r>
      <w:r>
        <w:rPr>
          <w:rFonts w:ascii="Cambria" w:hAnsi="Cambria"/>
          <w:b w:val="0"/>
          <w:i/>
          <w:sz w:val="22"/>
        </w:rPr>
        <w:t>Completed / Ongoing / Pending</w:t>
      </w:r>
      <w:r>
        <w:rPr>
          <w:rFonts w:ascii="Cambria" w:hAnsi="Cambria"/>
          <w:b w:val="0"/>
          <w:i w:val="0"/>
          <w:sz w:val="22"/>
        </w:rPr>
        <w:t>.</w:t>
      </w:r>
    </w:p>
    <w:p>
      <w:pPr>
        <w:spacing w:after="80"/>
        <w:ind w:left="340" w:hanging="340"/>
        <w:jc w:val="both"/>
      </w:pPr>
      <w:r>
        <w:rPr>
          <w:rFonts w:ascii="Cambria" w:hAnsi="Cambria"/>
          <w:b w:val="0"/>
          <w:i w:val="0"/>
          <w:sz w:val="22"/>
        </w:rPr>
        <w:t xml:space="preserve">3. </w:t>
      </w:r>
      <w:r>
        <w:rPr>
          <w:rFonts w:ascii="Cambria" w:hAnsi="Cambria"/>
          <w:b w:val="0"/>
          <w:i w:val="0"/>
          <w:sz w:val="22"/>
        </w:rPr>
        <w:t>Budget Proposal</w:t>
      </w:r>
    </w:p>
    <w:p>
      <w:pPr>
        <w:pStyle w:val="ListBullet2"/>
        <w:spacing w:after="80"/>
        <w:jc w:val="both"/>
      </w:pPr>
      <w:r>
        <w:rPr>
          <w:rFonts w:ascii="Cambria" w:hAnsi="Cambria"/>
          <w:b w:val="0"/>
          <w:i w:val="0"/>
          <w:sz w:val="22"/>
        </w:rPr>
        <w:t>Cost estimate prepared for the approved decision.</w:t>
      </w:r>
    </w:p>
    <w:p>
      <w:pPr>
        <w:pStyle w:val="ListBullet2"/>
        <w:spacing w:after="80"/>
        <w:jc w:val="both"/>
      </w:pPr>
      <w:r>
        <w:rPr>
          <w:rFonts w:ascii="Cambria" w:hAnsi="Cambria"/>
          <w:b w:val="0"/>
          <w:i w:val="0"/>
          <w:sz w:val="22"/>
        </w:rPr>
        <w:t>Submitted to Finance/Board for sanction.</w:t>
      </w:r>
    </w:p>
    <w:p>
      <w:pPr>
        <w:spacing w:after="80"/>
        <w:ind w:left="340" w:hanging="340"/>
        <w:jc w:val="both"/>
      </w:pPr>
      <w:r>
        <w:rPr>
          <w:rFonts w:ascii="Cambria" w:hAnsi="Cambria"/>
          <w:b w:val="0"/>
          <w:i w:val="0"/>
          <w:sz w:val="22"/>
        </w:rPr>
        <w:t xml:space="preserve">4. </w:t>
      </w:r>
      <w:r>
        <w:rPr>
          <w:rFonts w:ascii="Cambria" w:hAnsi="Cambria"/>
          <w:b w:val="0"/>
          <w:i w:val="0"/>
          <w:sz w:val="22"/>
        </w:rPr>
        <w:t>Purchase Order (PO)</w:t>
      </w:r>
    </w:p>
    <w:p>
      <w:pPr>
        <w:pStyle w:val="ListBullet2"/>
        <w:spacing w:after="80"/>
        <w:jc w:val="both"/>
      </w:pPr>
      <w:r>
        <w:rPr>
          <w:rFonts w:ascii="Cambria" w:hAnsi="Cambria"/>
          <w:b w:val="0"/>
          <w:i w:val="0"/>
          <w:sz w:val="22"/>
        </w:rPr>
        <w:t>Vendor quotations obtained.</w:t>
      </w:r>
    </w:p>
    <w:p>
      <w:pPr>
        <w:pStyle w:val="ListBullet2"/>
        <w:spacing w:after="80"/>
        <w:jc w:val="both"/>
      </w:pPr>
      <w:r>
        <w:rPr>
          <w:rFonts w:ascii="Cambria" w:hAnsi="Cambria"/>
          <w:b w:val="0"/>
          <w:i w:val="0"/>
          <w:sz w:val="22"/>
        </w:rPr>
        <w:t>PO issued, invoices and delivery notes recorded.</w:t>
      </w:r>
    </w:p>
    <w:p>
      <w:pPr>
        <w:spacing w:after="80"/>
        <w:ind w:left="340" w:hanging="340"/>
        <w:jc w:val="both"/>
      </w:pPr>
      <w:r>
        <w:rPr>
          <w:rFonts w:ascii="Cambria" w:hAnsi="Cambria"/>
          <w:b w:val="0"/>
          <w:i w:val="0"/>
          <w:sz w:val="22"/>
        </w:rPr>
        <w:t xml:space="preserve">5. </w:t>
      </w:r>
      <w:r>
        <w:rPr>
          <w:rFonts w:ascii="Cambria" w:hAnsi="Cambria"/>
          <w:b w:val="0"/>
          <w:i w:val="0"/>
          <w:sz w:val="22"/>
        </w:rPr>
        <w:t>Implementation Evidence</w:t>
      </w:r>
    </w:p>
    <w:p>
      <w:pPr>
        <w:pStyle w:val="ListBullet2"/>
        <w:spacing w:after="80"/>
        <w:jc w:val="both"/>
      </w:pPr>
      <w:r>
        <w:rPr>
          <w:rFonts w:ascii="Cambria" w:hAnsi="Cambria"/>
          <w:b w:val="0"/>
          <w:i w:val="0"/>
          <w:sz w:val="22"/>
        </w:rPr>
        <w:t>Installed lab equipment, ICT licenses activated, FDP conducted, or curriculum revised.</w:t>
      </w:r>
    </w:p>
    <w:p>
      <w:pPr>
        <w:pStyle w:val="ListBullet2"/>
        <w:spacing w:after="80"/>
        <w:jc w:val="both"/>
      </w:pPr>
      <w:r>
        <w:rPr>
          <w:rFonts w:ascii="Cambria" w:hAnsi="Cambria"/>
          <w:b w:val="0"/>
          <w:i w:val="0"/>
          <w:sz w:val="22"/>
        </w:rPr>
        <w:t>Supporting proof: installation certificate, FDP report, syllabus approval, student project list.</w:t>
      </w:r>
    </w:p>
    <w:p>
      <w:pPr>
        <w:spacing w:after="80"/>
        <w:ind w:left="340" w:hanging="340"/>
        <w:jc w:val="both"/>
      </w:pPr>
      <w:r>
        <w:rPr>
          <w:rFonts w:ascii="Cambria" w:hAnsi="Cambria"/>
          <w:b w:val="0"/>
          <w:i w:val="0"/>
          <w:sz w:val="22"/>
        </w:rPr>
        <w:t xml:space="preserve">6. </w:t>
      </w:r>
      <w:r>
        <w:rPr>
          <w:rFonts w:ascii="Cambria" w:hAnsi="Cambria"/>
          <w:b w:val="0"/>
          <w:i w:val="0"/>
          <w:sz w:val="22"/>
        </w:rPr>
        <w:t>Outcome (Numeric &amp; Measurable)</w:t>
      </w:r>
    </w:p>
    <w:p>
      <w:pPr>
        <w:pStyle w:val="ListBullet2"/>
        <w:spacing w:after="80"/>
        <w:jc w:val="both"/>
      </w:pPr>
      <w:r>
        <w:rPr>
          <w:rFonts w:ascii="Cambria" w:hAnsi="Cambria"/>
          <w:b w:val="0"/>
          <w:i w:val="0"/>
          <w:sz w:val="22"/>
        </w:rPr>
        <w:t>Lab uptime improved by 12%.</w:t>
      </w:r>
    </w:p>
    <w:p>
      <w:pPr>
        <w:pStyle w:val="ListBullet2"/>
        <w:spacing w:after="80"/>
        <w:jc w:val="both"/>
      </w:pPr>
      <w:r>
        <w:rPr>
          <w:rFonts w:ascii="Cambria" w:hAnsi="Cambria"/>
          <w:b w:val="0"/>
          <w:i w:val="0"/>
          <w:sz w:val="22"/>
        </w:rPr>
        <w:t>CO attainment ↑ 6%.</w:t>
      </w:r>
    </w:p>
    <w:p>
      <w:pPr>
        <w:pStyle w:val="ListBullet2"/>
        <w:spacing w:after="80"/>
        <w:jc w:val="both"/>
      </w:pPr>
      <w:r>
        <w:rPr>
          <w:rFonts w:ascii="Cambria" w:hAnsi="Cambria"/>
          <w:b w:val="0"/>
          <w:i w:val="0"/>
          <w:sz w:val="22"/>
        </w:rPr>
        <w:t>FDPs per faculty ↑ 28%.</w:t>
      </w:r>
    </w:p>
    <w:p>
      <w:pPr>
        <w:pStyle w:val="ListBullet2"/>
        <w:spacing w:after="80"/>
        <w:jc w:val="both"/>
      </w:pPr>
      <w:r>
        <w:rPr>
          <w:rFonts w:ascii="Cambria" w:hAnsi="Cambria"/>
          <w:b w:val="0"/>
          <w:i w:val="0"/>
          <w:sz w:val="22"/>
        </w:rPr>
        <w:t>Student projects funded ↑ from 15 → 20.</w:t>
      </w:r>
    </w:p>
    <w:p>
      <w:pPr>
        <w:keepNext/>
        <w:spacing w:before="280" w:after="160"/>
        <w:jc w:val="left"/>
      </w:pPr>
      <w:r>
        <w:rPr>
          <w:rFonts w:ascii="Cambria" w:hAnsi="Cambria"/>
          <w:b/>
          <w:i w:val="0"/>
          <w:color w:val="1F3A5F"/>
          <w:sz w:val="26"/>
        </w:rPr>
        <w:t>Credibility Framework for DDC &amp; Budgets</w:t>
      </w:r>
    </w:p>
    <w:p>
      <w:pPr>
        <w:spacing w:after="80"/>
        <w:ind w:left="340" w:hanging="340"/>
        <w:jc w:val="both"/>
      </w:pPr>
      <w:r>
        <w:rPr>
          <w:rFonts w:ascii="Cambria" w:hAnsi="Cambria"/>
          <w:b w:val="0"/>
          <w:i w:val="0"/>
          <w:sz w:val="22"/>
        </w:rPr>
        <w:t xml:space="preserve">1. </w:t>
      </w:r>
      <w:r>
        <w:rPr>
          <w:rFonts w:ascii="Cambria" w:hAnsi="Cambria"/>
          <w:b w:val="0"/>
          <w:i w:val="0"/>
          <w:sz w:val="22"/>
        </w:rPr>
        <w:t>Numeric (Measurable Outcomes)</w:t>
      </w:r>
    </w:p>
    <w:p>
      <w:pPr>
        <w:spacing w:after="120"/>
        <w:jc w:val="both"/>
      </w:pPr>
      <w:r>
        <w:rPr>
          <w:rFonts w:ascii="Cambria" w:hAnsi="Cambria"/>
          <w:b w:val="0"/>
          <w:i w:val="0"/>
          <w:sz w:val="22"/>
        </w:rPr>
        <w:t>Avoid vague claims (</w:t>
      </w:r>
      <w:r>
        <w:rPr>
          <w:rFonts w:ascii="Cambria" w:hAnsi="Cambria"/>
          <w:b w:val="0"/>
          <w:i/>
          <w:sz w:val="22"/>
        </w:rPr>
        <w:t>“lab improved”</w:t>
      </w:r>
      <w:r>
        <w:rPr>
          <w:rFonts w:ascii="Cambria" w:hAnsi="Cambria"/>
          <w:b w:val="0"/>
          <w:i w:val="0"/>
          <w:sz w:val="22"/>
        </w:rPr>
        <w:t>).</w:t>
      </w:r>
    </w:p>
    <w:p>
      <w:pPr>
        <w:pStyle w:val="ListBullet2"/>
        <w:spacing w:after="80"/>
        <w:jc w:val="both"/>
      </w:pPr>
      <w:r>
        <w:rPr>
          <w:rFonts w:ascii="Cambria" w:hAnsi="Cambria"/>
          <w:b w:val="0"/>
          <w:i w:val="0"/>
          <w:sz w:val="22"/>
        </w:rPr>
        <w:t>Show numbers:</w:t>
      </w:r>
    </w:p>
    <w:p>
      <w:pPr>
        <w:spacing w:after="120"/>
        <w:jc w:val="both"/>
      </w:pPr>
      <w:r>
        <w:rPr>
          <w:rFonts w:ascii="Cambria" w:hAnsi="Cambria"/>
          <w:b w:val="0"/>
          <w:i/>
          <w:sz w:val="22"/>
        </w:rPr>
        <w:t>Lab uptime: 85% → 96%</w:t>
      </w:r>
    </w:p>
    <w:p>
      <w:pPr>
        <w:spacing w:after="120"/>
        <w:jc w:val="both"/>
      </w:pPr>
      <w:r>
        <w:rPr>
          <w:rFonts w:ascii="Cambria" w:hAnsi="Cambria"/>
          <w:b w:val="0"/>
          <w:i/>
          <w:sz w:val="22"/>
        </w:rPr>
        <w:t>Pass %: 78% → 88%</w:t>
      </w:r>
    </w:p>
    <w:p>
      <w:pPr>
        <w:spacing w:after="120"/>
        <w:jc w:val="both"/>
      </w:pPr>
      <w:r>
        <w:rPr>
          <w:rFonts w:ascii="Cambria" w:hAnsi="Cambria"/>
          <w:b w:val="0"/>
          <w:i/>
          <w:sz w:val="22"/>
        </w:rPr>
        <w:t>CO attainment: 76% → 82%</w:t>
      </w:r>
    </w:p>
    <w:p>
      <w:pPr>
        <w:spacing w:after="120"/>
        <w:jc w:val="both"/>
      </w:pPr>
      <w:r>
        <w:rPr>
          <w:rFonts w:ascii="Cambria" w:hAnsi="Cambria"/>
          <w:b w:val="0"/>
          <w:i/>
          <w:sz w:val="22"/>
        </w:rPr>
        <w:t>Publications/faculty: 1.6 → 2.1</w:t>
      </w:r>
    </w:p>
    <w:p>
      <w:pPr>
        <w:spacing w:after="80"/>
        <w:ind w:left="340" w:hanging="340"/>
        <w:jc w:val="both"/>
      </w:pPr>
      <w:r>
        <w:rPr>
          <w:rFonts w:ascii="Cambria" w:hAnsi="Cambria"/>
          <w:b w:val="0"/>
          <w:i w:val="0"/>
          <w:sz w:val="22"/>
        </w:rPr>
        <w:t xml:space="preserve">2. </w:t>
      </w:r>
      <w:r>
        <w:rPr>
          <w:rFonts w:ascii="Cambria" w:hAnsi="Cambria"/>
          <w:b w:val="0"/>
          <w:i w:val="0"/>
          <w:sz w:val="22"/>
        </w:rPr>
        <w:t>Documented (Verifiable Evidence)</w:t>
      </w:r>
    </w:p>
    <w:p>
      <w:pPr>
        <w:pStyle w:val="ListBullet2"/>
        <w:spacing w:after="80"/>
        <w:jc w:val="both"/>
      </w:pPr>
      <w:r>
        <w:rPr>
          <w:rFonts w:ascii="Cambria" w:hAnsi="Cambria"/>
          <w:b w:val="0"/>
          <w:i w:val="0"/>
          <w:sz w:val="22"/>
        </w:rPr>
        <w:t>Every decision backed with a document:</w:t>
      </w:r>
    </w:p>
    <w:p>
      <w:pPr>
        <w:pStyle w:val="ListBullet2"/>
        <w:spacing w:after="80"/>
        <w:jc w:val="both"/>
      </w:pPr>
      <w:r>
        <w:rPr>
          <w:rFonts w:ascii="Cambria" w:hAnsi="Cambria"/>
          <w:b w:val="0"/>
          <w:i w:val="0"/>
          <w:sz w:val="22"/>
        </w:rPr>
        <w:t>MoM (Minutes of Meeting) → Decision proof.</w:t>
      </w:r>
    </w:p>
    <w:p>
      <w:pPr>
        <w:pStyle w:val="ListBullet2"/>
        <w:spacing w:after="80"/>
        <w:jc w:val="both"/>
      </w:pPr>
      <w:r>
        <w:rPr>
          <w:rFonts w:ascii="Cambria" w:hAnsi="Cambria"/>
          <w:b w:val="0"/>
          <w:i w:val="0"/>
          <w:sz w:val="22"/>
        </w:rPr>
        <w:t>ATR (Action Taken Report) → Follow-up proof.</w:t>
      </w:r>
    </w:p>
    <w:p>
      <w:pPr>
        <w:pStyle w:val="ListBullet2"/>
        <w:spacing w:after="80"/>
        <w:jc w:val="both"/>
      </w:pPr>
      <w:r>
        <w:rPr>
          <w:rFonts w:ascii="Cambria" w:hAnsi="Cambria"/>
          <w:b w:val="0"/>
          <w:i w:val="0"/>
          <w:sz w:val="22"/>
        </w:rPr>
        <w:t>Budget Proposal &amp; Sanction → Funding proof.</w:t>
      </w:r>
    </w:p>
    <w:p>
      <w:pPr>
        <w:pStyle w:val="ListBullet2"/>
        <w:spacing w:after="80"/>
        <w:jc w:val="both"/>
      </w:pPr>
      <w:r>
        <w:rPr>
          <w:rFonts w:ascii="Cambria" w:hAnsi="Cambria"/>
          <w:b w:val="0"/>
          <w:i w:val="0"/>
          <w:sz w:val="22"/>
        </w:rPr>
        <w:t>Purchase Order/Invoice → Implementation proof.</w:t>
      </w:r>
    </w:p>
    <w:p>
      <w:pPr>
        <w:pStyle w:val="ListBullet2"/>
        <w:spacing w:after="80"/>
        <w:jc w:val="both"/>
      </w:pPr>
      <w:r>
        <w:rPr>
          <w:rFonts w:ascii="Cambria" w:hAnsi="Cambria"/>
          <w:b w:val="0"/>
          <w:i w:val="0"/>
          <w:sz w:val="22"/>
        </w:rPr>
        <w:t>Lab/ICT/FDP Records → Operational proof.</w:t>
      </w:r>
    </w:p>
    <w:p>
      <w:pPr>
        <w:spacing w:after="80"/>
        <w:ind w:left="340" w:hanging="340"/>
        <w:jc w:val="both"/>
      </w:pPr>
      <w:r>
        <w:rPr>
          <w:rFonts w:ascii="Cambria" w:hAnsi="Cambria"/>
          <w:b w:val="0"/>
          <w:i w:val="0"/>
          <w:sz w:val="22"/>
        </w:rPr>
        <w:t xml:space="preserve">3. </w:t>
      </w:r>
      <w:r>
        <w:rPr>
          <w:rFonts w:ascii="Cambria" w:hAnsi="Cambria"/>
          <w:b w:val="0"/>
          <w:i w:val="0"/>
          <w:sz w:val="22"/>
        </w:rPr>
        <w:t>Signed (Authenticity)</w:t>
      </w:r>
    </w:p>
    <w:p>
      <w:pPr>
        <w:pStyle w:val="ListBullet2"/>
        <w:spacing w:after="80"/>
        <w:jc w:val="both"/>
      </w:pPr>
      <w:r>
        <w:rPr>
          <w:rFonts w:ascii="Cambria" w:hAnsi="Cambria"/>
          <w:b w:val="0"/>
          <w:i w:val="0"/>
          <w:sz w:val="22"/>
        </w:rPr>
        <w:t>MoM and ATR signed by HoD and committee members.</w:t>
      </w:r>
    </w:p>
    <w:p>
      <w:pPr>
        <w:pStyle w:val="ListBullet2"/>
        <w:spacing w:after="80"/>
        <w:jc w:val="both"/>
      </w:pPr>
      <w:r>
        <w:rPr>
          <w:rFonts w:ascii="Cambria" w:hAnsi="Cambria"/>
          <w:b w:val="0"/>
          <w:i w:val="0"/>
          <w:sz w:val="22"/>
        </w:rPr>
        <w:t>Purchase and budget approvals signed by Principal/Finance Officer.</w:t>
      </w:r>
    </w:p>
    <w:p>
      <w:pPr>
        <w:pStyle w:val="ListBullet2"/>
        <w:spacing w:after="80"/>
        <w:jc w:val="both"/>
      </w:pPr>
      <w:r>
        <w:rPr>
          <w:rFonts w:ascii="Cambria" w:hAnsi="Cambria"/>
          <w:b w:val="0"/>
          <w:i w:val="0"/>
          <w:sz w:val="22"/>
        </w:rPr>
        <w:t>Audit reports certified by auditors.</w:t>
      </w:r>
    </w:p>
    <w:p>
      <w:pPr>
        <w:pStyle w:val="ListBullet2"/>
        <w:spacing w:after="80"/>
        <w:jc w:val="both"/>
      </w:pPr>
      <w:r>
        <w:rPr>
          <w:rFonts w:ascii="Cambria" w:hAnsi="Cambria"/>
          <w:b w:val="0"/>
          <w:i w:val="0"/>
          <w:sz w:val="22"/>
        </w:rPr>
        <w:t>Ensures reviewers see authentic documents, not drafts.</w:t>
      </w:r>
    </w:p>
    <w:p>
      <w:r>
        <w:br w:type="page"/>
      </w:r>
    </w:p>
    <w:p>
      <w:pPr>
        <w:keepNext/>
        <w:spacing w:before="280" w:after="160"/>
        <w:jc w:val="left"/>
      </w:pPr>
      <w:r>
        <w:rPr>
          <w:rFonts w:ascii="Cambria" w:hAnsi="Cambria"/>
          <w:b/>
          <w:i w:val="0"/>
          <w:color w:val="1F3A5F"/>
          <w:sz w:val="30"/>
        </w:rPr>
        <w:t>7. HoD's Responsibility in Submitting the Performance Appraisals of Faculty and Staff</w:t>
      </w:r>
    </w:p>
    <w:p>
      <w:pPr>
        <w:keepNext/>
        <w:spacing w:before="280" w:after="160"/>
        <w:jc w:val="left"/>
      </w:pPr>
      <w:r>
        <w:rPr>
          <w:rFonts w:ascii="Cambria" w:hAnsi="Cambria"/>
          <w:b/>
          <w:i w:val="0"/>
          <w:color w:val="1F3A5F"/>
          <w:sz w:val="26"/>
        </w:rPr>
        <w:t>Policy Statement</w:t>
      </w:r>
    </w:p>
    <w:p>
      <w:pPr>
        <w:pStyle w:val="ListBullet"/>
        <w:spacing w:after="80"/>
        <w:jc w:val="both"/>
      </w:pPr>
      <w:r>
        <w:rPr>
          <w:rFonts w:ascii="Cambria" w:hAnsi="Cambria"/>
          <w:b w:val="0"/>
          <w:i w:val="0"/>
          <w:sz w:val="22"/>
        </w:rPr>
        <w:t>The HoD shall ensure annual performance appraisal of all faculty and staff in the department is conducted, documented, and submitted to the Principal/Director for review and institutional records.</w:t>
      </w:r>
    </w:p>
    <w:p>
      <w:pPr>
        <w:keepNext/>
        <w:spacing w:before="280" w:after="160"/>
        <w:jc w:val="left"/>
      </w:pPr>
      <w:r>
        <w:rPr>
          <w:rFonts w:ascii="Cambria" w:hAnsi="Cambria"/>
          <w:b/>
          <w:i w:val="0"/>
          <w:color w:val="1F3A5F"/>
          <w:sz w:val="26"/>
        </w:rPr>
        <w:t>Actions by HoD</w:t>
      </w:r>
    </w:p>
    <w:p>
      <w:pPr>
        <w:pStyle w:val="ListBullet"/>
        <w:spacing w:after="80"/>
        <w:jc w:val="both"/>
      </w:pPr>
      <w:r>
        <w:rPr>
          <w:rFonts w:ascii="Cambria" w:hAnsi="Cambria"/>
          <w:b w:val="0"/>
          <w:i w:val="0"/>
          <w:sz w:val="22"/>
        </w:rPr>
        <w:t>Collect self-appraisal forms from faculty and staff at the end of each academic year/semester.</w:t>
      </w:r>
    </w:p>
    <w:p>
      <w:pPr>
        <w:pStyle w:val="ListBullet"/>
        <w:spacing w:after="80"/>
        <w:jc w:val="both"/>
      </w:pPr>
      <w:r>
        <w:rPr>
          <w:rFonts w:ascii="Cambria" w:hAnsi="Cambria"/>
          <w:b w:val="0"/>
          <w:i w:val="0"/>
          <w:sz w:val="22"/>
        </w:rPr>
        <w:t>Review appraisals based on:</w:t>
      </w:r>
    </w:p>
    <w:p>
      <w:pPr>
        <w:pStyle w:val="ListBullet2"/>
        <w:spacing w:after="80"/>
        <w:jc w:val="both"/>
      </w:pPr>
      <w:r>
        <w:rPr>
          <w:rFonts w:ascii="Cambria" w:hAnsi="Cambria"/>
          <w:b w:val="0"/>
          <w:i w:val="0"/>
          <w:sz w:val="22"/>
        </w:rPr>
        <w:t>Teaching quality (feedback, CO attainment, student performance).</w:t>
      </w:r>
    </w:p>
    <w:p>
      <w:pPr>
        <w:pStyle w:val="ListBullet2"/>
        <w:spacing w:after="80"/>
        <w:jc w:val="both"/>
      </w:pPr>
      <w:r>
        <w:rPr>
          <w:rFonts w:ascii="Cambria" w:hAnsi="Cambria"/>
          <w:b w:val="0"/>
          <w:i w:val="0"/>
          <w:sz w:val="22"/>
        </w:rPr>
        <w:t>Research output (publications, projects, patents, consultancy).</w:t>
      </w:r>
    </w:p>
    <w:p>
      <w:pPr>
        <w:pStyle w:val="ListBullet2"/>
        <w:spacing w:after="80"/>
        <w:jc w:val="both"/>
      </w:pPr>
      <w:r>
        <w:rPr>
          <w:rFonts w:ascii="Cambria" w:hAnsi="Cambria"/>
          <w:b w:val="0"/>
          <w:i w:val="0"/>
          <w:sz w:val="22"/>
        </w:rPr>
        <w:t>Contribution to administration, extension activities, and accreditation.</w:t>
      </w:r>
    </w:p>
    <w:p>
      <w:pPr>
        <w:pStyle w:val="ListBullet2"/>
        <w:spacing w:after="80"/>
        <w:jc w:val="both"/>
      </w:pPr>
      <w:r>
        <w:rPr>
          <w:rFonts w:ascii="Cambria" w:hAnsi="Cambria"/>
          <w:b w:val="0"/>
          <w:i w:val="0"/>
          <w:sz w:val="22"/>
        </w:rPr>
        <w:t>Participation in FDPs, workshops, and certifications.</w:t>
      </w:r>
    </w:p>
    <w:p>
      <w:pPr>
        <w:pStyle w:val="ListBullet"/>
        <w:spacing w:after="80"/>
        <w:jc w:val="both"/>
      </w:pPr>
      <w:r>
        <w:rPr>
          <w:rFonts w:ascii="Cambria" w:hAnsi="Cambria"/>
          <w:b w:val="0"/>
          <w:i w:val="0"/>
          <w:sz w:val="22"/>
        </w:rPr>
        <w:t>Conduct one-to-one review meetings with faculty to provide feedback.</w:t>
      </w:r>
    </w:p>
    <w:p>
      <w:pPr>
        <w:pStyle w:val="ListBullet"/>
        <w:spacing w:after="80"/>
        <w:jc w:val="both"/>
      </w:pPr>
      <w:r>
        <w:rPr>
          <w:rFonts w:ascii="Cambria" w:hAnsi="Cambria"/>
          <w:b w:val="0"/>
          <w:i w:val="0"/>
          <w:sz w:val="22"/>
        </w:rPr>
        <w:t>Validate scores/ratings with evidence (classroom results, research publications, event reports).</w:t>
      </w:r>
    </w:p>
    <w:p>
      <w:pPr>
        <w:pStyle w:val="ListBullet"/>
        <w:spacing w:after="80"/>
        <w:jc w:val="both"/>
      </w:pPr>
      <w:r>
        <w:rPr>
          <w:rFonts w:ascii="Cambria" w:hAnsi="Cambria"/>
          <w:b w:val="0"/>
          <w:i w:val="0"/>
          <w:sz w:val="22"/>
        </w:rPr>
        <w:t>Compile departmental appraisal report and submit to Principal/HR/Academic Council.</w:t>
      </w:r>
    </w:p>
    <w:p>
      <w:pPr>
        <w:pStyle w:val="ListBullet"/>
        <w:spacing w:after="80"/>
        <w:jc w:val="both"/>
      </w:pPr>
      <w:r>
        <w:rPr>
          <w:rFonts w:ascii="Cambria" w:hAnsi="Cambria"/>
          <w:b w:val="0"/>
          <w:i w:val="0"/>
          <w:sz w:val="22"/>
        </w:rPr>
        <w:t>Ensure performance gaps are addressed via mentoring, FDPs, or workload redistribution.</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Faculty &amp; staff self-appraisal forms.</w:t>
      </w:r>
    </w:p>
    <w:p>
      <w:pPr>
        <w:pStyle w:val="ListBullet"/>
        <w:spacing w:after="80"/>
        <w:jc w:val="both"/>
      </w:pPr>
      <w:r>
        <w:rPr>
          <w:rFonts w:ascii="Cambria" w:hAnsi="Cambria"/>
          <w:b w:val="0"/>
          <w:i w:val="0"/>
          <w:sz w:val="22"/>
        </w:rPr>
        <w:t>Student feedback reports.</w:t>
      </w:r>
    </w:p>
    <w:p>
      <w:pPr>
        <w:pStyle w:val="ListBullet"/>
        <w:spacing w:after="80"/>
        <w:jc w:val="both"/>
      </w:pPr>
      <w:r>
        <w:rPr>
          <w:rFonts w:ascii="Cambria" w:hAnsi="Cambria"/>
          <w:b w:val="0"/>
          <w:i w:val="0"/>
          <w:sz w:val="22"/>
        </w:rPr>
        <w:t>CO–PO attainment reports.</w:t>
      </w:r>
    </w:p>
    <w:p>
      <w:pPr>
        <w:pStyle w:val="ListBullet"/>
        <w:spacing w:after="80"/>
        <w:jc w:val="both"/>
      </w:pPr>
      <w:r>
        <w:rPr>
          <w:rFonts w:ascii="Cambria" w:hAnsi="Cambria"/>
          <w:b w:val="0"/>
          <w:i w:val="0"/>
          <w:sz w:val="22"/>
        </w:rPr>
        <w:t>Publication &amp; research records.</w:t>
      </w:r>
    </w:p>
    <w:p>
      <w:pPr>
        <w:pStyle w:val="ListBullet"/>
        <w:spacing w:after="80"/>
        <w:jc w:val="both"/>
      </w:pPr>
      <w:r>
        <w:rPr>
          <w:rFonts w:ascii="Cambria" w:hAnsi="Cambria"/>
          <w:b w:val="0"/>
          <w:i w:val="0"/>
          <w:sz w:val="22"/>
        </w:rPr>
        <w:t>FDP/Workshop participation certificates.</w:t>
      </w:r>
    </w:p>
    <w:p>
      <w:pPr>
        <w:pStyle w:val="ListBullet"/>
        <w:spacing w:after="80"/>
        <w:jc w:val="both"/>
      </w:pPr>
      <w:r>
        <w:rPr>
          <w:rFonts w:ascii="Cambria" w:hAnsi="Cambria"/>
          <w:b w:val="0"/>
          <w:i w:val="0"/>
          <w:sz w:val="22"/>
        </w:rPr>
        <w:t>Departmental appraisal summary sheet signed by HoD.</w:t>
      </w:r>
    </w:p>
    <w:p>
      <w:pPr>
        <w:pStyle w:val="ListBullet"/>
        <w:spacing w:after="80"/>
        <w:jc w:val="both"/>
      </w:pPr>
      <w:r>
        <w:rPr>
          <w:rFonts w:ascii="Cambria" w:hAnsi="Cambria"/>
          <w:b w:val="0"/>
          <w:i w:val="0"/>
          <w:sz w:val="22"/>
        </w:rPr>
        <w:t>Submission receipt from Principal/HR.</w:t>
      </w:r>
    </w:p>
    <w:p>
      <w:pPr>
        <w:keepNext/>
        <w:spacing w:before="280" w:after="160"/>
        <w:jc w:val="left"/>
      </w:pPr>
      <w:r>
        <w:rPr>
          <w:rFonts w:ascii="Cambria" w:hAnsi="Cambria"/>
          <w:b/>
          <w:i w:val="0"/>
          <w:color w:val="1F3A5F"/>
          <w:sz w:val="26"/>
        </w:rPr>
        <w:t>OBE Mapping (PO/PSO Links)</w:t>
      </w:r>
    </w:p>
    <w:p>
      <w:pPr>
        <w:pStyle w:val="ListBullet"/>
        <w:spacing w:after="80"/>
        <w:jc w:val="both"/>
      </w:pPr>
      <w:r>
        <w:rPr>
          <w:rFonts w:ascii="Cambria" w:hAnsi="Cambria"/>
          <w:b w:val="0"/>
          <w:i w:val="0"/>
          <w:sz w:val="22"/>
        </w:rPr>
        <w:t>PO12: Life-long Learning → FDPs, certifications, continuous improvement.</w:t>
      </w:r>
    </w:p>
    <w:p>
      <w:pPr>
        <w:pStyle w:val="ListBullet"/>
        <w:spacing w:after="80"/>
        <w:jc w:val="both"/>
      </w:pPr>
      <w:r>
        <w:rPr>
          <w:rFonts w:ascii="Cambria" w:hAnsi="Cambria"/>
          <w:b w:val="0"/>
          <w:i w:val="0"/>
          <w:sz w:val="22"/>
        </w:rPr>
        <w:t>PO11: Project Management → faculty handling projects, consultancy.</w:t>
      </w:r>
    </w:p>
    <w:p>
      <w:pPr>
        <w:pStyle w:val="ListBullet"/>
        <w:spacing w:after="80"/>
        <w:jc w:val="both"/>
      </w:pPr>
      <w:r>
        <w:rPr>
          <w:rFonts w:ascii="Cambria" w:hAnsi="Cambria"/>
          <w:b w:val="0"/>
          <w:i w:val="0"/>
          <w:sz w:val="22"/>
        </w:rPr>
        <w:t>PO10: Communication → effective teaching and extension activities.</w:t>
      </w:r>
    </w:p>
    <w:p>
      <w:pPr>
        <w:pStyle w:val="ListBullet"/>
        <w:spacing w:after="80"/>
        <w:jc w:val="both"/>
      </w:pPr>
      <w:r>
        <w:rPr>
          <w:rFonts w:ascii="Cambria" w:hAnsi="Cambria"/>
          <w:b w:val="0"/>
          <w:i w:val="0"/>
          <w:sz w:val="22"/>
        </w:rPr>
        <w:t>PSO2/PSO3: Research &amp; specialization skills → publications, lab/project guidance.</w:t>
      </w:r>
    </w:p>
    <w:p>
      <w:pPr>
        <w:keepNext/>
        <w:spacing w:before="280" w:after="160"/>
        <w:jc w:val="left"/>
      </w:pPr>
      <w:r>
        <w:rPr>
          <w:rFonts w:ascii="Cambria" w:hAnsi="Cambria"/>
          <w:b/>
          <w:i w:val="0"/>
          <w:color w:val="1F3A5F"/>
          <w:sz w:val="26"/>
        </w:rPr>
        <w:t>Tangible &amp; Numeric Outcomes</w:t>
      </w:r>
    </w:p>
    <w:p>
      <w:pPr>
        <w:pStyle w:val="ListBullet"/>
        <w:spacing w:after="80"/>
        <w:jc w:val="both"/>
      </w:pPr>
      <w:r>
        <w:rPr>
          <w:rFonts w:ascii="Cambria" w:hAnsi="Cambria"/>
          <w:b w:val="0"/>
          <w:i w:val="0"/>
          <w:sz w:val="22"/>
        </w:rPr>
        <w:t>100% faculty and staff appraisals submitted annually.</w:t>
      </w:r>
    </w:p>
    <w:p>
      <w:pPr>
        <w:pStyle w:val="ListBullet"/>
        <w:spacing w:after="80"/>
        <w:jc w:val="both"/>
      </w:pPr>
      <w:r>
        <w:rPr>
          <w:rFonts w:ascii="Cambria" w:hAnsi="Cambria"/>
          <w:b w:val="0"/>
          <w:i w:val="0"/>
          <w:sz w:val="22"/>
        </w:rPr>
        <w:t>YoY improvement in faculty performance metrics:</w:t>
      </w:r>
    </w:p>
    <w:p>
      <w:pPr>
        <w:pStyle w:val="ListBullet2"/>
        <w:spacing w:after="80"/>
        <w:jc w:val="both"/>
      </w:pPr>
      <w:r>
        <w:rPr>
          <w:rFonts w:ascii="Cambria" w:hAnsi="Cambria"/>
          <w:b w:val="0"/>
          <w:i w:val="0"/>
          <w:sz w:val="22"/>
        </w:rPr>
        <w:t>Avg. FDPs per faculty: 1.8 → 2.5 (+39%).</w:t>
      </w:r>
    </w:p>
    <w:p>
      <w:pPr>
        <w:pStyle w:val="ListBullet2"/>
        <w:spacing w:after="80"/>
        <w:jc w:val="both"/>
      </w:pPr>
      <w:r>
        <w:rPr>
          <w:rFonts w:ascii="Cambria" w:hAnsi="Cambria"/>
          <w:b w:val="0"/>
          <w:i w:val="0"/>
          <w:sz w:val="22"/>
        </w:rPr>
        <w:t>Publications per faculty: 1.6 → 2.1 (+31%).</w:t>
      </w:r>
    </w:p>
    <w:p>
      <w:pPr>
        <w:pStyle w:val="ListBullet2"/>
        <w:spacing w:after="80"/>
        <w:jc w:val="both"/>
      </w:pPr>
      <w:r>
        <w:rPr>
          <w:rFonts w:ascii="Cambria" w:hAnsi="Cambria"/>
          <w:b w:val="0"/>
          <w:i w:val="0"/>
          <w:sz w:val="22"/>
        </w:rPr>
        <w:t>Research funding secured: ₹5L → ₹8L (+60%).</w:t>
      </w:r>
    </w:p>
    <w:p>
      <w:pPr>
        <w:pStyle w:val="ListBullet"/>
        <w:spacing w:after="80"/>
        <w:jc w:val="both"/>
      </w:pPr>
      <w:r>
        <w:rPr>
          <w:rFonts w:ascii="Cambria" w:hAnsi="Cambria"/>
          <w:b w:val="0"/>
          <w:i w:val="0"/>
          <w:sz w:val="22"/>
        </w:rPr>
        <w:t>Improved student feedback ratings: 3.9 → 4.4/5.</w:t>
      </w:r>
    </w:p>
    <w:p>
      <w:pPr>
        <w:pStyle w:val="ListBullet"/>
        <w:spacing w:after="80"/>
        <w:jc w:val="both"/>
      </w:pPr>
      <w:r>
        <w:rPr>
          <w:rFonts w:ascii="Cambria" w:hAnsi="Cambria"/>
          <w:b w:val="0"/>
          <w:i w:val="0"/>
          <w:sz w:val="22"/>
        </w:rPr>
        <w:t>At least 80% of identified performance gaps addressed within the next appraisal cycle.</w:t>
      </w:r>
    </w:p>
    <w:p>
      <w:pPr>
        <w:keepNext/>
        <w:spacing w:before="280" w:after="160"/>
        <w:jc w:val="left"/>
      </w:pPr>
      <w:r>
        <w:rPr>
          <w:rFonts w:ascii="Cambria" w:hAnsi="Cambria"/>
          <w:b/>
          <w:i w:val="0"/>
          <w:color w:val="1F3A5F"/>
          <w:sz w:val="26"/>
        </w:rPr>
        <w:t>How Evidence-Based Evaluation Works</w:t>
      </w:r>
    </w:p>
    <w:p>
      <w:pPr>
        <w:spacing w:after="80"/>
        <w:ind w:left="340" w:hanging="340"/>
        <w:jc w:val="both"/>
      </w:pPr>
      <w:r>
        <w:rPr>
          <w:rFonts w:ascii="Cambria" w:hAnsi="Cambria"/>
          <w:b w:val="0"/>
          <w:i w:val="0"/>
          <w:sz w:val="22"/>
        </w:rPr>
        <w:t xml:space="preserve">1. </w:t>
      </w:r>
      <w:r>
        <w:rPr>
          <w:rFonts w:ascii="Cambria" w:hAnsi="Cambria"/>
          <w:b w:val="0"/>
          <w:i w:val="0"/>
          <w:sz w:val="22"/>
        </w:rPr>
        <w:t>Teaching Effectiveness</w:t>
      </w:r>
    </w:p>
    <w:p>
      <w:pPr>
        <w:pStyle w:val="ListBullet2"/>
        <w:spacing w:after="80"/>
        <w:jc w:val="both"/>
      </w:pPr>
      <w:r>
        <w:rPr>
          <w:rFonts w:ascii="Cambria" w:hAnsi="Cambria"/>
          <w:b w:val="0"/>
          <w:i w:val="0"/>
          <w:sz w:val="22"/>
        </w:rPr>
        <w:t>Evidence: Student feedback reports, CO–PO attainment analysis, exam results.</w:t>
      </w:r>
    </w:p>
    <w:p>
      <w:pPr>
        <w:pStyle w:val="ListBullet2"/>
        <w:spacing w:after="80"/>
        <w:jc w:val="both"/>
      </w:pPr>
      <w:r>
        <w:rPr>
          <w:rFonts w:ascii="Cambria" w:hAnsi="Cambria"/>
          <w:b w:val="0"/>
          <w:i w:val="0"/>
          <w:sz w:val="22"/>
        </w:rPr>
        <w:t>Metric: Student feedback ≥ 4.0/5, Pass % improvement YoY, CO attainment closure rate.</w:t>
      </w:r>
    </w:p>
    <w:p>
      <w:pPr>
        <w:spacing w:after="80"/>
        <w:ind w:left="340" w:hanging="340"/>
        <w:jc w:val="both"/>
      </w:pPr>
      <w:r>
        <w:rPr>
          <w:rFonts w:ascii="Cambria" w:hAnsi="Cambria"/>
          <w:b w:val="0"/>
          <w:i w:val="0"/>
          <w:sz w:val="22"/>
        </w:rPr>
        <w:t xml:space="preserve">2. </w:t>
      </w:r>
      <w:r>
        <w:rPr>
          <w:rFonts w:ascii="Cambria" w:hAnsi="Cambria"/>
          <w:b w:val="0"/>
          <w:i w:val="0"/>
          <w:sz w:val="22"/>
        </w:rPr>
        <w:t>Research &amp; Publications</w:t>
      </w:r>
    </w:p>
    <w:p>
      <w:pPr>
        <w:pStyle w:val="ListBullet2"/>
        <w:spacing w:after="80"/>
        <w:jc w:val="both"/>
      </w:pPr>
      <w:r>
        <w:rPr>
          <w:rFonts w:ascii="Cambria" w:hAnsi="Cambria"/>
          <w:b w:val="0"/>
          <w:i w:val="0"/>
          <w:sz w:val="22"/>
        </w:rPr>
        <w:t>Evidence: Publication records, Scopus/SCI indexing certificates, DOI numbers.</w:t>
      </w:r>
    </w:p>
    <w:p>
      <w:pPr>
        <w:pStyle w:val="ListBullet2"/>
        <w:spacing w:after="80"/>
        <w:jc w:val="both"/>
      </w:pPr>
      <w:r>
        <w:rPr>
          <w:rFonts w:ascii="Cambria" w:hAnsi="Cambria"/>
          <w:b w:val="0"/>
          <w:i w:val="0"/>
          <w:sz w:val="22"/>
        </w:rPr>
        <w:t>Metric: Publications/faculty per year (e.g., 1.6 → 2.1), Citations count, h-index.</w:t>
      </w:r>
    </w:p>
    <w:p>
      <w:pPr>
        <w:spacing w:after="80"/>
        <w:ind w:left="340" w:hanging="340"/>
        <w:jc w:val="both"/>
      </w:pPr>
      <w:r>
        <w:rPr>
          <w:rFonts w:ascii="Cambria" w:hAnsi="Cambria"/>
          <w:b w:val="0"/>
          <w:i w:val="0"/>
          <w:sz w:val="22"/>
        </w:rPr>
        <w:t xml:space="preserve">3. </w:t>
      </w:r>
      <w:r>
        <w:rPr>
          <w:rFonts w:ascii="Cambria" w:hAnsi="Cambria"/>
          <w:b w:val="0"/>
          <w:i w:val="0"/>
          <w:sz w:val="22"/>
        </w:rPr>
        <w:t>Professional Development (FDPs/Workshops)</w:t>
      </w:r>
    </w:p>
    <w:p>
      <w:pPr>
        <w:pStyle w:val="ListBullet2"/>
        <w:spacing w:after="80"/>
        <w:jc w:val="both"/>
      </w:pPr>
      <w:r>
        <w:rPr>
          <w:rFonts w:ascii="Cambria" w:hAnsi="Cambria"/>
          <w:b w:val="0"/>
          <w:i w:val="0"/>
          <w:sz w:val="22"/>
        </w:rPr>
        <w:t>Evidence: FDP certificates, workshop participation records.</w:t>
      </w:r>
    </w:p>
    <w:p>
      <w:pPr>
        <w:pStyle w:val="ListBullet2"/>
        <w:spacing w:after="80"/>
        <w:jc w:val="both"/>
      </w:pPr>
      <w:r>
        <w:rPr>
          <w:rFonts w:ascii="Cambria" w:hAnsi="Cambria"/>
          <w:b w:val="0"/>
          <w:i w:val="0"/>
          <w:sz w:val="22"/>
        </w:rPr>
        <w:t>Metric: FDPs per faculty (e.g., ≥2 per year), % faculty with certifications.</w:t>
      </w:r>
    </w:p>
    <w:p>
      <w:pPr>
        <w:spacing w:after="80"/>
        <w:ind w:left="340" w:hanging="340"/>
        <w:jc w:val="both"/>
      </w:pPr>
      <w:r>
        <w:rPr>
          <w:rFonts w:ascii="Cambria" w:hAnsi="Cambria"/>
          <w:b w:val="0"/>
          <w:i w:val="0"/>
          <w:sz w:val="22"/>
        </w:rPr>
        <w:t xml:space="preserve">4. </w:t>
      </w:r>
      <w:r>
        <w:rPr>
          <w:rFonts w:ascii="Cambria" w:hAnsi="Cambria"/>
          <w:b w:val="0"/>
          <w:i w:val="0"/>
          <w:sz w:val="22"/>
        </w:rPr>
        <w:t>Projects, Consultancy &amp; Grants</w:t>
      </w:r>
    </w:p>
    <w:p>
      <w:pPr>
        <w:pStyle w:val="ListBullet2"/>
        <w:spacing w:after="80"/>
        <w:jc w:val="both"/>
      </w:pPr>
      <w:r>
        <w:rPr>
          <w:rFonts w:ascii="Cambria" w:hAnsi="Cambria"/>
          <w:b w:val="0"/>
          <w:i w:val="0"/>
          <w:sz w:val="22"/>
        </w:rPr>
        <w:t>Evidence: Grant sanction letters, consultancy MoUs, fund utilization certificates.</w:t>
      </w:r>
    </w:p>
    <w:p>
      <w:pPr>
        <w:pStyle w:val="ListBullet2"/>
        <w:spacing w:after="80"/>
        <w:jc w:val="both"/>
      </w:pPr>
      <w:r>
        <w:rPr>
          <w:rFonts w:ascii="Cambria" w:hAnsi="Cambria"/>
          <w:b w:val="0"/>
          <w:i w:val="0"/>
          <w:sz w:val="22"/>
        </w:rPr>
        <w:t>Metric: Research funding (₹5L → ₹8L), Consultancy revenue, No. of funded projects.</w:t>
      </w:r>
    </w:p>
    <w:p>
      <w:pPr>
        <w:spacing w:after="80"/>
        <w:ind w:left="340" w:hanging="340"/>
        <w:jc w:val="both"/>
      </w:pPr>
      <w:r>
        <w:rPr>
          <w:rFonts w:ascii="Cambria" w:hAnsi="Cambria"/>
          <w:b w:val="0"/>
          <w:i w:val="0"/>
          <w:sz w:val="22"/>
        </w:rPr>
        <w:t xml:space="preserve">5. </w:t>
      </w:r>
      <w:r>
        <w:rPr>
          <w:rFonts w:ascii="Cambria" w:hAnsi="Cambria"/>
          <w:b w:val="0"/>
          <w:i w:val="0"/>
          <w:sz w:val="22"/>
        </w:rPr>
        <w:t>Institutional/Administrative Contribution</w:t>
      </w:r>
    </w:p>
    <w:p>
      <w:pPr>
        <w:pStyle w:val="ListBullet2"/>
        <w:spacing w:after="80"/>
        <w:jc w:val="both"/>
      </w:pPr>
      <w:r>
        <w:rPr>
          <w:rFonts w:ascii="Cambria" w:hAnsi="Cambria"/>
          <w:b w:val="0"/>
          <w:i w:val="0"/>
          <w:sz w:val="22"/>
        </w:rPr>
        <w:t>Evidence: Event reports, committee membership records, extension activity certificates.</w:t>
      </w:r>
    </w:p>
    <w:p>
      <w:pPr>
        <w:pStyle w:val="ListBullet2"/>
        <w:spacing w:after="80"/>
        <w:jc w:val="both"/>
      </w:pPr>
      <w:r>
        <w:rPr>
          <w:rFonts w:ascii="Cambria" w:hAnsi="Cambria"/>
          <w:b w:val="0"/>
          <w:i w:val="0"/>
          <w:sz w:val="22"/>
        </w:rPr>
        <w:t>Metric: No. of events organized, accreditation contributions, community engagement hours.</w:t>
      </w:r>
    </w:p>
    <w:p>
      <w:pPr>
        <w:keepNext/>
        <w:spacing w:before="280" w:after="160"/>
        <w:jc w:val="left"/>
      </w:pPr>
      <w:r>
        <w:rPr>
          <w:rFonts w:ascii="Cambria" w:hAnsi="Cambria"/>
          <w:b/>
          <w:i w:val="0"/>
          <w:color w:val="1F3A5F"/>
          <w:sz w:val="26"/>
        </w:rPr>
        <w:t>Tangible Outcomes from Evidence-Based Appraisals</w:t>
      </w:r>
    </w:p>
    <w:p>
      <w:pPr>
        <w:pStyle w:val="ListBullet"/>
        <w:spacing w:after="80"/>
        <w:jc w:val="both"/>
      </w:pPr>
      <w:r>
        <w:rPr>
          <w:rFonts w:ascii="Cambria" w:hAnsi="Cambria"/>
          <w:b w:val="0"/>
          <w:i w:val="0"/>
          <w:sz w:val="22"/>
        </w:rPr>
        <w:t>100% faculty/staff appraisals supported by documented evidence.</w:t>
      </w:r>
    </w:p>
    <w:p>
      <w:pPr>
        <w:pStyle w:val="ListBullet"/>
        <w:spacing w:after="80"/>
        <w:jc w:val="both"/>
      </w:pPr>
      <w:r>
        <w:rPr>
          <w:rFonts w:ascii="Cambria" w:hAnsi="Cambria"/>
          <w:b w:val="0"/>
          <w:i w:val="0"/>
          <w:sz w:val="22"/>
        </w:rPr>
        <w:t>Numeric benchmarks tracked YoY:</w:t>
      </w:r>
    </w:p>
    <w:p>
      <w:pPr>
        <w:pStyle w:val="ListBullet2"/>
        <w:spacing w:after="80"/>
        <w:jc w:val="both"/>
      </w:pPr>
      <w:r>
        <w:rPr>
          <w:rFonts w:ascii="Cambria" w:hAnsi="Cambria"/>
          <w:b w:val="0"/>
          <w:i w:val="0"/>
          <w:sz w:val="22"/>
        </w:rPr>
        <w:t>FDPs per faculty ↑ 39% (1.8 → 2.5).</w:t>
      </w:r>
    </w:p>
    <w:p>
      <w:pPr>
        <w:pStyle w:val="ListBullet2"/>
        <w:spacing w:after="80"/>
        <w:jc w:val="both"/>
      </w:pPr>
      <w:r>
        <w:rPr>
          <w:rFonts w:ascii="Cambria" w:hAnsi="Cambria"/>
          <w:b w:val="0"/>
          <w:i w:val="0"/>
          <w:sz w:val="22"/>
        </w:rPr>
        <w:t>Publications per faculty ↑ 31% (1.6 → 2.1).</w:t>
      </w:r>
    </w:p>
    <w:p>
      <w:pPr>
        <w:pStyle w:val="ListBullet2"/>
        <w:spacing w:after="80"/>
        <w:jc w:val="both"/>
      </w:pPr>
      <w:r>
        <w:rPr>
          <w:rFonts w:ascii="Cambria" w:hAnsi="Cambria"/>
          <w:b w:val="0"/>
          <w:i w:val="0"/>
          <w:sz w:val="22"/>
        </w:rPr>
        <w:t>Research grants ↑ 60% (₹5L → ₹8L).</w:t>
      </w:r>
    </w:p>
    <w:p>
      <w:pPr>
        <w:pStyle w:val="ListBullet"/>
        <w:spacing w:after="80"/>
        <w:jc w:val="both"/>
      </w:pPr>
      <w:r>
        <w:rPr>
          <w:rFonts w:ascii="Cambria" w:hAnsi="Cambria"/>
          <w:b w:val="0"/>
          <w:i w:val="0"/>
          <w:sz w:val="22"/>
        </w:rPr>
        <w:t>80% performance gaps closed within appraisal cycle.</w:t>
      </w:r>
    </w:p>
    <w:p>
      <w:pPr>
        <w:pStyle w:val="ListBullet"/>
        <w:spacing w:after="80"/>
        <w:jc w:val="both"/>
      </w:pPr>
      <w:r>
        <w:rPr>
          <w:rFonts w:ascii="Cambria" w:hAnsi="Cambria"/>
          <w:b w:val="0"/>
          <w:i w:val="0"/>
          <w:sz w:val="22"/>
        </w:rPr>
        <w:t>Student feedback scores improved by +0.5 (3.9 → 4.4/5).</w:t>
      </w:r>
    </w:p>
    <w:p>
      <w:pPr>
        <w:keepNext/>
        <w:spacing w:before="280" w:after="160"/>
        <w:jc w:val="left"/>
      </w:pPr>
      <w:r>
        <w:rPr>
          <w:rFonts w:ascii="Cambria" w:hAnsi="Cambria"/>
          <w:b/>
          <w:i w:val="0"/>
          <w:color w:val="1F3A5F"/>
          <w:sz w:val="26"/>
        </w:rPr>
        <w:t>How Faculty Motivation &amp; Accountability Improve</w:t>
      </w:r>
    </w:p>
    <w:p>
      <w:pPr>
        <w:spacing w:after="80"/>
        <w:ind w:left="340" w:hanging="340"/>
        <w:jc w:val="both"/>
      </w:pPr>
      <w:r>
        <w:rPr>
          <w:rFonts w:ascii="Cambria" w:hAnsi="Cambria"/>
          <w:b w:val="0"/>
          <w:i w:val="0"/>
          <w:sz w:val="22"/>
        </w:rPr>
        <w:t xml:space="preserve">1. </w:t>
      </w:r>
      <w:r>
        <w:rPr>
          <w:rFonts w:ascii="Cambria" w:hAnsi="Cambria"/>
          <w:b w:val="0"/>
          <w:i w:val="0"/>
          <w:sz w:val="22"/>
        </w:rPr>
        <w:t>Clear Expectations</w:t>
      </w:r>
    </w:p>
    <w:p>
      <w:pPr>
        <w:pStyle w:val="ListBullet2"/>
        <w:spacing w:after="80"/>
        <w:jc w:val="both"/>
      </w:pPr>
      <w:r>
        <w:rPr>
          <w:rFonts w:ascii="Cambria" w:hAnsi="Cambria"/>
          <w:b w:val="0"/>
          <w:i w:val="0"/>
          <w:sz w:val="22"/>
        </w:rPr>
        <w:t>Faculty know the criteria: teaching quality, research, FDPs, projects, student support.</w:t>
      </w:r>
    </w:p>
    <w:p>
      <w:pPr>
        <w:spacing w:after="120"/>
        <w:jc w:val="both"/>
      </w:pPr>
      <w:r>
        <w:rPr>
          <w:rFonts w:ascii="Cambria" w:hAnsi="Cambria"/>
          <w:b w:val="0"/>
          <w:i w:val="0"/>
          <w:sz w:val="22"/>
        </w:rPr>
        <w:t xml:space="preserve">Removes ambiguity → </w:t>
      </w:r>
      <w:r>
        <w:rPr>
          <w:rFonts w:ascii="Cambria" w:hAnsi="Cambria"/>
          <w:b w:val="0"/>
          <w:i/>
          <w:sz w:val="22"/>
        </w:rPr>
        <w:t>“What gets measured, gets improved.”</w:t>
      </w:r>
    </w:p>
    <w:p>
      <w:pPr>
        <w:spacing w:after="80"/>
        <w:ind w:left="340" w:hanging="340"/>
        <w:jc w:val="both"/>
      </w:pPr>
      <w:r>
        <w:rPr>
          <w:rFonts w:ascii="Cambria" w:hAnsi="Cambria"/>
          <w:b w:val="0"/>
          <w:i w:val="0"/>
          <w:sz w:val="22"/>
        </w:rPr>
        <w:t xml:space="preserve">2. </w:t>
      </w:r>
      <w:r>
        <w:rPr>
          <w:rFonts w:ascii="Cambria" w:hAnsi="Cambria"/>
          <w:b w:val="0"/>
          <w:i w:val="0"/>
          <w:sz w:val="22"/>
        </w:rPr>
        <w:t>Recognition of Achievements</w:t>
      </w:r>
    </w:p>
    <w:p>
      <w:pPr>
        <w:pStyle w:val="ListBullet2"/>
        <w:spacing w:after="80"/>
        <w:jc w:val="both"/>
      </w:pPr>
      <w:r>
        <w:rPr>
          <w:rFonts w:ascii="Cambria" w:hAnsi="Cambria"/>
          <w:b w:val="0"/>
          <w:i w:val="0"/>
          <w:sz w:val="22"/>
        </w:rPr>
        <w:t>Documented evidence ensures FDPs, publications, projects are recognized.</w:t>
      </w:r>
    </w:p>
    <w:p>
      <w:pPr>
        <w:pStyle w:val="ListBullet2"/>
        <w:spacing w:after="80"/>
        <w:jc w:val="both"/>
      </w:pPr>
      <w:r>
        <w:rPr>
          <w:rFonts w:ascii="Cambria" w:hAnsi="Cambria"/>
          <w:b w:val="0"/>
          <w:i w:val="0"/>
          <w:sz w:val="22"/>
        </w:rPr>
        <w:t>Builds morale by rewarding contributions backed by proof.</w:t>
      </w:r>
    </w:p>
    <w:p>
      <w:pPr>
        <w:spacing w:after="80"/>
        <w:ind w:left="340" w:hanging="340"/>
        <w:jc w:val="both"/>
      </w:pPr>
      <w:r>
        <w:rPr>
          <w:rFonts w:ascii="Cambria" w:hAnsi="Cambria"/>
          <w:b w:val="0"/>
          <w:i w:val="0"/>
          <w:sz w:val="22"/>
        </w:rPr>
        <w:t xml:space="preserve">3. </w:t>
      </w:r>
      <w:r>
        <w:rPr>
          <w:rFonts w:ascii="Cambria" w:hAnsi="Cambria"/>
          <w:b w:val="0"/>
          <w:i w:val="0"/>
          <w:sz w:val="22"/>
        </w:rPr>
        <w:t>Fairness &amp; Transparency</w:t>
      </w:r>
    </w:p>
    <w:p>
      <w:pPr>
        <w:pStyle w:val="ListBullet2"/>
        <w:spacing w:after="80"/>
        <w:jc w:val="both"/>
      </w:pPr>
      <w:r>
        <w:rPr>
          <w:rFonts w:ascii="Cambria" w:hAnsi="Cambria"/>
          <w:b w:val="0"/>
          <w:i w:val="0"/>
          <w:sz w:val="22"/>
        </w:rPr>
        <w:t>Everyone evaluated on the same evidence-based framework.</w:t>
      </w:r>
    </w:p>
    <w:p>
      <w:pPr>
        <w:pStyle w:val="ListBullet2"/>
        <w:spacing w:after="80"/>
        <w:jc w:val="both"/>
      </w:pPr>
      <w:r>
        <w:rPr>
          <w:rFonts w:ascii="Cambria" w:hAnsi="Cambria"/>
          <w:b w:val="0"/>
          <w:i w:val="0"/>
          <w:sz w:val="22"/>
        </w:rPr>
        <w:t>Reduces bias and favoritism → improves trust in the appraisal system.</w:t>
      </w:r>
    </w:p>
    <w:p>
      <w:pPr>
        <w:spacing w:after="80"/>
        <w:ind w:left="340" w:hanging="340"/>
        <w:jc w:val="both"/>
      </w:pPr>
      <w:r>
        <w:rPr>
          <w:rFonts w:ascii="Cambria" w:hAnsi="Cambria"/>
          <w:b w:val="0"/>
          <w:i w:val="0"/>
          <w:sz w:val="22"/>
        </w:rPr>
        <w:t xml:space="preserve">4. </w:t>
      </w:r>
      <w:r>
        <w:rPr>
          <w:rFonts w:ascii="Cambria" w:hAnsi="Cambria"/>
          <w:b w:val="0"/>
          <w:i w:val="0"/>
          <w:sz w:val="22"/>
        </w:rPr>
        <w:t>Accountability for Outcomes</w:t>
      </w:r>
    </w:p>
    <w:p>
      <w:pPr>
        <w:pStyle w:val="ListBullet2"/>
        <w:spacing w:after="80"/>
        <w:jc w:val="both"/>
      </w:pPr>
      <w:r>
        <w:rPr>
          <w:rFonts w:ascii="Cambria" w:hAnsi="Cambria"/>
          <w:b w:val="0"/>
          <w:i w:val="0"/>
          <w:sz w:val="22"/>
        </w:rPr>
        <w:t>Faculty responsible for CO–PO attainment, research output, FDP participation.</w:t>
      </w:r>
    </w:p>
    <w:p>
      <w:pPr>
        <w:pStyle w:val="ListBullet2"/>
        <w:spacing w:after="80"/>
        <w:jc w:val="both"/>
      </w:pPr>
      <w:r>
        <w:rPr>
          <w:rFonts w:ascii="Cambria" w:hAnsi="Cambria"/>
          <w:b w:val="0"/>
          <w:i w:val="0"/>
          <w:sz w:val="22"/>
        </w:rPr>
        <w:t>Poor performance linked to mentoring, training, or workload redistribution.</w:t>
      </w:r>
    </w:p>
    <w:p>
      <w:pPr>
        <w:spacing w:after="80"/>
        <w:ind w:left="340" w:hanging="340"/>
        <w:jc w:val="both"/>
      </w:pPr>
      <w:r>
        <w:rPr>
          <w:rFonts w:ascii="Cambria" w:hAnsi="Cambria"/>
          <w:b w:val="0"/>
          <w:i w:val="0"/>
          <w:sz w:val="22"/>
        </w:rPr>
        <w:t xml:space="preserve">5. </w:t>
      </w:r>
      <w:r>
        <w:rPr>
          <w:rFonts w:ascii="Cambria" w:hAnsi="Cambria"/>
          <w:b w:val="0"/>
          <w:i w:val="0"/>
          <w:sz w:val="22"/>
        </w:rPr>
        <w:t>Continuous Improvement Culture</w:t>
      </w:r>
    </w:p>
    <w:p>
      <w:pPr>
        <w:pStyle w:val="ListBullet2"/>
        <w:spacing w:after="80"/>
        <w:jc w:val="both"/>
      </w:pPr>
      <w:r>
        <w:rPr>
          <w:rFonts w:ascii="Cambria" w:hAnsi="Cambria"/>
          <w:b w:val="0"/>
          <w:i w:val="0"/>
          <w:sz w:val="22"/>
        </w:rPr>
        <w:t>Year-on-year metrics (e.g., publications, feedback scores, student projects) push faculty to set higher goals.</w:t>
      </w:r>
    </w:p>
    <w:p>
      <w:pPr>
        <w:pStyle w:val="ListBullet2"/>
        <w:spacing w:after="80"/>
        <w:jc w:val="both"/>
      </w:pPr>
      <w:r>
        <w:rPr>
          <w:rFonts w:ascii="Cambria" w:hAnsi="Cambria"/>
          <w:b w:val="0"/>
          <w:i w:val="0"/>
          <w:sz w:val="22"/>
        </w:rPr>
        <w:t>Directly aligns personal growth with departmental OBE compliance.</w:t>
      </w:r>
    </w:p>
    <w:p>
      <w:pPr>
        <w:keepNext/>
        <w:spacing w:before="280" w:after="160"/>
        <w:jc w:val="left"/>
      </w:pPr>
      <w:r>
        <w:rPr>
          <w:rFonts w:ascii="Cambria" w:hAnsi="Cambria"/>
          <w:b/>
          <w:i w:val="0"/>
          <w:color w:val="1F3A5F"/>
          <w:sz w:val="26"/>
        </w:rPr>
        <w:t>Tangible Impact on Faculty Motivation</w:t>
      </w:r>
    </w:p>
    <w:p>
      <w:pPr>
        <w:pStyle w:val="ListBullet"/>
        <w:spacing w:after="80"/>
        <w:jc w:val="both"/>
      </w:pPr>
      <w:r>
        <w:rPr>
          <w:rFonts w:ascii="Cambria" w:hAnsi="Cambria"/>
          <w:b w:val="0"/>
          <w:i w:val="0"/>
          <w:sz w:val="22"/>
        </w:rPr>
        <w:t>100% appraisals documented → faculty see their work officially recorded.</w:t>
      </w:r>
    </w:p>
    <w:p>
      <w:pPr>
        <w:pStyle w:val="ListBullet"/>
        <w:spacing w:after="80"/>
        <w:jc w:val="both"/>
      </w:pPr>
      <w:r>
        <w:rPr>
          <w:rFonts w:ascii="Cambria" w:hAnsi="Cambria"/>
          <w:b w:val="0"/>
          <w:i w:val="0"/>
          <w:sz w:val="22"/>
        </w:rPr>
        <w:t>YoY growth in academic KPIs:</w:t>
      </w:r>
    </w:p>
    <w:p>
      <w:pPr>
        <w:pStyle w:val="ListBullet2"/>
        <w:spacing w:after="80"/>
        <w:jc w:val="both"/>
      </w:pPr>
      <w:r>
        <w:rPr>
          <w:rFonts w:ascii="Cambria" w:hAnsi="Cambria"/>
          <w:b w:val="0"/>
          <w:i w:val="0"/>
          <w:sz w:val="22"/>
        </w:rPr>
        <w:t>Publications per faculty ↑ 31% (1.6 → 2.1).</w:t>
      </w:r>
    </w:p>
    <w:p>
      <w:pPr>
        <w:pStyle w:val="ListBullet2"/>
        <w:spacing w:after="80"/>
        <w:jc w:val="both"/>
      </w:pPr>
      <w:r>
        <w:rPr>
          <w:rFonts w:ascii="Cambria" w:hAnsi="Cambria"/>
          <w:b w:val="0"/>
          <w:i w:val="0"/>
          <w:sz w:val="22"/>
        </w:rPr>
        <w:t>FDPs per faculty ↑ 39% (1.8 → 2.5).</w:t>
      </w:r>
    </w:p>
    <w:p>
      <w:pPr>
        <w:pStyle w:val="ListBullet2"/>
        <w:spacing w:after="80"/>
        <w:jc w:val="both"/>
      </w:pPr>
      <w:r>
        <w:rPr>
          <w:rFonts w:ascii="Cambria" w:hAnsi="Cambria"/>
          <w:b w:val="0"/>
          <w:i w:val="0"/>
          <w:sz w:val="22"/>
        </w:rPr>
        <w:t>Student feedback ↑ 0.5 points (3.9 → 4.4/5).</w:t>
      </w:r>
    </w:p>
    <w:p>
      <w:pPr>
        <w:pStyle w:val="ListBullet"/>
        <w:spacing w:after="80"/>
        <w:jc w:val="both"/>
      </w:pPr>
      <w:r>
        <w:rPr>
          <w:rFonts w:ascii="Cambria" w:hAnsi="Cambria"/>
          <w:b w:val="0"/>
          <w:i w:val="0"/>
          <w:sz w:val="22"/>
        </w:rPr>
        <w:t>80% performance gaps closed → training, mentoring, and FDPs planned for weaker faculty.</w:t>
      </w:r>
    </w:p>
    <w:p>
      <w:pPr>
        <w:pStyle w:val="ListBullet"/>
        <w:spacing w:after="80"/>
        <w:jc w:val="both"/>
      </w:pPr>
      <w:r>
        <w:rPr>
          <w:rFonts w:ascii="Cambria" w:hAnsi="Cambria"/>
          <w:b w:val="0"/>
          <w:i w:val="0"/>
          <w:sz w:val="22"/>
        </w:rPr>
        <w:t>High-performing faculty recognized in promotions, awards, and workload flexibility.</w:t>
      </w:r>
    </w:p>
    <w:p>
      <w:pPr>
        <w:keepNext/>
        <w:spacing w:before="280" w:after="160"/>
        <w:jc w:val="left"/>
      </w:pPr>
      <w:r>
        <w:rPr>
          <w:rFonts w:ascii="Cambria" w:hAnsi="Cambria"/>
          <w:b/>
          <w:i w:val="0"/>
          <w:color w:val="1F3A5F"/>
          <w:sz w:val="26"/>
        </w:rPr>
        <w:t>How Faculty Appraisals Show Systematic HR Governance</w:t>
      </w:r>
    </w:p>
    <w:p>
      <w:pPr>
        <w:spacing w:after="80"/>
        <w:ind w:left="340" w:hanging="340"/>
        <w:jc w:val="both"/>
      </w:pPr>
      <w:r>
        <w:rPr>
          <w:rFonts w:ascii="Cambria" w:hAnsi="Cambria"/>
          <w:b w:val="0"/>
          <w:i w:val="0"/>
          <w:sz w:val="22"/>
        </w:rPr>
        <w:t xml:space="preserve">1. </w:t>
      </w:r>
      <w:r>
        <w:rPr>
          <w:rFonts w:ascii="Cambria" w:hAnsi="Cambria"/>
          <w:b w:val="0"/>
          <w:i w:val="0"/>
          <w:sz w:val="22"/>
        </w:rPr>
        <w:t>Structured Process</w:t>
      </w:r>
    </w:p>
    <w:p>
      <w:pPr>
        <w:pStyle w:val="ListBullet2"/>
        <w:spacing w:after="80"/>
        <w:jc w:val="both"/>
      </w:pPr>
      <w:r>
        <w:rPr>
          <w:rFonts w:ascii="Cambria" w:hAnsi="Cambria"/>
          <w:b w:val="0"/>
          <w:i w:val="0"/>
          <w:sz w:val="22"/>
        </w:rPr>
        <w:t>Appraisals conducted on a fixed annual/semester cycle.</w:t>
      </w:r>
    </w:p>
    <w:p>
      <w:pPr>
        <w:pStyle w:val="ListBullet2"/>
        <w:spacing w:after="80"/>
        <w:jc w:val="both"/>
      </w:pPr>
      <w:r>
        <w:rPr>
          <w:rFonts w:ascii="Cambria" w:hAnsi="Cambria"/>
          <w:b w:val="0"/>
          <w:i w:val="0"/>
          <w:sz w:val="22"/>
        </w:rPr>
        <w:t>Standardized self-appraisal forms used for all faculty and staff.</w:t>
      </w:r>
    </w:p>
    <w:p>
      <w:pPr>
        <w:pStyle w:val="ListBullet2"/>
        <w:spacing w:after="80"/>
        <w:jc w:val="both"/>
      </w:pPr>
      <w:r>
        <w:rPr>
          <w:rFonts w:ascii="Cambria" w:hAnsi="Cambria"/>
          <w:b w:val="0"/>
          <w:i w:val="0"/>
          <w:sz w:val="22"/>
        </w:rPr>
        <w:t>Criteria clearly defined: teaching, research, FDPs, admin contributions.</w:t>
      </w:r>
    </w:p>
    <w:p>
      <w:pPr>
        <w:spacing w:after="80"/>
        <w:ind w:left="340" w:hanging="340"/>
        <w:jc w:val="both"/>
      </w:pPr>
      <w:r>
        <w:rPr>
          <w:rFonts w:ascii="Cambria" w:hAnsi="Cambria"/>
          <w:b w:val="0"/>
          <w:i w:val="0"/>
          <w:sz w:val="22"/>
        </w:rPr>
        <w:t xml:space="preserve">2. </w:t>
      </w:r>
      <w:r>
        <w:rPr>
          <w:rFonts w:ascii="Cambria" w:hAnsi="Cambria"/>
          <w:b w:val="0"/>
          <w:i w:val="0"/>
          <w:sz w:val="22"/>
        </w:rPr>
        <w:t>Evidence-Based Evaluation</w:t>
      </w:r>
    </w:p>
    <w:p>
      <w:pPr>
        <w:spacing w:after="120"/>
        <w:jc w:val="both"/>
      </w:pPr>
      <w:r>
        <w:rPr>
          <w:rFonts w:ascii="Cambria" w:hAnsi="Cambria"/>
          <w:b w:val="0"/>
          <w:i w:val="0"/>
          <w:sz w:val="22"/>
        </w:rPr>
        <w:t>Decisions are not subjective → linked to CO–PO attainment, research output, FDP participation, student feedback.</w:t>
      </w:r>
    </w:p>
    <w:p>
      <w:pPr>
        <w:pStyle w:val="ListBullet2"/>
        <w:spacing w:after="80"/>
        <w:jc w:val="both"/>
      </w:pPr>
      <w:r>
        <w:rPr>
          <w:rFonts w:ascii="Cambria" w:hAnsi="Cambria"/>
          <w:b w:val="0"/>
          <w:i w:val="0"/>
          <w:sz w:val="22"/>
        </w:rPr>
        <w:t>Every appraisal supported by documents &amp; signatures.</w:t>
      </w:r>
    </w:p>
    <w:p>
      <w:pPr>
        <w:spacing w:after="80"/>
        <w:ind w:left="340" w:hanging="340"/>
        <w:jc w:val="both"/>
      </w:pPr>
      <w:r>
        <w:rPr>
          <w:rFonts w:ascii="Cambria" w:hAnsi="Cambria"/>
          <w:b w:val="0"/>
          <w:i w:val="0"/>
          <w:sz w:val="22"/>
        </w:rPr>
        <w:t xml:space="preserve">3. </w:t>
      </w:r>
      <w:r>
        <w:rPr>
          <w:rFonts w:ascii="Cambria" w:hAnsi="Cambria"/>
          <w:b w:val="0"/>
          <w:i w:val="0"/>
          <w:sz w:val="22"/>
        </w:rPr>
        <w:t>Transparency &amp; Accountability</w:t>
      </w:r>
    </w:p>
    <w:p>
      <w:pPr>
        <w:pStyle w:val="ListBullet2"/>
        <w:spacing w:after="80"/>
        <w:jc w:val="both"/>
      </w:pPr>
      <w:r>
        <w:rPr>
          <w:rFonts w:ascii="Cambria" w:hAnsi="Cambria"/>
          <w:b w:val="0"/>
          <w:i w:val="0"/>
          <w:sz w:val="22"/>
        </w:rPr>
        <w:t>Faculty appraisals reviewed in department meetings and submitted formally to Principal/HR.</w:t>
      </w:r>
    </w:p>
    <w:p>
      <w:pPr>
        <w:pStyle w:val="ListBullet2"/>
        <w:spacing w:after="80"/>
        <w:jc w:val="both"/>
      </w:pPr>
      <w:r>
        <w:rPr>
          <w:rFonts w:ascii="Cambria" w:hAnsi="Cambria"/>
          <w:b w:val="0"/>
          <w:i w:val="0"/>
          <w:sz w:val="22"/>
        </w:rPr>
        <w:t>HoD ensures fairness and maintains records for audit verification.</w:t>
      </w:r>
    </w:p>
    <w:p>
      <w:pPr>
        <w:spacing w:after="80"/>
        <w:ind w:left="340" w:hanging="340"/>
        <w:jc w:val="both"/>
      </w:pPr>
      <w:r>
        <w:rPr>
          <w:rFonts w:ascii="Cambria" w:hAnsi="Cambria"/>
          <w:b w:val="0"/>
          <w:i w:val="0"/>
          <w:sz w:val="22"/>
        </w:rPr>
        <w:t xml:space="preserve">4. </w:t>
      </w:r>
      <w:r>
        <w:rPr>
          <w:rFonts w:ascii="Cambria" w:hAnsi="Cambria"/>
          <w:b w:val="0"/>
          <w:i w:val="0"/>
          <w:sz w:val="22"/>
        </w:rPr>
        <w:t>Performance Gap Identification</w:t>
      </w:r>
    </w:p>
    <w:p>
      <w:pPr>
        <w:pStyle w:val="ListBullet2"/>
        <w:spacing w:after="80"/>
        <w:jc w:val="both"/>
      </w:pPr>
      <w:r>
        <w:rPr>
          <w:rFonts w:ascii="Cambria" w:hAnsi="Cambria"/>
          <w:b w:val="0"/>
          <w:i w:val="0"/>
          <w:sz w:val="22"/>
        </w:rPr>
        <w:t>Weaknesses identified through numeric metrics (e.g., low feedback scores, fewer publications).</w:t>
      </w:r>
    </w:p>
    <w:p>
      <w:pPr>
        <w:pStyle w:val="ListBullet2"/>
        <w:spacing w:after="80"/>
        <w:jc w:val="both"/>
      </w:pPr>
      <w:r>
        <w:rPr>
          <w:rFonts w:ascii="Cambria" w:hAnsi="Cambria"/>
          <w:b w:val="0"/>
          <w:i w:val="0"/>
          <w:sz w:val="22"/>
        </w:rPr>
        <w:t>Action plans created: mentoring, FDPs, workload adjustment.</w:t>
      </w:r>
    </w:p>
    <w:p>
      <w:pPr>
        <w:spacing w:after="80"/>
        <w:ind w:left="340" w:hanging="340"/>
        <w:jc w:val="both"/>
      </w:pPr>
      <w:r>
        <w:rPr>
          <w:rFonts w:ascii="Cambria" w:hAnsi="Cambria"/>
          <w:b w:val="0"/>
          <w:i w:val="0"/>
          <w:sz w:val="22"/>
        </w:rPr>
        <w:t xml:space="preserve">5. </w:t>
      </w:r>
      <w:r>
        <w:rPr>
          <w:rFonts w:ascii="Cambria" w:hAnsi="Cambria"/>
          <w:b w:val="0"/>
          <w:i w:val="0"/>
          <w:sz w:val="22"/>
        </w:rPr>
        <w:t>Continuous Improvement</w:t>
      </w:r>
    </w:p>
    <w:p>
      <w:pPr>
        <w:pStyle w:val="ListBullet2"/>
        <w:spacing w:after="80"/>
        <w:jc w:val="both"/>
      </w:pPr>
      <w:r>
        <w:rPr>
          <w:rFonts w:ascii="Cambria" w:hAnsi="Cambria"/>
          <w:b w:val="0"/>
          <w:i w:val="0"/>
          <w:sz w:val="22"/>
        </w:rPr>
        <w:t>Year-on-year tracking of faculty performance:</w:t>
      </w:r>
    </w:p>
    <w:p>
      <w:pPr>
        <w:pStyle w:val="ListBullet2"/>
        <w:spacing w:after="80"/>
        <w:jc w:val="both"/>
      </w:pPr>
      <w:r>
        <w:rPr>
          <w:rFonts w:ascii="Cambria" w:hAnsi="Cambria"/>
          <w:b w:val="0"/>
          <w:i w:val="0"/>
          <w:sz w:val="22"/>
        </w:rPr>
        <w:t>FDPs ↑ 39%</w:t>
      </w:r>
    </w:p>
    <w:p>
      <w:pPr>
        <w:pStyle w:val="ListBullet2"/>
        <w:spacing w:after="80"/>
        <w:jc w:val="both"/>
      </w:pPr>
      <w:r>
        <w:rPr>
          <w:rFonts w:ascii="Cambria" w:hAnsi="Cambria"/>
          <w:b w:val="0"/>
          <w:i w:val="0"/>
          <w:sz w:val="22"/>
        </w:rPr>
        <w:t>Publications ↑ 31%</w:t>
      </w:r>
    </w:p>
    <w:p>
      <w:pPr>
        <w:pStyle w:val="ListBullet2"/>
        <w:spacing w:after="80"/>
        <w:jc w:val="both"/>
      </w:pPr>
      <w:r>
        <w:rPr>
          <w:rFonts w:ascii="Cambria" w:hAnsi="Cambria"/>
          <w:b w:val="0"/>
          <w:i w:val="0"/>
          <w:sz w:val="22"/>
        </w:rPr>
        <w:t>Feedback scores ↑ 0.5</w:t>
      </w:r>
    </w:p>
    <w:p>
      <w:pPr>
        <w:pStyle w:val="ListBullet2"/>
        <w:spacing w:after="80"/>
        <w:jc w:val="both"/>
      </w:pPr>
      <w:r>
        <w:rPr>
          <w:rFonts w:ascii="Cambria" w:hAnsi="Cambria"/>
          <w:b w:val="0"/>
          <w:i w:val="0"/>
          <w:sz w:val="22"/>
        </w:rPr>
        <w:t>Results documented in annual reports and used for promotions/rewards.</w:t>
      </w:r>
    </w:p>
    <w:p>
      <w:pPr>
        <w:spacing w:after="80"/>
        <w:ind w:left="340" w:hanging="340"/>
        <w:jc w:val="both"/>
      </w:pPr>
      <w:r>
        <w:rPr>
          <w:rFonts w:ascii="Cambria" w:hAnsi="Cambria"/>
          <w:b w:val="0"/>
          <w:i w:val="0"/>
          <w:sz w:val="22"/>
        </w:rPr>
        <w:t xml:space="preserve">6. </w:t>
      </w:r>
      <w:r>
        <w:rPr>
          <w:rFonts w:ascii="Cambria" w:hAnsi="Cambria"/>
          <w:b w:val="0"/>
          <w:i w:val="0"/>
          <w:sz w:val="22"/>
        </w:rPr>
        <w:t>Alignment with Institutional Goals</w:t>
      </w:r>
    </w:p>
    <w:p>
      <w:pPr>
        <w:pStyle w:val="ListBullet2"/>
        <w:spacing w:after="80"/>
        <w:jc w:val="both"/>
      </w:pPr>
      <w:r>
        <w:rPr>
          <w:rFonts w:ascii="Cambria" w:hAnsi="Cambria"/>
          <w:b w:val="0"/>
          <w:i w:val="0"/>
          <w:sz w:val="22"/>
        </w:rPr>
        <w:t>Faculty appraisals tied to departmental KPIs and OBE compliance.</w:t>
      </w:r>
    </w:p>
    <w:p>
      <w:pPr>
        <w:spacing w:after="120"/>
        <w:jc w:val="both"/>
      </w:pPr>
      <w:r>
        <w:rPr>
          <w:rFonts w:ascii="Cambria" w:hAnsi="Cambria"/>
          <w:b w:val="0"/>
          <w:i w:val="0"/>
          <w:sz w:val="22"/>
        </w:rPr>
        <w:t xml:space="preserve">Strengthens NAAC/NBA claims of </w:t>
      </w:r>
      <w:r>
        <w:rPr>
          <w:rFonts w:ascii="Cambria" w:hAnsi="Cambria"/>
          <w:b w:val="0"/>
          <w:i/>
          <w:sz w:val="22"/>
        </w:rPr>
        <w:t>faculty quality assurance</w:t>
      </w:r>
      <w:r>
        <w:rPr>
          <w:rFonts w:ascii="Cambria" w:hAnsi="Cambria"/>
          <w:b w:val="0"/>
          <w:i w:val="0"/>
          <w:sz w:val="22"/>
        </w:rPr>
        <w:t xml:space="preserve"> and </w:t>
      </w:r>
      <w:r>
        <w:rPr>
          <w:rFonts w:ascii="Cambria" w:hAnsi="Cambria"/>
          <w:b w:val="0"/>
          <w:i/>
          <w:sz w:val="22"/>
        </w:rPr>
        <w:t>continuous improvement</w:t>
      </w:r>
      <w:r>
        <w:rPr>
          <w:rFonts w:ascii="Cambria" w:hAnsi="Cambria"/>
          <w:b w:val="0"/>
          <w:i w:val="0"/>
          <w:sz w:val="22"/>
        </w:rPr>
        <w:t>.</w:t>
      </w:r>
    </w:p>
    <w:p>
      <w:pPr>
        <w:keepNext/>
        <w:spacing w:before="280" w:after="160"/>
        <w:jc w:val="left"/>
      </w:pPr>
      <w:r>
        <w:rPr>
          <w:rFonts w:ascii="Cambria" w:hAnsi="Cambria"/>
          <w:b/>
          <w:i w:val="0"/>
          <w:color w:val="1F3A5F"/>
          <w:sz w:val="26"/>
        </w:rPr>
        <w:t>Tangible Outcomes of HR Governance</w:t>
      </w:r>
    </w:p>
    <w:p>
      <w:pPr>
        <w:pStyle w:val="ListBullet"/>
        <w:spacing w:after="80"/>
        <w:jc w:val="both"/>
      </w:pPr>
      <w:r>
        <w:rPr>
          <w:rFonts w:ascii="Cambria" w:hAnsi="Cambria"/>
          <w:b w:val="0"/>
          <w:i w:val="0"/>
          <w:sz w:val="22"/>
        </w:rPr>
        <w:t>100% faculty appraisals submitted on time.</w:t>
      </w:r>
    </w:p>
    <w:p>
      <w:pPr>
        <w:pStyle w:val="ListBullet"/>
        <w:spacing w:after="80"/>
        <w:jc w:val="both"/>
      </w:pPr>
      <w:r>
        <w:rPr>
          <w:rFonts w:ascii="Cambria" w:hAnsi="Cambria"/>
          <w:b w:val="0"/>
          <w:i w:val="0"/>
          <w:sz w:val="22"/>
        </w:rPr>
        <w:t>Faculty promotions, awards, and incentives based on evidence-based performance.</w:t>
      </w:r>
    </w:p>
    <w:p>
      <w:pPr>
        <w:pStyle w:val="ListBullet"/>
        <w:spacing w:after="80"/>
        <w:jc w:val="both"/>
      </w:pPr>
      <w:r>
        <w:rPr>
          <w:rFonts w:ascii="Cambria" w:hAnsi="Cambria"/>
          <w:b w:val="0"/>
          <w:i w:val="0"/>
          <w:sz w:val="22"/>
        </w:rPr>
        <w:t>≥80% of identified gaps closed within a year.</w:t>
      </w:r>
    </w:p>
    <w:p>
      <w:pPr>
        <w:pStyle w:val="ListBullet"/>
        <w:spacing w:after="80"/>
        <w:jc w:val="both"/>
      </w:pPr>
      <w:r>
        <w:rPr>
          <w:rFonts w:ascii="Cambria" w:hAnsi="Cambria"/>
          <w:b w:val="0"/>
          <w:i w:val="0"/>
          <w:sz w:val="22"/>
        </w:rPr>
        <w:t>Student outcomes (pass %, placements, feedback) improve in parallel with faculty growth.</w:t>
      </w:r>
    </w:p>
    <w:p>
      <w:pPr>
        <w:keepNext/>
        <w:spacing w:before="280" w:after="160"/>
        <w:jc w:val="left"/>
      </w:pPr>
      <w:r>
        <w:rPr>
          <w:rFonts w:ascii="Cambria" w:hAnsi="Cambria"/>
          <w:b/>
          <w:i w:val="0"/>
          <w:color w:val="1F3A5F"/>
          <w:sz w:val="26"/>
        </w:rPr>
        <w:t>Continuous Improvement through Faculty Appraisals</w:t>
      </w:r>
    </w:p>
    <w:p>
      <w:pPr>
        <w:spacing w:after="80"/>
        <w:ind w:left="340" w:hanging="340"/>
        <w:jc w:val="both"/>
      </w:pPr>
      <w:r>
        <w:rPr>
          <w:rFonts w:ascii="Cambria" w:hAnsi="Cambria"/>
          <w:b w:val="0"/>
          <w:i w:val="0"/>
          <w:sz w:val="22"/>
        </w:rPr>
        <w:t xml:space="preserve">1. </w:t>
      </w:r>
      <w:r>
        <w:rPr>
          <w:rFonts w:ascii="Cambria" w:hAnsi="Cambria"/>
          <w:b w:val="0"/>
          <w:i w:val="0"/>
          <w:sz w:val="22"/>
        </w:rPr>
        <w:t>Teaching–Learning Quality</w:t>
      </w:r>
    </w:p>
    <w:p>
      <w:pPr>
        <w:pStyle w:val="ListBullet2"/>
        <w:spacing w:after="80"/>
        <w:jc w:val="both"/>
      </w:pPr>
      <w:r>
        <w:rPr>
          <w:rFonts w:ascii="Cambria" w:hAnsi="Cambria"/>
          <w:b w:val="0"/>
          <w:i w:val="0"/>
          <w:sz w:val="22"/>
        </w:rPr>
        <w:t>Evidence: Student feedback, CO–PO attainment, pass %, results analysis.</w:t>
      </w:r>
    </w:p>
    <w:p>
      <w:pPr>
        <w:pStyle w:val="ListBullet2"/>
        <w:spacing w:after="80"/>
        <w:jc w:val="both"/>
      </w:pPr>
      <w:r>
        <w:rPr>
          <w:rFonts w:ascii="Cambria" w:hAnsi="Cambria"/>
          <w:b w:val="0"/>
          <w:i w:val="0"/>
          <w:sz w:val="22"/>
        </w:rPr>
        <w:t>Numeric Trends:</w:t>
      </w:r>
    </w:p>
    <w:p>
      <w:pPr>
        <w:pStyle w:val="ListBullet2"/>
        <w:spacing w:after="80"/>
        <w:jc w:val="both"/>
      </w:pPr>
      <w:r>
        <w:rPr>
          <w:rFonts w:ascii="Cambria" w:hAnsi="Cambria"/>
          <w:b w:val="0"/>
          <w:i w:val="0"/>
          <w:sz w:val="22"/>
        </w:rPr>
        <w:t>Student feedback scores ↑ 3.9 → 4.4/5.</w:t>
      </w:r>
    </w:p>
    <w:p>
      <w:pPr>
        <w:pStyle w:val="ListBullet2"/>
        <w:spacing w:after="80"/>
        <w:jc w:val="both"/>
      </w:pPr>
      <w:r>
        <w:rPr>
          <w:rFonts w:ascii="Cambria" w:hAnsi="Cambria"/>
          <w:b w:val="0"/>
          <w:i w:val="0"/>
          <w:sz w:val="22"/>
        </w:rPr>
        <w:t>Pass % ↑ 78% → 88%.</w:t>
      </w:r>
    </w:p>
    <w:p>
      <w:pPr>
        <w:pStyle w:val="ListBullet2"/>
        <w:spacing w:after="80"/>
        <w:jc w:val="both"/>
      </w:pPr>
      <w:r>
        <w:rPr>
          <w:rFonts w:ascii="Cambria" w:hAnsi="Cambria"/>
          <w:b w:val="0"/>
          <w:i w:val="0"/>
          <w:sz w:val="22"/>
        </w:rPr>
        <w:t>CO attainment ↑ 76% → 82%.</w:t>
      </w:r>
    </w:p>
    <w:p>
      <w:pPr>
        <w:pStyle w:val="ListBullet2"/>
        <w:spacing w:after="80"/>
        <w:jc w:val="both"/>
      </w:pPr>
      <w:r>
        <w:rPr>
          <w:rFonts w:ascii="Cambria" w:hAnsi="Cambria"/>
          <w:b w:val="0"/>
          <w:i w:val="0"/>
          <w:sz w:val="22"/>
        </w:rPr>
        <w:t>Impact: Stronger OBE compliance, improved student satisfaction, reduced backlogs.</w:t>
      </w:r>
    </w:p>
    <w:p>
      <w:pPr>
        <w:spacing w:after="80"/>
        <w:ind w:left="340" w:hanging="340"/>
        <w:jc w:val="both"/>
      </w:pPr>
      <w:r>
        <w:rPr>
          <w:rFonts w:ascii="Cambria" w:hAnsi="Cambria"/>
          <w:b w:val="0"/>
          <w:i w:val="0"/>
          <w:sz w:val="22"/>
        </w:rPr>
        <w:t xml:space="preserve">2. </w:t>
      </w:r>
      <w:r>
        <w:rPr>
          <w:rFonts w:ascii="Cambria" w:hAnsi="Cambria"/>
          <w:b w:val="0"/>
          <w:i w:val="0"/>
          <w:sz w:val="22"/>
        </w:rPr>
        <w:t>Research &amp; Innovation Quality</w:t>
      </w:r>
    </w:p>
    <w:p>
      <w:pPr>
        <w:pStyle w:val="ListBullet2"/>
        <w:spacing w:after="80"/>
        <w:jc w:val="both"/>
      </w:pPr>
      <w:r>
        <w:rPr>
          <w:rFonts w:ascii="Cambria" w:hAnsi="Cambria"/>
          <w:b w:val="0"/>
          <w:i w:val="0"/>
          <w:sz w:val="22"/>
        </w:rPr>
        <w:t>Evidence: Publications list, grant sanction letters, consultancy MoUs, patents.</w:t>
      </w:r>
    </w:p>
    <w:p>
      <w:pPr>
        <w:pStyle w:val="ListBullet2"/>
        <w:spacing w:after="80"/>
        <w:jc w:val="both"/>
      </w:pPr>
      <w:r>
        <w:rPr>
          <w:rFonts w:ascii="Cambria" w:hAnsi="Cambria"/>
          <w:b w:val="0"/>
          <w:i w:val="0"/>
          <w:sz w:val="22"/>
        </w:rPr>
        <w:t>Numeric Trends:</w:t>
      </w:r>
    </w:p>
    <w:p>
      <w:pPr>
        <w:pStyle w:val="ListBullet2"/>
        <w:spacing w:after="80"/>
        <w:jc w:val="both"/>
      </w:pPr>
      <w:r>
        <w:rPr>
          <w:rFonts w:ascii="Cambria" w:hAnsi="Cambria"/>
          <w:b w:val="0"/>
          <w:i w:val="0"/>
          <w:sz w:val="22"/>
        </w:rPr>
        <w:t>Publications/faculty ↑ 1.6 → 2.1 (+31%).</w:t>
      </w:r>
    </w:p>
    <w:p>
      <w:pPr>
        <w:pStyle w:val="ListBullet2"/>
        <w:spacing w:after="80"/>
        <w:jc w:val="both"/>
      </w:pPr>
      <w:r>
        <w:rPr>
          <w:rFonts w:ascii="Cambria" w:hAnsi="Cambria"/>
          <w:b w:val="0"/>
          <w:i w:val="0"/>
          <w:sz w:val="22"/>
        </w:rPr>
        <w:t>Research funding ↑ ₹5L → ₹8L (+60%).</w:t>
      </w:r>
    </w:p>
    <w:p>
      <w:pPr>
        <w:pStyle w:val="ListBullet2"/>
        <w:spacing w:after="80"/>
        <w:jc w:val="both"/>
      </w:pPr>
      <w:r>
        <w:rPr>
          <w:rFonts w:ascii="Cambria" w:hAnsi="Cambria"/>
          <w:b w:val="0"/>
          <w:i w:val="0"/>
          <w:sz w:val="22"/>
        </w:rPr>
        <w:t>Patents filed ↑ 2 → 5.</w:t>
      </w:r>
    </w:p>
    <w:p>
      <w:pPr>
        <w:pStyle w:val="ListBullet2"/>
        <w:spacing w:after="80"/>
        <w:jc w:val="both"/>
      </w:pPr>
      <w:r>
        <w:rPr>
          <w:rFonts w:ascii="Cambria" w:hAnsi="Cambria"/>
          <w:b w:val="0"/>
          <w:i w:val="0"/>
          <w:sz w:val="22"/>
        </w:rPr>
        <w:t>Impact: Higher research visibility, more industry collaborations, enhanced NBA/NAAC scores.</w:t>
      </w:r>
    </w:p>
    <w:p>
      <w:pPr>
        <w:spacing w:after="80"/>
        <w:ind w:left="340" w:hanging="340"/>
        <w:jc w:val="both"/>
      </w:pPr>
      <w:r>
        <w:rPr>
          <w:rFonts w:ascii="Cambria" w:hAnsi="Cambria"/>
          <w:b w:val="0"/>
          <w:i w:val="0"/>
          <w:sz w:val="22"/>
        </w:rPr>
        <w:t xml:space="preserve">3. </w:t>
      </w:r>
      <w:r>
        <w:rPr>
          <w:rFonts w:ascii="Cambria" w:hAnsi="Cambria"/>
          <w:b w:val="0"/>
          <w:i w:val="0"/>
          <w:sz w:val="22"/>
        </w:rPr>
        <w:t>Professional Development</w:t>
      </w:r>
    </w:p>
    <w:p>
      <w:pPr>
        <w:pStyle w:val="ListBullet2"/>
        <w:spacing w:after="80"/>
        <w:jc w:val="both"/>
      </w:pPr>
      <w:r>
        <w:rPr>
          <w:rFonts w:ascii="Cambria" w:hAnsi="Cambria"/>
          <w:b w:val="0"/>
          <w:i w:val="0"/>
          <w:sz w:val="22"/>
        </w:rPr>
        <w:t>Evidence: FDP/Workshop certificates, participation reports.</w:t>
      </w:r>
    </w:p>
    <w:p>
      <w:pPr>
        <w:pStyle w:val="ListBullet2"/>
        <w:spacing w:after="80"/>
        <w:jc w:val="both"/>
      </w:pPr>
      <w:r>
        <w:rPr>
          <w:rFonts w:ascii="Cambria" w:hAnsi="Cambria"/>
          <w:b w:val="0"/>
          <w:i w:val="0"/>
          <w:sz w:val="22"/>
        </w:rPr>
        <w:t>Numeric Trends:</w:t>
      </w:r>
    </w:p>
    <w:p>
      <w:pPr>
        <w:pStyle w:val="ListBullet2"/>
        <w:spacing w:after="80"/>
        <w:jc w:val="both"/>
      </w:pPr>
      <w:r>
        <w:rPr>
          <w:rFonts w:ascii="Cambria" w:hAnsi="Cambria"/>
          <w:b w:val="0"/>
          <w:i w:val="0"/>
          <w:sz w:val="22"/>
        </w:rPr>
        <w:t>FDPs per faculty ↑ 1.8 → 2.5 (+39%).</w:t>
      </w:r>
    </w:p>
    <w:p>
      <w:pPr>
        <w:pStyle w:val="ListBullet2"/>
        <w:spacing w:after="80"/>
        <w:jc w:val="both"/>
      </w:pPr>
      <w:r>
        <w:rPr>
          <w:rFonts w:ascii="Cambria" w:hAnsi="Cambria"/>
          <w:b w:val="0"/>
          <w:i w:val="0"/>
          <w:sz w:val="22"/>
        </w:rPr>
        <w:t>% faculty with advanced certifications ↑ 45% → 70%.</w:t>
      </w:r>
    </w:p>
    <w:p>
      <w:pPr>
        <w:pStyle w:val="ListBullet2"/>
        <w:spacing w:after="80"/>
        <w:jc w:val="both"/>
      </w:pPr>
      <w:r>
        <w:rPr>
          <w:rFonts w:ascii="Cambria" w:hAnsi="Cambria"/>
          <w:b w:val="0"/>
          <w:i w:val="0"/>
          <w:sz w:val="22"/>
        </w:rPr>
        <w:t>Impact: Faculty better trained in emerging areas → higher CO–PO attainment.</w:t>
      </w:r>
    </w:p>
    <w:p>
      <w:pPr>
        <w:spacing w:after="80"/>
        <w:ind w:left="340" w:hanging="340"/>
        <w:jc w:val="both"/>
      </w:pPr>
      <w:r>
        <w:rPr>
          <w:rFonts w:ascii="Cambria" w:hAnsi="Cambria"/>
          <w:b w:val="0"/>
          <w:i w:val="0"/>
          <w:sz w:val="22"/>
        </w:rPr>
        <w:t xml:space="preserve">4. </w:t>
      </w:r>
      <w:r>
        <w:rPr>
          <w:rFonts w:ascii="Cambria" w:hAnsi="Cambria"/>
          <w:b w:val="0"/>
          <w:i w:val="0"/>
          <w:sz w:val="22"/>
        </w:rPr>
        <w:t>Accountability &amp; Governance</w:t>
      </w:r>
    </w:p>
    <w:p>
      <w:pPr>
        <w:pStyle w:val="ListBullet2"/>
        <w:spacing w:after="80"/>
        <w:jc w:val="both"/>
      </w:pPr>
      <w:r>
        <w:rPr>
          <w:rFonts w:ascii="Cambria" w:hAnsi="Cambria"/>
          <w:b w:val="0"/>
          <w:i w:val="0"/>
          <w:sz w:val="22"/>
        </w:rPr>
        <w:t>Evidence: Departmental appraisal summaries, signed reports, ATR on faculty improvement.</w:t>
      </w:r>
    </w:p>
    <w:p>
      <w:pPr>
        <w:pStyle w:val="ListBullet2"/>
        <w:spacing w:after="80"/>
        <w:jc w:val="both"/>
      </w:pPr>
      <w:r>
        <w:rPr>
          <w:rFonts w:ascii="Cambria" w:hAnsi="Cambria"/>
          <w:b w:val="0"/>
          <w:i w:val="0"/>
          <w:sz w:val="22"/>
        </w:rPr>
        <w:t>Numeric Trends:</w:t>
      </w:r>
    </w:p>
    <w:p>
      <w:pPr>
        <w:pStyle w:val="ListBullet2"/>
        <w:spacing w:after="80"/>
        <w:jc w:val="both"/>
      </w:pPr>
      <w:r>
        <w:rPr>
          <w:rFonts w:ascii="Cambria" w:hAnsi="Cambria"/>
          <w:b w:val="0"/>
          <w:i w:val="0"/>
          <w:sz w:val="22"/>
        </w:rPr>
        <w:t>100% appraisals submitted on time.</w:t>
      </w:r>
    </w:p>
    <w:p>
      <w:pPr>
        <w:pStyle w:val="ListBullet2"/>
        <w:spacing w:after="80"/>
        <w:jc w:val="both"/>
      </w:pPr>
      <w:r>
        <w:rPr>
          <w:rFonts w:ascii="Cambria" w:hAnsi="Cambria"/>
          <w:b w:val="0"/>
          <w:i w:val="0"/>
          <w:sz w:val="22"/>
        </w:rPr>
        <w:t>≥80% performance gaps closed in next cycle.</w:t>
      </w:r>
    </w:p>
    <w:p>
      <w:pPr>
        <w:pStyle w:val="ListBullet2"/>
        <w:spacing w:after="80"/>
        <w:jc w:val="both"/>
      </w:pPr>
      <w:r>
        <w:rPr>
          <w:rFonts w:ascii="Cambria" w:hAnsi="Cambria"/>
          <w:b w:val="0"/>
          <w:i w:val="0"/>
          <w:sz w:val="22"/>
        </w:rPr>
        <w:t>Impact: Transparent HR practices → improved morale &amp; accountability.</w:t>
      </w:r>
    </w:p>
    <w:p>
      <w:pPr>
        <w:keepNext/>
        <w:spacing w:before="280" w:after="160"/>
        <w:jc w:val="left"/>
      </w:pPr>
      <w:r>
        <w:rPr>
          <w:rFonts w:ascii="Cambria" w:hAnsi="Cambria"/>
          <w:b/>
          <w:i w:val="0"/>
          <w:color w:val="1F3A5F"/>
          <w:sz w:val="26"/>
        </w:rPr>
        <w:t>How Evidence-Based Appraisals Drive Promotions &amp; Incentives</w:t>
      </w:r>
    </w:p>
    <w:p>
      <w:pPr>
        <w:spacing w:after="80"/>
        <w:ind w:left="340" w:hanging="340"/>
        <w:jc w:val="both"/>
      </w:pPr>
      <w:r>
        <w:rPr>
          <w:rFonts w:ascii="Cambria" w:hAnsi="Cambria"/>
          <w:b w:val="0"/>
          <w:i w:val="0"/>
          <w:sz w:val="22"/>
        </w:rPr>
        <w:t xml:space="preserve">1. </w:t>
      </w:r>
      <w:r>
        <w:rPr>
          <w:rFonts w:ascii="Cambria" w:hAnsi="Cambria"/>
          <w:b w:val="0"/>
          <w:i w:val="0"/>
          <w:sz w:val="22"/>
        </w:rPr>
        <w:t>Promotions</w:t>
      </w:r>
    </w:p>
    <w:p>
      <w:pPr>
        <w:pStyle w:val="ListBullet2"/>
        <w:spacing w:after="80"/>
        <w:jc w:val="both"/>
      </w:pPr>
      <w:r>
        <w:rPr>
          <w:rFonts w:ascii="Cambria" w:hAnsi="Cambria"/>
          <w:b w:val="0"/>
          <w:i w:val="0"/>
          <w:sz w:val="22"/>
        </w:rPr>
        <w:t>Criteria include:</w:t>
      </w:r>
    </w:p>
    <w:p>
      <w:pPr>
        <w:pStyle w:val="ListBullet2"/>
        <w:spacing w:after="80"/>
        <w:jc w:val="both"/>
      </w:pPr>
      <w:r>
        <w:rPr>
          <w:rFonts w:ascii="Cambria" w:hAnsi="Cambria"/>
          <w:b w:val="0"/>
          <w:i w:val="0"/>
          <w:sz w:val="22"/>
        </w:rPr>
        <w:t>Teaching performance → CO–PO attainment, student feedback, pass %.</w:t>
      </w:r>
    </w:p>
    <w:p>
      <w:pPr>
        <w:pStyle w:val="ListBullet2"/>
        <w:spacing w:after="80"/>
        <w:jc w:val="both"/>
      </w:pPr>
      <w:r>
        <w:rPr>
          <w:rFonts w:ascii="Cambria" w:hAnsi="Cambria"/>
          <w:b w:val="0"/>
          <w:i w:val="0"/>
          <w:sz w:val="22"/>
        </w:rPr>
        <w:t>Research → publications, citations, grants, patents.</w:t>
      </w:r>
    </w:p>
    <w:p>
      <w:pPr>
        <w:pStyle w:val="ListBullet2"/>
        <w:spacing w:after="80"/>
        <w:jc w:val="both"/>
      </w:pPr>
      <w:r>
        <w:rPr>
          <w:rFonts w:ascii="Cambria" w:hAnsi="Cambria"/>
          <w:b w:val="0"/>
          <w:i w:val="0"/>
          <w:sz w:val="22"/>
        </w:rPr>
        <w:t>Professional development → FDPs, certifications, workshops.</w:t>
      </w:r>
    </w:p>
    <w:p>
      <w:pPr>
        <w:pStyle w:val="ListBullet2"/>
        <w:spacing w:after="80"/>
        <w:jc w:val="both"/>
      </w:pPr>
      <w:r>
        <w:rPr>
          <w:rFonts w:ascii="Cambria" w:hAnsi="Cambria"/>
          <w:b w:val="0"/>
          <w:i w:val="0"/>
          <w:sz w:val="22"/>
        </w:rPr>
        <w:t>Evidence: Self-appraisal forms, feedback reports, publication records, grant approvals.</w:t>
      </w:r>
    </w:p>
    <w:p>
      <w:pPr>
        <w:pStyle w:val="ListBullet2"/>
        <w:spacing w:after="80"/>
        <w:jc w:val="both"/>
      </w:pPr>
      <w:r>
        <w:rPr>
          <w:rFonts w:ascii="Cambria" w:hAnsi="Cambria"/>
          <w:b w:val="0"/>
          <w:i w:val="0"/>
          <w:sz w:val="22"/>
        </w:rPr>
        <w:t>Outcome: Only faculty meeting numeric benchmarks (e.g., ≥2 publications, ≥2 FDPs, ≥4.0 feedback score) are recommended for promotion.</w:t>
      </w:r>
    </w:p>
    <w:p>
      <w:pPr>
        <w:spacing w:after="80"/>
        <w:ind w:left="340" w:hanging="340"/>
        <w:jc w:val="both"/>
      </w:pPr>
      <w:r>
        <w:rPr>
          <w:rFonts w:ascii="Cambria" w:hAnsi="Cambria"/>
          <w:b w:val="0"/>
          <w:i w:val="0"/>
          <w:sz w:val="22"/>
        </w:rPr>
        <w:t xml:space="preserve">2. </w:t>
      </w:r>
      <w:r>
        <w:rPr>
          <w:rFonts w:ascii="Cambria" w:hAnsi="Cambria"/>
          <w:b w:val="0"/>
          <w:i w:val="0"/>
          <w:sz w:val="22"/>
        </w:rPr>
        <w:t>Awards &amp; Recognition</w:t>
      </w:r>
    </w:p>
    <w:p>
      <w:pPr>
        <w:spacing w:after="120"/>
        <w:jc w:val="both"/>
      </w:pPr>
      <w:r>
        <w:rPr>
          <w:rFonts w:ascii="Cambria" w:hAnsi="Cambria"/>
          <w:b w:val="0"/>
          <w:i w:val="0"/>
          <w:sz w:val="22"/>
        </w:rPr>
        <w:t xml:space="preserve">Annual awards for: </w:t>
      </w:r>
      <w:r>
        <w:rPr>
          <w:rFonts w:ascii="Cambria" w:hAnsi="Cambria"/>
          <w:b w:val="0"/>
          <w:i/>
          <w:sz w:val="22"/>
        </w:rPr>
        <w:t>Best Teacher, Best Researcher, Best Mentor, Best Innovator</w:t>
      </w:r>
      <w:r>
        <w:rPr>
          <w:rFonts w:ascii="Cambria" w:hAnsi="Cambria"/>
          <w:b w:val="0"/>
          <w:i w:val="0"/>
          <w:sz w:val="22"/>
        </w:rPr>
        <w:t>.</w:t>
      </w:r>
    </w:p>
    <w:p>
      <w:pPr>
        <w:pStyle w:val="ListBullet2"/>
        <w:spacing w:after="80"/>
        <w:jc w:val="both"/>
      </w:pPr>
      <w:r>
        <w:rPr>
          <w:rFonts w:ascii="Cambria" w:hAnsi="Cambria"/>
          <w:b w:val="0"/>
          <w:i w:val="0"/>
          <w:sz w:val="22"/>
        </w:rPr>
        <w:t>Evidence: Student feedback scores, research impact (Scopus/SCI indexed), innovation/patent filings.</w:t>
      </w:r>
    </w:p>
    <w:p>
      <w:pPr>
        <w:pStyle w:val="ListBullet2"/>
        <w:spacing w:after="80"/>
        <w:jc w:val="both"/>
      </w:pPr>
      <w:r>
        <w:rPr>
          <w:rFonts w:ascii="Cambria" w:hAnsi="Cambria"/>
          <w:b w:val="0"/>
          <w:i w:val="0"/>
          <w:sz w:val="22"/>
        </w:rPr>
        <w:t>Outcome: Encourages healthy competition; YoY rise in research/publication output.</w:t>
      </w:r>
    </w:p>
    <w:p>
      <w:pPr>
        <w:spacing w:after="80"/>
        <w:ind w:left="340" w:hanging="340"/>
        <w:jc w:val="both"/>
      </w:pPr>
      <w:r>
        <w:rPr>
          <w:rFonts w:ascii="Cambria" w:hAnsi="Cambria"/>
          <w:b w:val="0"/>
          <w:i w:val="0"/>
          <w:sz w:val="22"/>
        </w:rPr>
        <w:t xml:space="preserve">3. </w:t>
      </w:r>
      <w:r>
        <w:rPr>
          <w:rFonts w:ascii="Cambria" w:hAnsi="Cambria"/>
          <w:b w:val="0"/>
          <w:i w:val="0"/>
          <w:sz w:val="22"/>
        </w:rPr>
        <w:t>Incentives</w:t>
      </w:r>
    </w:p>
    <w:p>
      <w:pPr>
        <w:pStyle w:val="ListBullet2"/>
        <w:spacing w:after="80"/>
        <w:jc w:val="both"/>
      </w:pPr>
      <w:r>
        <w:rPr>
          <w:rFonts w:ascii="Cambria" w:hAnsi="Cambria"/>
          <w:b w:val="0"/>
          <w:i w:val="0"/>
          <w:sz w:val="22"/>
        </w:rPr>
        <w:t>Monetary or non-monetary: research grants, travel allowances, reduced workload, seed funding.</w:t>
      </w:r>
    </w:p>
    <w:p>
      <w:pPr>
        <w:pStyle w:val="ListBullet2"/>
        <w:spacing w:after="80"/>
        <w:jc w:val="both"/>
      </w:pPr>
      <w:r>
        <w:rPr>
          <w:rFonts w:ascii="Cambria" w:hAnsi="Cambria"/>
          <w:b w:val="0"/>
          <w:i w:val="0"/>
          <w:sz w:val="22"/>
        </w:rPr>
        <w:t>Evidence: Proof of research projects, consultancy revenue, FDP completion.</w:t>
      </w:r>
    </w:p>
    <w:p>
      <w:pPr>
        <w:pStyle w:val="ListBullet2"/>
        <w:spacing w:after="80"/>
        <w:jc w:val="both"/>
      </w:pPr>
      <w:r>
        <w:rPr>
          <w:rFonts w:ascii="Cambria" w:hAnsi="Cambria"/>
          <w:b w:val="0"/>
          <w:i w:val="0"/>
          <w:sz w:val="22"/>
        </w:rPr>
        <w:t>Outcome: Research funding ↑ (₹5L → ₹8L), FDP participation ↑ 39%.</w:t>
      </w:r>
    </w:p>
    <w:p>
      <w:pPr>
        <w:keepNext/>
        <w:spacing w:before="280" w:after="160"/>
        <w:jc w:val="left"/>
      </w:pPr>
      <w:r>
        <w:rPr>
          <w:rFonts w:ascii="Cambria" w:hAnsi="Cambria"/>
          <w:b/>
          <w:i w:val="0"/>
          <w:color w:val="1F3A5F"/>
          <w:sz w:val="26"/>
        </w:rPr>
        <w:t>Tangible Outcomes</w:t>
      </w:r>
    </w:p>
    <w:p>
      <w:pPr>
        <w:pStyle w:val="ListBullet"/>
        <w:spacing w:after="80"/>
        <w:jc w:val="both"/>
      </w:pPr>
      <w:r>
        <w:rPr>
          <w:rFonts w:ascii="Cambria" w:hAnsi="Cambria"/>
          <w:b w:val="0"/>
          <w:i w:val="0"/>
          <w:sz w:val="22"/>
        </w:rPr>
        <w:t>Promotions awarded based on documented KPIs → reduces bias.</w:t>
      </w:r>
    </w:p>
    <w:p>
      <w:pPr>
        <w:spacing w:after="120"/>
        <w:jc w:val="both"/>
      </w:pPr>
      <w:r>
        <w:rPr>
          <w:rFonts w:ascii="Cambria" w:hAnsi="Cambria"/>
          <w:b w:val="0"/>
          <w:i w:val="0"/>
          <w:sz w:val="22"/>
        </w:rPr>
        <w:t xml:space="preserve">Faculty awards increase motivation → </w:t>
      </w:r>
      <w:r>
        <w:rPr>
          <w:rFonts w:ascii="Cambria" w:hAnsi="Cambria"/>
          <w:b w:val="0"/>
          <w:i/>
          <w:sz w:val="22"/>
        </w:rPr>
        <w:t>Publications per faculty ↑ 31%, FDP participation ↑ 39%</w:t>
      </w:r>
      <w:r>
        <w:rPr>
          <w:rFonts w:ascii="Cambria" w:hAnsi="Cambria"/>
          <w:b w:val="0"/>
          <w:i w:val="0"/>
          <w:sz w:val="22"/>
        </w:rPr>
        <w:t>.</w:t>
      </w:r>
    </w:p>
    <w:p>
      <w:pPr>
        <w:pStyle w:val="ListBullet"/>
        <w:spacing w:after="80"/>
        <w:jc w:val="both"/>
      </w:pPr>
      <w:r>
        <w:rPr>
          <w:rFonts w:ascii="Cambria" w:hAnsi="Cambria"/>
          <w:b w:val="0"/>
          <w:i w:val="0"/>
          <w:sz w:val="22"/>
        </w:rPr>
        <w:t>Incentives lead to higher student outcomes (pass % ↑ 10%, CO attainment ↑ 6%).</w:t>
      </w:r>
    </w:p>
    <w:p>
      <w:pPr>
        <w:pStyle w:val="ListBullet"/>
        <w:spacing w:after="80"/>
        <w:jc w:val="both"/>
      </w:pPr>
      <w:r>
        <w:rPr>
          <w:rFonts w:ascii="Cambria" w:hAnsi="Cambria"/>
          <w:b w:val="0"/>
          <w:i w:val="0"/>
          <w:sz w:val="22"/>
        </w:rPr>
        <w:t>≥80% of faculty close their performance gaps by next appraisal cycle.</w:t>
      </w:r>
    </w:p>
    <w:p>
      <w:pPr>
        <w:keepNext/>
        <w:spacing w:before="280" w:after="160"/>
        <w:jc w:val="left"/>
      </w:pPr>
      <w:r>
        <w:rPr>
          <w:rFonts w:ascii="Cambria" w:hAnsi="Cambria"/>
          <w:b/>
          <w:i w:val="0"/>
          <w:color w:val="1F3A5F"/>
          <w:sz w:val="26"/>
        </w:rPr>
        <w:t>Continuous Improvement Loop via Faculty Appraisals</w:t>
      </w:r>
    </w:p>
    <w:p>
      <w:pPr>
        <w:spacing w:after="80"/>
        <w:ind w:left="340" w:hanging="340"/>
        <w:jc w:val="both"/>
      </w:pPr>
      <w:r>
        <w:rPr>
          <w:rFonts w:ascii="Cambria" w:hAnsi="Cambria"/>
          <w:b w:val="0"/>
          <w:i w:val="0"/>
          <w:sz w:val="22"/>
        </w:rPr>
        <w:t xml:space="preserve">1. </w:t>
      </w:r>
      <w:r>
        <w:rPr>
          <w:rFonts w:ascii="Cambria" w:hAnsi="Cambria"/>
          <w:b w:val="0"/>
          <w:i w:val="0"/>
          <w:sz w:val="22"/>
        </w:rPr>
        <w:t>Appraisal (Evidence-Based Evaluation)</w:t>
      </w:r>
    </w:p>
    <w:p>
      <w:pPr>
        <w:pStyle w:val="ListBullet2"/>
        <w:spacing w:after="80"/>
        <w:jc w:val="both"/>
      </w:pPr>
      <w:r>
        <w:rPr>
          <w:rFonts w:ascii="Cambria" w:hAnsi="Cambria"/>
          <w:b w:val="0"/>
          <w:i w:val="0"/>
          <w:sz w:val="22"/>
        </w:rPr>
        <w:t>Faculty evaluated on teaching, research, FDPs, projects, admin contributions.</w:t>
      </w:r>
    </w:p>
    <w:p>
      <w:pPr>
        <w:pStyle w:val="ListBullet2"/>
        <w:spacing w:after="80"/>
        <w:jc w:val="both"/>
      </w:pPr>
      <w:r>
        <w:rPr>
          <w:rFonts w:ascii="Cambria" w:hAnsi="Cambria"/>
          <w:b w:val="0"/>
          <w:i w:val="0"/>
          <w:sz w:val="22"/>
        </w:rPr>
        <w:t>Evidence: Student feedback, CO–PO attainment, publications, FDP certificates, project records.</w:t>
      </w:r>
    </w:p>
    <w:p>
      <w:pPr>
        <w:pStyle w:val="ListBullet2"/>
        <w:spacing w:after="80"/>
        <w:jc w:val="both"/>
      </w:pPr>
      <w:r>
        <w:rPr>
          <w:rFonts w:ascii="Cambria" w:hAnsi="Cambria"/>
          <w:b w:val="0"/>
          <w:i w:val="0"/>
          <w:sz w:val="22"/>
        </w:rPr>
        <w:t>Outcome: Identifies strengths &amp; performance gaps.</w:t>
      </w:r>
    </w:p>
    <w:p>
      <w:pPr>
        <w:spacing w:after="80"/>
        <w:ind w:left="340" w:hanging="340"/>
        <w:jc w:val="both"/>
      </w:pPr>
      <w:r>
        <w:rPr>
          <w:rFonts w:ascii="Cambria" w:hAnsi="Cambria"/>
          <w:b w:val="0"/>
          <w:i w:val="0"/>
          <w:sz w:val="22"/>
        </w:rPr>
        <w:t xml:space="preserve">2. </w:t>
      </w:r>
      <w:r>
        <w:rPr>
          <w:rFonts w:ascii="Cambria" w:hAnsi="Cambria"/>
          <w:b w:val="0"/>
          <w:i w:val="0"/>
          <w:sz w:val="22"/>
        </w:rPr>
        <w:t>Recognition (Promotions, Awards, Incentives)</w:t>
      </w:r>
    </w:p>
    <w:p>
      <w:pPr>
        <w:pStyle w:val="ListBullet2"/>
        <w:spacing w:after="80"/>
        <w:jc w:val="both"/>
      </w:pPr>
      <w:r>
        <w:rPr>
          <w:rFonts w:ascii="Cambria" w:hAnsi="Cambria"/>
          <w:b w:val="0"/>
          <w:i w:val="0"/>
          <w:sz w:val="22"/>
        </w:rPr>
        <w:t>High-performing faculty get promotions, best teacher/researcher awards, research incentives.</w:t>
      </w:r>
    </w:p>
    <w:p>
      <w:pPr>
        <w:pStyle w:val="ListBullet2"/>
        <w:spacing w:after="80"/>
        <w:jc w:val="both"/>
      </w:pPr>
      <w:r>
        <w:rPr>
          <w:rFonts w:ascii="Cambria" w:hAnsi="Cambria"/>
          <w:b w:val="0"/>
          <w:i w:val="0"/>
          <w:sz w:val="22"/>
        </w:rPr>
        <w:t>Evidence: HR committee decisions, award notifications, promotion letters.</w:t>
      </w:r>
    </w:p>
    <w:p>
      <w:pPr>
        <w:pStyle w:val="ListBullet2"/>
        <w:spacing w:after="80"/>
        <w:jc w:val="both"/>
      </w:pPr>
      <w:r>
        <w:rPr>
          <w:rFonts w:ascii="Cambria" w:hAnsi="Cambria"/>
          <w:b w:val="0"/>
          <w:i w:val="0"/>
          <w:sz w:val="22"/>
        </w:rPr>
        <w:t>Outcome: Builds morale, motivates faculty to excel.</w:t>
      </w:r>
    </w:p>
    <w:p>
      <w:pPr>
        <w:spacing w:after="80"/>
        <w:ind w:left="340" w:hanging="340"/>
        <w:jc w:val="both"/>
      </w:pPr>
      <w:r>
        <w:rPr>
          <w:rFonts w:ascii="Cambria" w:hAnsi="Cambria"/>
          <w:b w:val="0"/>
          <w:i w:val="0"/>
          <w:sz w:val="22"/>
        </w:rPr>
        <w:t xml:space="preserve">3. </w:t>
      </w:r>
      <w:r>
        <w:rPr>
          <w:rFonts w:ascii="Cambria" w:hAnsi="Cambria"/>
          <w:b w:val="0"/>
          <w:i w:val="0"/>
          <w:sz w:val="22"/>
        </w:rPr>
        <w:t>Performance Growth</w:t>
      </w:r>
    </w:p>
    <w:p>
      <w:pPr>
        <w:pStyle w:val="ListBullet2"/>
        <w:spacing w:after="80"/>
        <w:jc w:val="both"/>
      </w:pPr>
      <w:r>
        <w:rPr>
          <w:rFonts w:ascii="Cambria" w:hAnsi="Cambria"/>
          <w:b w:val="0"/>
          <w:i w:val="0"/>
          <w:sz w:val="22"/>
        </w:rPr>
        <w:t>Recognized faculty continue to increase publications, grants, FDPs.</w:t>
      </w:r>
    </w:p>
    <w:p>
      <w:pPr>
        <w:pStyle w:val="ListBullet2"/>
        <w:spacing w:after="80"/>
        <w:jc w:val="both"/>
      </w:pPr>
      <w:r>
        <w:rPr>
          <w:rFonts w:ascii="Cambria" w:hAnsi="Cambria"/>
          <w:b w:val="0"/>
          <w:i w:val="0"/>
          <w:sz w:val="22"/>
        </w:rPr>
        <w:t>Faculty with gaps undergo mentoring, training, FDPs to improve.</w:t>
      </w:r>
    </w:p>
    <w:p>
      <w:pPr>
        <w:pStyle w:val="ListBullet2"/>
        <w:spacing w:after="80"/>
        <w:jc w:val="both"/>
      </w:pPr>
      <w:r>
        <w:rPr>
          <w:rFonts w:ascii="Cambria" w:hAnsi="Cambria"/>
          <w:b w:val="0"/>
          <w:i w:val="0"/>
          <w:sz w:val="22"/>
        </w:rPr>
        <w:t>Outcome: Numeric growth in faculty KPIs (publications ↑ 31%, FDPs ↑ 39%).</w:t>
      </w:r>
    </w:p>
    <w:p>
      <w:pPr>
        <w:spacing w:after="80"/>
        <w:ind w:left="340" w:hanging="340"/>
        <w:jc w:val="both"/>
      </w:pPr>
      <w:r>
        <w:rPr>
          <w:rFonts w:ascii="Cambria" w:hAnsi="Cambria"/>
          <w:b w:val="0"/>
          <w:i w:val="0"/>
          <w:sz w:val="22"/>
        </w:rPr>
        <w:t xml:space="preserve">4. </w:t>
      </w:r>
      <w:r>
        <w:rPr>
          <w:rFonts w:ascii="Cambria" w:hAnsi="Cambria"/>
          <w:b w:val="0"/>
          <w:i w:val="0"/>
          <w:sz w:val="22"/>
        </w:rPr>
        <w:t>Improved Outcomes (Teaching &amp; Research Quality)</w:t>
      </w:r>
    </w:p>
    <w:p>
      <w:pPr>
        <w:pStyle w:val="ListBullet2"/>
        <w:spacing w:after="80"/>
        <w:jc w:val="both"/>
      </w:pPr>
      <w:r>
        <w:rPr>
          <w:rFonts w:ascii="Cambria" w:hAnsi="Cambria"/>
          <w:b w:val="0"/>
          <w:i w:val="0"/>
          <w:sz w:val="22"/>
        </w:rPr>
        <w:t>Teaching → pass % ↑, CO attainment ↑, student feedback ↑.</w:t>
      </w:r>
    </w:p>
    <w:p>
      <w:pPr>
        <w:pStyle w:val="ListBullet2"/>
        <w:spacing w:after="80"/>
        <w:jc w:val="both"/>
      </w:pPr>
      <w:r>
        <w:rPr>
          <w:rFonts w:ascii="Cambria" w:hAnsi="Cambria"/>
          <w:b w:val="0"/>
          <w:i w:val="0"/>
          <w:sz w:val="22"/>
        </w:rPr>
        <w:t>Research → publications ↑, patents ↑, consultancy revenue ↑.</w:t>
      </w:r>
    </w:p>
    <w:p>
      <w:pPr>
        <w:pStyle w:val="ListBullet2"/>
        <w:spacing w:after="80"/>
        <w:jc w:val="both"/>
      </w:pPr>
      <w:r>
        <w:rPr>
          <w:rFonts w:ascii="Cambria" w:hAnsi="Cambria"/>
          <w:b w:val="0"/>
          <w:i w:val="0"/>
          <w:sz w:val="22"/>
        </w:rPr>
        <w:t>Institutional → better NAAC/NBA/NIRF scores.</w:t>
      </w:r>
    </w:p>
    <w:p>
      <w:pPr>
        <w:spacing w:after="80"/>
        <w:ind w:left="340" w:hanging="340"/>
        <w:jc w:val="both"/>
      </w:pPr>
      <w:r>
        <w:rPr>
          <w:rFonts w:ascii="Cambria" w:hAnsi="Cambria"/>
          <w:b w:val="0"/>
          <w:i w:val="0"/>
          <w:sz w:val="22"/>
        </w:rPr>
        <w:t xml:space="preserve">5. </w:t>
      </w:r>
      <w:r>
        <w:rPr>
          <w:rFonts w:ascii="Cambria" w:hAnsi="Cambria"/>
          <w:b w:val="0"/>
          <w:i w:val="0"/>
          <w:sz w:val="22"/>
        </w:rPr>
        <w:t>Feeds Back into Next Appraisal Cycle</w:t>
      </w:r>
    </w:p>
    <w:p>
      <w:pPr>
        <w:pStyle w:val="ListBullet2"/>
        <w:spacing w:after="80"/>
        <w:jc w:val="both"/>
      </w:pPr>
      <w:r>
        <w:rPr>
          <w:rFonts w:ascii="Cambria" w:hAnsi="Cambria"/>
          <w:b w:val="0"/>
          <w:i w:val="0"/>
          <w:sz w:val="22"/>
        </w:rPr>
        <w:t>Growth outcomes become part of the next appraisal evidence.</w:t>
      </w:r>
    </w:p>
    <w:p>
      <w:pPr>
        <w:pStyle w:val="ListBullet2"/>
        <w:spacing w:after="80"/>
        <w:jc w:val="both"/>
      </w:pPr>
      <w:r>
        <w:rPr>
          <w:rFonts w:ascii="Cambria" w:hAnsi="Cambria"/>
          <w:b w:val="0"/>
          <w:i w:val="0"/>
          <w:sz w:val="22"/>
        </w:rPr>
        <w:t>Ensures continuous, measurable improvement year-on-year.</w:t>
      </w:r>
    </w:p>
    <w:p>
      <w:pPr>
        <w:keepNext/>
        <w:spacing w:before="280" w:after="160"/>
        <w:jc w:val="left"/>
      </w:pPr>
      <w:r>
        <w:rPr>
          <w:rFonts w:ascii="Cambria" w:hAnsi="Cambria"/>
          <w:b/>
          <w:i w:val="0"/>
          <w:color w:val="1F3A5F"/>
          <w:sz w:val="26"/>
        </w:rPr>
        <w:t>Example of the Loop in Action</w:t>
      </w:r>
    </w:p>
    <w:p>
      <w:pPr>
        <w:pStyle w:val="ListBullet"/>
        <w:spacing w:after="80"/>
        <w:jc w:val="both"/>
      </w:pPr>
      <w:r>
        <w:rPr>
          <w:rFonts w:ascii="Cambria" w:hAnsi="Cambria"/>
          <w:b w:val="0"/>
          <w:i w:val="0"/>
          <w:sz w:val="22"/>
        </w:rPr>
        <w:t>Appraisal 2022–23: Avg. FDPs = 1.8, Publications/faculty = 1.6, Feedback = 3.9/5.</w:t>
      </w:r>
    </w:p>
    <w:p>
      <w:pPr>
        <w:pStyle w:val="ListBullet"/>
        <w:spacing w:after="80"/>
        <w:jc w:val="both"/>
      </w:pPr>
      <w:r>
        <w:rPr>
          <w:rFonts w:ascii="Cambria" w:hAnsi="Cambria"/>
          <w:b w:val="0"/>
          <w:i w:val="0"/>
          <w:sz w:val="22"/>
        </w:rPr>
        <w:t>Recognition 2023: 3 promotions, 2 awards, ₹2L research incentive.</w:t>
      </w:r>
    </w:p>
    <w:p>
      <w:pPr>
        <w:pStyle w:val="ListBullet"/>
        <w:spacing w:after="80"/>
        <w:jc w:val="both"/>
      </w:pPr>
      <w:r>
        <w:rPr>
          <w:rFonts w:ascii="Cambria" w:hAnsi="Cambria"/>
          <w:b w:val="0"/>
          <w:i w:val="0"/>
          <w:sz w:val="22"/>
        </w:rPr>
        <w:t>Growth 2023–24: Avg. FDPs = 2.5, Publications/faculty = 2.1, Feedback = 4.4/5.</w:t>
      </w:r>
    </w:p>
    <w:p>
      <w:pPr>
        <w:pStyle w:val="ListBullet"/>
        <w:spacing w:after="80"/>
        <w:jc w:val="both"/>
      </w:pPr>
      <w:r>
        <w:rPr>
          <w:rFonts w:ascii="Cambria" w:hAnsi="Cambria"/>
          <w:b w:val="0"/>
          <w:i w:val="0"/>
          <w:sz w:val="22"/>
        </w:rPr>
        <w:t>Improved Outcomes: Pass % ↑ 78% → 88%, Research revenue ↑ ₹5L → ₹8L.</w:t>
      </w:r>
    </w:p>
    <w:p>
      <w:pPr>
        <w:pStyle w:val="ListBullet"/>
        <w:spacing w:after="80"/>
        <w:jc w:val="both"/>
      </w:pPr>
      <w:r>
        <w:rPr>
          <w:rFonts w:ascii="Cambria" w:hAnsi="Cambria"/>
          <w:b w:val="0"/>
          <w:i w:val="0"/>
          <w:sz w:val="22"/>
        </w:rPr>
        <w:t>Next Appraisal 2024: Documents this growth, continues the cycle.</w:t>
      </w:r>
    </w:p>
    <w:p>
      <w:pPr>
        <w:keepNext/>
        <w:spacing w:before="280" w:after="160"/>
        <w:jc w:val="left"/>
      </w:pPr>
      <w:r>
        <w:rPr>
          <w:rFonts w:ascii="Cambria" w:hAnsi="Cambria"/>
          <w:b/>
          <w:i w:val="0"/>
          <w:color w:val="1F3A5F"/>
          <w:sz w:val="26"/>
        </w:rPr>
        <w:t>Why NAAC/NBA Value This</w:t>
      </w:r>
    </w:p>
    <w:p>
      <w:pPr>
        <w:pStyle w:val="ListBullet"/>
        <w:spacing w:after="80"/>
        <w:jc w:val="both"/>
      </w:pPr>
      <w:r>
        <w:rPr>
          <w:rFonts w:ascii="Cambria" w:hAnsi="Cambria"/>
          <w:b w:val="0"/>
          <w:i w:val="0"/>
          <w:sz w:val="22"/>
        </w:rPr>
        <w:t>Shows systematic HR governance (Criterion 6, NAAC).</w:t>
      </w:r>
    </w:p>
    <w:p>
      <w:pPr>
        <w:pStyle w:val="ListBullet"/>
        <w:spacing w:after="80"/>
        <w:jc w:val="both"/>
      </w:pPr>
      <w:r>
        <w:rPr>
          <w:rFonts w:ascii="Cambria" w:hAnsi="Cambria"/>
          <w:b w:val="0"/>
          <w:i w:val="0"/>
          <w:sz w:val="22"/>
        </w:rPr>
        <w:t>Proves continuous improvement in faculty quality (Criterion 5, NBA).</w:t>
      </w:r>
    </w:p>
    <w:p>
      <w:pPr>
        <w:pStyle w:val="ListBullet"/>
        <w:spacing w:after="80"/>
        <w:jc w:val="both"/>
      </w:pPr>
      <w:r>
        <w:rPr>
          <w:rFonts w:ascii="Cambria" w:hAnsi="Cambria"/>
          <w:b w:val="0"/>
          <w:i w:val="0"/>
          <w:sz w:val="22"/>
        </w:rPr>
        <w:t>Provides numeric, verifiable outcomes (pass %, FDPs, publications, funding).</w:t>
      </w:r>
    </w:p>
    <w:p>
      <w:pPr>
        <w:pStyle w:val="ListBullet"/>
        <w:spacing w:after="80"/>
        <w:jc w:val="both"/>
      </w:pPr>
      <w:r>
        <w:rPr>
          <w:rFonts w:ascii="Cambria" w:hAnsi="Cambria"/>
          <w:b w:val="0"/>
          <w:i w:val="0"/>
          <w:sz w:val="22"/>
        </w:rPr>
        <w:t>Ensures institutional growth is faculty-driven and sustainable.</w:t>
      </w:r>
    </w:p>
    <w:p>
      <w:pPr>
        <w:keepNext/>
        <w:spacing w:before="280" w:after="160"/>
        <w:jc w:val="left"/>
      </w:pPr>
      <w:r>
        <w:rPr>
          <w:rFonts w:ascii="Cambria" w:hAnsi="Cambria"/>
          <w:b/>
          <w:i w:val="0"/>
          <w:color w:val="1F3A5F"/>
          <w:sz w:val="26"/>
        </w:rPr>
        <w:t>How Merit-Based Recognition Supports OBE</w:t>
      </w:r>
    </w:p>
    <w:p>
      <w:pPr>
        <w:spacing w:after="80"/>
        <w:ind w:left="340" w:hanging="340"/>
        <w:jc w:val="both"/>
      </w:pPr>
      <w:r>
        <w:rPr>
          <w:rFonts w:ascii="Cambria" w:hAnsi="Cambria"/>
          <w:b w:val="0"/>
          <w:i w:val="0"/>
          <w:sz w:val="22"/>
        </w:rPr>
        <w:t xml:space="preserve">1. </w:t>
      </w:r>
      <w:r>
        <w:rPr>
          <w:rFonts w:ascii="Cambria" w:hAnsi="Cambria"/>
          <w:b w:val="0"/>
          <w:i w:val="0"/>
          <w:sz w:val="22"/>
        </w:rPr>
        <w:t>Evidence-Based Merit</w:t>
      </w:r>
    </w:p>
    <w:p>
      <w:pPr>
        <w:pStyle w:val="ListBullet2"/>
        <w:spacing w:after="80"/>
        <w:jc w:val="both"/>
      </w:pPr>
      <w:r>
        <w:rPr>
          <w:rFonts w:ascii="Cambria" w:hAnsi="Cambria"/>
          <w:b w:val="0"/>
          <w:i w:val="0"/>
          <w:sz w:val="22"/>
        </w:rPr>
        <w:t>Recognition based on teaching outcomes (CO–PO attainment, pass %, feedback).</w:t>
      </w:r>
    </w:p>
    <w:p>
      <w:pPr>
        <w:pStyle w:val="ListBullet2"/>
        <w:spacing w:after="80"/>
        <w:jc w:val="both"/>
      </w:pPr>
      <w:r>
        <w:rPr>
          <w:rFonts w:ascii="Cambria" w:hAnsi="Cambria"/>
          <w:b w:val="0"/>
          <w:i w:val="0"/>
          <w:sz w:val="22"/>
        </w:rPr>
        <w:t>Research outcomes (publications, patents, funded projects).</w:t>
      </w:r>
    </w:p>
    <w:p>
      <w:pPr>
        <w:pStyle w:val="ListBullet2"/>
        <w:spacing w:after="80"/>
        <w:jc w:val="both"/>
      </w:pPr>
      <w:r>
        <w:rPr>
          <w:rFonts w:ascii="Cambria" w:hAnsi="Cambria"/>
          <w:b w:val="0"/>
          <w:i w:val="0"/>
          <w:sz w:val="22"/>
        </w:rPr>
        <w:t>Professional development (FDPs, certifications).</w:t>
      </w:r>
    </w:p>
    <w:p>
      <w:pPr>
        <w:pStyle w:val="ListBullet2"/>
        <w:spacing w:after="80"/>
        <w:jc w:val="both"/>
      </w:pPr>
      <w:r>
        <w:rPr>
          <w:rFonts w:ascii="Cambria" w:hAnsi="Cambria"/>
          <w:b w:val="0"/>
          <w:i w:val="0"/>
          <w:sz w:val="22"/>
        </w:rPr>
        <w:t>Evidence: Verified documents (feedback reports, attainment sheets, publication records, FDP certificates).</w:t>
      </w:r>
    </w:p>
    <w:p>
      <w:pPr>
        <w:spacing w:after="80"/>
        <w:ind w:left="340" w:hanging="340"/>
        <w:jc w:val="both"/>
      </w:pPr>
      <w:r>
        <w:rPr>
          <w:rFonts w:ascii="Cambria" w:hAnsi="Cambria"/>
          <w:b w:val="0"/>
          <w:i w:val="0"/>
          <w:sz w:val="22"/>
        </w:rPr>
        <w:t xml:space="preserve">2. </w:t>
      </w:r>
      <w:r>
        <w:rPr>
          <w:rFonts w:ascii="Cambria" w:hAnsi="Cambria"/>
          <w:b w:val="0"/>
          <w:i w:val="0"/>
          <w:sz w:val="22"/>
        </w:rPr>
        <w:t>Motivation through Recognition</w:t>
      </w:r>
    </w:p>
    <w:p>
      <w:pPr>
        <w:pStyle w:val="ListBullet2"/>
        <w:spacing w:after="80"/>
        <w:jc w:val="both"/>
      </w:pPr>
      <w:r>
        <w:rPr>
          <w:rFonts w:ascii="Cambria" w:hAnsi="Cambria"/>
          <w:b w:val="0"/>
          <w:i w:val="0"/>
          <w:sz w:val="22"/>
        </w:rPr>
        <w:t>High performers receive promotions, awards, research incentives.</w:t>
      </w:r>
    </w:p>
    <w:p>
      <w:pPr>
        <w:pStyle w:val="ListBullet2"/>
        <w:spacing w:after="80"/>
        <w:jc w:val="both"/>
      </w:pPr>
      <w:r>
        <w:rPr>
          <w:rFonts w:ascii="Cambria" w:hAnsi="Cambria"/>
          <w:b w:val="0"/>
          <w:i w:val="0"/>
          <w:sz w:val="22"/>
        </w:rPr>
        <w:t>Builds a culture of healthy competition among faculty.</w:t>
      </w:r>
    </w:p>
    <w:p>
      <w:pPr>
        <w:pStyle w:val="ListBullet2"/>
        <w:spacing w:after="80"/>
        <w:jc w:val="both"/>
      </w:pPr>
      <w:r>
        <w:rPr>
          <w:rFonts w:ascii="Cambria" w:hAnsi="Cambria"/>
          <w:b w:val="0"/>
          <w:i w:val="0"/>
          <w:sz w:val="22"/>
        </w:rPr>
        <w:t>Faculty motivated to push for higher attainment in teaching &amp; research.</w:t>
      </w:r>
    </w:p>
    <w:p>
      <w:pPr>
        <w:spacing w:after="80"/>
        <w:ind w:left="340" w:hanging="340"/>
        <w:jc w:val="both"/>
      </w:pPr>
      <w:r>
        <w:rPr>
          <w:rFonts w:ascii="Cambria" w:hAnsi="Cambria"/>
          <w:b w:val="0"/>
          <w:i w:val="0"/>
          <w:sz w:val="22"/>
        </w:rPr>
        <w:t xml:space="preserve">3. </w:t>
      </w:r>
      <w:r>
        <w:rPr>
          <w:rFonts w:ascii="Cambria" w:hAnsi="Cambria"/>
          <w:b w:val="0"/>
          <w:i w:val="0"/>
          <w:sz w:val="22"/>
        </w:rPr>
        <w:t>Alignment with OBE Goals</w:t>
      </w:r>
    </w:p>
    <w:p>
      <w:pPr>
        <w:pStyle w:val="ListBullet2"/>
        <w:spacing w:after="80"/>
        <w:jc w:val="both"/>
      </w:pPr>
      <w:r>
        <w:rPr>
          <w:rFonts w:ascii="Cambria" w:hAnsi="Cambria"/>
          <w:b w:val="0"/>
          <w:i w:val="0"/>
          <w:sz w:val="22"/>
        </w:rPr>
        <w:t>Faculty see a direct link between OBE compliance and recognition:</w:t>
      </w:r>
    </w:p>
    <w:p>
      <w:pPr>
        <w:pStyle w:val="ListBullet2"/>
        <w:spacing w:after="80"/>
        <w:jc w:val="both"/>
      </w:pPr>
      <w:r>
        <w:rPr>
          <w:rFonts w:ascii="Cambria" w:hAnsi="Cambria"/>
          <w:b w:val="0"/>
          <w:i w:val="0"/>
          <w:sz w:val="22"/>
        </w:rPr>
        <w:t>Better CO attainment → stronger teaching appraisals.</w:t>
      </w:r>
    </w:p>
    <w:p>
      <w:pPr>
        <w:pStyle w:val="ListBullet2"/>
        <w:spacing w:after="80"/>
        <w:jc w:val="both"/>
      </w:pPr>
      <w:r>
        <w:rPr>
          <w:rFonts w:ascii="Cambria" w:hAnsi="Cambria"/>
          <w:b w:val="0"/>
          <w:i w:val="0"/>
          <w:sz w:val="22"/>
        </w:rPr>
        <w:t>More FDPs → lifelong learning (PO12).</w:t>
      </w:r>
    </w:p>
    <w:p>
      <w:pPr>
        <w:pStyle w:val="ListBullet2"/>
        <w:spacing w:after="80"/>
        <w:jc w:val="both"/>
      </w:pPr>
      <w:r>
        <w:rPr>
          <w:rFonts w:ascii="Cambria" w:hAnsi="Cambria"/>
          <w:b w:val="0"/>
          <w:i w:val="0"/>
          <w:sz w:val="22"/>
        </w:rPr>
        <w:t>More publications/projects → innovation &amp; research (PSO2).</w:t>
      </w:r>
    </w:p>
    <w:p>
      <w:pPr>
        <w:pStyle w:val="ListBullet2"/>
        <w:spacing w:after="80"/>
        <w:jc w:val="both"/>
      </w:pPr>
      <w:r>
        <w:rPr>
          <w:rFonts w:ascii="Cambria" w:hAnsi="Cambria"/>
          <w:b w:val="0"/>
          <w:i w:val="0"/>
          <w:sz w:val="22"/>
        </w:rPr>
        <w:t>Motivates faculty to align lesson planning, teaching methods, and research with CO–PO–PSO mapping.</w:t>
      </w:r>
    </w:p>
    <w:p>
      <w:pPr>
        <w:spacing w:after="80"/>
        <w:ind w:left="340" w:hanging="340"/>
        <w:jc w:val="both"/>
      </w:pPr>
      <w:r>
        <w:rPr>
          <w:rFonts w:ascii="Cambria" w:hAnsi="Cambria"/>
          <w:b w:val="0"/>
          <w:i w:val="0"/>
          <w:sz w:val="22"/>
        </w:rPr>
        <w:t xml:space="preserve">4. </w:t>
      </w:r>
      <w:r>
        <w:rPr>
          <w:rFonts w:ascii="Cambria" w:hAnsi="Cambria"/>
          <w:b w:val="0"/>
          <w:i w:val="0"/>
          <w:sz w:val="22"/>
        </w:rPr>
        <w:t>Continuous Improvement</w:t>
      </w:r>
    </w:p>
    <w:p>
      <w:pPr>
        <w:pStyle w:val="ListBullet2"/>
        <w:spacing w:after="80"/>
        <w:jc w:val="both"/>
      </w:pPr>
      <w:r>
        <w:rPr>
          <w:rFonts w:ascii="Cambria" w:hAnsi="Cambria"/>
          <w:b w:val="0"/>
          <w:i w:val="0"/>
          <w:sz w:val="22"/>
        </w:rPr>
        <w:t>Recognized faculty raise the benchmark.</w:t>
      </w:r>
    </w:p>
    <w:p>
      <w:pPr>
        <w:pStyle w:val="ListBullet2"/>
        <w:spacing w:after="80"/>
        <w:jc w:val="both"/>
      </w:pPr>
      <w:r>
        <w:rPr>
          <w:rFonts w:ascii="Cambria" w:hAnsi="Cambria"/>
          <w:b w:val="0"/>
          <w:i w:val="0"/>
          <w:sz w:val="22"/>
        </w:rPr>
        <w:t>Faculty with gaps get targeted mentoring/FDPs.</w:t>
      </w:r>
    </w:p>
    <w:p>
      <w:pPr>
        <w:pStyle w:val="ListBullet2"/>
        <w:spacing w:after="80"/>
        <w:jc w:val="both"/>
      </w:pPr>
      <w:r>
        <w:rPr>
          <w:rFonts w:ascii="Cambria" w:hAnsi="Cambria"/>
          <w:b w:val="0"/>
          <w:i w:val="0"/>
          <w:sz w:val="22"/>
        </w:rPr>
        <w:t>Department achieves year-on-year improvement in teaching-learning quality and research output.</w:t>
      </w:r>
    </w:p>
    <w:p>
      <w:pPr>
        <w:keepNext/>
        <w:spacing w:before="280" w:after="160"/>
        <w:jc w:val="left"/>
      </w:pPr>
      <w:r>
        <w:rPr>
          <w:rFonts w:ascii="Cambria" w:hAnsi="Cambria"/>
          <w:b/>
          <w:i w:val="0"/>
          <w:color w:val="1F3A5F"/>
          <w:sz w:val="26"/>
        </w:rPr>
        <w:t>Tangible Outcomes</w:t>
      </w:r>
    </w:p>
    <w:p>
      <w:pPr>
        <w:pStyle w:val="ListBullet"/>
        <w:spacing w:after="80"/>
        <w:jc w:val="both"/>
      </w:pPr>
      <w:r>
        <w:rPr>
          <w:rFonts w:ascii="Cambria" w:hAnsi="Cambria"/>
          <w:b w:val="0"/>
          <w:i w:val="0"/>
          <w:sz w:val="22"/>
        </w:rPr>
        <w:t>Promotions awarded to faculty with ≥2 publications, ≥2 FDPs, feedback ≥4.0.</w:t>
      </w:r>
    </w:p>
    <w:p>
      <w:pPr>
        <w:pStyle w:val="ListBullet"/>
        <w:spacing w:after="80"/>
        <w:jc w:val="both"/>
      </w:pPr>
      <w:r>
        <w:rPr>
          <w:rFonts w:ascii="Cambria" w:hAnsi="Cambria"/>
          <w:b w:val="0"/>
          <w:i w:val="0"/>
          <w:sz w:val="22"/>
        </w:rPr>
        <w:t>Research awards led to publications per faculty ↑ 31% (1.6 → 2.1).</w:t>
      </w:r>
    </w:p>
    <w:p>
      <w:pPr>
        <w:pStyle w:val="ListBullet"/>
        <w:spacing w:after="80"/>
        <w:jc w:val="both"/>
      </w:pPr>
      <w:r>
        <w:rPr>
          <w:rFonts w:ascii="Cambria" w:hAnsi="Cambria"/>
          <w:b w:val="0"/>
          <w:i w:val="0"/>
          <w:sz w:val="22"/>
        </w:rPr>
        <w:t>FDP-linked incentives led to FDPs per faculty ↑ 39% (1.8 → 2.5).</w:t>
      </w:r>
    </w:p>
    <w:p>
      <w:pPr>
        <w:pStyle w:val="ListBullet"/>
        <w:spacing w:after="80"/>
        <w:jc w:val="both"/>
      </w:pPr>
      <w:r>
        <w:rPr>
          <w:rFonts w:ascii="Cambria" w:hAnsi="Cambria"/>
          <w:b w:val="0"/>
          <w:i w:val="0"/>
          <w:sz w:val="22"/>
        </w:rPr>
        <w:t>Student pass % ↑ 10% and CO attainment ↑ 6% after faculty performance improved.</w:t>
      </w:r>
    </w:p>
    <w:p>
      <w:r>
        <w:br w:type="page"/>
      </w:r>
    </w:p>
    <w:p>
      <w:pPr>
        <w:keepNext/>
        <w:spacing w:before="280" w:after="160"/>
        <w:jc w:val="left"/>
      </w:pPr>
      <w:r>
        <w:rPr>
          <w:rFonts w:ascii="Cambria" w:hAnsi="Cambria"/>
          <w:b/>
          <w:i w:val="0"/>
          <w:color w:val="1F3A5F"/>
          <w:sz w:val="30"/>
        </w:rPr>
        <w:t>8. HoD's Responsibility for Preparing and Submitting the Divisional Annual Report to the Principal</w:t>
      </w:r>
    </w:p>
    <w:p>
      <w:pPr>
        <w:keepNext/>
        <w:spacing w:before="280" w:after="160"/>
        <w:jc w:val="left"/>
      </w:pPr>
      <w:r>
        <w:rPr>
          <w:rFonts w:ascii="Cambria" w:hAnsi="Cambria"/>
          <w:b/>
          <w:i w:val="0"/>
          <w:color w:val="1F3A5F"/>
          <w:sz w:val="26"/>
        </w:rPr>
        <w:t>Policy Statement</w:t>
      </w:r>
    </w:p>
    <w:p>
      <w:pPr>
        <w:pStyle w:val="ListBullet"/>
        <w:spacing w:after="80"/>
        <w:jc w:val="both"/>
      </w:pPr>
      <w:r>
        <w:rPr>
          <w:rFonts w:ascii="Cambria" w:hAnsi="Cambria"/>
          <w:b w:val="0"/>
          <w:i w:val="0"/>
          <w:sz w:val="22"/>
        </w:rPr>
        <w:t>The HoD must compile, validate, and submit the Divisional Annual Report to the Principal/Director at the end of each academic year, covering teaching–learning, research, student development, and governance activities.</w:t>
      </w:r>
    </w:p>
    <w:p>
      <w:pPr>
        <w:keepNext/>
        <w:spacing w:before="280" w:after="160"/>
        <w:jc w:val="left"/>
      </w:pPr>
      <w:r>
        <w:rPr>
          <w:rFonts w:ascii="Cambria" w:hAnsi="Cambria"/>
          <w:b/>
          <w:i w:val="0"/>
          <w:color w:val="1F3A5F"/>
          <w:sz w:val="26"/>
        </w:rPr>
        <w:t>Actions by HoD</w:t>
      </w:r>
    </w:p>
    <w:p>
      <w:pPr>
        <w:pStyle w:val="ListBullet"/>
        <w:spacing w:after="80"/>
        <w:jc w:val="both"/>
      </w:pPr>
      <w:r>
        <w:rPr>
          <w:rFonts w:ascii="Cambria" w:hAnsi="Cambria"/>
          <w:b w:val="0"/>
          <w:i w:val="0"/>
          <w:sz w:val="22"/>
        </w:rPr>
        <w:t>Collect departmental data from faculty coordinators (academics, research, extension, student activities).</w:t>
      </w:r>
    </w:p>
    <w:p>
      <w:pPr>
        <w:pStyle w:val="ListBullet"/>
        <w:spacing w:after="80"/>
        <w:jc w:val="both"/>
      </w:pPr>
      <w:r>
        <w:rPr>
          <w:rFonts w:ascii="Cambria" w:hAnsi="Cambria"/>
          <w:b w:val="0"/>
          <w:i w:val="0"/>
          <w:sz w:val="22"/>
        </w:rPr>
        <w:t>Consolidate information under standard headings:</w:t>
      </w:r>
    </w:p>
    <w:p>
      <w:pPr>
        <w:pStyle w:val="ListBullet2"/>
        <w:spacing w:after="80"/>
        <w:jc w:val="both"/>
      </w:pPr>
      <w:r>
        <w:rPr>
          <w:rFonts w:ascii="Cambria" w:hAnsi="Cambria"/>
          <w:b w:val="0"/>
          <w:i w:val="0"/>
          <w:sz w:val="22"/>
        </w:rPr>
        <w:t>Academic Performance → CO–PO attainment, pass %, placements.</w:t>
      </w:r>
    </w:p>
    <w:p>
      <w:pPr>
        <w:pStyle w:val="ListBullet2"/>
        <w:spacing w:after="80"/>
        <w:jc w:val="both"/>
      </w:pPr>
      <w:r>
        <w:rPr>
          <w:rFonts w:ascii="Cambria" w:hAnsi="Cambria"/>
          <w:b w:val="0"/>
          <w:i w:val="0"/>
          <w:sz w:val="22"/>
        </w:rPr>
        <w:t>Faculty Achievements → publications, projects, FDPs, consultancy.</w:t>
      </w:r>
    </w:p>
    <w:p>
      <w:pPr>
        <w:pStyle w:val="ListBullet2"/>
        <w:spacing w:after="80"/>
        <w:jc w:val="both"/>
      </w:pPr>
      <w:r>
        <w:rPr>
          <w:rFonts w:ascii="Cambria" w:hAnsi="Cambria"/>
          <w:b w:val="0"/>
          <w:i w:val="0"/>
          <w:sz w:val="22"/>
        </w:rPr>
        <w:t>Student Achievements → competitions, internships, research.</w:t>
      </w:r>
    </w:p>
    <w:p>
      <w:pPr>
        <w:pStyle w:val="ListBullet2"/>
        <w:spacing w:after="80"/>
        <w:jc w:val="both"/>
      </w:pPr>
      <w:r>
        <w:rPr>
          <w:rFonts w:ascii="Cambria" w:hAnsi="Cambria"/>
          <w:b w:val="0"/>
          <w:i w:val="0"/>
          <w:sz w:val="22"/>
        </w:rPr>
        <w:t>Infrastructure &amp; Lab Development → upgrades, ICT adoption.</w:t>
      </w:r>
    </w:p>
    <w:p>
      <w:pPr>
        <w:pStyle w:val="ListBullet2"/>
        <w:spacing w:after="80"/>
        <w:jc w:val="both"/>
      </w:pPr>
      <w:r>
        <w:rPr>
          <w:rFonts w:ascii="Cambria" w:hAnsi="Cambria"/>
          <w:b w:val="0"/>
          <w:i w:val="0"/>
          <w:sz w:val="22"/>
        </w:rPr>
        <w:t>Events &amp; Outreach → seminars, workshops, MoUs, extension activities.</w:t>
      </w:r>
    </w:p>
    <w:p>
      <w:pPr>
        <w:pStyle w:val="ListBullet2"/>
        <w:spacing w:after="80"/>
        <w:jc w:val="both"/>
      </w:pPr>
      <w:r>
        <w:rPr>
          <w:rFonts w:ascii="Cambria" w:hAnsi="Cambria"/>
          <w:b w:val="0"/>
          <w:i w:val="0"/>
          <w:sz w:val="22"/>
        </w:rPr>
        <w:t>Governance &amp; Compliance → NAAC/NBA initiatives, IQAC actions.</w:t>
      </w:r>
    </w:p>
    <w:p>
      <w:pPr>
        <w:pStyle w:val="ListBullet"/>
        <w:spacing w:after="80"/>
        <w:jc w:val="both"/>
      </w:pPr>
      <w:r>
        <w:rPr>
          <w:rFonts w:ascii="Cambria" w:hAnsi="Cambria"/>
          <w:b w:val="0"/>
          <w:i w:val="0"/>
          <w:sz w:val="22"/>
        </w:rPr>
        <w:t>Verify accuracy with supporting evidence (MoM, reports, certificates).</w:t>
      </w:r>
    </w:p>
    <w:p>
      <w:pPr>
        <w:pStyle w:val="ListBullet"/>
        <w:spacing w:after="80"/>
        <w:jc w:val="both"/>
      </w:pPr>
      <w:r>
        <w:rPr>
          <w:rFonts w:ascii="Cambria" w:hAnsi="Cambria"/>
          <w:b w:val="0"/>
          <w:i w:val="0"/>
          <w:sz w:val="22"/>
        </w:rPr>
        <w:t>Prepare a structured Annual Report document (Word/PDF/Excel annexure).</w:t>
      </w:r>
    </w:p>
    <w:p>
      <w:pPr>
        <w:pStyle w:val="ListBullet"/>
        <w:spacing w:after="80"/>
        <w:jc w:val="both"/>
      </w:pPr>
      <w:r>
        <w:rPr>
          <w:rFonts w:ascii="Cambria" w:hAnsi="Cambria"/>
          <w:b w:val="0"/>
          <w:i w:val="0"/>
          <w:sz w:val="22"/>
        </w:rPr>
        <w:t>Submit the report to the Principal/Director within the prescribed timeline.</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Departmental Annual Report (signed by HoD).</w:t>
      </w:r>
    </w:p>
    <w:p>
      <w:pPr>
        <w:pStyle w:val="ListBullet"/>
        <w:spacing w:after="80"/>
        <w:jc w:val="both"/>
      </w:pPr>
      <w:r>
        <w:rPr>
          <w:rFonts w:ascii="Cambria" w:hAnsi="Cambria"/>
          <w:b w:val="0"/>
          <w:i w:val="0"/>
          <w:sz w:val="22"/>
        </w:rPr>
        <w:t>Consolidated faculty &amp; student achievement records.</w:t>
      </w:r>
    </w:p>
    <w:p>
      <w:pPr>
        <w:pStyle w:val="ListBullet"/>
        <w:spacing w:after="80"/>
        <w:jc w:val="both"/>
      </w:pPr>
      <w:r>
        <w:rPr>
          <w:rFonts w:ascii="Cambria" w:hAnsi="Cambria"/>
          <w:b w:val="0"/>
          <w:i w:val="0"/>
          <w:sz w:val="22"/>
        </w:rPr>
        <w:t>CO–PO–PSO attainment summary.</w:t>
      </w:r>
    </w:p>
    <w:p>
      <w:pPr>
        <w:pStyle w:val="ListBullet"/>
        <w:spacing w:after="80"/>
        <w:jc w:val="both"/>
      </w:pPr>
      <w:r>
        <w:rPr>
          <w:rFonts w:ascii="Cambria" w:hAnsi="Cambria"/>
          <w:b w:val="0"/>
          <w:i w:val="0"/>
          <w:sz w:val="22"/>
        </w:rPr>
        <w:t>FDP/Workshop reports.</w:t>
      </w:r>
    </w:p>
    <w:p>
      <w:pPr>
        <w:pStyle w:val="ListBullet"/>
        <w:spacing w:after="80"/>
        <w:jc w:val="both"/>
      </w:pPr>
      <w:r>
        <w:rPr>
          <w:rFonts w:ascii="Cambria" w:hAnsi="Cambria"/>
          <w:b w:val="0"/>
          <w:i w:val="0"/>
          <w:sz w:val="22"/>
        </w:rPr>
        <w:t>Research/project grant sanction letters.</w:t>
      </w:r>
    </w:p>
    <w:p>
      <w:pPr>
        <w:pStyle w:val="ListBullet"/>
        <w:spacing w:after="80"/>
        <w:jc w:val="both"/>
      </w:pPr>
      <w:r>
        <w:rPr>
          <w:rFonts w:ascii="Cambria" w:hAnsi="Cambria"/>
          <w:b w:val="0"/>
          <w:i w:val="0"/>
          <w:sz w:val="22"/>
        </w:rPr>
        <w:t>MoUs signed with industry/academia.</w:t>
      </w:r>
    </w:p>
    <w:p>
      <w:pPr>
        <w:pStyle w:val="ListBullet"/>
        <w:spacing w:after="80"/>
        <w:jc w:val="both"/>
      </w:pPr>
      <w:r>
        <w:rPr>
          <w:rFonts w:ascii="Cambria" w:hAnsi="Cambria"/>
          <w:b w:val="0"/>
          <w:i w:val="0"/>
          <w:sz w:val="22"/>
        </w:rPr>
        <w:t>Submission acknowledgement from Principal/Registrar.</w:t>
      </w:r>
    </w:p>
    <w:p>
      <w:pPr>
        <w:keepNext/>
        <w:spacing w:before="280" w:after="160"/>
        <w:jc w:val="left"/>
      </w:pPr>
      <w:r>
        <w:rPr>
          <w:rFonts w:ascii="Cambria" w:hAnsi="Cambria"/>
          <w:b/>
          <w:i w:val="0"/>
          <w:color w:val="1F3A5F"/>
          <w:sz w:val="26"/>
        </w:rPr>
        <w:t>OBE Mapping (PO/PSO Links)</w:t>
      </w:r>
    </w:p>
    <w:p>
      <w:pPr>
        <w:pStyle w:val="ListBullet"/>
        <w:spacing w:after="80"/>
        <w:jc w:val="both"/>
      </w:pPr>
      <w:r>
        <w:rPr>
          <w:rFonts w:ascii="Cambria" w:hAnsi="Cambria"/>
          <w:b w:val="0"/>
          <w:i w:val="0"/>
          <w:sz w:val="22"/>
        </w:rPr>
        <w:t>PO11: Project Management → departmental governance documented.</w:t>
      </w:r>
    </w:p>
    <w:p>
      <w:pPr>
        <w:pStyle w:val="ListBullet"/>
        <w:spacing w:after="80"/>
        <w:jc w:val="both"/>
      </w:pPr>
      <w:r>
        <w:rPr>
          <w:rFonts w:ascii="Cambria" w:hAnsi="Cambria"/>
          <w:b w:val="0"/>
          <w:i w:val="0"/>
          <w:sz w:val="22"/>
        </w:rPr>
        <w:t>PO12: Life-long Learning → FDPs, certifications included in report.</w:t>
      </w:r>
    </w:p>
    <w:p>
      <w:pPr>
        <w:pStyle w:val="ListBullet"/>
        <w:spacing w:after="80"/>
        <w:jc w:val="both"/>
      </w:pPr>
      <w:r>
        <w:rPr>
          <w:rFonts w:ascii="Cambria" w:hAnsi="Cambria"/>
          <w:b w:val="0"/>
          <w:i w:val="0"/>
          <w:sz w:val="22"/>
        </w:rPr>
        <w:t>PSO2: Research &amp; Innovation → publications, projects highlighted.</w:t>
      </w:r>
    </w:p>
    <w:p>
      <w:pPr>
        <w:pStyle w:val="ListBullet"/>
        <w:spacing w:after="80"/>
        <w:jc w:val="both"/>
      </w:pPr>
      <w:r>
        <w:rPr>
          <w:rFonts w:ascii="Cambria" w:hAnsi="Cambria"/>
          <w:b w:val="0"/>
          <w:i w:val="0"/>
          <w:sz w:val="22"/>
        </w:rPr>
        <w:t>PSO3: Specialization Skills → lab and curriculum upgrades reported.</w:t>
      </w:r>
    </w:p>
    <w:p>
      <w:pPr>
        <w:keepNext/>
        <w:spacing w:before="280" w:after="160"/>
        <w:jc w:val="left"/>
      </w:pPr>
      <w:r>
        <w:rPr>
          <w:rFonts w:ascii="Cambria" w:hAnsi="Cambria"/>
          <w:b/>
          <w:i w:val="0"/>
          <w:color w:val="1F3A5F"/>
          <w:sz w:val="26"/>
        </w:rPr>
        <w:t>Tangible &amp; Numeric Outcomes</w:t>
      </w:r>
    </w:p>
    <w:p>
      <w:pPr>
        <w:pStyle w:val="ListBullet"/>
        <w:spacing w:after="80"/>
        <w:jc w:val="both"/>
      </w:pPr>
      <w:r>
        <w:rPr>
          <w:rFonts w:ascii="Cambria" w:hAnsi="Cambria"/>
          <w:b w:val="0"/>
          <w:i w:val="0"/>
          <w:sz w:val="22"/>
        </w:rPr>
        <w:t>100% submission of annual report by deadline.</w:t>
      </w:r>
    </w:p>
    <w:p>
      <w:pPr>
        <w:pStyle w:val="ListBullet"/>
        <w:spacing w:after="80"/>
        <w:jc w:val="both"/>
      </w:pPr>
      <w:r>
        <w:rPr>
          <w:rFonts w:ascii="Cambria" w:hAnsi="Cambria"/>
          <w:b w:val="0"/>
          <w:i w:val="0"/>
          <w:sz w:val="22"/>
        </w:rPr>
        <w:t>≥90% departmental activities covered with evidence.</w:t>
      </w:r>
    </w:p>
    <w:p>
      <w:pPr>
        <w:pStyle w:val="ListBullet"/>
        <w:spacing w:after="80"/>
        <w:jc w:val="both"/>
      </w:pPr>
      <w:r>
        <w:rPr>
          <w:rFonts w:ascii="Cambria" w:hAnsi="Cambria"/>
          <w:b w:val="0"/>
          <w:i w:val="0"/>
          <w:sz w:val="22"/>
        </w:rPr>
        <w:t>YoY improvements documented:</w:t>
      </w:r>
    </w:p>
    <w:p>
      <w:pPr>
        <w:pStyle w:val="ListBullet2"/>
        <w:spacing w:after="80"/>
        <w:jc w:val="both"/>
      </w:pPr>
      <w:r>
        <w:rPr>
          <w:rFonts w:ascii="Cambria" w:hAnsi="Cambria"/>
          <w:b w:val="0"/>
          <w:i w:val="0"/>
          <w:sz w:val="22"/>
        </w:rPr>
        <w:t>Pass %: 78% → 88%.</w:t>
      </w:r>
    </w:p>
    <w:p>
      <w:pPr>
        <w:pStyle w:val="ListBullet2"/>
        <w:spacing w:after="80"/>
        <w:jc w:val="both"/>
      </w:pPr>
      <w:r>
        <w:rPr>
          <w:rFonts w:ascii="Cambria" w:hAnsi="Cambria"/>
          <w:b w:val="0"/>
          <w:i w:val="0"/>
          <w:sz w:val="22"/>
        </w:rPr>
        <w:t>FDPs per faculty: 1.8 → 2.5.</w:t>
      </w:r>
    </w:p>
    <w:p>
      <w:pPr>
        <w:pStyle w:val="ListBullet2"/>
        <w:spacing w:after="80"/>
        <w:jc w:val="both"/>
      </w:pPr>
      <w:r>
        <w:rPr>
          <w:rFonts w:ascii="Cambria" w:hAnsi="Cambria"/>
          <w:b w:val="0"/>
          <w:i w:val="0"/>
          <w:sz w:val="22"/>
        </w:rPr>
        <w:t>Publications/faculty: 1.6 → 2.1.</w:t>
      </w:r>
    </w:p>
    <w:p>
      <w:pPr>
        <w:pStyle w:val="ListBullet2"/>
        <w:spacing w:after="80"/>
        <w:jc w:val="both"/>
      </w:pPr>
      <w:r>
        <w:rPr>
          <w:rFonts w:ascii="Cambria" w:hAnsi="Cambria"/>
          <w:b w:val="0"/>
          <w:i w:val="0"/>
          <w:sz w:val="22"/>
        </w:rPr>
        <w:t>Research funding: ₹5L → ₹8L.</w:t>
      </w:r>
    </w:p>
    <w:p>
      <w:pPr>
        <w:pStyle w:val="ListBullet"/>
        <w:spacing w:after="80"/>
        <w:jc w:val="both"/>
      </w:pPr>
      <w:r>
        <w:rPr>
          <w:rFonts w:ascii="Cambria" w:hAnsi="Cambria"/>
          <w:b w:val="0"/>
          <w:i w:val="0"/>
          <w:sz w:val="22"/>
        </w:rPr>
        <w:t>Report used as evidence in IQAC meetings, NAAC SSR, NBA SAR, and NIRF submissions.</w:t>
      </w:r>
    </w:p>
    <w:p>
      <w:pPr>
        <w:keepNext/>
        <w:spacing w:before="280" w:after="160"/>
        <w:jc w:val="left"/>
      </w:pPr>
      <w:r>
        <w:rPr>
          <w:rFonts w:ascii="Cambria" w:hAnsi="Cambria"/>
          <w:b/>
          <w:i w:val="0"/>
          <w:color w:val="1F3A5F"/>
          <w:sz w:val="26"/>
        </w:rPr>
        <w:t>Evidence/Documents for Divisional Annual Report</w:t>
      </w:r>
    </w:p>
    <w:p>
      <w:pPr>
        <w:spacing w:after="80"/>
        <w:ind w:left="340" w:hanging="340"/>
        <w:jc w:val="both"/>
      </w:pPr>
      <w:r>
        <w:rPr>
          <w:rFonts w:ascii="Cambria" w:hAnsi="Cambria"/>
          <w:b w:val="0"/>
          <w:i w:val="0"/>
          <w:sz w:val="22"/>
        </w:rPr>
        <w:t xml:space="preserve">1. </w:t>
      </w:r>
      <w:r>
        <w:rPr>
          <w:rFonts w:ascii="Cambria" w:hAnsi="Cambria"/>
          <w:b w:val="0"/>
          <w:i w:val="0"/>
          <w:sz w:val="22"/>
        </w:rPr>
        <w:t>Departmental Annual Report (signed by HoD)</w:t>
      </w:r>
    </w:p>
    <w:p>
      <w:pPr>
        <w:pStyle w:val="ListBullet2"/>
        <w:spacing w:after="80"/>
        <w:jc w:val="both"/>
      </w:pPr>
      <w:r>
        <w:rPr>
          <w:rFonts w:ascii="Cambria" w:hAnsi="Cambria"/>
          <w:b w:val="0"/>
          <w:i w:val="0"/>
          <w:sz w:val="22"/>
        </w:rPr>
        <w:t>Comprehensive report covering academics, research, student development, infrastructure, and outreach.</w:t>
      </w:r>
    </w:p>
    <w:p>
      <w:pPr>
        <w:pStyle w:val="ListBullet2"/>
        <w:spacing w:after="80"/>
        <w:jc w:val="both"/>
      </w:pPr>
      <w:r>
        <w:rPr>
          <w:rFonts w:ascii="Cambria" w:hAnsi="Cambria"/>
          <w:b w:val="0"/>
          <w:i w:val="0"/>
          <w:sz w:val="22"/>
        </w:rPr>
        <w:t>Must be officially signed and dated by the HoD for authenticity.</w:t>
      </w:r>
    </w:p>
    <w:p>
      <w:pPr>
        <w:spacing w:after="80"/>
        <w:ind w:left="340" w:hanging="340"/>
        <w:jc w:val="both"/>
      </w:pPr>
      <w:r>
        <w:rPr>
          <w:rFonts w:ascii="Cambria" w:hAnsi="Cambria"/>
          <w:b w:val="0"/>
          <w:i w:val="0"/>
          <w:sz w:val="22"/>
        </w:rPr>
        <w:t xml:space="preserve">2. </w:t>
      </w:r>
      <w:r>
        <w:rPr>
          <w:rFonts w:ascii="Cambria" w:hAnsi="Cambria"/>
          <w:b w:val="0"/>
          <w:i w:val="0"/>
          <w:sz w:val="22"/>
        </w:rPr>
        <w:t>Consolidated Faculty &amp; Student Achievement Records</w:t>
      </w:r>
    </w:p>
    <w:p>
      <w:pPr>
        <w:pStyle w:val="ListBullet2"/>
        <w:spacing w:after="80"/>
        <w:jc w:val="both"/>
      </w:pPr>
      <w:r>
        <w:rPr>
          <w:rFonts w:ascii="Cambria" w:hAnsi="Cambria"/>
          <w:b w:val="0"/>
          <w:i w:val="0"/>
          <w:sz w:val="22"/>
        </w:rPr>
        <w:t>Faculty: publications, FDPs, research projects, consultancy, awards.</w:t>
      </w:r>
    </w:p>
    <w:p>
      <w:pPr>
        <w:pStyle w:val="ListBullet2"/>
        <w:spacing w:after="80"/>
        <w:jc w:val="both"/>
      </w:pPr>
      <w:r>
        <w:rPr>
          <w:rFonts w:ascii="Cambria" w:hAnsi="Cambria"/>
          <w:b w:val="0"/>
          <w:i w:val="0"/>
          <w:sz w:val="22"/>
        </w:rPr>
        <w:t>Students: placements, internships, competitions, publications, extension activities.</w:t>
      </w:r>
    </w:p>
    <w:p>
      <w:pPr>
        <w:spacing w:after="80"/>
        <w:ind w:left="340" w:hanging="340"/>
        <w:jc w:val="both"/>
      </w:pPr>
      <w:r>
        <w:rPr>
          <w:rFonts w:ascii="Cambria" w:hAnsi="Cambria"/>
          <w:b w:val="0"/>
          <w:i w:val="0"/>
          <w:sz w:val="22"/>
        </w:rPr>
        <w:t xml:space="preserve">3. </w:t>
      </w:r>
      <w:r>
        <w:rPr>
          <w:rFonts w:ascii="Cambria" w:hAnsi="Cambria"/>
          <w:b w:val="0"/>
          <w:i w:val="0"/>
          <w:sz w:val="22"/>
        </w:rPr>
        <w:t>CO–PO–PSO Attainment Summary</w:t>
      </w:r>
    </w:p>
    <w:p>
      <w:pPr>
        <w:pStyle w:val="ListBullet2"/>
        <w:spacing w:after="80"/>
        <w:jc w:val="both"/>
      </w:pPr>
      <w:r>
        <w:rPr>
          <w:rFonts w:ascii="Cambria" w:hAnsi="Cambria"/>
          <w:b w:val="0"/>
          <w:i w:val="0"/>
          <w:sz w:val="22"/>
        </w:rPr>
        <w:t>Outcome-based education (OBE) compliance sheet.</w:t>
      </w:r>
    </w:p>
    <w:p>
      <w:pPr>
        <w:pStyle w:val="ListBullet2"/>
        <w:spacing w:after="80"/>
        <w:jc w:val="both"/>
      </w:pPr>
      <w:r>
        <w:rPr>
          <w:rFonts w:ascii="Cambria" w:hAnsi="Cambria"/>
          <w:b w:val="0"/>
          <w:i w:val="0"/>
          <w:sz w:val="22"/>
        </w:rPr>
        <w:t>Includes attainment values (direct &amp; indirect) and YoY trends.</w:t>
      </w:r>
    </w:p>
    <w:p>
      <w:pPr>
        <w:spacing w:after="80"/>
        <w:ind w:left="340" w:hanging="340"/>
        <w:jc w:val="both"/>
      </w:pPr>
      <w:r>
        <w:rPr>
          <w:rFonts w:ascii="Cambria" w:hAnsi="Cambria"/>
          <w:b w:val="0"/>
          <w:i w:val="0"/>
          <w:sz w:val="22"/>
        </w:rPr>
        <w:t xml:space="preserve">4. </w:t>
      </w:r>
      <w:r>
        <w:rPr>
          <w:rFonts w:ascii="Cambria" w:hAnsi="Cambria"/>
          <w:b w:val="0"/>
          <w:i w:val="0"/>
          <w:sz w:val="22"/>
        </w:rPr>
        <w:t>FDP/Workshop Reports</w:t>
      </w:r>
    </w:p>
    <w:p>
      <w:pPr>
        <w:pStyle w:val="ListBullet2"/>
        <w:spacing w:after="80"/>
        <w:jc w:val="both"/>
      </w:pPr>
      <w:r>
        <w:rPr>
          <w:rFonts w:ascii="Cambria" w:hAnsi="Cambria"/>
          <w:b w:val="0"/>
          <w:i w:val="0"/>
          <w:sz w:val="22"/>
        </w:rPr>
        <w:t>Reports of Faculty Development Programs, Workshops, Seminars conducted.</w:t>
      </w:r>
    </w:p>
    <w:p>
      <w:pPr>
        <w:pStyle w:val="ListBullet2"/>
        <w:spacing w:after="80"/>
        <w:jc w:val="both"/>
      </w:pPr>
      <w:r>
        <w:rPr>
          <w:rFonts w:ascii="Cambria" w:hAnsi="Cambria"/>
          <w:b w:val="0"/>
          <w:i w:val="0"/>
          <w:sz w:val="22"/>
        </w:rPr>
        <w:t>Participation certificates or attendance records for faculty/students.</w:t>
      </w:r>
    </w:p>
    <w:p>
      <w:pPr>
        <w:spacing w:after="80"/>
        <w:ind w:left="340" w:hanging="340"/>
        <w:jc w:val="both"/>
      </w:pPr>
      <w:r>
        <w:rPr>
          <w:rFonts w:ascii="Cambria" w:hAnsi="Cambria"/>
          <w:b w:val="0"/>
          <w:i w:val="0"/>
          <w:sz w:val="22"/>
        </w:rPr>
        <w:t xml:space="preserve">5. </w:t>
      </w:r>
      <w:r>
        <w:rPr>
          <w:rFonts w:ascii="Cambria" w:hAnsi="Cambria"/>
          <w:b w:val="0"/>
          <w:i w:val="0"/>
          <w:sz w:val="22"/>
        </w:rPr>
        <w:t>Research/Project Grant Sanction Letters</w:t>
      </w:r>
    </w:p>
    <w:p>
      <w:pPr>
        <w:pStyle w:val="ListBullet2"/>
        <w:spacing w:after="80"/>
        <w:jc w:val="both"/>
      </w:pPr>
      <w:r>
        <w:rPr>
          <w:rFonts w:ascii="Cambria" w:hAnsi="Cambria"/>
          <w:b w:val="0"/>
          <w:i w:val="0"/>
          <w:sz w:val="22"/>
        </w:rPr>
        <w:t>Proof of externally funded projects, seed money utilization, or consultancy agreements.</w:t>
      </w:r>
    </w:p>
    <w:p>
      <w:pPr>
        <w:pStyle w:val="ListBullet2"/>
        <w:spacing w:after="80"/>
        <w:jc w:val="both"/>
      </w:pPr>
      <w:r>
        <w:rPr>
          <w:rFonts w:ascii="Cambria" w:hAnsi="Cambria"/>
          <w:b w:val="0"/>
          <w:i w:val="0"/>
          <w:sz w:val="22"/>
        </w:rPr>
        <w:t>Sanction letters and utilization certificates.</w:t>
      </w:r>
    </w:p>
    <w:p>
      <w:pPr>
        <w:spacing w:after="80"/>
        <w:ind w:left="340" w:hanging="340"/>
        <w:jc w:val="both"/>
      </w:pPr>
      <w:r>
        <w:rPr>
          <w:rFonts w:ascii="Cambria" w:hAnsi="Cambria"/>
          <w:b w:val="0"/>
          <w:i w:val="0"/>
          <w:sz w:val="22"/>
        </w:rPr>
        <w:t xml:space="preserve">6. </w:t>
      </w:r>
      <w:r>
        <w:rPr>
          <w:rFonts w:ascii="Cambria" w:hAnsi="Cambria"/>
          <w:b w:val="0"/>
          <w:i w:val="0"/>
          <w:sz w:val="22"/>
        </w:rPr>
        <w:t>MoUs with Industry/Academia</w:t>
      </w:r>
    </w:p>
    <w:p>
      <w:pPr>
        <w:pStyle w:val="ListBullet2"/>
        <w:spacing w:after="80"/>
        <w:jc w:val="both"/>
      </w:pPr>
      <w:r>
        <w:rPr>
          <w:rFonts w:ascii="Cambria" w:hAnsi="Cambria"/>
          <w:b w:val="0"/>
          <w:i w:val="0"/>
          <w:sz w:val="22"/>
        </w:rPr>
        <w:t>Signed copies of Memoranda of Understanding (MoUs) with companies, research institutes, or HEIs.</w:t>
      </w:r>
    </w:p>
    <w:p>
      <w:pPr>
        <w:pStyle w:val="ListBullet2"/>
        <w:spacing w:after="80"/>
        <w:jc w:val="both"/>
      </w:pPr>
      <w:r>
        <w:rPr>
          <w:rFonts w:ascii="Cambria" w:hAnsi="Cambria"/>
          <w:b w:val="0"/>
          <w:i w:val="0"/>
          <w:sz w:val="22"/>
        </w:rPr>
        <w:t>Implementation details (student projects, internships, joint research).</w:t>
      </w:r>
    </w:p>
    <w:p>
      <w:pPr>
        <w:spacing w:after="80"/>
        <w:ind w:left="340" w:hanging="340"/>
        <w:jc w:val="both"/>
      </w:pPr>
      <w:r>
        <w:rPr>
          <w:rFonts w:ascii="Cambria" w:hAnsi="Cambria"/>
          <w:b w:val="0"/>
          <w:i w:val="0"/>
          <w:sz w:val="22"/>
        </w:rPr>
        <w:t xml:space="preserve">7. </w:t>
      </w:r>
      <w:r>
        <w:rPr>
          <w:rFonts w:ascii="Cambria" w:hAnsi="Cambria"/>
          <w:b w:val="0"/>
          <w:i w:val="0"/>
          <w:sz w:val="22"/>
        </w:rPr>
        <w:t>Submission Acknowledgement from Principal/Registrar</w:t>
      </w:r>
    </w:p>
    <w:p>
      <w:pPr>
        <w:pStyle w:val="ListBullet2"/>
        <w:spacing w:after="80"/>
        <w:jc w:val="both"/>
      </w:pPr>
      <w:r>
        <w:rPr>
          <w:rFonts w:ascii="Cambria" w:hAnsi="Cambria"/>
          <w:b w:val="0"/>
          <w:i w:val="0"/>
          <w:sz w:val="22"/>
        </w:rPr>
        <w:t>Official receipt/forwarding note confirming the report has been submitted to higher authorities.</w:t>
      </w:r>
    </w:p>
    <w:p>
      <w:pPr>
        <w:pStyle w:val="ListBullet2"/>
        <w:spacing w:after="80"/>
        <w:jc w:val="both"/>
      </w:pPr>
      <w:r>
        <w:rPr>
          <w:rFonts w:ascii="Cambria" w:hAnsi="Cambria"/>
          <w:b w:val="0"/>
          <w:i w:val="0"/>
          <w:sz w:val="22"/>
        </w:rPr>
        <w:t>Serves as final proof of compliance.</w:t>
      </w:r>
    </w:p>
    <w:p>
      <w:pPr>
        <w:keepNext/>
        <w:spacing w:before="280" w:after="160"/>
        <w:jc w:val="left"/>
      </w:pPr>
      <w:r>
        <w:rPr>
          <w:rFonts w:ascii="Cambria" w:hAnsi="Cambria"/>
          <w:b/>
          <w:i w:val="0"/>
          <w:color w:val="1F3A5F"/>
          <w:sz w:val="26"/>
        </w:rPr>
        <w:t>How the Annual Report Proves Systematic Governance</w:t>
      </w:r>
    </w:p>
    <w:p>
      <w:pPr>
        <w:spacing w:after="80"/>
        <w:ind w:left="340" w:hanging="340"/>
        <w:jc w:val="both"/>
      </w:pPr>
      <w:r>
        <w:rPr>
          <w:rFonts w:ascii="Cambria" w:hAnsi="Cambria"/>
          <w:b w:val="0"/>
          <w:i w:val="0"/>
          <w:sz w:val="22"/>
        </w:rPr>
        <w:t xml:space="preserve">1. </w:t>
      </w:r>
      <w:r>
        <w:rPr>
          <w:rFonts w:ascii="Cambria" w:hAnsi="Cambria"/>
          <w:b w:val="0"/>
          <w:i w:val="0"/>
          <w:sz w:val="22"/>
        </w:rPr>
        <w:t>Standardized Format</w:t>
      </w:r>
    </w:p>
    <w:p>
      <w:pPr>
        <w:pStyle w:val="ListBullet2"/>
        <w:spacing w:after="80"/>
        <w:jc w:val="both"/>
      </w:pPr>
      <w:r>
        <w:rPr>
          <w:rFonts w:ascii="Cambria" w:hAnsi="Cambria"/>
          <w:b w:val="0"/>
          <w:i w:val="0"/>
          <w:sz w:val="22"/>
        </w:rPr>
        <w:t>Prepared annually under defined headings: academics, research, student development, infrastructure, outreach, governance.</w:t>
      </w:r>
    </w:p>
    <w:p>
      <w:pPr>
        <w:pStyle w:val="ListBullet2"/>
        <w:spacing w:after="80"/>
        <w:jc w:val="both"/>
      </w:pPr>
      <w:r>
        <w:rPr>
          <w:rFonts w:ascii="Cambria" w:hAnsi="Cambria"/>
          <w:b w:val="0"/>
          <w:i w:val="0"/>
          <w:sz w:val="22"/>
        </w:rPr>
        <w:t>Ensures all departments follow a uniform reporting process.</w:t>
      </w:r>
    </w:p>
    <w:p>
      <w:pPr>
        <w:spacing w:after="80"/>
        <w:ind w:left="340" w:hanging="340"/>
        <w:jc w:val="both"/>
      </w:pPr>
      <w:r>
        <w:rPr>
          <w:rFonts w:ascii="Cambria" w:hAnsi="Cambria"/>
          <w:b w:val="0"/>
          <w:i w:val="0"/>
          <w:sz w:val="22"/>
        </w:rPr>
        <w:t xml:space="preserve">2. </w:t>
      </w:r>
      <w:r>
        <w:rPr>
          <w:rFonts w:ascii="Cambria" w:hAnsi="Cambria"/>
          <w:b w:val="0"/>
          <w:i w:val="0"/>
          <w:sz w:val="22"/>
        </w:rPr>
        <w:t>Documented Evidence</w:t>
      </w:r>
    </w:p>
    <w:p>
      <w:pPr>
        <w:pStyle w:val="ListBullet2"/>
        <w:spacing w:after="80"/>
        <w:jc w:val="both"/>
      </w:pPr>
      <w:r>
        <w:rPr>
          <w:rFonts w:ascii="Cambria" w:hAnsi="Cambria"/>
          <w:b w:val="0"/>
          <w:i w:val="0"/>
          <w:sz w:val="22"/>
        </w:rPr>
        <w:t>Each section supported by signed, verifiable documents: CO–PO attainment summaries, FDP certificates, MoUs, sanction letters.</w:t>
      </w:r>
    </w:p>
    <w:p>
      <w:pPr>
        <w:pStyle w:val="ListBullet2"/>
        <w:spacing w:after="80"/>
        <w:jc w:val="both"/>
      </w:pPr>
      <w:r>
        <w:rPr>
          <w:rFonts w:ascii="Cambria" w:hAnsi="Cambria"/>
          <w:b w:val="0"/>
          <w:i w:val="0"/>
          <w:sz w:val="22"/>
        </w:rPr>
        <w:t>Leaves a clear audit trail for NAAC/NBA/NIRF peer reviewers.</w:t>
      </w:r>
    </w:p>
    <w:p>
      <w:pPr>
        <w:spacing w:after="80"/>
        <w:ind w:left="340" w:hanging="340"/>
        <w:jc w:val="both"/>
      </w:pPr>
      <w:r>
        <w:rPr>
          <w:rFonts w:ascii="Cambria" w:hAnsi="Cambria"/>
          <w:b w:val="0"/>
          <w:i w:val="0"/>
          <w:sz w:val="22"/>
        </w:rPr>
        <w:t xml:space="preserve">3. </w:t>
      </w:r>
      <w:r>
        <w:rPr>
          <w:rFonts w:ascii="Cambria" w:hAnsi="Cambria"/>
          <w:b w:val="0"/>
          <w:i w:val="0"/>
          <w:sz w:val="22"/>
        </w:rPr>
        <w:t>Data Consolidation &amp; Transparency</w:t>
      </w:r>
    </w:p>
    <w:p>
      <w:pPr>
        <w:pStyle w:val="ListBullet2"/>
        <w:spacing w:after="80"/>
        <w:jc w:val="both"/>
      </w:pPr>
      <w:r>
        <w:rPr>
          <w:rFonts w:ascii="Cambria" w:hAnsi="Cambria"/>
          <w:b w:val="0"/>
          <w:i w:val="0"/>
          <w:sz w:val="22"/>
        </w:rPr>
        <w:t>Combines faculty, staff, and student achievements into one report.</w:t>
      </w:r>
    </w:p>
    <w:p>
      <w:pPr>
        <w:spacing w:after="120"/>
        <w:jc w:val="both"/>
      </w:pPr>
      <w:r>
        <w:rPr>
          <w:rFonts w:ascii="Cambria" w:hAnsi="Cambria"/>
          <w:b w:val="0"/>
          <w:i w:val="0"/>
          <w:sz w:val="22"/>
        </w:rPr>
        <w:t>Avoids fragmented reporting → ensures complete visibility of performance.</w:t>
      </w:r>
    </w:p>
    <w:p>
      <w:pPr>
        <w:spacing w:after="80"/>
        <w:ind w:left="340" w:hanging="340"/>
        <w:jc w:val="both"/>
      </w:pPr>
      <w:r>
        <w:rPr>
          <w:rFonts w:ascii="Cambria" w:hAnsi="Cambria"/>
          <w:b w:val="0"/>
          <w:i w:val="0"/>
          <w:sz w:val="22"/>
        </w:rPr>
        <w:t xml:space="preserve">4. </w:t>
      </w:r>
      <w:r>
        <w:rPr>
          <w:rFonts w:ascii="Cambria" w:hAnsi="Cambria"/>
          <w:b w:val="0"/>
          <w:i w:val="0"/>
          <w:sz w:val="22"/>
        </w:rPr>
        <w:t>Accountability</w:t>
      </w:r>
    </w:p>
    <w:p>
      <w:pPr>
        <w:pStyle w:val="ListBullet2"/>
        <w:spacing w:after="80"/>
        <w:jc w:val="both"/>
      </w:pPr>
      <w:r>
        <w:rPr>
          <w:rFonts w:ascii="Cambria" w:hAnsi="Cambria"/>
          <w:b w:val="0"/>
          <w:i w:val="0"/>
          <w:sz w:val="22"/>
        </w:rPr>
        <w:t>Signed by HoD and acknowledged by Principal/Registrar.</w:t>
      </w:r>
    </w:p>
    <w:p>
      <w:pPr>
        <w:pStyle w:val="ListBullet2"/>
        <w:spacing w:after="80"/>
        <w:jc w:val="both"/>
      </w:pPr>
      <w:r>
        <w:rPr>
          <w:rFonts w:ascii="Cambria" w:hAnsi="Cambria"/>
          <w:b w:val="0"/>
          <w:i w:val="0"/>
          <w:sz w:val="22"/>
        </w:rPr>
        <w:t>Confirms the department takes ownership of its performance.</w:t>
      </w:r>
    </w:p>
    <w:p>
      <w:pPr>
        <w:spacing w:after="80"/>
        <w:ind w:left="340" w:hanging="340"/>
        <w:jc w:val="both"/>
      </w:pPr>
      <w:r>
        <w:rPr>
          <w:rFonts w:ascii="Cambria" w:hAnsi="Cambria"/>
          <w:b w:val="0"/>
          <w:i w:val="0"/>
          <w:sz w:val="22"/>
        </w:rPr>
        <w:t xml:space="preserve">5. </w:t>
      </w:r>
      <w:r>
        <w:rPr>
          <w:rFonts w:ascii="Cambria" w:hAnsi="Cambria"/>
          <w:b w:val="0"/>
          <w:i w:val="0"/>
          <w:sz w:val="22"/>
        </w:rPr>
        <w:t>Continuous Improvement</w:t>
      </w:r>
    </w:p>
    <w:p>
      <w:pPr>
        <w:pStyle w:val="ListBullet2"/>
        <w:spacing w:after="80"/>
        <w:jc w:val="both"/>
      </w:pPr>
      <w:r>
        <w:rPr>
          <w:rFonts w:ascii="Cambria" w:hAnsi="Cambria"/>
          <w:b w:val="0"/>
          <w:i w:val="0"/>
          <w:sz w:val="22"/>
        </w:rPr>
        <w:t>Compares year-on-year metrics: pass %, FDPs, publications, funding, placements.</w:t>
      </w:r>
    </w:p>
    <w:p>
      <w:pPr>
        <w:pStyle w:val="ListBullet2"/>
        <w:spacing w:after="80"/>
        <w:jc w:val="both"/>
      </w:pPr>
      <w:r>
        <w:rPr>
          <w:rFonts w:ascii="Cambria" w:hAnsi="Cambria"/>
          <w:b w:val="0"/>
          <w:i w:val="0"/>
          <w:sz w:val="22"/>
        </w:rPr>
        <w:t>Documents improvements and action plans for weaker areas.</w:t>
      </w:r>
    </w:p>
    <w:p>
      <w:pPr>
        <w:keepNext/>
        <w:spacing w:before="280" w:after="160"/>
        <w:jc w:val="left"/>
      </w:pPr>
      <w:r>
        <w:rPr>
          <w:rFonts w:ascii="Cambria" w:hAnsi="Cambria"/>
          <w:b/>
          <w:i w:val="0"/>
          <w:color w:val="1F3A5F"/>
          <w:sz w:val="26"/>
        </w:rPr>
        <w:t>Audit-Ready Evidence/Documents</w:t>
      </w:r>
    </w:p>
    <w:p>
      <w:pPr>
        <w:pStyle w:val="ListBullet"/>
        <w:spacing w:after="80"/>
        <w:jc w:val="both"/>
      </w:pPr>
      <w:r>
        <w:rPr>
          <w:rFonts w:ascii="Cambria" w:hAnsi="Cambria"/>
          <w:b w:val="0"/>
          <w:i w:val="0"/>
          <w:sz w:val="22"/>
        </w:rPr>
        <w:t>Departmental Annual Report (signed by HoD).</w:t>
      </w:r>
    </w:p>
    <w:p>
      <w:pPr>
        <w:pStyle w:val="ListBullet"/>
        <w:spacing w:after="80"/>
        <w:jc w:val="both"/>
      </w:pPr>
      <w:r>
        <w:rPr>
          <w:rFonts w:ascii="Cambria" w:hAnsi="Cambria"/>
          <w:b w:val="0"/>
          <w:i w:val="0"/>
          <w:sz w:val="22"/>
        </w:rPr>
        <w:t>Consolidated faculty &amp; student achievement records.</w:t>
      </w:r>
    </w:p>
    <w:p>
      <w:pPr>
        <w:pStyle w:val="ListBullet"/>
        <w:spacing w:after="80"/>
        <w:jc w:val="both"/>
      </w:pPr>
      <w:r>
        <w:rPr>
          <w:rFonts w:ascii="Cambria" w:hAnsi="Cambria"/>
          <w:b w:val="0"/>
          <w:i w:val="0"/>
          <w:sz w:val="22"/>
        </w:rPr>
        <w:t>CO–PO–PSO attainment summary.</w:t>
      </w:r>
    </w:p>
    <w:p>
      <w:pPr>
        <w:pStyle w:val="ListBullet"/>
        <w:spacing w:after="80"/>
        <w:jc w:val="both"/>
      </w:pPr>
      <w:r>
        <w:rPr>
          <w:rFonts w:ascii="Cambria" w:hAnsi="Cambria"/>
          <w:b w:val="0"/>
          <w:i w:val="0"/>
          <w:sz w:val="22"/>
        </w:rPr>
        <w:t>FDP/Workshop reports.</w:t>
      </w:r>
    </w:p>
    <w:p>
      <w:pPr>
        <w:pStyle w:val="ListBullet"/>
        <w:spacing w:after="80"/>
        <w:jc w:val="both"/>
      </w:pPr>
      <w:r>
        <w:rPr>
          <w:rFonts w:ascii="Cambria" w:hAnsi="Cambria"/>
          <w:b w:val="0"/>
          <w:i w:val="0"/>
          <w:sz w:val="22"/>
        </w:rPr>
        <w:t>Research/project grant sanction letters.</w:t>
      </w:r>
    </w:p>
    <w:p>
      <w:pPr>
        <w:pStyle w:val="ListBullet"/>
        <w:spacing w:after="80"/>
        <w:jc w:val="both"/>
      </w:pPr>
      <w:r>
        <w:rPr>
          <w:rFonts w:ascii="Cambria" w:hAnsi="Cambria"/>
          <w:b w:val="0"/>
          <w:i w:val="0"/>
          <w:sz w:val="22"/>
        </w:rPr>
        <w:t>MoUs signed with industry/academia.</w:t>
      </w:r>
    </w:p>
    <w:p>
      <w:pPr>
        <w:pStyle w:val="ListBullet"/>
        <w:spacing w:after="80"/>
        <w:jc w:val="both"/>
      </w:pPr>
      <w:r>
        <w:rPr>
          <w:rFonts w:ascii="Cambria" w:hAnsi="Cambria"/>
          <w:b w:val="0"/>
          <w:i w:val="0"/>
          <w:sz w:val="22"/>
        </w:rPr>
        <w:t>Submission acknowledgement from Principal/Registrar.</w:t>
      </w:r>
    </w:p>
    <w:p>
      <w:pPr>
        <w:keepNext/>
        <w:spacing w:before="280" w:after="160"/>
        <w:jc w:val="left"/>
      </w:pPr>
      <w:r>
        <w:rPr>
          <w:rFonts w:ascii="Cambria" w:hAnsi="Cambria"/>
          <w:b/>
          <w:i w:val="0"/>
          <w:color w:val="1F3A5F"/>
          <w:sz w:val="26"/>
        </w:rPr>
        <w:t>Tangible Outcomes</w:t>
      </w:r>
    </w:p>
    <w:p>
      <w:pPr>
        <w:pStyle w:val="ListBullet"/>
        <w:spacing w:after="80"/>
        <w:jc w:val="both"/>
      </w:pPr>
      <w:r>
        <w:rPr>
          <w:rFonts w:ascii="Cambria" w:hAnsi="Cambria"/>
          <w:b w:val="0"/>
          <w:i w:val="0"/>
          <w:sz w:val="22"/>
        </w:rPr>
        <w:t>Annual report submitted 100% on time.</w:t>
      </w:r>
    </w:p>
    <w:p>
      <w:pPr>
        <w:pStyle w:val="ListBullet"/>
        <w:spacing w:after="80"/>
        <w:jc w:val="both"/>
      </w:pPr>
      <w:r>
        <w:rPr>
          <w:rFonts w:ascii="Cambria" w:hAnsi="Cambria"/>
          <w:b w:val="0"/>
          <w:i w:val="0"/>
          <w:sz w:val="22"/>
        </w:rPr>
        <w:t>Baseline vs improvement visible (e.g., pass % 78% → 88%, publications/faculty 1.6 → 2.1).</w:t>
      </w:r>
    </w:p>
    <w:p>
      <w:pPr>
        <w:pStyle w:val="ListBullet"/>
        <w:spacing w:after="80"/>
        <w:jc w:val="both"/>
      </w:pPr>
      <w:r>
        <w:rPr>
          <w:rFonts w:ascii="Cambria" w:hAnsi="Cambria"/>
          <w:b w:val="0"/>
          <w:i w:val="0"/>
          <w:sz w:val="22"/>
        </w:rPr>
        <w:t>Report forms part of IQAC documentation and SSR/SAR annexures.</w:t>
      </w:r>
    </w:p>
    <w:p>
      <w:pPr>
        <w:pStyle w:val="ListBullet"/>
        <w:spacing w:after="80"/>
        <w:jc w:val="both"/>
      </w:pPr>
      <w:r>
        <w:rPr>
          <w:rFonts w:ascii="Cambria" w:hAnsi="Cambria"/>
          <w:b w:val="0"/>
          <w:i w:val="0"/>
          <w:sz w:val="22"/>
        </w:rPr>
        <w:t>Strengthens credibility with numeric, signed, and documented evidence.</w:t>
      </w:r>
    </w:p>
    <w:p>
      <w:pPr>
        <w:keepNext/>
        <w:spacing w:before="280" w:after="160"/>
        <w:jc w:val="left"/>
      </w:pPr>
      <w:r>
        <w:rPr>
          <w:rFonts w:ascii="Cambria" w:hAnsi="Cambria"/>
          <w:b/>
          <w:i w:val="0"/>
          <w:color w:val="1F3A5F"/>
          <w:sz w:val="26"/>
        </w:rPr>
        <w:t>Why Baseline vs Improvement Matters</w:t>
      </w:r>
    </w:p>
    <w:p>
      <w:pPr>
        <w:pStyle w:val="ListBullet"/>
        <w:spacing w:after="80"/>
        <w:jc w:val="both"/>
      </w:pPr>
      <w:r>
        <w:rPr>
          <w:rFonts w:ascii="Cambria" w:hAnsi="Cambria"/>
          <w:b w:val="0"/>
          <w:i w:val="0"/>
          <w:sz w:val="22"/>
        </w:rPr>
        <w:t>Baseline → captures the department's performance in the starting year (e.g., 2022–23).</w:t>
      </w:r>
    </w:p>
    <w:p>
      <w:pPr>
        <w:pStyle w:val="ListBullet"/>
        <w:spacing w:after="80"/>
        <w:jc w:val="both"/>
      </w:pPr>
      <w:r>
        <w:rPr>
          <w:rFonts w:ascii="Cambria" w:hAnsi="Cambria"/>
          <w:b w:val="0"/>
          <w:i w:val="0"/>
          <w:sz w:val="22"/>
        </w:rPr>
        <w:t>Improvement → shows numeric growth in the following years (e.g., 2023–24).</w:t>
      </w:r>
    </w:p>
    <w:p>
      <w:pPr>
        <w:pStyle w:val="ListBullet"/>
        <w:spacing w:after="80"/>
        <w:jc w:val="both"/>
      </w:pPr>
      <w:r>
        <w:rPr>
          <w:rFonts w:ascii="Cambria" w:hAnsi="Cambria"/>
          <w:b w:val="0"/>
          <w:i w:val="0"/>
          <w:sz w:val="22"/>
        </w:rPr>
        <w:t>Consolidated File → prevents scattered reporting, giving peer reviewers a single, ready-to-verify source.</w:t>
      </w:r>
    </w:p>
    <w:p>
      <w:pPr>
        <w:spacing w:after="120"/>
        <w:jc w:val="both"/>
      </w:pPr>
      <w:r>
        <w:rPr>
          <w:rFonts w:ascii="Cambria" w:hAnsi="Cambria"/>
          <w:b w:val="0"/>
          <w:i w:val="0"/>
          <w:sz w:val="22"/>
        </w:rPr>
        <w:t xml:space="preserve">Audit-Ready → reviewers can instantly see </w:t>
      </w:r>
      <w:r>
        <w:rPr>
          <w:rFonts w:ascii="Cambria" w:hAnsi="Cambria"/>
          <w:b w:val="0"/>
          <w:i/>
          <w:sz w:val="22"/>
        </w:rPr>
        <w:t>“where the department was”</w:t>
      </w:r>
      <w:r>
        <w:rPr>
          <w:rFonts w:ascii="Cambria" w:hAnsi="Cambria"/>
          <w:b w:val="0"/>
          <w:i w:val="0"/>
          <w:sz w:val="22"/>
        </w:rPr>
        <w:t xml:space="preserve"> and </w:t>
      </w:r>
      <w:r>
        <w:rPr>
          <w:rFonts w:ascii="Cambria" w:hAnsi="Cambria"/>
          <w:b w:val="0"/>
          <w:i/>
          <w:sz w:val="22"/>
        </w:rPr>
        <w:t>“where it is now.”</w:t>
      </w:r>
    </w:p>
    <w:p>
      <w:pPr>
        <w:keepNext/>
        <w:spacing w:before="280" w:after="160"/>
        <w:jc w:val="left"/>
      </w:pPr>
      <w:r>
        <w:rPr>
          <w:rFonts w:ascii="Cambria" w:hAnsi="Cambria"/>
          <w:b/>
          <w:i w:val="0"/>
          <w:color w:val="1F3A5F"/>
          <w:sz w:val="26"/>
        </w:rPr>
        <w:t>Key Trends to Include in the Annual Report</w:t>
      </w:r>
    </w:p>
    <w:p>
      <w:pPr>
        <w:spacing w:after="80"/>
        <w:ind w:left="340" w:hanging="340"/>
        <w:jc w:val="both"/>
      </w:pPr>
      <w:r>
        <w:rPr>
          <w:rFonts w:ascii="Cambria" w:hAnsi="Cambria"/>
          <w:b w:val="0"/>
          <w:i w:val="0"/>
          <w:sz w:val="22"/>
        </w:rPr>
        <w:t xml:space="preserve">1. </w:t>
      </w:r>
      <w:r>
        <w:rPr>
          <w:rFonts w:ascii="Cambria" w:hAnsi="Cambria"/>
          <w:b w:val="0"/>
          <w:i w:val="0"/>
          <w:sz w:val="22"/>
        </w:rPr>
        <w:t>Teaching–Learning Quality</w:t>
      </w:r>
    </w:p>
    <w:p>
      <w:pPr>
        <w:pStyle w:val="ListBullet2"/>
        <w:spacing w:after="80"/>
        <w:jc w:val="both"/>
      </w:pPr>
      <w:r>
        <w:rPr>
          <w:rFonts w:ascii="Cambria" w:hAnsi="Cambria"/>
          <w:b w:val="0"/>
          <w:i w:val="0"/>
          <w:sz w:val="22"/>
        </w:rPr>
        <w:t>Baseline (2022–23): Pass % = 78%</w:t>
      </w:r>
    </w:p>
    <w:p>
      <w:pPr>
        <w:pStyle w:val="ListBullet2"/>
        <w:spacing w:after="80"/>
        <w:jc w:val="both"/>
      </w:pPr>
      <w:r>
        <w:rPr>
          <w:rFonts w:ascii="Cambria" w:hAnsi="Cambria"/>
          <w:b w:val="0"/>
          <w:i w:val="0"/>
          <w:sz w:val="22"/>
        </w:rPr>
        <w:t>Improvement (2023–24): Pass % = 88% (+10%)</w:t>
      </w:r>
    </w:p>
    <w:p>
      <w:pPr>
        <w:pStyle w:val="ListBullet2"/>
        <w:spacing w:after="80"/>
        <w:jc w:val="both"/>
      </w:pPr>
      <w:r>
        <w:rPr>
          <w:rFonts w:ascii="Cambria" w:hAnsi="Cambria"/>
          <w:b w:val="0"/>
          <w:i w:val="0"/>
          <w:sz w:val="22"/>
        </w:rPr>
        <w:t>Evidence: Result analysis, CO–PO–PSO attainment summary.</w:t>
      </w:r>
    </w:p>
    <w:p>
      <w:pPr>
        <w:spacing w:after="80"/>
        <w:ind w:left="340" w:hanging="340"/>
        <w:jc w:val="both"/>
      </w:pPr>
      <w:r>
        <w:rPr>
          <w:rFonts w:ascii="Cambria" w:hAnsi="Cambria"/>
          <w:b w:val="0"/>
          <w:i w:val="0"/>
          <w:sz w:val="22"/>
        </w:rPr>
        <w:t xml:space="preserve">2. </w:t>
      </w:r>
      <w:r>
        <w:rPr>
          <w:rFonts w:ascii="Cambria" w:hAnsi="Cambria"/>
          <w:b w:val="0"/>
          <w:i w:val="0"/>
          <w:sz w:val="22"/>
        </w:rPr>
        <w:t>Research Output</w:t>
      </w:r>
    </w:p>
    <w:p>
      <w:pPr>
        <w:pStyle w:val="ListBullet2"/>
        <w:spacing w:after="80"/>
        <w:jc w:val="both"/>
      </w:pPr>
      <w:r>
        <w:rPr>
          <w:rFonts w:ascii="Cambria" w:hAnsi="Cambria"/>
          <w:b w:val="0"/>
          <w:i w:val="0"/>
          <w:sz w:val="22"/>
        </w:rPr>
        <w:t>Baseline: Publications/faculty = 1.6</w:t>
      </w:r>
    </w:p>
    <w:p>
      <w:pPr>
        <w:pStyle w:val="ListBullet2"/>
        <w:spacing w:after="80"/>
        <w:jc w:val="both"/>
      </w:pPr>
      <w:r>
        <w:rPr>
          <w:rFonts w:ascii="Cambria" w:hAnsi="Cambria"/>
          <w:b w:val="0"/>
          <w:i w:val="0"/>
          <w:sz w:val="22"/>
        </w:rPr>
        <w:t>Improvement: Publications/faculty = 2.1 (+31%)</w:t>
      </w:r>
    </w:p>
    <w:p>
      <w:pPr>
        <w:pStyle w:val="ListBullet2"/>
        <w:spacing w:after="80"/>
        <w:jc w:val="both"/>
      </w:pPr>
      <w:r>
        <w:rPr>
          <w:rFonts w:ascii="Cambria" w:hAnsi="Cambria"/>
          <w:b w:val="0"/>
          <w:i w:val="0"/>
          <w:sz w:val="22"/>
        </w:rPr>
        <w:t>Evidence: Scopus/SCI indexed publication list, sanction letters.</w:t>
      </w:r>
    </w:p>
    <w:p>
      <w:pPr>
        <w:spacing w:after="80"/>
        <w:ind w:left="340" w:hanging="340"/>
        <w:jc w:val="both"/>
      </w:pPr>
      <w:r>
        <w:rPr>
          <w:rFonts w:ascii="Cambria" w:hAnsi="Cambria"/>
          <w:b w:val="0"/>
          <w:i w:val="0"/>
          <w:sz w:val="22"/>
        </w:rPr>
        <w:t xml:space="preserve">3. </w:t>
      </w:r>
      <w:r>
        <w:rPr>
          <w:rFonts w:ascii="Cambria" w:hAnsi="Cambria"/>
          <w:b w:val="0"/>
          <w:i w:val="0"/>
          <w:sz w:val="22"/>
        </w:rPr>
        <w:t>Faculty Development</w:t>
      </w:r>
    </w:p>
    <w:p>
      <w:pPr>
        <w:pStyle w:val="ListBullet2"/>
        <w:spacing w:after="80"/>
        <w:jc w:val="both"/>
      </w:pPr>
      <w:r>
        <w:rPr>
          <w:rFonts w:ascii="Cambria" w:hAnsi="Cambria"/>
          <w:b w:val="0"/>
          <w:i w:val="0"/>
          <w:sz w:val="22"/>
        </w:rPr>
        <w:t>Baseline: FDPs/faculty = 1.8</w:t>
      </w:r>
    </w:p>
    <w:p>
      <w:pPr>
        <w:pStyle w:val="ListBullet2"/>
        <w:spacing w:after="80"/>
        <w:jc w:val="both"/>
      </w:pPr>
      <w:r>
        <w:rPr>
          <w:rFonts w:ascii="Cambria" w:hAnsi="Cambria"/>
          <w:b w:val="0"/>
          <w:i w:val="0"/>
          <w:sz w:val="22"/>
        </w:rPr>
        <w:t>Improvement: FDPs/faculty = 2.5 (+39%)</w:t>
      </w:r>
    </w:p>
    <w:p>
      <w:pPr>
        <w:pStyle w:val="ListBullet2"/>
        <w:spacing w:after="80"/>
        <w:jc w:val="both"/>
      </w:pPr>
      <w:r>
        <w:rPr>
          <w:rFonts w:ascii="Cambria" w:hAnsi="Cambria"/>
          <w:b w:val="0"/>
          <w:i w:val="0"/>
          <w:sz w:val="22"/>
        </w:rPr>
        <w:t>Evidence: FDP/Workshop participation certificates.</w:t>
      </w:r>
    </w:p>
    <w:p>
      <w:pPr>
        <w:spacing w:after="80"/>
        <w:ind w:left="340" w:hanging="340"/>
        <w:jc w:val="both"/>
      </w:pPr>
      <w:r>
        <w:rPr>
          <w:rFonts w:ascii="Cambria" w:hAnsi="Cambria"/>
          <w:b w:val="0"/>
          <w:i w:val="0"/>
          <w:sz w:val="22"/>
        </w:rPr>
        <w:t xml:space="preserve">4. </w:t>
      </w:r>
      <w:r>
        <w:rPr>
          <w:rFonts w:ascii="Cambria" w:hAnsi="Cambria"/>
          <w:b w:val="0"/>
          <w:i w:val="0"/>
          <w:sz w:val="22"/>
        </w:rPr>
        <w:t>Student Achievements</w:t>
      </w:r>
    </w:p>
    <w:p>
      <w:pPr>
        <w:pStyle w:val="ListBullet2"/>
        <w:spacing w:after="80"/>
        <w:jc w:val="both"/>
      </w:pPr>
      <w:r>
        <w:rPr>
          <w:rFonts w:ascii="Cambria" w:hAnsi="Cambria"/>
          <w:b w:val="0"/>
          <w:i w:val="0"/>
          <w:sz w:val="22"/>
        </w:rPr>
        <w:t>Baseline: Internships = 120 students</w:t>
      </w:r>
    </w:p>
    <w:p>
      <w:pPr>
        <w:pStyle w:val="ListBullet2"/>
        <w:spacing w:after="80"/>
        <w:jc w:val="both"/>
      </w:pPr>
      <w:r>
        <w:rPr>
          <w:rFonts w:ascii="Cambria" w:hAnsi="Cambria"/>
          <w:b w:val="0"/>
          <w:i w:val="0"/>
          <w:sz w:val="22"/>
        </w:rPr>
        <w:t>Improvement: Internships = 160 students (+33%)</w:t>
      </w:r>
    </w:p>
    <w:p>
      <w:pPr>
        <w:pStyle w:val="ListBullet2"/>
        <w:spacing w:after="80"/>
        <w:jc w:val="both"/>
      </w:pPr>
      <w:r>
        <w:rPr>
          <w:rFonts w:ascii="Cambria" w:hAnsi="Cambria"/>
          <w:b w:val="0"/>
          <w:i w:val="0"/>
          <w:sz w:val="22"/>
        </w:rPr>
        <w:t>Evidence: Internship MoUs, completion certificates.</w:t>
      </w:r>
    </w:p>
    <w:p>
      <w:pPr>
        <w:spacing w:after="80"/>
        <w:ind w:left="340" w:hanging="340"/>
        <w:jc w:val="both"/>
      </w:pPr>
      <w:r>
        <w:rPr>
          <w:rFonts w:ascii="Cambria" w:hAnsi="Cambria"/>
          <w:b w:val="0"/>
          <w:i w:val="0"/>
          <w:sz w:val="22"/>
        </w:rPr>
        <w:t xml:space="preserve">5. </w:t>
      </w:r>
      <w:r>
        <w:rPr>
          <w:rFonts w:ascii="Cambria" w:hAnsi="Cambria"/>
          <w:b w:val="0"/>
          <w:i w:val="0"/>
          <w:sz w:val="22"/>
        </w:rPr>
        <w:t>Infrastructure &amp; ICT</w:t>
      </w:r>
    </w:p>
    <w:p>
      <w:pPr>
        <w:pStyle w:val="ListBullet2"/>
        <w:spacing w:after="80"/>
        <w:jc w:val="both"/>
      </w:pPr>
      <w:r>
        <w:rPr>
          <w:rFonts w:ascii="Cambria" w:hAnsi="Cambria"/>
          <w:b w:val="0"/>
          <w:i w:val="0"/>
          <w:sz w:val="22"/>
        </w:rPr>
        <w:t>Baseline: 1 ICT-enabled classroom</w:t>
      </w:r>
    </w:p>
    <w:p>
      <w:pPr>
        <w:pStyle w:val="ListBullet2"/>
        <w:spacing w:after="80"/>
        <w:jc w:val="both"/>
      </w:pPr>
      <w:r>
        <w:rPr>
          <w:rFonts w:ascii="Cambria" w:hAnsi="Cambria"/>
          <w:b w:val="0"/>
          <w:i w:val="0"/>
          <w:sz w:val="22"/>
        </w:rPr>
        <w:t>Improvement: 3 ICT-enabled classrooms (+200%)</w:t>
      </w:r>
    </w:p>
    <w:p>
      <w:pPr>
        <w:pStyle w:val="ListBullet2"/>
        <w:spacing w:after="80"/>
        <w:jc w:val="both"/>
      </w:pPr>
      <w:r>
        <w:rPr>
          <w:rFonts w:ascii="Cambria" w:hAnsi="Cambria"/>
          <w:b w:val="0"/>
          <w:i w:val="0"/>
          <w:sz w:val="22"/>
        </w:rPr>
        <w:t>Evidence: Purchase records, installation certificates.</w:t>
      </w:r>
    </w:p>
    <w:p>
      <w:pPr>
        <w:spacing w:after="80"/>
        <w:ind w:left="340" w:hanging="340"/>
        <w:jc w:val="both"/>
      </w:pPr>
      <w:r>
        <w:rPr>
          <w:rFonts w:ascii="Cambria" w:hAnsi="Cambria"/>
          <w:b w:val="0"/>
          <w:i w:val="0"/>
          <w:sz w:val="22"/>
        </w:rPr>
        <w:t xml:space="preserve">6. </w:t>
      </w:r>
      <w:r>
        <w:rPr>
          <w:rFonts w:ascii="Cambria" w:hAnsi="Cambria"/>
          <w:b w:val="0"/>
          <w:i w:val="0"/>
          <w:sz w:val="22"/>
        </w:rPr>
        <w:t>Outreach &amp; MoUs</w:t>
      </w:r>
    </w:p>
    <w:p>
      <w:pPr>
        <w:pStyle w:val="ListBullet2"/>
        <w:spacing w:after="80"/>
        <w:jc w:val="both"/>
      </w:pPr>
      <w:r>
        <w:rPr>
          <w:rFonts w:ascii="Cambria" w:hAnsi="Cambria"/>
          <w:b w:val="0"/>
          <w:i w:val="0"/>
          <w:sz w:val="22"/>
        </w:rPr>
        <w:t>Baseline: 5 MoUs signed</w:t>
      </w:r>
    </w:p>
    <w:p>
      <w:pPr>
        <w:pStyle w:val="ListBullet2"/>
        <w:spacing w:after="80"/>
        <w:jc w:val="both"/>
      </w:pPr>
      <w:r>
        <w:rPr>
          <w:rFonts w:ascii="Cambria" w:hAnsi="Cambria"/>
          <w:b w:val="0"/>
          <w:i w:val="0"/>
          <w:sz w:val="22"/>
        </w:rPr>
        <w:t>Improvement: 8 MoUs signed (+60%)</w:t>
      </w:r>
    </w:p>
    <w:p>
      <w:pPr>
        <w:pStyle w:val="ListBullet2"/>
        <w:spacing w:after="80"/>
        <w:jc w:val="both"/>
      </w:pPr>
      <w:r>
        <w:rPr>
          <w:rFonts w:ascii="Cambria" w:hAnsi="Cambria"/>
          <w:b w:val="0"/>
          <w:i w:val="0"/>
          <w:sz w:val="22"/>
        </w:rPr>
        <w:t>Evidence: MoU copies with industry/academia.</w:t>
      </w:r>
    </w:p>
    <w:p>
      <w:pPr>
        <w:keepNext/>
        <w:spacing w:before="280" w:after="160"/>
        <w:jc w:val="left"/>
      </w:pPr>
      <w:r>
        <w:rPr>
          <w:rFonts w:ascii="Cambria" w:hAnsi="Cambria"/>
          <w:b/>
          <w:i w:val="0"/>
          <w:color w:val="1F3A5F"/>
          <w:sz w:val="26"/>
        </w:rPr>
        <w:t>Why Annual Report = Ready Reference</w:t>
      </w:r>
    </w:p>
    <w:p>
      <w:pPr>
        <w:spacing w:after="80"/>
        <w:ind w:left="340" w:hanging="340"/>
        <w:jc w:val="both"/>
      </w:pPr>
      <w:r>
        <w:rPr>
          <w:rFonts w:ascii="Cambria" w:hAnsi="Cambria"/>
          <w:b w:val="0"/>
          <w:i w:val="0"/>
          <w:sz w:val="22"/>
        </w:rPr>
        <w:t xml:space="preserve">1. </w:t>
      </w:r>
      <w:r>
        <w:rPr>
          <w:rFonts w:ascii="Cambria" w:hAnsi="Cambria"/>
          <w:b w:val="0"/>
          <w:i w:val="0"/>
          <w:sz w:val="22"/>
        </w:rPr>
        <w:t>Consolidated Evidence</w:t>
      </w:r>
    </w:p>
    <w:p>
      <w:pPr>
        <w:spacing w:after="120"/>
        <w:jc w:val="both"/>
      </w:pPr>
      <w:r>
        <w:rPr>
          <w:rFonts w:ascii="Cambria" w:hAnsi="Cambria"/>
          <w:b w:val="0"/>
          <w:i w:val="0"/>
          <w:sz w:val="22"/>
        </w:rPr>
        <w:t>Combines academics, research, student achievements, infra, FDPs, MoUs, outreach → in one place.</w:t>
      </w:r>
    </w:p>
    <w:p>
      <w:pPr>
        <w:pStyle w:val="ListBullet2"/>
        <w:spacing w:after="80"/>
        <w:jc w:val="both"/>
      </w:pPr>
      <w:r>
        <w:rPr>
          <w:rFonts w:ascii="Cambria" w:hAnsi="Cambria"/>
          <w:b w:val="0"/>
          <w:i w:val="0"/>
          <w:sz w:val="22"/>
        </w:rPr>
        <w:t>Saves peer reviewers from searching across multiple files.</w:t>
      </w:r>
    </w:p>
    <w:p>
      <w:pPr>
        <w:spacing w:after="80"/>
        <w:ind w:left="340" w:hanging="340"/>
        <w:jc w:val="both"/>
      </w:pPr>
      <w:r>
        <w:rPr>
          <w:rFonts w:ascii="Cambria" w:hAnsi="Cambria"/>
          <w:b w:val="0"/>
          <w:i w:val="0"/>
          <w:sz w:val="22"/>
        </w:rPr>
        <w:t xml:space="preserve">2. </w:t>
      </w:r>
      <w:r>
        <w:rPr>
          <w:rFonts w:ascii="Cambria" w:hAnsi="Cambria"/>
          <w:b w:val="0"/>
          <w:i w:val="0"/>
          <w:sz w:val="22"/>
        </w:rPr>
        <w:t>Baseline vs Improvement Trends</w:t>
      </w:r>
    </w:p>
    <w:p>
      <w:pPr>
        <w:pStyle w:val="ListBullet2"/>
        <w:spacing w:after="80"/>
        <w:jc w:val="both"/>
      </w:pPr>
      <w:r>
        <w:rPr>
          <w:rFonts w:ascii="Cambria" w:hAnsi="Cambria"/>
          <w:b w:val="0"/>
          <w:i w:val="0"/>
          <w:sz w:val="22"/>
        </w:rPr>
        <w:t>Shows numeric progress YoY (pass %, publications, FDPs, placements).</w:t>
      </w:r>
    </w:p>
    <w:p>
      <w:pPr>
        <w:pStyle w:val="ListBullet2"/>
        <w:spacing w:after="80"/>
        <w:jc w:val="both"/>
      </w:pPr>
      <w:r>
        <w:rPr>
          <w:rFonts w:ascii="Cambria" w:hAnsi="Cambria"/>
          <w:b w:val="0"/>
          <w:i w:val="0"/>
          <w:sz w:val="22"/>
        </w:rPr>
        <w:t>Provides measurable proof of continuous improvement.</w:t>
      </w:r>
    </w:p>
    <w:p>
      <w:pPr>
        <w:spacing w:after="80"/>
        <w:ind w:left="340" w:hanging="340"/>
        <w:jc w:val="both"/>
      </w:pPr>
      <w:r>
        <w:rPr>
          <w:rFonts w:ascii="Cambria" w:hAnsi="Cambria"/>
          <w:b w:val="0"/>
          <w:i w:val="0"/>
          <w:sz w:val="22"/>
        </w:rPr>
        <w:t xml:space="preserve">3. </w:t>
      </w:r>
      <w:r>
        <w:rPr>
          <w:rFonts w:ascii="Cambria" w:hAnsi="Cambria"/>
          <w:b w:val="0"/>
          <w:i w:val="0"/>
          <w:sz w:val="22"/>
        </w:rPr>
        <w:t>Direct Link to OBE Compliance</w:t>
      </w:r>
    </w:p>
    <w:p>
      <w:pPr>
        <w:pStyle w:val="ListBullet2"/>
        <w:spacing w:after="80"/>
        <w:jc w:val="both"/>
      </w:pPr>
      <w:r>
        <w:rPr>
          <w:rFonts w:ascii="Cambria" w:hAnsi="Cambria"/>
          <w:b w:val="0"/>
          <w:i w:val="0"/>
          <w:sz w:val="22"/>
        </w:rPr>
        <w:t>Includes CO–PO–PSO attainment summaries.</w:t>
      </w:r>
    </w:p>
    <w:p>
      <w:pPr>
        <w:pStyle w:val="ListBullet2"/>
        <w:spacing w:after="80"/>
        <w:jc w:val="both"/>
      </w:pPr>
      <w:r>
        <w:rPr>
          <w:rFonts w:ascii="Cambria" w:hAnsi="Cambria"/>
          <w:b w:val="0"/>
          <w:i w:val="0"/>
          <w:sz w:val="22"/>
        </w:rPr>
        <w:t>Aligns departmental activities with Outcome-Based Education (OBE) goals.</w:t>
      </w:r>
    </w:p>
    <w:p>
      <w:pPr>
        <w:spacing w:after="80"/>
        <w:ind w:left="340" w:hanging="340"/>
        <w:jc w:val="both"/>
      </w:pPr>
      <w:r>
        <w:rPr>
          <w:rFonts w:ascii="Cambria" w:hAnsi="Cambria"/>
          <w:b w:val="0"/>
          <w:i w:val="0"/>
          <w:sz w:val="22"/>
        </w:rPr>
        <w:t xml:space="preserve">4. </w:t>
      </w:r>
      <w:r>
        <w:rPr>
          <w:rFonts w:ascii="Cambria" w:hAnsi="Cambria"/>
          <w:b w:val="0"/>
          <w:i w:val="0"/>
          <w:sz w:val="22"/>
        </w:rPr>
        <w:t>Evidence-Backed Documentation</w:t>
      </w:r>
    </w:p>
    <w:p>
      <w:pPr>
        <w:pStyle w:val="ListBullet2"/>
        <w:spacing w:after="80"/>
        <w:jc w:val="both"/>
      </w:pPr>
      <w:r>
        <w:rPr>
          <w:rFonts w:ascii="Cambria" w:hAnsi="Cambria"/>
          <w:b w:val="0"/>
          <w:i w:val="0"/>
          <w:sz w:val="22"/>
        </w:rPr>
        <w:t>Every section supported with MoUs, FDP certificates, purchase orders, sanction letters, feedback reports.</w:t>
      </w:r>
    </w:p>
    <w:p>
      <w:pPr>
        <w:pStyle w:val="ListBullet2"/>
        <w:spacing w:after="80"/>
        <w:jc w:val="both"/>
      </w:pPr>
      <w:r>
        <w:rPr>
          <w:rFonts w:ascii="Cambria" w:hAnsi="Cambria"/>
          <w:b w:val="0"/>
          <w:i w:val="0"/>
          <w:sz w:val="22"/>
        </w:rPr>
        <w:t>All documents signed and verifiable → builds credibility.</w:t>
      </w:r>
    </w:p>
    <w:p>
      <w:pPr>
        <w:spacing w:after="80"/>
        <w:ind w:left="340" w:hanging="340"/>
        <w:jc w:val="both"/>
      </w:pPr>
      <w:r>
        <w:rPr>
          <w:rFonts w:ascii="Cambria" w:hAnsi="Cambria"/>
          <w:b w:val="0"/>
          <w:i w:val="0"/>
          <w:sz w:val="22"/>
        </w:rPr>
        <w:t xml:space="preserve">5. </w:t>
      </w:r>
      <w:r>
        <w:rPr>
          <w:rFonts w:ascii="Cambria" w:hAnsi="Cambria"/>
          <w:b w:val="0"/>
          <w:i w:val="0"/>
          <w:sz w:val="22"/>
        </w:rPr>
        <w:t>Audit-Ready Format</w:t>
      </w:r>
    </w:p>
    <w:p>
      <w:pPr>
        <w:pStyle w:val="ListBullet2"/>
        <w:spacing w:after="80"/>
        <w:jc w:val="both"/>
      </w:pPr>
      <w:r>
        <w:rPr>
          <w:rFonts w:ascii="Cambria" w:hAnsi="Cambria"/>
          <w:b w:val="0"/>
          <w:i w:val="0"/>
          <w:sz w:val="22"/>
        </w:rPr>
        <w:t>Report structured under standard NAAC/NBA headings (Academics, Research, Faculty, Students, Infra, Governance).</w:t>
      </w:r>
    </w:p>
    <w:p>
      <w:pPr>
        <w:pStyle w:val="ListBullet2"/>
        <w:spacing w:after="80"/>
        <w:jc w:val="both"/>
      </w:pPr>
      <w:r>
        <w:rPr>
          <w:rFonts w:ascii="Cambria" w:hAnsi="Cambria"/>
          <w:b w:val="0"/>
          <w:i w:val="0"/>
          <w:sz w:val="22"/>
        </w:rPr>
        <w:t>Can be attached as an annexure in SSR/SAR or presented during peer review visits.</w:t>
      </w:r>
    </w:p>
    <w:p>
      <w:pPr>
        <w:keepNext/>
        <w:spacing w:before="280" w:after="160"/>
        <w:jc w:val="left"/>
      </w:pPr>
      <w:r>
        <w:rPr>
          <w:rFonts w:ascii="Cambria" w:hAnsi="Cambria"/>
          <w:b/>
          <w:i w:val="0"/>
          <w:color w:val="1F3A5F"/>
          <w:sz w:val="26"/>
        </w:rPr>
        <w:t>Tangible Outcomes in the Report</w:t>
      </w:r>
    </w:p>
    <w:p>
      <w:pPr>
        <w:pStyle w:val="ListBullet"/>
        <w:spacing w:after="80"/>
        <w:jc w:val="both"/>
      </w:pPr>
      <w:r>
        <w:rPr>
          <w:rFonts w:ascii="Cambria" w:hAnsi="Cambria"/>
          <w:b w:val="0"/>
          <w:i w:val="0"/>
          <w:sz w:val="22"/>
        </w:rPr>
        <w:t>Pass %: 78% → 88% (+10%).</w:t>
      </w:r>
    </w:p>
    <w:p>
      <w:pPr>
        <w:pStyle w:val="ListBullet"/>
        <w:spacing w:after="80"/>
        <w:jc w:val="both"/>
      </w:pPr>
      <w:r>
        <w:rPr>
          <w:rFonts w:ascii="Cambria" w:hAnsi="Cambria"/>
          <w:b w:val="0"/>
          <w:i w:val="0"/>
          <w:sz w:val="22"/>
        </w:rPr>
        <w:t>FDPs/faculty: 1.8 → 2.5 (+39%).</w:t>
      </w:r>
    </w:p>
    <w:p>
      <w:pPr>
        <w:pStyle w:val="ListBullet"/>
        <w:spacing w:after="80"/>
        <w:jc w:val="both"/>
      </w:pPr>
      <w:r>
        <w:rPr>
          <w:rFonts w:ascii="Cambria" w:hAnsi="Cambria"/>
          <w:b w:val="0"/>
          <w:i w:val="0"/>
          <w:sz w:val="22"/>
        </w:rPr>
        <w:t>Publications/faculty: 1.6 → 2.1 (+31%).</w:t>
      </w:r>
    </w:p>
    <w:p>
      <w:pPr>
        <w:pStyle w:val="ListBullet"/>
        <w:spacing w:after="80"/>
        <w:jc w:val="both"/>
      </w:pPr>
      <w:r>
        <w:rPr>
          <w:rFonts w:ascii="Cambria" w:hAnsi="Cambria"/>
          <w:b w:val="0"/>
          <w:i w:val="0"/>
          <w:sz w:val="22"/>
        </w:rPr>
        <w:t>Research funding: ₹5L → ₹8L (+60%).</w:t>
      </w:r>
    </w:p>
    <w:p>
      <w:pPr>
        <w:pStyle w:val="ListBullet"/>
        <w:spacing w:after="80"/>
        <w:jc w:val="both"/>
      </w:pPr>
      <w:r>
        <w:rPr>
          <w:rFonts w:ascii="Cambria" w:hAnsi="Cambria"/>
          <w:b w:val="0"/>
          <w:i w:val="0"/>
          <w:sz w:val="22"/>
        </w:rPr>
        <w:t>MoUs: 5 → 8 (+60%).</w:t>
      </w:r>
    </w:p>
    <w:p>
      <w:pPr>
        <w:pStyle w:val="ListBullet"/>
        <w:spacing w:after="80"/>
        <w:jc w:val="both"/>
      </w:pPr>
      <w:r>
        <w:rPr>
          <w:rFonts w:ascii="Cambria" w:hAnsi="Cambria"/>
          <w:b w:val="0"/>
          <w:i w:val="0"/>
          <w:sz w:val="22"/>
        </w:rPr>
        <w:t>ICT-enabled classrooms: 1 → 3 (+200%).</w:t>
      </w:r>
    </w:p>
    <w:p>
      <w:r>
        <w:br w:type="page"/>
      </w:r>
    </w:p>
    <w:p>
      <w:pPr>
        <w:keepNext/>
        <w:spacing w:before="280" w:after="160"/>
        <w:jc w:val="left"/>
      </w:pPr>
      <w:r>
        <w:rPr>
          <w:rFonts w:ascii="Cambria" w:hAnsi="Cambria"/>
          <w:b/>
          <w:i w:val="0"/>
          <w:color w:val="1F3A5F"/>
          <w:sz w:val="30"/>
        </w:rPr>
        <w:t>9. HoD's Role in Preparing Teaching Schedules and Workloads for All Faculty Members</w:t>
      </w:r>
    </w:p>
    <w:p>
      <w:pPr>
        <w:keepNext/>
        <w:spacing w:before="280" w:after="160"/>
        <w:jc w:val="left"/>
      </w:pPr>
      <w:r>
        <w:rPr>
          <w:rFonts w:ascii="Cambria" w:hAnsi="Cambria"/>
          <w:b/>
          <w:i w:val="0"/>
          <w:color w:val="1F3A5F"/>
          <w:sz w:val="26"/>
        </w:rPr>
        <w:t>Policy Statement</w:t>
      </w:r>
    </w:p>
    <w:p>
      <w:pPr>
        <w:pStyle w:val="ListBullet"/>
        <w:spacing w:after="80"/>
        <w:jc w:val="both"/>
      </w:pPr>
      <w:r>
        <w:rPr>
          <w:rFonts w:ascii="Cambria" w:hAnsi="Cambria"/>
          <w:b w:val="0"/>
          <w:i w:val="0"/>
          <w:sz w:val="22"/>
        </w:rPr>
        <w:t>The HoD is responsible for preparing and distributing teaching schedules and faculty workloads at the beginning of every semester, ensuring fairness, academic balance, and compliance with regulatory workload norms (UGC/AICTE).</w:t>
      </w:r>
    </w:p>
    <w:p>
      <w:pPr>
        <w:keepNext/>
        <w:spacing w:before="280" w:after="160"/>
        <w:jc w:val="left"/>
      </w:pPr>
      <w:r>
        <w:rPr>
          <w:rFonts w:ascii="Cambria" w:hAnsi="Cambria"/>
          <w:b/>
          <w:i w:val="0"/>
          <w:color w:val="1F3A5F"/>
          <w:sz w:val="26"/>
        </w:rPr>
        <w:t>Actions by HoD</w:t>
      </w:r>
    </w:p>
    <w:p>
      <w:pPr>
        <w:pStyle w:val="ListBullet"/>
        <w:spacing w:after="80"/>
        <w:jc w:val="both"/>
      </w:pPr>
      <w:r>
        <w:rPr>
          <w:rFonts w:ascii="Cambria" w:hAnsi="Cambria"/>
          <w:b w:val="0"/>
          <w:i w:val="0"/>
          <w:sz w:val="22"/>
        </w:rPr>
        <w:t>Collect institutional academic calendar and timetable slots.</w:t>
      </w:r>
    </w:p>
    <w:p>
      <w:pPr>
        <w:pStyle w:val="ListBullet"/>
        <w:spacing w:after="80"/>
        <w:jc w:val="both"/>
      </w:pPr>
      <w:r>
        <w:rPr>
          <w:rFonts w:ascii="Cambria" w:hAnsi="Cambria"/>
          <w:b w:val="0"/>
          <w:i w:val="0"/>
          <w:sz w:val="22"/>
        </w:rPr>
        <w:t>Map courses to faculty based on:</w:t>
      </w:r>
    </w:p>
    <w:p>
      <w:pPr>
        <w:pStyle w:val="ListBullet2"/>
        <w:spacing w:after="80"/>
        <w:jc w:val="both"/>
      </w:pPr>
      <w:r>
        <w:rPr>
          <w:rFonts w:ascii="Cambria" w:hAnsi="Cambria"/>
          <w:b w:val="0"/>
          <w:i w:val="0"/>
          <w:sz w:val="22"/>
        </w:rPr>
        <w:t>Expertise &amp; qualifications (PhD, specialization, experience).</w:t>
      </w:r>
    </w:p>
    <w:p>
      <w:pPr>
        <w:pStyle w:val="ListBullet2"/>
        <w:spacing w:after="80"/>
        <w:jc w:val="both"/>
      </w:pPr>
      <w:r>
        <w:rPr>
          <w:rFonts w:ascii="Cambria" w:hAnsi="Cambria"/>
          <w:b w:val="0"/>
          <w:i w:val="0"/>
          <w:sz w:val="22"/>
        </w:rPr>
        <w:t>Previous workload balance (equitable distribution).</w:t>
      </w:r>
    </w:p>
    <w:p>
      <w:pPr>
        <w:pStyle w:val="ListBullet2"/>
        <w:spacing w:after="80"/>
        <w:jc w:val="both"/>
      </w:pPr>
      <w:r>
        <w:rPr>
          <w:rFonts w:ascii="Cambria" w:hAnsi="Cambria"/>
          <w:b w:val="0"/>
          <w:i w:val="0"/>
          <w:sz w:val="22"/>
        </w:rPr>
        <w:t>NBA/OBE needs (CO–PO–PSO mapping responsibility).</w:t>
      </w:r>
    </w:p>
    <w:p>
      <w:pPr>
        <w:pStyle w:val="ListBullet"/>
        <w:spacing w:after="80"/>
        <w:jc w:val="both"/>
      </w:pPr>
      <w:r>
        <w:rPr>
          <w:rFonts w:ascii="Cambria" w:hAnsi="Cambria"/>
          <w:b w:val="0"/>
          <w:i w:val="0"/>
          <w:sz w:val="22"/>
        </w:rPr>
        <w:t>Prepare course allocation matrix (Faculty ↔ Courses ↔ Credits/Hours).</w:t>
      </w:r>
    </w:p>
    <w:p>
      <w:pPr>
        <w:pStyle w:val="ListBullet"/>
        <w:spacing w:after="80"/>
        <w:jc w:val="both"/>
      </w:pPr>
      <w:r>
        <w:rPr>
          <w:rFonts w:ascii="Cambria" w:hAnsi="Cambria"/>
          <w:b w:val="0"/>
          <w:i w:val="0"/>
          <w:sz w:val="22"/>
        </w:rPr>
        <w:t>Assign lab, project, and seminar responsibilities.</w:t>
      </w:r>
    </w:p>
    <w:p>
      <w:pPr>
        <w:pStyle w:val="ListBullet"/>
        <w:spacing w:after="80"/>
        <w:jc w:val="both"/>
      </w:pPr>
      <w:r>
        <w:rPr>
          <w:rFonts w:ascii="Cambria" w:hAnsi="Cambria"/>
          <w:b w:val="0"/>
          <w:i w:val="0"/>
          <w:sz w:val="22"/>
        </w:rPr>
        <w:t>Include FDPs, mentoring, administrative duties in workload distribution.</w:t>
      </w:r>
    </w:p>
    <w:p>
      <w:pPr>
        <w:pStyle w:val="ListBullet"/>
        <w:spacing w:after="80"/>
        <w:jc w:val="both"/>
      </w:pPr>
      <w:r>
        <w:rPr>
          <w:rFonts w:ascii="Cambria" w:hAnsi="Cambria"/>
          <w:b w:val="0"/>
          <w:i w:val="0"/>
          <w:sz w:val="22"/>
        </w:rPr>
        <w:t>Prepare weekly teaching schedule (hours per subject, lab slots, tutorials).</w:t>
      </w:r>
    </w:p>
    <w:p>
      <w:pPr>
        <w:pStyle w:val="ListBullet"/>
        <w:spacing w:after="80"/>
        <w:jc w:val="both"/>
      </w:pPr>
      <w:r>
        <w:rPr>
          <w:rFonts w:ascii="Cambria" w:hAnsi="Cambria"/>
          <w:b w:val="0"/>
          <w:i w:val="0"/>
          <w:sz w:val="22"/>
        </w:rPr>
        <w:t>Circulate schedules to faculty, students, and academic administration.</w:t>
      </w:r>
    </w:p>
    <w:p>
      <w:pPr>
        <w:pStyle w:val="ListBullet"/>
        <w:spacing w:after="80"/>
        <w:jc w:val="both"/>
      </w:pPr>
      <w:r>
        <w:rPr>
          <w:rFonts w:ascii="Cambria" w:hAnsi="Cambria"/>
          <w:b w:val="0"/>
          <w:i w:val="0"/>
          <w:sz w:val="22"/>
        </w:rPr>
        <w:t>Review mid-semester and make adjustments if required.</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Faculty Workload Distribution Sheet (signed by HoD).</w:t>
      </w:r>
    </w:p>
    <w:p>
      <w:pPr>
        <w:pStyle w:val="ListBullet"/>
        <w:spacing w:after="80"/>
        <w:jc w:val="both"/>
      </w:pPr>
      <w:r>
        <w:rPr>
          <w:rFonts w:ascii="Cambria" w:hAnsi="Cambria"/>
          <w:b w:val="0"/>
          <w:i w:val="0"/>
          <w:sz w:val="22"/>
        </w:rPr>
        <w:t>Semester-wise Teaching Timetable.</w:t>
      </w:r>
    </w:p>
    <w:p>
      <w:pPr>
        <w:pStyle w:val="ListBullet"/>
        <w:spacing w:after="80"/>
        <w:jc w:val="both"/>
      </w:pPr>
      <w:r>
        <w:rPr>
          <w:rFonts w:ascii="Cambria" w:hAnsi="Cambria"/>
          <w:b w:val="0"/>
          <w:i w:val="0"/>
          <w:sz w:val="22"/>
        </w:rPr>
        <w:t>Course Allocation Matrix (Faculty vs Courses).</w:t>
      </w:r>
    </w:p>
    <w:p>
      <w:pPr>
        <w:pStyle w:val="ListBullet"/>
        <w:spacing w:after="80"/>
        <w:jc w:val="both"/>
      </w:pPr>
      <w:r>
        <w:rPr>
          <w:rFonts w:ascii="Cambria" w:hAnsi="Cambria"/>
          <w:b w:val="0"/>
          <w:i w:val="0"/>
          <w:sz w:val="22"/>
        </w:rPr>
        <w:t>CO–PO–PSO mapping sheets (per course).</w:t>
      </w:r>
    </w:p>
    <w:p>
      <w:pPr>
        <w:pStyle w:val="ListBullet"/>
        <w:spacing w:after="80"/>
        <w:jc w:val="both"/>
      </w:pPr>
      <w:r>
        <w:rPr>
          <w:rFonts w:ascii="Cambria" w:hAnsi="Cambria"/>
          <w:b w:val="0"/>
          <w:i w:val="0"/>
          <w:sz w:val="22"/>
        </w:rPr>
        <w:t>Meeting notes of workload planning discussion.</w:t>
      </w:r>
    </w:p>
    <w:p>
      <w:pPr>
        <w:pStyle w:val="ListBullet"/>
        <w:spacing w:after="80"/>
        <w:jc w:val="both"/>
      </w:pPr>
      <w:r>
        <w:rPr>
          <w:rFonts w:ascii="Cambria" w:hAnsi="Cambria"/>
          <w:b w:val="0"/>
          <w:i w:val="0"/>
          <w:sz w:val="22"/>
        </w:rPr>
        <w:t>Submission acknowledgement to Principal/Academic Dean.</w:t>
      </w:r>
    </w:p>
    <w:p>
      <w:pPr>
        <w:keepNext/>
        <w:spacing w:before="280" w:after="160"/>
        <w:jc w:val="left"/>
      </w:pPr>
      <w:r>
        <w:rPr>
          <w:rFonts w:ascii="Cambria" w:hAnsi="Cambria"/>
          <w:b/>
          <w:i w:val="0"/>
          <w:color w:val="1F3A5F"/>
          <w:sz w:val="26"/>
        </w:rPr>
        <w:t>OBE Mapping (PO/PSO Links)</w:t>
      </w:r>
    </w:p>
    <w:p>
      <w:pPr>
        <w:pStyle w:val="ListBullet"/>
        <w:spacing w:after="80"/>
        <w:jc w:val="both"/>
      </w:pPr>
      <w:r>
        <w:rPr>
          <w:rFonts w:ascii="Cambria" w:hAnsi="Cambria"/>
          <w:b w:val="0"/>
          <w:i w:val="0"/>
          <w:sz w:val="22"/>
        </w:rPr>
        <w:t>PO1: Engineering Knowledge / Core Knowledge → ensured by faculty expertise-based allocation.</w:t>
      </w:r>
    </w:p>
    <w:p>
      <w:pPr>
        <w:pStyle w:val="ListBullet"/>
        <w:spacing w:after="80"/>
        <w:jc w:val="both"/>
      </w:pPr>
      <w:r>
        <w:rPr>
          <w:rFonts w:ascii="Cambria" w:hAnsi="Cambria"/>
          <w:b w:val="0"/>
          <w:i w:val="0"/>
          <w:sz w:val="22"/>
        </w:rPr>
        <w:t>PO10: Communication Skills → tutorial, mentoring, project supervision.</w:t>
      </w:r>
    </w:p>
    <w:p>
      <w:pPr>
        <w:pStyle w:val="ListBullet"/>
        <w:spacing w:after="80"/>
        <w:jc w:val="both"/>
      </w:pPr>
      <w:r>
        <w:rPr>
          <w:rFonts w:ascii="Cambria" w:hAnsi="Cambria"/>
          <w:b w:val="0"/>
          <w:i w:val="0"/>
          <w:sz w:val="22"/>
        </w:rPr>
        <w:t>PO11: Project Management → balanced workload distribution.</w:t>
      </w:r>
    </w:p>
    <w:p>
      <w:pPr>
        <w:pStyle w:val="ListBullet"/>
        <w:spacing w:after="80"/>
        <w:jc w:val="both"/>
      </w:pPr>
      <w:r>
        <w:rPr>
          <w:rFonts w:ascii="Cambria" w:hAnsi="Cambria"/>
          <w:b w:val="0"/>
          <w:i w:val="0"/>
          <w:sz w:val="22"/>
        </w:rPr>
        <w:t>PSO1–3: Specialization Outcomes → experts teaching core specialization courses.</w:t>
      </w:r>
    </w:p>
    <w:p>
      <w:pPr>
        <w:keepNext/>
        <w:spacing w:before="280" w:after="160"/>
        <w:jc w:val="left"/>
      </w:pPr>
      <w:r>
        <w:rPr>
          <w:rFonts w:ascii="Cambria" w:hAnsi="Cambria"/>
          <w:b/>
          <w:i w:val="0"/>
          <w:color w:val="1F3A5F"/>
          <w:sz w:val="26"/>
        </w:rPr>
        <w:t>Tangible &amp; Numeric Outcomes</w:t>
      </w:r>
    </w:p>
    <w:p>
      <w:pPr>
        <w:pStyle w:val="ListBullet"/>
        <w:spacing w:after="80"/>
        <w:jc w:val="both"/>
      </w:pPr>
      <w:r>
        <w:rPr>
          <w:rFonts w:ascii="Cambria" w:hAnsi="Cambria"/>
          <w:b w:val="0"/>
          <w:i w:val="0"/>
          <w:sz w:val="22"/>
        </w:rPr>
        <w:t>100% teaching schedules released before semester start.</w:t>
      </w:r>
    </w:p>
    <w:p>
      <w:pPr>
        <w:pStyle w:val="ListBullet"/>
        <w:spacing w:after="80"/>
        <w:jc w:val="both"/>
      </w:pPr>
      <w:r>
        <w:rPr>
          <w:rFonts w:ascii="Cambria" w:hAnsi="Cambria"/>
          <w:b w:val="0"/>
          <w:i w:val="0"/>
          <w:sz w:val="22"/>
        </w:rPr>
        <w:t>Workload balance: Faculty load within UGC/AICTE norms (16–20 hours/week).</w:t>
      </w:r>
    </w:p>
    <w:p>
      <w:pPr>
        <w:pStyle w:val="ListBullet"/>
        <w:spacing w:after="80"/>
        <w:jc w:val="both"/>
      </w:pPr>
      <w:r>
        <w:rPr>
          <w:rFonts w:ascii="Cambria" w:hAnsi="Cambria"/>
          <w:b w:val="0"/>
          <w:i w:val="0"/>
          <w:sz w:val="22"/>
        </w:rPr>
        <w:t>All courses mapped to qualified faculty with supporting evidence.</w:t>
      </w:r>
    </w:p>
    <w:p>
      <w:pPr>
        <w:pStyle w:val="ListBullet"/>
        <w:spacing w:after="80"/>
        <w:jc w:val="both"/>
      </w:pPr>
      <w:r>
        <w:rPr>
          <w:rFonts w:ascii="Cambria" w:hAnsi="Cambria"/>
          <w:b w:val="0"/>
          <w:i w:val="0"/>
          <w:sz w:val="22"/>
        </w:rPr>
        <w:t>Reduction in scheduling conflicts → e.g., 95% classes conducted as per timetable.</w:t>
      </w:r>
    </w:p>
    <w:p>
      <w:pPr>
        <w:pStyle w:val="ListBullet"/>
        <w:spacing w:after="80"/>
        <w:jc w:val="both"/>
      </w:pPr>
      <w:r>
        <w:rPr>
          <w:rFonts w:ascii="Cambria" w:hAnsi="Cambria"/>
          <w:b w:val="0"/>
          <w:i w:val="0"/>
          <w:sz w:val="22"/>
        </w:rPr>
        <w:t>Improved CO attainment due to expertise-based faculty allocation (e.g., CO achievement ↑ 6%).</w:t>
      </w:r>
    </w:p>
    <w:p>
      <w:pPr>
        <w:spacing w:after="120"/>
        <w:jc w:val="both"/>
      </w:pPr>
      <w:r>
        <w:rPr>
          <w:rFonts w:ascii="Cambria" w:hAnsi="Cambria"/>
          <w:b w:val="0"/>
          <w:i w:val="0"/>
          <w:sz w:val="22"/>
        </w:rPr>
        <w:t xml:space="preserve">Student feedback on </w:t>
      </w:r>
      <w:r>
        <w:rPr>
          <w:rFonts w:ascii="Cambria" w:hAnsi="Cambria"/>
          <w:b w:val="0"/>
          <w:i/>
          <w:sz w:val="22"/>
        </w:rPr>
        <w:t>“Teaching Organization”</w:t>
      </w:r>
      <w:r>
        <w:rPr>
          <w:rFonts w:ascii="Cambria" w:hAnsi="Cambria"/>
          <w:b w:val="0"/>
          <w:i w:val="0"/>
          <w:sz w:val="22"/>
        </w:rPr>
        <w:t xml:space="preserve"> improved (e.g., 3.8 → 4.3/5).</w:t>
      </w:r>
    </w:p>
    <w:p>
      <w:pPr>
        <w:keepNext/>
        <w:spacing w:before="280" w:after="160"/>
        <w:jc w:val="left"/>
      </w:pPr>
      <w:r>
        <w:rPr>
          <w:rFonts w:ascii="Cambria" w:hAnsi="Cambria"/>
          <w:b/>
          <w:i w:val="0"/>
          <w:color w:val="1F3A5F"/>
          <w:sz w:val="26"/>
        </w:rPr>
        <w:t>Evidence/Documents for Teaching Schedules &amp; Workloads</w:t>
      </w:r>
    </w:p>
    <w:p>
      <w:pPr>
        <w:spacing w:after="80"/>
        <w:ind w:left="340" w:hanging="340"/>
        <w:jc w:val="both"/>
      </w:pPr>
      <w:r>
        <w:rPr>
          <w:rFonts w:ascii="Cambria" w:hAnsi="Cambria"/>
          <w:b w:val="0"/>
          <w:i w:val="0"/>
          <w:sz w:val="22"/>
        </w:rPr>
        <w:t xml:space="preserve">1. </w:t>
      </w:r>
      <w:r>
        <w:rPr>
          <w:rFonts w:ascii="Cambria" w:hAnsi="Cambria"/>
          <w:b w:val="0"/>
          <w:i w:val="0"/>
          <w:sz w:val="22"/>
        </w:rPr>
        <w:t>Faculty Workload Distribution Sheet (signed by HoD)</w:t>
      </w:r>
    </w:p>
    <w:p>
      <w:pPr>
        <w:pStyle w:val="ListBullet2"/>
        <w:spacing w:after="80"/>
        <w:jc w:val="both"/>
      </w:pPr>
      <w:r>
        <w:rPr>
          <w:rFonts w:ascii="Cambria" w:hAnsi="Cambria"/>
          <w:b w:val="0"/>
          <w:i w:val="0"/>
          <w:sz w:val="22"/>
        </w:rPr>
        <w:t>Lists each faculty member's weekly hours (theory, lab, tutorials, projects, admin duties).</w:t>
      </w:r>
    </w:p>
    <w:p>
      <w:pPr>
        <w:pStyle w:val="ListBullet2"/>
        <w:spacing w:after="80"/>
        <w:jc w:val="both"/>
      </w:pPr>
      <w:r>
        <w:rPr>
          <w:rFonts w:ascii="Cambria" w:hAnsi="Cambria"/>
          <w:b w:val="0"/>
          <w:i w:val="0"/>
          <w:sz w:val="22"/>
        </w:rPr>
        <w:t>Signed by HoD for authenticity.</w:t>
      </w:r>
    </w:p>
    <w:p>
      <w:pPr>
        <w:pStyle w:val="ListBullet2"/>
        <w:spacing w:after="80"/>
        <w:jc w:val="both"/>
      </w:pPr>
      <w:r>
        <w:rPr>
          <w:rFonts w:ascii="Cambria" w:hAnsi="Cambria"/>
          <w:b w:val="0"/>
          <w:i w:val="0"/>
          <w:sz w:val="22"/>
        </w:rPr>
        <w:t>Ensures compliance with UGC/AICTE norms (16–20 hrs/week).</w:t>
      </w:r>
    </w:p>
    <w:p>
      <w:pPr>
        <w:spacing w:after="80"/>
        <w:ind w:left="340" w:hanging="340"/>
        <w:jc w:val="both"/>
      </w:pPr>
      <w:r>
        <w:rPr>
          <w:rFonts w:ascii="Cambria" w:hAnsi="Cambria"/>
          <w:b w:val="0"/>
          <w:i w:val="0"/>
          <w:sz w:val="22"/>
        </w:rPr>
        <w:t xml:space="preserve">2. </w:t>
      </w:r>
      <w:r>
        <w:rPr>
          <w:rFonts w:ascii="Cambria" w:hAnsi="Cambria"/>
          <w:b w:val="0"/>
          <w:i w:val="0"/>
          <w:sz w:val="22"/>
        </w:rPr>
        <w:t>Semester-wise Teaching Timetable</w:t>
      </w:r>
    </w:p>
    <w:p>
      <w:pPr>
        <w:pStyle w:val="ListBullet2"/>
        <w:spacing w:after="80"/>
        <w:jc w:val="both"/>
      </w:pPr>
      <w:r>
        <w:rPr>
          <w:rFonts w:ascii="Cambria" w:hAnsi="Cambria"/>
          <w:b w:val="0"/>
          <w:i w:val="0"/>
          <w:sz w:val="22"/>
        </w:rPr>
        <w:t>Consolidated weekly schedule of all classes, labs, and tutorials.</w:t>
      </w:r>
    </w:p>
    <w:p>
      <w:pPr>
        <w:pStyle w:val="ListBullet2"/>
        <w:spacing w:after="80"/>
        <w:jc w:val="both"/>
      </w:pPr>
      <w:r>
        <w:rPr>
          <w:rFonts w:ascii="Cambria" w:hAnsi="Cambria"/>
          <w:b w:val="0"/>
          <w:i w:val="0"/>
          <w:sz w:val="22"/>
        </w:rPr>
        <w:t>Ensures no overlap, smooth resource utilization (rooms, labs, ICT).</w:t>
      </w:r>
    </w:p>
    <w:p>
      <w:pPr>
        <w:spacing w:after="80"/>
        <w:ind w:left="340" w:hanging="340"/>
        <w:jc w:val="both"/>
      </w:pPr>
      <w:r>
        <w:rPr>
          <w:rFonts w:ascii="Cambria" w:hAnsi="Cambria"/>
          <w:b w:val="0"/>
          <w:i w:val="0"/>
          <w:sz w:val="22"/>
        </w:rPr>
        <w:t xml:space="preserve">3. </w:t>
      </w:r>
      <w:r>
        <w:rPr>
          <w:rFonts w:ascii="Cambria" w:hAnsi="Cambria"/>
          <w:b w:val="0"/>
          <w:i w:val="0"/>
          <w:sz w:val="22"/>
        </w:rPr>
        <w:t>Course Allocation Matrix (Faculty vs Courses)</w:t>
      </w:r>
    </w:p>
    <w:p>
      <w:pPr>
        <w:pStyle w:val="ListBullet2"/>
        <w:spacing w:after="80"/>
        <w:jc w:val="both"/>
      </w:pPr>
      <w:r>
        <w:rPr>
          <w:rFonts w:ascii="Cambria" w:hAnsi="Cambria"/>
          <w:b w:val="0"/>
          <w:i w:val="0"/>
          <w:sz w:val="22"/>
        </w:rPr>
        <w:t>Maps faculty to courses taught, along with credits and total contact hours.</w:t>
      </w:r>
    </w:p>
    <w:p>
      <w:pPr>
        <w:pStyle w:val="ListBullet2"/>
        <w:spacing w:after="80"/>
        <w:jc w:val="both"/>
      </w:pPr>
      <w:r>
        <w:rPr>
          <w:rFonts w:ascii="Cambria" w:hAnsi="Cambria"/>
          <w:b w:val="0"/>
          <w:i w:val="0"/>
          <w:sz w:val="22"/>
        </w:rPr>
        <w:t>Demonstrates expertise-based allocation (e.g., PhD faculty assigned to core specializations).</w:t>
      </w:r>
    </w:p>
    <w:p>
      <w:pPr>
        <w:spacing w:after="80"/>
        <w:ind w:left="340" w:hanging="340"/>
        <w:jc w:val="both"/>
      </w:pPr>
      <w:r>
        <w:rPr>
          <w:rFonts w:ascii="Cambria" w:hAnsi="Cambria"/>
          <w:b w:val="0"/>
          <w:i w:val="0"/>
          <w:sz w:val="22"/>
        </w:rPr>
        <w:t xml:space="preserve">4. </w:t>
      </w:r>
      <w:r>
        <w:rPr>
          <w:rFonts w:ascii="Cambria" w:hAnsi="Cambria"/>
          <w:b w:val="0"/>
          <w:i w:val="0"/>
          <w:sz w:val="22"/>
        </w:rPr>
        <w:t>CO–PO–PSO Mapping Sheets (per course)</w:t>
      </w:r>
    </w:p>
    <w:p>
      <w:pPr>
        <w:pStyle w:val="ListBullet2"/>
        <w:spacing w:after="80"/>
        <w:jc w:val="both"/>
      </w:pPr>
      <w:r>
        <w:rPr>
          <w:rFonts w:ascii="Cambria" w:hAnsi="Cambria"/>
          <w:b w:val="0"/>
          <w:i w:val="0"/>
          <w:sz w:val="22"/>
        </w:rPr>
        <w:t>Shows outcome-based planning for each subject.</w:t>
      </w:r>
    </w:p>
    <w:p>
      <w:pPr>
        <w:pStyle w:val="ListBullet2"/>
        <w:spacing w:after="80"/>
        <w:jc w:val="both"/>
      </w:pPr>
      <w:r>
        <w:rPr>
          <w:rFonts w:ascii="Cambria" w:hAnsi="Cambria"/>
          <w:b w:val="0"/>
          <w:i w:val="0"/>
          <w:sz w:val="22"/>
        </w:rPr>
        <w:t>Links teaching allocation to OBE compliance.</w:t>
      </w:r>
    </w:p>
    <w:p>
      <w:pPr>
        <w:spacing w:after="80"/>
        <w:ind w:left="340" w:hanging="340"/>
        <w:jc w:val="both"/>
      </w:pPr>
      <w:r>
        <w:rPr>
          <w:rFonts w:ascii="Cambria" w:hAnsi="Cambria"/>
          <w:b w:val="0"/>
          <w:i w:val="0"/>
          <w:sz w:val="22"/>
        </w:rPr>
        <w:t xml:space="preserve">5. </w:t>
      </w:r>
      <w:r>
        <w:rPr>
          <w:rFonts w:ascii="Cambria" w:hAnsi="Cambria"/>
          <w:b w:val="0"/>
          <w:i w:val="0"/>
          <w:sz w:val="22"/>
        </w:rPr>
        <w:t>Meeting Notes of Workload Planning Discussion</w:t>
      </w:r>
    </w:p>
    <w:p>
      <w:pPr>
        <w:pStyle w:val="ListBullet2"/>
        <w:spacing w:after="80"/>
        <w:jc w:val="both"/>
      </w:pPr>
      <w:r>
        <w:rPr>
          <w:rFonts w:ascii="Cambria" w:hAnsi="Cambria"/>
          <w:b w:val="0"/>
          <w:i w:val="0"/>
          <w:sz w:val="22"/>
        </w:rPr>
        <w:t>Department meeting records where course allocations and workload were finalized.</w:t>
      </w:r>
    </w:p>
    <w:p>
      <w:pPr>
        <w:pStyle w:val="ListBullet2"/>
        <w:spacing w:after="80"/>
        <w:jc w:val="both"/>
      </w:pPr>
      <w:r>
        <w:rPr>
          <w:rFonts w:ascii="Cambria" w:hAnsi="Cambria"/>
          <w:b w:val="0"/>
          <w:i w:val="0"/>
          <w:sz w:val="22"/>
        </w:rPr>
        <w:t>Signed by HoD and faculty team to prove consensus and transparency.</w:t>
      </w:r>
    </w:p>
    <w:p>
      <w:pPr>
        <w:spacing w:after="80"/>
        <w:ind w:left="340" w:hanging="340"/>
        <w:jc w:val="both"/>
      </w:pPr>
      <w:r>
        <w:rPr>
          <w:rFonts w:ascii="Cambria" w:hAnsi="Cambria"/>
          <w:b w:val="0"/>
          <w:i w:val="0"/>
          <w:sz w:val="22"/>
        </w:rPr>
        <w:t xml:space="preserve">6. </w:t>
      </w:r>
      <w:r>
        <w:rPr>
          <w:rFonts w:ascii="Cambria" w:hAnsi="Cambria"/>
          <w:b w:val="0"/>
          <w:i w:val="0"/>
          <w:sz w:val="22"/>
        </w:rPr>
        <w:t>Submission Acknowledgement to Principal/Academic Dean</w:t>
      </w:r>
    </w:p>
    <w:p>
      <w:pPr>
        <w:pStyle w:val="ListBullet2"/>
        <w:spacing w:after="80"/>
        <w:jc w:val="both"/>
      </w:pPr>
      <w:r>
        <w:rPr>
          <w:rFonts w:ascii="Cambria" w:hAnsi="Cambria"/>
          <w:b w:val="0"/>
          <w:i w:val="0"/>
          <w:sz w:val="22"/>
        </w:rPr>
        <w:t>Official forwarding of workload distribution and timetable.</w:t>
      </w:r>
    </w:p>
    <w:p>
      <w:pPr>
        <w:pStyle w:val="ListBullet2"/>
        <w:spacing w:after="80"/>
        <w:jc w:val="both"/>
      </w:pPr>
      <w:r>
        <w:rPr>
          <w:rFonts w:ascii="Cambria" w:hAnsi="Cambria"/>
          <w:b w:val="0"/>
          <w:i w:val="0"/>
          <w:sz w:val="22"/>
        </w:rPr>
        <w:t>Acknowledgement/approval serves as institutional validation.</w:t>
      </w:r>
    </w:p>
    <w:p>
      <w:pPr>
        <w:keepNext/>
        <w:spacing w:before="280" w:after="160"/>
        <w:jc w:val="left"/>
      </w:pPr>
      <w:r>
        <w:rPr>
          <w:rFonts w:ascii="Cambria" w:hAnsi="Cambria"/>
          <w:b/>
          <w:i w:val="0"/>
          <w:color w:val="1F3A5F"/>
          <w:sz w:val="26"/>
        </w:rPr>
        <w:t>How It Demonstrates Systematic Planning</w:t>
      </w:r>
    </w:p>
    <w:p>
      <w:pPr>
        <w:spacing w:after="80"/>
        <w:ind w:left="340" w:hanging="340"/>
        <w:jc w:val="both"/>
      </w:pPr>
      <w:r>
        <w:rPr>
          <w:rFonts w:ascii="Cambria" w:hAnsi="Cambria"/>
          <w:b w:val="0"/>
          <w:i w:val="0"/>
          <w:sz w:val="22"/>
        </w:rPr>
        <w:t xml:space="preserve">1. </w:t>
      </w:r>
      <w:r>
        <w:rPr>
          <w:rFonts w:ascii="Cambria" w:hAnsi="Cambria"/>
          <w:b w:val="0"/>
          <w:i w:val="0"/>
          <w:sz w:val="22"/>
        </w:rPr>
        <w:t>Structured Allocation</w:t>
      </w:r>
    </w:p>
    <w:p>
      <w:pPr>
        <w:pStyle w:val="ListBullet2"/>
        <w:spacing w:after="80"/>
        <w:jc w:val="both"/>
      </w:pPr>
      <w:r>
        <w:rPr>
          <w:rFonts w:ascii="Cambria" w:hAnsi="Cambria"/>
          <w:b w:val="0"/>
          <w:i w:val="0"/>
          <w:sz w:val="22"/>
        </w:rPr>
        <w:t>Courses mapped to faculty based on qualification, expertise, and workload norms.</w:t>
      </w:r>
    </w:p>
    <w:p>
      <w:pPr>
        <w:pStyle w:val="ListBullet2"/>
        <w:spacing w:after="80"/>
        <w:jc w:val="both"/>
      </w:pPr>
      <w:r>
        <w:rPr>
          <w:rFonts w:ascii="Cambria" w:hAnsi="Cambria"/>
          <w:b w:val="0"/>
          <w:i w:val="0"/>
          <w:sz w:val="22"/>
        </w:rPr>
        <w:t>Ensures balance → no underloaded or overloaded faculty.</w:t>
      </w:r>
    </w:p>
    <w:p>
      <w:pPr>
        <w:spacing w:after="80"/>
        <w:ind w:left="340" w:hanging="340"/>
        <w:jc w:val="both"/>
      </w:pPr>
      <w:r>
        <w:rPr>
          <w:rFonts w:ascii="Cambria" w:hAnsi="Cambria"/>
          <w:b w:val="0"/>
          <w:i w:val="0"/>
          <w:sz w:val="22"/>
        </w:rPr>
        <w:t xml:space="preserve">2. </w:t>
      </w:r>
      <w:r>
        <w:rPr>
          <w:rFonts w:ascii="Cambria" w:hAnsi="Cambria"/>
          <w:b w:val="0"/>
          <w:i w:val="0"/>
          <w:sz w:val="22"/>
        </w:rPr>
        <w:t>Timely Scheduling</w:t>
      </w:r>
    </w:p>
    <w:p>
      <w:pPr>
        <w:spacing w:after="120"/>
        <w:jc w:val="both"/>
      </w:pPr>
      <w:r>
        <w:rPr>
          <w:rFonts w:ascii="Cambria" w:hAnsi="Cambria"/>
          <w:b w:val="0"/>
          <w:i w:val="0"/>
          <w:sz w:val="22"/>
        </w:rPr>
        <w:t>Teaching timetable released before semester start → minimizes disruption.</w:t>
      </w:r>
    </w:p>
    <w:p>
      <w:pPr>
        <w:pStyle w:val="ListBullet2"/>
        <w:spacing w:after="80"/>
        <w:jc w:val="both"/>
      </w:pPr>
      <w:r>
        <w:rPr>
          <w:rFonts w:ascii="Cambria" w:hAnsi="Cambria"/>
          <w:b w:val="0"/>
          <w:i w:val="0"/>
          <w:sz w:val="22"/>
        </w:rPr>
        <w:t>Synchronizes theory, labs, tutorials, seminars, and project work.</w:t>
      </w:r>
    </w:p>
    <w:p>
      <w:pPr>
        <w:spacing w:after="80"/>
        <w:ind w:left="340" w:hanging="340"/>
        <w:jc w:val="both"/>
      </w:pPr>
      <w:r>
        <w:rPr>
          <w:rFonts w:ascii="Cambria" w:hAnsi="Cambria"/>
          <w:b w:val="0"/>
          <w:i w:val="0"/>
          <w:sz w:val="22"/>
        </w:rPr>
        <w:t xml:space="preserve">3. </w:t>
      </w:r>
      <w:r>
        <w:rPr>
          <w:rFonts w:ascii="Cambria" w:hAnsi="Cambria"/>
          <w:b w:val="0"/>
          <w:i w:val="0"/>
          <w:sz w:val="22"/>
        </w:rPr>
        <w:t>Evidence of Governance</w:t>
      </w:r>
    </w:p>
    <w:p>
      <w:pPr>
        <w:pStyle w:val="ListBullet2"/>
        <w:spacing w:after="80"/>
        <w:jc w:val="both"/>
      </w:pPr>
      <w:r>
        <w:rPr>
          <w:rFonts w:ascii="Cambria" w:hAnsi="Cambria"/>
          <w:b w:val="0"/>
          <w:i w:val="0"/>
          <w:sz w:val="22"/>
        </w:rPr>
        <w:t>Workload distribution sheets and timetables are signed, documented, and submitted to the Principal/Dean.</w:t>
      </w:r>
    </w:p>
    <w:p>
      <w:pPr>
        <w:pStyle w:val="ListBullet2"/>
        <w:spacing w:after="80"/>
        <w:jc w:val="both"/>
      </w:pPr>
      <w:r>
        <w:rPr>
          <w:rFonts w:ascii="Cambria" w:hAnsi="Cambria"/>
          <w:b w:val="0"/>
          <w:i w:val="0"/>
          <w:sz w:val="22"/>
        </w:rPr>
        <w:t>Proof of departmental academic governance in action.</w:t>
      </w:r>
    </w:p>
    <w:p>
      <w:pPr>
        <w:keepNext/>
        <w:spacing w:before="280" w:after="160"/>
        <w:jc w:val="left"/>
      </w:pPr>
      <w:r>
        <w:rPr>
          <w:rFonts w:ascii="Cambria" w:hAnsi="Cambria"/>
          <w:b/>
          <w:i w:val="0"/>
          <w:color w:val="1F3A5F"/>
          <w:sz w:val="26"/>
        </w:rPr>
        <w:t>How It Demonstrates Resource Optimization</w:t>
      </w:r>
    </w:p>
    <w:p>
      <w:pPr>
        <w:spacing w:after="80"/>
        <w:ind w:left="340" w:hanging="340"/>
        <w:jc w:val="both"/>
      </w:pPr>
      <w:r>
        <w:rPr>
          <w:rFonts w:ascii="Cambria" w:hAnsi="Cambria"/>
          <w:b w:val="0"/>
          <w:i w:val="0"/>
          <w:sz w:val="22"/>
        </w:rPr>
        <w:t xml:space="preserve">1. </w:t>
      </w:r>
      <w:r>
        <w:rPr>
          <w:rFonts w:ascii="Cambria" w:hAnsi="Cambria"/>
          <w:b w:val="0"/>
          <w:i w:val="0"/>
          <w:sz w:val="22"/>
        </w:rPr>
        <w:t>Faculty Utilization</w:t>
      </w:r>
    </w:p>
    <w:p>
      <w:pPr>
        <w:pStyle w:val="ListBullet2"/>
        <w:spacing w:after="80"/>
        <w:jc w:val="both"/>
      </w:pPr>
      <w:r>
        <w:rPr>
          <w:rFonts w:ascii="Cambria" w:hAnsi="Cambria"/>
          <w:b w:val="0"/>
          <w:i w:val="0"/>
          <w:sz w:val="22"/>
        </w:rPr>
        <w:t>Equitable distribution ensures every faculty is engaged optimally (16–20 hrs/week as per UGC/AICTE).</w:t>
      </w:r>
    </w:p>
    <w:p>
      <w:pPr>
        <w:spacing w:after="80"/>
        <w:ind w:left="340" w:hanging="340"/>
        <w:jc w:val="both"/>
      </w:pPr>
      <w:r>
        <w:rPr>
          <w:rFonts w:ascii="Cambria" w:hAnsi="Cambria"/>
          <w:b w:val="0"/>
          <w:i w:val="0"/>
          <w:sz w:val="22"/>
        </w:rPr>
        <w:t xml:space="preserve">2. </w:t>
      </w:r>
      <w:r>
        <w:rPr>
          <w:rFonts w:ascii="Cambria" w:hAnsi="Cambria"/>
          <w:b w:val="0"/>
          <w:i w:val="0"/>
          <w:sz w:val="22"/>
        </w:rPr>
        <w:t>Infrastructure Utilization</w:t>
      </w:r>
    </w:p>
    <w:p>
      <w:pPr>
        <w:pStyle w:val="ListBullet2"/>
        <w:spacing w:after="80"/>
        <w:jc w:val="both"/>
      </w:pPr>
      <w:r>
        <w:rPr>
          <w:rFonts w:ascii="Cambria" w:hAnsi="Cambria"/>
          <w:b w:val="0"/>
          <w:i w:val="0"/>
          <w:sz w:val="22"/>
        </w:rPr>
        <w:t>Lab slots, classrooms, and ICT resources scheduled without clashes.</w:t>
      </w:r>
    </w:p>
    <w:p>
      <w:pPr>
        <w:pStyle w:val="ListBullet2"/>
        <w:spacing w:after="80"/>
        <w:jc w:val="both"/>
      </w:pPr>
      <w:r>
        <w:rPr>
          <w:rFonts w:ascii="Cambria" w:hAnsi="Cambria"/>
          <w:b w:val="0"/>
          <w:i w:val="0"/>
          <w:sz w:val="22"/>
        </w:rPr>
        <w:t>Avoids underuse or overcrowding of resources.</w:t>
      </w:r>
    </w:p>
    <w:p>
      <w:pPr>
        <w:spacing w:after="80"/>
        <w:ind w:left="340" w:hanging="340"/>
        <w:jc w:val="both"/>
      </w:pPr>
      <w:r>
        <w:rPr>
          <w:rFonts w:ascii="Cambria" w:hAnsi="Cambria"/>
          <w:b w:val="0"/>
          <w:i w:val="0"/>
          <w:sz w:val="22"/>
        </w:rPr>
        <w:t xml:space="preserve">3. </w:t>
      </w:r>
      <w:r>
        <w:rPr>
          <w:rFonts w:ascii="Cambria" w:hAnsi="Cambria"/>
          <w:b w:val="0"/>
          <w:i w:val="0"/>
          <w:sz w:val="22"/>
        </w:rPr>
        <w:t>Curriculum Alignment</w:t>
      </w:r>
    </w:p>
    <w:p>
      <w:pPr>
        <w:pStyle w:val="ListBullet2"/>
        <w:spacing w:after="80"/>
        <w:jc w:val="both"/>
      </w:pPr>
      <w:r>
        <w:rPr>
          <w:rFonts w:ascii="Cambria" w:hAnsi="Cambria"/>
          <w:b w:val="0"/>
          <w:i w:val="0"/>
          <w:sz w:val="22"/>
        </w:rPr>
        <w:t>CO–PO–PSO mapping tied to faculty expertise, ensuring effective OBE delivery.</w:t>
      </w:r>
    </w:p>
    <w:p>
      <w:pPr>
        <w:spacing w:after="120"/>
        <w:jc w:val="both"/>
      </w:pPr>
      <w:r>
        <w:rPr>
          <w:rFonts w:ascii="Cambria" w:hAnsi="Cambria"/>
          <w:b w:val="0"/>
          <w:i w:val="0"/>
          <w:sz w:val="22"/>
        </w:rPr>
        <w:t>Specialized courses handled by trained/PhD faculty → better attainment.</w:t>
      </w:r>
    </w:p>
    <w:p>
      <w:pPr>
        <w:keepNext/>
        <w:spacing w:before="280" w:after="160"/>
        <w:jc w:val="left"/>
      </w:pPr>
      <w:r>
        <w:rPr>
          <w:rFonts w:ascii="Cambria" w:hAnsi="Cambria"/>
          <w:b/>
          <w:i w:val="0"/>
          <w:color w:val="1F3A5F"/>
          <w:sz w:val="26"/>
        </w:rPr>
        <w:t>Tangible Outcomes</w:t>
      </w:r>
    </w:p>
    <w:p>
      <w:pPr>
        <w:pStyle w:val="ListBullet"/>
        <w:spacing w:after="80"/>
        <w:jc w:val="both"/>
      </w:pPr>
      <w:r>
        <w:rPr>
          <w:rFonts w:ascii="Cambria" w:hAnsi="Cambria"/>
          <w:b w:val="0"/>
          <w:i w:val="0"/>
          <w:sz w:val="22"/>
        </w:rPr>
        <w:t>100% teaching schedules released before semester start.</w:t>
      </w:r>
    </w:p>
    <w:p>
      <w:pPr>
        <w:pStyle w:val="ListBullet"/>
        <w:spacing w:after="80"/>
        <w:jc w:val="both"/>
      </w:pPr>
      <w:r>
        <w:rPr>
          <w:rFonts w:ascii="Cambria" w:hAnsi="Cambria"/>
          <w:b w:val="0"/>
          <w:i w:val="0"/>
          <w:sz w:val="22"/>
        </w:rPr>
        <w:t>Faculty workload balanced: avg. 18 hrs/week (within norms).</w:t>
      </w:r>
    </w:p>
    <w:p>
      <w:pPr>
        <w:pStyle w:val="ListBullet"/>
        <w:spacing w:after="80"/>
        <w:jc w:val="both"/>
      </w:pPr>
      <w:r>
        <w:rPr>
          <w:rFonts w:ascii="Cambria" w:hAnsi="Cambria"/>
          <w:b w:val="0"/>
          <w:i w:val="0"/>
          <w:sz w:val="22"/>
        </w:rPr>
        <w:t>95%+ classes conducted as per timetable (minimal cancellations).</w:t>
      </w:r>
    </w:p>
    <w:p>
      <w:pPr>
        <w:pStyle w:val="ListBullet"/>
        <w:spacing w:after="80"/>
        <w:jc w:val="both"/>
      </w:pPr>
      <w:r>
        <w:rPr>
          <w:rFonts w:ascii="Cambria" w:hAnsi="Cambria"/>
          <w:b w:val="0"/>
          <w:i w:val="0"/>
          <w:sz w:val="22"/>
        </w:rPr>
        <w:t>CO attainment improved (e.g., +6% after expertise-based allocation).</w:t>
      </w:r>
    </w:p>
    <w:p>
      <w:pPr>
        <w:spacing w:after="120"/>
        <w:jc w:val="both"/>
      </w:pPr>
      <w:r>
        <w:rPr>
          <w:rFonts w:ascii="Cambria" w:hAnsi="Cambria"/>
          <w:b w:val="0"/>
          <w:i w:val="0"/>
          <w:sz w:val="22"/>
        </w:rPr>
        <w:t xml:space="preserve">Student feedback on </w:t>
      </w:r>
      <w:r>
        <w:rPr>
          <w:rFonts w:ascii="Cambria" w:hAnsi="Cambria"/>
          <w:b w:val="0"/>
          <w:i/>
          <w:sz w:val="22"/>
        </w:rPr>
        <w:t>“course organization”</w:t>
      </w:r>
      <w:r>
        <w:rPr>
          <w:rFonts w:ascii="Cambria" w:hAnsi="Cambria"/>
          <w:b w:val="0"/>
          <w:i w:val="0"/>
          <w:sz w:val="22"/>
        </w:rPr>
        <w:t xml:space="preserve"> ↑ from 3.8 → 4.3/5.</w:t>
      </w:r>
    </w:p>
    <w:p>
      <w:pPr>
        <w:keepNext/>
        <w:spacing w:before="280" w:after="160"/>
        <w:jc w:val="left"/>
      </w:pPr>
      <w:r>
        <w:rPr>
          <w:rFonts w:ascii="Cambria" w:hAnsi="Cambria"/>
          <w:b/>
          <w:i w:val="0"/>
          <w:color w:val="1F3A5F"/>
          <w:sz w:val="26"/>
        </w:rPr>
        <w:t>How It Proves Equitable Workload Distribution</w:t>
      </w:r>
    </w:p>
    <w:p>
      <w:pPr>
        <w:spacing w:after="80"/>
        <w:ind w:left="340" w:hanging="340"/>
        <w:jc w:val="both"/>
      </w:pPr>
      <w:r>
        <w:rPr>
          <w:rFonts w:ascii="Cambria" w:hAnsi="Cambria"/>
          <w:b w:val="0"/>
          <w:i w:val="0"/>
          <w:sz w:val="22"/>
        </w:rPr>
        <w:t xml:space="preserve">1. </w:t>
      </w:r>
      <w:r>
        <w:rPr>
          <w:rFonts w:ascii="Cambria" w:hAnsi="Cambria"/>
          <w:b w:val="0"/>
          <w:i w:val="0"/>
          <w:sz w:val="22"/>
        </w:rPr>
        <w:t>Workload Distribution Sheet (Signed by HoD)</w:t>
      </w:r>
    </w:p>
    <w:p>
      <w:pPr>
        <w:pStyle w:val="ListBullet2"/>
        <w:spacing w:after="80"/>
        <w:jc w:val="both"/>
      </w:pPr>
      <w:r>
        <w:rPr>
          <w:rFonts w:ascii="Cambria" w:hAnsi="Cambria"/>
          <w:b w:val="0"/>
          <w:i w:val="0"/>
          <w:sz w:val="22"/>
        </w:rPr>
        <w:t>Lists each faculty's assigned theory, lab, tutorial, project, admin duties.</w:t>
      </w:r>
    </w:p>
    <w:p>
      <w:pPr>
        <w:pStyle w:val="ListBullet2"/>
        <w:spacing w:after="80"/>
        <w:jc w:val="both"/>
      </w:pPr>
      <w:r>
        <w:rPr>
          <w:rFonts w:ascii="Cambria" w:hAnsi="Cambria"/>
          <w:b w:val="0"/>
          <w:i w:val="0"/>
          <w:sz w:val="22"/>
        </w:rPr>
        <w:t>Balanced within UGC/AICTE norms (16–20 hrs/week).</w:t>
      </w:r>
    </w:p>
    <w:p>
      <w:pPr>
        <w:pStyle w:val="ListBullet2"/>
        <w:spacing w:after="80"/>
        <w:jc w:val="both"/>
      </w:pPr>
      <w:r>
        <w:rPr>
          <w:rFonts w:ascii="Cambria" w:hAnsi="Cambria"/>
          <w:b w:val="0"/>
          <w:i w:val="0"/>
          <w:sz w:val="22"/>
        </w:rPr>
        <w:t>Signed copy provides official proof.</w:t>
      </w:r>
    </w:p>
    <w:p>
      <w:pPr>
        <w:spacing w:after="80"/>
        <w:ind w:left="340" w:hanging="340"/>
        <w:jc w:val="both"/>
      </w:pPr>
      <w:r>
        <w:rPr>
          <w:rFonts w:ascii="Cambria" w:hAnsi="Cambria"/>
          <w:b w:val="0"/>
          <w:i w:val="0"/>
          <w:sz w:val="22"/>
        </w:rPr>
        <w:t xml:space="preserve">2. </w:t>
      </w:r>
      <w:r>
        <w:rPr>
          <w:rFonts w:ascii="Cambria" w:hAnsi="Cambria"/>
          <w:b w:val="0"/>
          <w:i w:val="0"/>
          <w:sz w:val="22"/>
        </w:rPr>
        <w:t>Course Allocation Matrix</w:t>
      </w:r>
    </w:p>
    <w:p>
      <w:pPr>
        <w:pStyle w:val="ListBullet2"/>
        <w:spacing w:after="80"/>
        <w:jc w:val="both"/>
      </w:pPr>
      <w:r>
        <w:rPr>
          <w:rFonts w:ascii="Cambria" w:hAnsi="Cambria"/>
          <w:b w:val="0"/>
          <w:i w:val="0"/>
          <w:sz w:val="22"/>
        </w:rPr>
        <w:t>Shows faculty-course mapping with contact hours/credits.</w:t>
      </w:r>
    </w:p>
    <w:p>
      <w:pPr>
        <w:pStyle w:val="ListBullet2"/>
        <w:spacing w:after="80"/>
        <w:jc w:val="both"/>
      </w:pPr>
      <w:r>
        <w:rPr>
          <w:rFonts w:ascii="Cambria" w:hAnsi="Cambria"/>
          <w:b w:val="0"/>
          <w:i w:val="0"/>
          <w:sz w:val="22"/>
        </w:rPr>
        <w:t>Evidence that assignments match qualifications &amp; expertise.</w:t>
      </w:r>
    </w:p>
    <w:p>
      <w:pPr>
        <w:spacing w:after="80"/>
        <w:ind w:left="340" w:hanging="340"/>
        <w:jc w:val="both"/>
      </w:pPr>
      <w:r>
        <w:rPr>
          <w:rFonts w:ascii="Cambria" w:hAnsi="Cambria"/>
          <w:b w:val="0"/>
          <w:i w:val="0"/>
          <w:sz w:val="22"/>
        </w:rPr>
        <w:t xml:space="preserve">3. </w:t>
      </w:r>
      <w:r>
        <w:rPr>
          <w:rFonts w:ascii="Cambria" w:hAnsi="Cambria"/>
          <w:b w:val="0"/>
          <w:i w:val="0"/>
          <w:sz w:val="22"/>
        </w:rPr>
        <w:t>Meeting Notes of Workload Planning</w:t>
      </w:r>
    </w:p>
    <w:p>
      <w:pPr>
        <w:pStyle w:val="ListBullet2"/>
        <w:spacing w:after="80"/>
        <w:jc w:val="both"/>
      </w:pPr>
      <w:r>
        <w:rPr>
          <w:rFonts w:ascii="Cambria" w:hAnsi="Cambria"/>
          <w:b w:val="0"/>
          <w:i w:val="0"/>
          <w:sz w:val="22"/>
        </w:rPr>
        <w:t>Records how distribution decisions were taken transparently.</w:t>
      </w:r>
    </w:p>
    <w:p>
      <w:pPr>
        <w:spacing w:after="120"/>
        <w:jc w:val="both"/>
      </w:pPr>
      <w:r>
        <w:rPr>
          <w:rFonts w:ascii="Cambria" w:hAnsi="Cambria"/>
          <w:b w:val="0"/>
          <w:i w:val="0"/>
          <w:sz w:val="22"/>
        </w:rPr>
        <w:t>Faculty consent and discussion documented → reduces bias claims.</w:t>
      </w:r>
    </w:p>
    <w:p>
      <w:pPr>
        <w:spacing w:after="80"/>
        <w:ind w:left="340" w:hanging="340"/>
        <w:jc w:val="both"/>
      </w:pPr>
      <w:r>
        <w:rPr>
          <w:rFonts w:ascii="Cambria" w:hAnsi="Cambria"/>
          <w:b w:val="0"/>
          <w:i w:val="0"/>
          <w:sz w:val="22"/>
        </w:rPr>
        <w:t xml:space="preserve">4. </w:t>
      </w:r>
      <w:r>
        <w:rPr>
          <w:rFonts w:ascii="Cambria" w:hAnsi="Cambria"/>
          <w:b w:val="0"/>
          <w:i w:val="0"/>
          <w:sz w:val="22"/>
        </w:rPr>
        <w:t>Submission Acknowledgement</w:t>
      </w:r>
    </w:p>
    <w:p>
      <w:pPr>
        <w:pStyle w:val="ListBullet2"/>
        <w:spacing w:after="80"/>
        <w:jc w:val="both"/>
      </w:pPr>
      <w:r>
        <w:rPr>
          <w:rFonts w:ascii="Cambria" w:hAnsi="Cambria"/>
          <w:b w:val="0"/>
          <w:i w:val="0"/>
          <w:sz w:val="22"/>
        </w:rPr>
        <w:t>Proof that the workload plan was submitted to Principal/Academic Dean.</w:t>
      </w:r>
    </w:p>
    <w:p>
      <w:pPr>
        <w:pStyle w:val="ListBullet2"/>
        <w:spacing w:after="80"/>
        <w:jc w:val="both"/>
      </w:pPr>
      <w:r>
        <w:rPr>
          <w:rFonts w:ascii="Cambria" w:hAnsi="Cambria"/>
          <w:b w:val="0"/>
          <w:i w:val="0"/>
          <w:sz w:val="22"/>
        </w:rPr>
        <w:t>Confirms institutional-level validation.</w:t>
      </w:r>
    </w:p>
    <w:p>
      <w:pPr>
        <w:keepNext/>
        <w:spacing w:before="280" w:after="160"/>
        <w:jc w:val="left"/>
      </w:pPr>
      <w:r>
        <w:rPr>
          <w:rFonts w:ascii="Cambria" w:hAnsi="Cambria"/>
          <w:b/>
          <w:i w:val="0"/>
          <w:color w:val="1F3A5F"/>
          <w:sz w:val="26"/>
        </w:rPr>
        <w:t>Tangible Outcomes of Equity</w:t>
      </w:r>
    </w:p>
    <w:p>
      <w:pPr>
        <w:pStyle w:val="ListBullet"/>
        <w:spacing w:after="80"/>
        <w:jc w:val="both"/>
      </w:pPr>
      <w:r>
        <w:rPr>
          <w:rFonts w:ascii="Cambria" w:hAnsi="Cambria"/>
          <w:b w:val="0"/>
          <w:i w:val="0"/>
          <w:sz w:val="22"/>
        </w:rPr>
        <w:t>100% faculty workloads documented and signed before semester start.</w:t>
      </w:r>
    </w:p>
    <w:p>
      <w:pPr>
        <w:pStyle w:val="ListBullet"/>
        <w:spacing w:after="80"/>
        <w:jc w:val="both"/>
      </w:pPr>
      <w:r>
        <w:rPr>
          <w:rFonts w:ascii="Cambria" w:hAnsi="Cambria"/>
          <w:b w:val="0"/>
          <w:i w:val="0"/>
          <w:sz w:val="22"/>
        </w:rPr>
        <w:t>All faculty loads balanced within prescribed norms (avg. 18 hrs/week).</w:t>
      </w:r>
    </w:p>
    <w:p>
      <w:pPr>
        <w:pStyle w:val="ListBullet"/>
        <w:spacing w:after="80"/>
        <w:jc w:val="both"/>
      </w:pPr>
      <w:r>
        <w:rPr>
          <w:rFonts w:ascii="Cambria" w:hAnsi="Cambria"/>
          <w:b w:val="0"/>
          <w:i w:val="0"/>
          <w:sz w:val="22"/>
        </w:rPr>
        <w:t>0 cases of overload/underload → fairness maintained.</w:t>
      </w:r>
    </w:p>
    <w:p>
      <w:pPr>
        <w:spacing w:after="120"/>
        <w:jc w:val="both"/>
      </w:pPr>
      <w:r>
        <w:rPr>
          <w:rFonts w:ascii="Cambria" w:hAnsi="Cambria"/>
          <w:b w:val="0"/>
          <w:i w:val="0"/>
          <w:sz w:val="22"/>
        </w:rPr>
        <w:t xml:space="preserve">Student satisfaction with </w:t>
      </w:r>
      <w:r>
        <w:rPr>
          <w:rFonts w:ascii="Cambria" w:hAnsi="Cambria"/>
          <w:b w:val="0"/>
          <w:i/>
          <w:sz w:val="22"/>
        </w:rPr>
        <w:t>“teaching organization”</w:t>
      </w:r>
      <w:r>
        <w:rPr>
          <w:rFonts w:ascii="Cambria" w:hAnsi="Cambria"/>
          <w:b w:val="0"/>
          <w:i w:val="0"/>
          <w:sz w:val="22"/>
        </w:rPr>
        <w:t xml:space="preserve"> ↑ (3.8 → 4.3/5).</w:t>
      </w:r>
    </w:p>
    <w:p>
      <w:pPr>
        <w:pStyle w:val="ListBullet"/>
        <w:spacing w:after="80"/>
        <w:jc w:val="both"/>
      </w:pPr>
      <w:r>
        <w:rPr>
          <w:rFonts w:ascii="Cambria" w:hAnsi="Cambria"/>
          <w:b w:val="0"/>
          <w:i w:val="0"/>
          <w:sz w:val="22"/>
        </w:rPr>
        <w:t>CO attainment ↑ by 6% due to expertise-based allocation.</w:t>
      </w:r>
    </w:p>
    <w:p>
      <w:pPr>
        <w:keepNext/>
        <w:spacing w:before="280" w:after="160"/>
        <w:jc w:val="left"/>
      </w:pPr>
      <w:r>
        <w:rPr>
          <w:rFonts w:ascii="Cambria" w:hAnsi="Cambria"/>
          <w:b/>
          <w:i w:val="0"/>
          <w:color w:val="1F3A5F"/>
          <w:sz w:val="26"/>
        </w:rPr>
        <w:t>How Equity is Ensured in Faculty Workload</w:t>
      </w:r>
    </w:p>
    <w:p>
      <w:pPr>
        <w:spacing w:after="80"/>
        <w:ind w:left="340" w:hanging="340"/>
        <w:jc w:val="both"/>
      </w:pPr>
      <w:r>
        <w:rPr>
          <w:rFonts w:ascii="Cambria" w:hAnsi="Cambria"/>
          <w:b w:val="0"/>
          <w:i w:val="0"/>
          <w:sz w:val="22"/>
        </w:rPr>
        <w:t xml:space="preserve">1. </w:t>
      </w:r>
      <w:r>
        <w:rPr>
          <w:rFonts w:ascii="Cambria" w:hAnsi="Cambria"/>
          <w:b w:val="0"/>
          <w:i w:val="0"/>
          <w:sz w:val="22"/>
        </w:rPr>
        <w:t>Balanced Teaching Hours</w:t>
      </w:r>
    </w:p>
    <w:p>
      <w:pPr>
        <w:pStyle w:val="ListBullet2"/>
        <w:spacing w:after="80"/>
        <w:jc w:val="both"/>
      </w:pPr>
      <w:r>
        <w:rPr>
          <w:rFonts w:ascii="Cambria" w:hAnsi="Cambria"/>
          <w:b w:val="0"/>
          <w:i w:val="0"/>
          <w:sz w:val="22"/>
        </w:rPr>
        <w:t>Teaching load kept within UGC/AICTE norms (16–20 hrs/week).</w:t>
      </w:r>
    </w:p>
    <w:p>
      <w:pPr>
        <w:pStyle w:val="ListBullet2"/>
        <w:spacing w:after="80"/>
        <w:jc w:val="both"/>
      </w:pPr>
      <w:r>
        <w:rPr>
          <w:rFonts w:ascii="Cambria" w:hAnsi="Cambria"/>
          <w:b w:val="0"/>
          <w:i w:val="0"/>
          <w:sz w:val="22"/>
        </w:rPr>
        <w:t>Avoids overload (e.g., 25 hrs) and underload (e.g., &lt;10 hrs).</w:t>
      </w:r>
    </w:p>
    <w:p>
      <w:pPr>
        <w:spacing w:after="80"/>
        <w:ind w:left="340" w:hanging="340"/>
        <w:jc w:val="both"/>
      </w:pPr>
      <w:r>
        <w:rPr>
          <w:rFonts w:ascii="Cambria" w:hAnsi="Cambria"/>
          <w:b w:val="0"/>
          <w:i w:val="0"/>
          <w:sz w:val="22"/>
        </w:rPr>
        <w:t xml:space="preserve">2. </w:t>
      </w:r>
      <w:r>
        <w:rPr>
          <w:rFonts w:ascii="Cambria" w:hAnsi="Cambria"/>
          <w:b w:val="0"/>
          <w:i w:val="0"/>
          <w:sz w:val="22"/>
        </w:rPr>
        <w:t>Fair Distribution of Courses</w:t>
      </w:r>
    </w:p>
    <w:p>
      <w:pPr>
        <w:pStyle w:val="ListBullet2"/>
        <w:spacing w:after="80"/>
        <w:jc w:val="both"/>
      </w:pPr>
      <w:r>
        <w:rPr>
          <w:rFonts w:ascii="Cambria" w:hAnsi="Cambria"/>
          <w:b w:val="0"/>
          <w:i w:val="0"/>
          <w:sz w:val="22"/>
        </w:rPr>
        <w:t>Core subjects assigned to experienced/PhD faculty.</w:t>
      </w:r>
    </w:p>
    <w:p>
      <w:pPr>
        <w:pStyle w:val="ListBullet2"/>
        <w:spacing w:after="80"/>
        <w:jc w:val="both"/>
      </w:pPr>
      <w:r>
        <w:rPr>
          <w:rFonts w:ascii="Cambria" w:hAnsi="Cambria"/>
          <w:b w:val="0"/>
          <w:i w:val="0"/>
          <w:sz w:val="22"/>
        </w:rPr>
        <w:t>Electives/tutorials rotated among faculty to ensure fairness.</w:t>
      </w:r>
    </w:p>
    <w:p>
      <w:pPr>
        <w:pStyle w:val="ListBullet2"/>
        <w:spacing w:after="80"/>
        <w:jc w:val="both"/>
      </w:pPr>
      <w:r>
        <w:rPr>
          <w:rFonts w:ascii="Cambria" w:hAnsi="Cambria"/>
          <w:b w:val="0"/>
          <w:i w:val="0"/>
          <w:sz w:val="22"/>
        </w:rPr>
        <w:t>Labs/projects distributed equitably, not concentrated on a few.</w:t>
      </w:r>
    </w:p>
    <w:p>
      <w:pPr>
        <w:spacing w:after="80"/>
        <w:ind w:left="340" w:hanging="340"/>
        <w:jc w:val="both"/>
      </w:pPr>
      <w:r>
        <w:rPr>
          <w:rFonts w:ascii="Cambria" w:hAnsi="Cambria"/>
          <w:b w:val="0"/>
          <w:i w:val="0"/>
          <w:sz w:val="22"/>
        </w:rPr>
        <w:t xml:space="preserve">3. </w:t>
      </w:r>
      <w:r>
        <w:rPr>
          <w:rFonts w:ascii="Cambria" w:hAnsi="Cambria"/>
          <w:b w:val="0"/>
          <w:i w:val="0"/>
          <w:sz w:val="22"/>
        </w:rPr>
        <w:t>Rotation of Administrative &amp; Extra Duties</w:t>
      </w:r>
    </w:p>
    <w:p>
      <w:pPr>
        <w:pStyle w:val="ListBullet2"/>
        <w:spacing w:after="80"/>
        <w:jc w:val="both"/>
      </w:pPr>
      <w:r>
        <w:rPr>
          <w:rFonts w:ascii="Cambria" w:hAnsi="Cambria"/>
          <w:b w:val="0"/>
          <w:i w:val="0"/>
          <w:sz w:val="22"/>
        </w:rPr>
        <w:t>Class coordinatorship, mentoring, event coordination rotated yearly.</w:t>
      </w:r>
    </w:p>
    <w:p>
      <w:pPr>
        <w:pStyle w:val="ListBullet2"/>
        <w:spacing w:after="80"/>
        <w:jc w:val="both"/>
      </w:pPr>
      <w:r>
        <w:rPr>
          <w:rFonts w:ascii="Cambria" w:hAnsi="Cambria"/>
          <w:b w:val="0"/>
          <w:i w:val="0"/>
          <w:sz w:val="22"/>
        </w:rPr>
        <w:t>Prevents repetitive burden on the same faculty.</w:t>
      </w:r>
    </w:p>
    <w:p>
      <w:pPr>
        <w:spacing w:after="80"/>
        <w:ind w:left="340" w:hanging="340"/>
        <w:jc w:val="both"/>
      </w:pPr>
      <w:r>
        <w:rPr>
          <w:rFonts w:ascii="Cambria" w:hAnsi="Cambria"/>
          <w:b w:val="0"/>
          <w:i w:val="0"/>
          <w:sz w:val="22"/>
        </w:rPr>
        <w:t xml:space="preserve">4. </w:t>
      </w:r>
      <w:r>
        <w:rPr>
          <w:rFonts w:ascii="Cambria" w:hAnsi="Cambria"/>
          <w:b w:val="0"/>
          <w:i w:val="0"/>
          <w:sz w:val="22"/>
        </w:rPr>
        <w:t>Evidence-Based Allocation</w:t>
      </w:r>
    </w:p>
    <w:p>
      <w:pPr>
        <w:spacing w:after="120"/>
        <w:jc w:val="both"/>
      </w:pPr>
      <w:r>
        <w:rPr>
          <w:rFonts w:ascii="Cambria" w:hAnsi="Cambria"/>
          <w:b w:val="0"/>
          <w:i w:val="0"/>
          <w:sz w:val="22"/>
        </w:rPr>
        <w:t>Workload distribution sheet signed by HoD → proof of fairness.</w:t>
      </w:r>
    </w:p>
    <w:p>
      <w:pPr>
        <w:spacing w:after="120"/>
        <w:jc w:val="both"/>
      </w:pPr>
      <w:r>
        <w:rPr>
          <w:rFonts w:ascii="Cambria" w:hAnsi="Cambria"/>
          <w:b w:val="0"/>
          <w:i w:val="0"/>
          <w:sz w:val="22"/>
        </w:rPr>
        <w:t>Meeting notes → show faculty were part of the discussion.</w:t>
      </w:r>
    </w:p>
    <w:p>
      <w:pPr>
        <w:spacing w:after="120"/>
        <w:jc w:val="both"/>
      </w:pPr>
      <w:r>
        <w:rPr>
          <w:rFonts w:ascii="Cambria" w:hAnsi="Cambria"/>
          <w:b w:val="0"/>
          <w:i w:val="0"/>
          <w:sz w:val="22"/>
        </w:rPr>
        <w:t>Submission to Principal → confirms institutional validation.</w:t>
      </w:r>
    </w:p>
    <w:p>
      <w:pPr>
        <w:spacing w:after="80"/>
        <w:ind w:left="340" w:hanging="340"/>
        <w:jc w:val="both"/>
      </w:pPr>
      <w:r>
        <w:rPr>
          <w:rFonts w:ascii="Cambria" w:hAnsi="Cambria"/>
          <w:b w:val="0"/>
          <w:i w:val="0"/>
          <w:sz w:val="22"/>
        </w:rPr>
        <w:t xml:space="preserve">5. </w:t>
      </w:r>
      <w:r>
        <w:rPr>
          <w:rFonts w:ascii="Cambria" w:hAnsi="Cambria"/>
          <w:b w:val="0"/>
          <w:i w:val="0"/>
          <w:sz w:val="22"/>
        </w:rPr>
        <w:t>Continuous Monitoring</w:t>
      </w:r>
    </w:p>
    <w:p>
      <w:pPr>
        <w:pStyle w:val="ListBullet2"/>
        <w:spacing w:after="80"/>
        <w:jc w:val="both"/>
      </w:pPr>
      <w:r>
        <w:rPr>
          <w:rFonts w:ascii="Cambria" w:hAnsi="Cambria"/>
          <w:b w:val="0"/>
          <w:i w:val="0"/>
          <w:sz w:val="22"/>
        </w:rPr>
        <w:t>Mid-semester reviews → ensure workload remains fair after adjustments (guest lectures, faculty leave, FDPs).</w:t>
      </w:r>
    </w:p>
    <w:p>
      <w:pPr>
        <w:keepNext/>
        <w:spacing w:before="280" w:after="160"/>
        <w:jc w:val="left"/>
      </w:pPr>
      <w:r>
        <w:rPr>
          <w:rFonts w:ascii="Cambria" w:hAnsi="Cambria"/>
          <w:b/>
          <w:i w:val="0"/>
          <w:color w:val="1F3A5F"/>
          <w:sz w:val="26"/>
        </w:rPr>
        <w:t>Tangible Outcomes of Equity (II)</w:t>
      </w:r>
    </w:p>
    <w:p>
      <w:pPr>
        <w:pStyle w:val="ListBullet"/>
        <w:spacing w:after="80"/>
        <w:jc w:val="both"/>
      </w:pPr>
      <w:r>
        <w:rPr>
          <w:rFonts w:ascii="Cambria" w:hAnsi="Cambria"/>
          <w:b w:val="0"/>
          <w:i w:val="0"/>
          <w:sz w:val="22"/>
        </w:rPr>
        <w:t>100% faculty within prescribed workload norms.</w:t>
      </w:r>
    </w:p>
    <w:p>
      <w:pPr>
        <w:pStyle w:val="ListBullet"/>
        <w:spacing w:after="80"/>
        <w:jc w:val="both"/>
      </w:pPr>
      <w:r>
        <w:rPr>
          <w:rFonts w:ascii="Cambria" w:hAnsi="Cambria"/>
          <w:b w:val="0"/>
          <w:i w:val="0"/>
          <w:sz w:val="22"/>
        </w:rPr>
        <w:t>No complaints/disputes regarding unequal workload distribution.</w:t>
      </w:r>
    </w:p>
    <w:p>
      <w:pPr>
        <w:pStyle w:val="ListBullet"/>
        <w:spacing w:after="80"/>
        <w:jc w:val="both"/>
      </w:pPr>
      <w:r>
        <w:rPr>
          <w:rFonts w:ascii="Cambria" w:hAnsi="Cambria"/>
          <w:b w:val="0"/>
          <w:i w:val="0"/>
          <w:sz w:val="22"/>
        </w:rPr>
        <w:t>Student–faculty ratio maintained as per NAAC/NBA standards.</w:t>
      </w:r>
    </w:p>
    <w:p>
      <w:pPr>
        <w:pStyle w:val="ListBullet"/>
        <w:spacing w:after="80"/>
        <w:jc w:val="both"/>
      </w:pPr>
      <w:r>
        <w:rPr>
          <w:rFonts w:ascii="Cambria" w:hAnsi="Cambria"/>
          <w:b w:val="0"/>
          <w:i w:val="0"/>
          <w:sz w:val="22"/>
        </w:rPr>
        <w:t>Improved faculty satisfaction and morale → less burnout.</w:t>
      </w:r>
    </w:p>
    <w:p>
      <w:pPr>
        <w:pStyle w:val="ListBullet"/>
        <w:spacing w:after="80"/>
        <w:jc w:val="both"/>
      </w:pPr>
      <w:r>
        <w:rPr>
          <w:rFonts w:ascii="Cambria" w:hAnsi="Cambria"/>
          <w:b w:val="0"/>
          <w:i w:val="0"/>
          <w:sz w:val="22"/>
        </w:rPr>
        <w:t>Direct link to better teaching quality &amp; CO attainment (+6%).</w:t>
      </w:r>
    </w:p>
    <w:p>
      <w:pPr>
        <w:keepNext/>
        <w:spacing w:before="280" w:after="160"/>
        <w:jc w:val="left"/>
      </w:pPr>
      <w:r>
        <w:rPr>
          <w:rFonts w:ascii="Cambria" w:hAnsi="Cambria"/>
          <w:b/>
          <w:i w:val="0"/>
          <w:color w:val="1F3A5F"/>
          <w:sz w:val="26"/>
        </w:rPr>
        <w:t>How Transparency is Ensured</w:t>
      </w:r>
    </w:p>
    <w:p>
      <w:pPr>
        <w:spacing w:after="80"/>
        <w:ind w:left="340" w:hanging="340"/>
        <w:jc w:val="both"/>
      </w:pPr>
      <w:r>
        <w:rPr>
          <w:rFonts w:ascii="Cambria" w:hAnsi="Cambria"/>
          <w:b w:val="0"/>
          <w:i w:val="0"/>
          <w:sz w:val="22"/>
        </w:rPr>
        <w:t xml:space="preserve">1. </w:t>
      </w:r>
      <w:r>
        <w:rPr>
          <w:rFonts w:ascii="Cambria" w:hAnsi="Cambria"/>
          <w:b w:val="0"/>
          <w:i w:val="0"/>
          <w:sz w:val="22"/>
        </w:rPr>
        <w:t>Signed Workload Sheets</w:t>
      </w:r>
    </w:p>
    <w:p>
      <w:pPr>
        <w:pStyle w:val="ListBullet2"/>
        <w:spacing w:after="80"/>
        <w:jc w:val="both"/>
      </w:pPr>
      <w:r>
        <w:rPr>
          <w:rFonts w:ascii="Cambria" w:hAnsi="Cambria"/>
          <w:b w:val="0"/>
          <w:i w:val="0"/>
          <w:sz w:val="22"/>
        </w:rPr>
        <w:t>Faculty workload distribution sheet prepared by HoD.</w:t>
      </w:r>
    </w:p>
    <w:p>
      <w:pPr>
        <w:pStyle w:val="ListBullet2"/>
        <w:spacing w:after="80"/>
        <w:jc w:val="both"/>
      </w:pPr>
      <w:r>
        <w:rPr>
          <w:rFonts w:ascii="Cambria" w:hAnsi="Cambria"/>
          <w:b w:val="0"/>
          <w:i w:val="0"/>
          <w:sz w:val="22"/>
        </w:rPr>
        <w:t>Signed by HoD and submitted to Principal/Academic Dean.</w:t>
      </w:r>
    </w:p>
    <w:p>
      <w:pPr>
        <w:pStyle w:val="ListBullet2"/>
        <w:spacing w:after="80"/>
        <w:jc w:val="both"/>
      </w:pPr>
      <w:r>
        <w:rPr>
          <w:rFonts w:ascii="Cambria" w:hAnsi="Cambria"/>
          <w:b w:val="0"/>
          <w:i w:val="0"/>
          <w:sz w:val="22"/>
        </w:rPr>
        <w:t>Provides official, verifiable proof of workload equity.</w:t>
      </w:r>
    </w:p>
    <w:p>
      <w:pPr>
        <w:spacing w:after="80"/>
        <w:ind w:left="340" w:hanging="340"/>
        <w:jc w:val="both"/>
      </w:pPr>
      <w:r>
        <w:rPr>
          <w:rFonts w:ascii="Cambria" w:hAnsi="Cambria"/>
          <w:b w:val="0"/>
          <w:i w:val="0"/>
          <w:sz w:val="22"/>
        </w:rPr>
        <w:t xml:space="preserve">2. </w:t>
      </w:r>
      <w:r>
        <w:rPr>
          <w:rFonts w:ascii="Cambria" w:hAnsi="Cambria"/>
          <w:b w:val="0"/>
          <w:i w:val="0"/>
          <w:sz w:val="22"/>
        </w:rPr>
        <w:t>Course Allocation Matrix</w:t>
      </w:r>
    </w:p>
    <w:p>
      <w:pPr>
        <w:pStyle w:val="ListBullet2"/>
        <w:spacing w:after="80"/>
        <w:jc w:val="both"/>
      </w:pPr>
      <w:r>
        <w:rPr>
          <w:rFonts w:ascii="Cambria" w:hAnsi="Cambria"/>
          <w:b w:val="0"/>
          <w:i w:val="0"/>
          <w:sz w:val="22"/>
        </w:rPr>
        <w:t>Maps each faculty to assigned courses, hours, and credits.</w:t>
      </w:r>
    </w:p>
    <w:p>
      <w:pPr>
        <w:spacing w:after="120"/>
        <w:jc w:val="both"/>
      </w:pPr>
      <w:r>
        <w:rPr>
          <w:rFonts w:ascii="Cambria" w:hAnsi="Cambria"/>
          <w:b w:val="0"/>
          <w:i w:val="0"/>
          <w:sz w:val="22"/>
        </w:rPr>
        <w:t>Prevents hidden or informal allocations → every responsibility is documented.</w:t>
      </w:r>
    </w:p>
    <w:p>
      <w:pPr>
        <w:spacing w:after="80"/>
        <w:ind w:left="340" w:hanging="340"/>
        <w:jc w:val="both"/>
      </w:pPr>
      <w:r>
        <w:rPr>
          <w:rFonts w:ascii="Cambria" w:hAnsi="Cambria"/>
          <w:b w:val="0"/>
          <w:i w:val="0"/>
          <w:sz w:val="22"/>
        </w:rPr>
        <w:t xml:space="preserve">3. </w:t>
      </w:r>
      <w:r>
        <w:rPr>
          <w:rFonts w:ascii="Cambria" w:hAnsi="Cambria"/>
          <w:b w:val="0"/>
          <w:i w:val="0"/>
          <w:sz w:val="22"/>
        </w:rPr>
        <w:t>Meeting Notes of Workload Planning</w:t>
      </w:r>
    </w:p>
    <w:p>
      <w:pPr>
        <w:pStyle w:val="ListBullet2"/>
        <w:spacing w:after="80"/>
        <w:jc w:val="both"/>
      </w:pPr>
      <w:r>
        <w:rPr>
          <w:rFonts w:ascii="Cambria" w:hAnsi="Cambria"/>
          <w:b w:val="0"/>
          <w:i w:val="0"/>
          <w:sz w:val="22"/>
        </w:rPr>
        <w:t>Records departmental discussion on allocations.</w:t>
      </w:r>
    </w:p>
    <w:p>
      <w:pPr>
        <w:spacing w:after="120"/>
        <w:jc w:val="both"/>
      </w:pPr>
      <w:r>
        <w:rPr>
          <w:rFonts w:ascii="Cambria" w:hAnsi="Cambria"/>
          <w:b w:val="0"/>
          <w:i w:val="0"/>
          <w:sz w:val="22"/>
        </w:rPr>
        <w:t>Signed by faculty present → demonstrates consensus and fairness.</w:t>
      </w:r>
    </w:p>
    <w:p>
      <w:pPr>
        <w:spacing w:after="80"/>
        <w:ind w:left="340" w:hanging="340"/>
        <w:jc w:val="both"/>
      </w:pPr>
      <w:r>
        <w:rPr>
          <w:rFonts w:ascii="Cambria" w:hAnsi="Cambria"/>
          <w:b w:val="0"/>
          <w:i w:val="0"/>
          <w:sz w:val="22"/>
        </w:rPr>
        <w:t xml:space="preserve">4. </w:t>
      </w:r>
      <w:r>
        <w:rPr>
          <w:rFonts w:ascii="Cambria" w:hAnsi="Cambria"/>
          <w:b w:val="0"/>
          <w:i w:val="0"/>
          <w:sz w:val="22"/>
        </w:rPr>
        <w:t>Submission Acknowledgement</w:t>
      </w:r>
    </w:p>
    <w:p>
      <w:pPr>
        <w:pStyle w:val="ListBullet2"/>
        <w:spacing w:after="80"/>
        <w:jc w:val="both"/>
      </w:pPr>
      <w:r>
        <w:rPr>
          <w:rFonts w:ascii="Cambria" w:hAnsi="Cambria"/>
          <w:b w:val="0"/>
          <w:i w:val="0"/>
          <w:sz w:val="22"/>
        </w:rPr>
        <w:t>Principal/Dean's sign-off confirms transparency at the institutional level.</w:t>
      </w:r>
    </w:p>
    <w:p>
      <w:pPr>
        <w:pStyle w:val="ListBullet2"/>
        <w:spacing w:after="80"/>
        <w:jc w:val="both"/>
      </w:pPr>
      <w:r>
        <w:rPr>
          <w:rFonts w:ascii="Cambria" w:hAnsi="Cambria"/>
          <w:b w:val="0"/>
          <w:i w:val="0"/>
          <w:sz w:val="22"/>
        </w:rPr>
        <w:t>Creates an external validation trail.</w:t>
      </w:r>
    </w:p>
    <w:p>
      <w:pPr>
        <w:spacing w:after="80"/>
        <w:ind w:left="340" w:hanging="340"/>
        <w:jc w:val="both"/>
      </w:pPr>
      <w:r>
        <w:rPr>
          <w:rFonts w:ascii="Cambria" w:hAnsi="Cambria"/>
          <w:b w:val="0"/>
          <w:i w:val="0"/>
          <w:sz w:val="22"/>
        </w:rPr>
        <w:t xml:space="preserve">5. </w:t>
      </w:r>
      <w:r>
        <w:rPr>
          <w:rFonts w:ascii="Cambria" w:hAnsi="Cambria"/>
          <w:b w:val="0"/>
          <w:i w:val="0"/>
          <w:sz w:val="22"/>
        </w:rPr>
        <w:t>Review Readiness</w:t>
      </w:r>
    </w:p>
    <w:p>
      <w:pPr>
        <w:spacing w:after="120"/>
        <w:jc w:val="both"/>
      </w:pPr>
      <w:r>
        <w:rPr>
          <w:rFonts w:ascii="Cambria" w:hAnsi="Cambria"/>
          <w:b w:val="0"/>
          <w:i w:val="0"/>
          <w:sz w:val="22"/>
        </w:rPr>
        <w:t>During audits, reviewers can open workload sheets, timetables, and CO–PO mappings → trace allocations back to evidence.</w:t>
      </w:r>
    </w:p>
    <w:p>
      <w:pPr>
        <w:keepNext/>
        <w:spacing w:before="280" w:after="160"/>
        <w:jc w:val="left"/>
      </w:pPr>
      <w:r>
        <w:rPr>
          <w:rFonts w:ascii="Cambria" w:hAnsi="Cambria"/>
          <w:b/>
          <w:i w:val="0"/>
          <w:color w:val="1F3A5F"/>
          <w:sz w:val="26"/>
        </w:rPr>
        <w:t>Tangible Outcomes (III)</w:t>
      </w:r>
    </w:p>
    <w:p>
      <w:pPr>
        <w:pStyle w:val="ListBullet"/>
        <w:spacing w:after="80"/>
        <w:jc w:val="both"/>
      </w:pPr>
      <w:r>
        <w:rPr>
          <w:rFonts w:ascii="Cambria" w:hAnsi="Cambria"/>
          <w:b w:val="0"/>
          <w:i w:val="0"/>
          <w:sz w:val="22"/>
        </w:rPr>
        <w:t>100% faculty workloads documented, signed, and approved.</w:t>
      </w:r>
    </w:p>
    <w:p>
      <w:pPr>
        <w:spacing w:after="120"/>
        <w:jc w:val="both"/>
      </w:pPr>
      <w:r>
        <w:rPr>
          <w:rFonts w:ascii="Cambria" w:hAnsi="Cambria"/>
          <w:b w:val="0"/>
          <w:i w:val="0"/>
          <w:sz w:val="22"/>
        </w:rPr>
        <w:t>Reviewers can instantly verify allocations during audits → fewer objections.</w:t>
      </w:r>
    </w:p>
    <w:p>
      <w:pPr>
        <w:pStyle w:val="ListBullet"/>
        <w:spacing w:after="80"/>
        <w:jc w:val="both"/>
      </w:pPr>
      <w:r>
        <w:rPr>
          <w:rFonts w:ascii="Cambria" w:hAnsi="Cambria"/>
          <w:b w:val="0"/>
          <w:i w:val="0"/>
          <w:sz w:val="22"/>
        </w:rPr>
        <w:t>Builds credibility and trust in governance practices.</w:t>
      </w:r>
    </w:p>
    <w:p>
      <w:pPr>
        <w:pStyle w:val="ListBullet"/>
        <w:spacing w:after="80"/>
        <w:jc w:val="both"/>
      </w:pPr>
      <w:r>
        <w:rPr>
          <w:rFonts w:ascii="Cambria" w:hAnsi="Cambria"/>
          <w:b w:val="0"/>
          <w:i w:val="0"/>
          <w:sz w:val="22"/>
        </w:rPr>
        <w:t>Supports NAAC Criterion 6 (Governance &amp; Leadership) and NBA Criterion 5 (Faculty Contributions).</w:t>
      </w:r>
    </w:p>
    <w:p>
      <w:pPr>
        <w:keepNext/>
        <w:spacing w:before="280" w:after="160"/>
        <w:jc w:val="left"/>
      </w:pPr>
      <w:r>
        <w:rPr>
          <w:rFonts w:ascii="Cambria" w:hAnsi="Cambria"/>
          <w:b/>
          <w:i w:val="0"/>
          <w:color w:val="1F3A5F"/>
          <w:sz w:val="26"/>
        </w:rPr>
        <w:t>How Workload Records Ensure Accountability</w:t>
      </w:r>
    </w:p>
    <w:p>
      <w:pPr>
        <w:spacing w:after="80"/>
        <w:ind w:left="340" w:hanging="340"/>
        <w:jc w:val="both"/>
      </w:pPr>
      <w:r>
        <w:rPr>
          <w:rFonts w:ascii="Cambria" w:hAnsi="Cambria"/>
          <w:b w:val="0"/>
          <w:i w:val="0"/>
          <w:sz w:val="22"/>
        </w:rPr>
        <w:t xml:space="preserve">1. </w:t>
      </w:r>
      <w:r>
        <w:rPr>
          <w:rFonts w:ascii="Cambria" w:hAnsi="Cambria"/>
          <w:b w:val="0"/>
          <w:i w:val="0"/>
          <w:sz w:val="22"/>
        </w:rPr>
        <w:t>Official Documentation</w:t>
      </w:r>
    </w:p>
    <w:p>
      <w:pPr>
        <w:pStyle w:val="ListBullet2"/>
        <w:spacing w:after="80"/>
        <w:jc w:val="both"/>
      </w:pPr>
      <w:r>
        <w:rPr>
          <w:rFonts w:ascii="Cambria" w:hAnsi="Cambria"/>
          <w:b w:val="0"/>
          <w:i w:val="0"/>
          <w:sz w:val="22"/>
        </w:rPr>
        <w:t>Workload distribution sheets are signed by the HoD and acknowledged by the Principal/Dean.</w:t>
      </w:r>
    </w:p>
    <w:p>
      <w:pPr>
        <w:pStyle w:val="ListBullet2"/>
        <w:spacing w:after="80"/>
        <w:jc w:val="both"/>
      </w:pPr>
      <w:r>
        <w:rPr>
          <w:rFonts w:ascii="Cambria" w:hAnsi="Cambria"/>
          <w:b w:val="0"/>
          <w:i w:val="0"/>
          <w:sz w:val="22"/>
        </w:rPr>
        <w:t>Prevents later disputes since records serve as the official source of truth.</w:t>
      </w:r>
    </w:p>
    <w:p>
      <w:pPr>
        <w:spacing w:after="80"/>
        <w:ind w:left="340" w:hanging="340"/>
        <w:jc w:val="both"/>
      </w:pPr>
      <w:r>
        <w:rPr>
          <w:rFonts w:ascii="Cambria" w:hAnsi="Cambria"/>
          <w:b w:val="0"/>
          <w:i w:val="0"/>
          <w:sz w:val="22"/>
        </w:rPr>
        <w:t xml:space="preserve">2. </w:t>
      </w:r>
      <w:r>
        <w:rPr>
          <w:rFonts w:ascii="Cambria" w:hAnsi="Cambria"/>
          <w:b w:val="0"/>
          <w:i w:val="0"/>
          <w:sz w:val="22"/>
        </w:rPr>
        <w:t>Equitable Allocation</w:t>
      </w:r>
    </w:p>
    <w:p>
      <w:pPr>
        <w:pStyle w:val="ListBullet2"/>
        <w:spacing w:after="80"/>
        <w:jc w:val="both"/>
      </w:pPr>
      <w:r>
        <w:rPr>
          <w:rFonts w:ascii="Cambria" w:hAnsi="Cambria"/>
          <w:b w:val="0"/>
          <w:i w:val="0"/>
          <w:sz w:val="22"/>
        </w:rPr>
        <w:t>Course Allocation Matrix ensures workloads are distributed fairly.</w:t>
      </w:r>
    </w:p>
    <w:p>
      <w:pPr>
        <w:spacing w:after="120"/>
        <w:jc w:val="both"/>
      </w:pPr>
      <w:r>
        <w:rPr>
          <w:rFonts w:ascii="Cambria" w:hAnsi="Cambria"/>
          <w:b w:val="0"/>
          <w:i w:val="0"/>
          <w:sz w:val="22"/>
        </w:rPr>
        <w:t>No faculty is overburdened or sidelined → prevents bias claims.</w:t>
      </w:r>
    </w:p>
    <w:p>
      <w:pPr>
        <w:spacing w:after="80"/>
        <w:ind w:left="340" w:hanging="340"/>
        <w:jc w:val="both"/>
      </w:pPr>
      <w:r>
        <w:rPr>
          <w:rFonts w:ascii="Cambria" w:hAnsi="Cambria"/>
          <w:b w:val="0"/>
          <w:i w:val="0"/>
          <w:sz w:val="22"/>
        </w:rPr>
        <w:t xml:space="preserve">3. </w:t>
      </w:r>
      <w:r>
        <w:rPr>
          <w:rFonts w:ascii="Cambria" w:hAnsi="Cambria"/>
          <w:b w:val="0"/>
          <w:i w:val="0"/>
          <w:sz w:val="22"/>
        </w:rPr>
        <w:t>Traceability</w:t>
      </w:r>
    </w:p>
    <w:p>
      <w:pPr>
        <w:pStyle w:val="ListBullet2"/>
        <w:spacing w:after="80"/>
        <w:jc w:val="both"/>
      </w:pPr>
      <w:r>
        <w:rPr>
          <w:rFonts w:ascii="Cambria" w:hAnsi="Cambria"/>
          <w:b w:val="0"/>
          <w:i w:val="0"/>
          <w:sz w:val="22"/>
        </w:rPr>
        <w:t>Every allocation can be traced back to meeting minutes, allocation sheets, and submission acknowledgements.</w:t>
      </w:r>
    </w:p>
    <w:p>
      <w:pPr>
        <w:pStyle w:val="ListBullet2"/>
        <w:spacing w:after="80"/>
        <w:jc w:val="both"/>
      </w:pPr>
      <w:r>
        <w:rPr>
          <w:rFonts w:ascii="Cambria" w:hAnsi="Cambria"/>
          <w:b w:val="0"/>
          <w:i w:val="0"/>
          <w:sz w:val="22"/>
        </w:rPr>
        <w:t>Provides evidence during grievances or peer review queries.</w:t>
      </w:r>
    </w:p>
    <w:p>
      <w:pPr>
        <w:spacing w:after="80"/>
        <w:ind w:left="340" w:hanging="340"/>
        <w:jc w:val="both"/>
      </w:pPr>
      <w:r>
        <w:rPr>
          <w:rFonts w:ascii="Cambria" w:hAnsi="Cambria"/>
          <w:b w:val="0"/>
          <w:i w:val="0"/>
          <w:sz w:val="22"/>
        </w:rPr>
        <w:t xml:space="preserve">4. </w:t>
      </w:r>
      <w:r>
        <w:rPr>
          <w:rFonts w:ascii="Cambria" w:hAnsi="Cambria"/>
          <w:b w:val="0"/>
          <w:i w:val="0"/>
          <w:sz w:val="22"/>
        </w:rPr>
        <w:t>Performance Linkage</w:t>
      </w:r>
    </w:p>
    <w:p>
      <w:pPr>
        <w:pStyle w:val="ListBullet2"/>
        <w:spacing w:after="80"/>
        <w:jc w:val="both"/>
      </w:pPr>
      <w:r>
        <w:rPr>
          <w:rFonts w:ascii="Cambria" w:hAnsi="Cambria"/>
          <w:b w:val="0"/>
          <w:i w:val="0"/>
          <w:sz w:val="22"/>
        </w:rPr>
        <w:t>Faculty performance appraisals reference workload records.</w:t>
      </w:r>
    </w:p>
    <w:p>
      <w:pPr>
        <w:pStyle w:val="ListBullet2"/>
        <w:spacing w:after="80"/>
        <w:jc w:val="both"/>
      </w:pPr>
      <w:r>
        <w:rPr>
          <w:rFonts w:ascii="Cambria" w:hAnsi="Cambria"/>
          <w:b w:val="0"/>
          <w:i w:val="0"/>
          <w:sz w:val="22"/>
        </w:rPr>
        <w:t>Ensures workload vs outcomes (CO attainment, student feedback) are balanced.</w:t>
      </w:r>
    </w:p>
    <w:p>
      <w:pPr>
        <w:spacing w:after="80"/>
        <w:ind w:left="340" w:hanging="340"/>
        <w:jc w:val="both"/>
      </w:pPr>
      <w:r>
        <w:rPr>
          <w:rFonts w:ascii="Cambria" w:hAnsi="Cambria"/>
          <w:b w:val="0"/>
          <w:i w:val="0"/>
          <w:sz w:val="22"/>
        </w:rPr>
        <w:t xml:space="preserve">5. </w:t>
      </w:r>
      <w:r>
        <w:rPr>
          <w:rFonts w:ascii="Cambria" w:hAnsi="Cambria"/>
          <w:b w:val="0"/>
          <w:i w:val="0"/>
          <w:sz w:val="22"/>
        </w:rPr>
        <w:t>Audit-Ready Governance</w:t>
      </w:r>
    </w:p>
    <w:p>
      <w:pPr>
        <w:pStyle w:val="ListBullet2"/>
        <w:spacing w:after="80"/>
        <w:jc w:val="both"/>
      </w:pPr>
      <w:r>
        <w:rPr>
          <w:rFonts w:ascii="Cambria" w:hAnsi="Cambria"/>
          <w:b w:val="0"/>
          <w:i w:val="0"/>
          <w:sz w:val="22"/>
        </w:rPr>
        <w:t>Reviewers can check records to confirm accountability mechanisms are active.</w:t>
      </w:r>
    </w:p>
    <w:p>
      <w:pPr>
        <w:pStyle w:val="ListBullet2"/>
        <w:spacing w:after="80"/>
        <w:jc w:val="both"/>
      </w:pPr>
      <w:r>
        <w:rPr>
          <w:rFonts w:ascii="Cambria" w:hAnsi="Cambria"/>
          <w:b w:val="0"/>
          <w:i w:val="0"/>
          <w:sz w:val="22"/>
        </w:rPr>
        <w:t>Demonstrates compliance with NAAC Criterion 6 (Governance) and NBA Criterion 5 (Faculty Contributions).</w:t>
      </w:r>
    </w:p>
    <w:p>
      <w:pPr>
        <w:keepNext/>
        <w:spacing w:before="280" w:after="160"/>
        <w:jc w:val="left"/>
      </w:pPr>
      <w:r>
        <w:rPr>
          <w:rFonts w:ascii="Cambria" w:hAnsi="Cambria"/>
          <w:b/>
          <w:i w:val="0"/>
          <w:color w:val="1F3A5F"/>
          <w:sz w:val="26"/>
        </w:rPr>
        <w:t>Tangible Outcomes of Accountability</w:t>
      </w:r>
    </w:p>
    <w:p>
      <w:pPr>
        <w:pStyle w:val="ListBullet"/>
        <w:spacing w:after="80"/>
        <w:jc w:val="both"/>
      </w:pPr>
      <w:r>
        <w:rPr>
          <w:rFonts w:ascii="Cambria" w:hAnsi="Cambria"/>
          <w:b w:val="0"/>
          <w:i w:val="0"/>
          <w:sz w:val="22"/>
        </w:rPr>
        <w:t>100% workload allocations recorded, signed, and stored.</w:t>
      </w:r>
    </w:p>
    <w:p>
      <w:pPr>
        <w:pStyle w:val="ListBullet"/>
        <w:spacing w:after="80"/>
        <w:jc w:val="both"/>
      </w:pPr>
      <w:r>
        <w:rPr>
          <w:rFonts w:ascii="Cambria" w:hAnsi="Cambria"/>
          <w:b w:val="0"/>
          <w:i w:val="0"/>
          <w:sz w:val="22"/>
        </w:rPr>
        <w:t>Zero disputes regarding unfair allocation in 2023–24 cycle.</w:t>
      </w:r>
    </w:p>
    <w:p>
      <w:pPr>
        <w:spacing w:after="120"/>
        <w:jc w:val="both"/>
      </w:pPr>
      <w:r>
        <w:rPr>
          <w:rFonts w:ascii="Cambria" w:hAnsi="Cambria"/>
          <w:b w:val="0"/>
          <w:i w:val="0"/>
          <w:sz w:val="22"/>
        </w:rPr>
        <w:t xml:space="preserve">Faculty satisfaction with </w:t>
      </w:r>
      <w:r>
        <w:rPr>
          <w:rFonts w:ascii="Cambria" w:hAnsi="Cambria"/>
          <w:b w:val="0"/>
          <w:i/>
          <w:sz w:val="22"/>
        </w:rPr>
        <w:t>“workload fairness”</w:t>
      </w:r>
      <w:r>
        <w:rPr>
          <w:rFonts w:ascii="Cambria" w:hAnsi="Cambria"/>
          <w:b w:val="0"/>
          <w:i w:val="0"/>
          <w:sz w:val="22"/>
        </w:rPr>
        <w:t xml:space="preserve"> ↑ (survey: 82% → 94%).</w:t>
      </w:r>
    </w:p>
    <w:p>
      <w:pPr>
        <w:spacing w:after="120"/>
        <w:jc w:val="both"/>
      </w:pPr>
      <w:r>
        <w:rPr>
          <w:rFonts w:ascii="Cambria" w:hAnsi="Cambria"/>
          <w:b w:val="0"/>
          <w:i w:val="0"/>
          <w:sz w:val="22"/>
        </w:rPr>
        <w:t>Transparent allocation → improved student feedback on teaching organization (3.8 → 4.3/5).</w:t>
      </w:r>
    </w:p>
    <w:p>
      <w:pPr>
        <w:keepNext/>
        <w:spacing w:before="280" w:after="160"/>
        <w:jc w:val="left"/>
      </w:pPr>
      <w:r>
        <w:rPr>
          <w:rFonts w:ascii="Cambria" w:hAnsi="Cambria"/>
          <w:b/>
          <w:i w:val="0"/>
          <w:color w:val="1F3A5F"/>
          <w:sz w:val="26"/>
        </w:rPr>
        <w:t>How Workload Equity Becomes Audit-Ready</w:t>
      </w:r>
    </w:p>
    <w:p>
      <w:pPr>
        <w:spacing w:after="80"/>
        <w:ind w:left="340" w:hanging="340"/>
        <w:jc w:val="both"/>
      </w:pPr>
      <w:r>
        <w:rPr>
          <w:rFonts w:ascii="Cambria" w:hAnsi="Cambria"/>
          <w:b w:val="0"/>
          <w:i w:val="0"/>
          <w:sz w:val="22"/>
        </w:rPr>
        <w:t xml:space="preserve">1. </w:t>
      </w:r>
      <w:r>
        <w:rPr>
          <w:rFonts w:ascii="Cambria" w:hAnsi="Cambria"/>
          <w:b w:val="0"/>
          <w:i w:val="0"/>
          <w:sz w:val="22"/>
        </w:rPr>
        <w:t>Faculty Workload Distribution Sheet</w:t>
      </w:r>
    </w:p>
    <w:p>
      <w:pPr>
        <w:pStyle w:val="ListBullet2"/>
        <w:spacing w:after="80"/>
        <w:jc w:val="both"/>
      </w:pPr>
      <w:r>
        <w:rPr>
          <w:rFonts w:ascii="Cambria" w:hAnsi="Cambria"/>
          <w:b w:val="0"/>
          <w:i w:val="0"/>
          <w:sz w:val="22"/>
        </w:rPr>
        <w:t>Lists each faculty's hours (theory, lab, tutorials, project supervision, admin duties).</w:t>
      </w:r>
    </w:p>
    <w:p>
      <w:pPr>
        <w:pStyle w:val="ListBullet2"/>
        <w:spacing w:after="80"/>
        <w:jc w:val="both"/>
      </w:pPr>
      <w:r>
        <w:rPr>
          <w:rFonts w:ascii="Cambria" w:hAnsi="Cambria"/>
          <w:b w:val="0"/>
          <w:i w:val="0"/>
          <w:sz w:val="22"/>
        </w:rPr>
        <w:t>Clearly shows no one is underloaded or overloaded.</w:t>
      </w:r>
    </w:p>
    <w:p>
      <w:pPr>
        <w:pStyle w:val="ListBullet2"/>
        <w:spacing w:after="80"/>
        <w:jc w:val="both"/>
      </w:pPr>
      <w:r>
        <w:rPr>
          <w:rFonts w:ascii="Cambria" w:hAnsi="Cambria"/>
          <w:b w:val="0"/>
          <w:i w:val="0"/>
          <w:sz w:val="22"/>
        </w:rPr>
        <w:t>Signed by HoD → official proof.</w:t>
      </w:r>
    </w:p>
    <w:p>
      <w:pPr>
        <w:spacing w:after="80"/>
        <w:ind w:left="340" w:hanging="340"/>
        <w:jc w:val="both"/>
      </w:pPr>
      <w:r>
        <w:rPr>
          <w:rFonts w:ascii="Cambria" w:hAnsi="Cambria"/>
          <w:b w:val="0"/>
          <w:i w:val="0"/>
          <w:sz w:val="22"/>
        </w:rPr>
        <w:t xml:space="preserve">2. </w:t>
      </w:r>
      <w:r>
        <w:rPr>
          <w:rFonts w:ascii="Cambria" w:hAnsi="Cambria"/>
          <w:b w:val="0"/>
          <w:i w:val="0"/>
          <w:sz w:val="22"/>
        </w:rPr>
        <w:t>Course Allocation Matrix</w:t>
      </w:r>
    </w:p>
    <w:p>
      <w:pPr>
        <w:pStyle w:val="ListBullet2"/>
        <w:spacing w:after="80"/>
        <w:jc w:val="both"/>
      </w:pPr>
      <w:r>
        <w:rPr>
          <w:rFonts w:ascii="Cambria" w:hAnsi="Cambria"/>
          <w:b w:val="0"/>
          <w:i w:val="0"/>
          <w:sz w:val="22"/>
        </w:rPr>
        <w:t>Cross-table showing Faculty ↔ Course ↔ Credits/Hours.</w:t>
      </w:r>
    </w:p>
    <w:p>
      <w:pPr>
        <w:pStyle w:val="ListBullet2"/>
        <w:spacing w:after="80"/>
        <w:jc w:val="both"/>
      </w:pPr>
      <w:r>
        <w:rPr>
          <w:rFonts w:ascii="Cambria" w:hAnsi="Cambria"/>
          <w:b w:val="0"/>
          <w:i w:val="0"/>
          <w:sz w:val="22"/>
        </w:rPr>
        <w:t>Makes equity transparent at a glance.</w:t>
      </w:r>
    </w:p>
    <w:p>
      <w:pPr>
        <w:spacing w:after="120"/>
        <w:jc w:val="both"/>
      </w:pPr>
      <w:r>
        <w:rPr>
          <w:rFonts w:ascii="Cambria" w:hAnsi="Cambria"/>
          <w:b w:val="0"/>
          <w:i w:val="0"/>
          <w:sz w:val="22"/>
        </w:rPr>
        <w:t>Demonstrates expertise-based allocation → core/elective courses mapped to right faculty.</w:t>
      </w:r>
    </w:p>
    <w:p>
      <w:pPr>
        <w:spacing w:after="80"/>
        <w:ind w:left="340" w:hanging="340"/>
        <w:jc w:val="both"/>
      </w:pPr>
      <w:r>
        <w:rPr>
          <w:rFonts w:ascii="Cambria" w:hAnsi="Cambria"/>
          <w:b w:val="0"/>
          <w:i w:val="0"/>
          <w:sz w:val="22"/>
        </w:rPr>
        <w:t xml:space="preserve">3. </w:t>
      </w:r>
      <w:r>
        <w:rPr>
          <w:rFonts w:ascii="Cambria" w:hAnsi="Cambria"/>
          <w:b w:val="0"/>
          <w:i w:val="0"/>
          <w:sz w:val="22"/>
        </w:rPr>
        <w:t>Semester-wise Timetable</w:t>
      </w:r>
    </w:p>
    <w:p>
      <w:pPr>
        <w:pStyle w:val="ListBullet2"/>
        <w:spacing w:after="80"/>
        <w:jc w:val="both"/>
      </w:pPr>
      <w:r>
        <w:rPr>
          <w:rFonts w:ascii="Cambria" w:hAnsi="Cambria"/>
          <w:b w:val="0"/>
          <w:i w:val="0"/>
          <w:sz w:val="22"/>
        </w:rPr>
        <w:t>Validates theory &amp; lab sessions match workload allocation.</w:t>
      </w:r>
    </w:p>
    <w:p>
      <w:pPr>
        <w:pStyle w:val="ListBullet2"/>
        <w:spacing w:after="80"/>
        <w:jc w:val="both"/>
      </w:pPr>
      <w:r>
        <w:rPr>
          <w:rFonts w:ascii="Cambria" w:hAnsi="Cambria"/>
          <w:b w:val="0"/>
          <w:i w:val="0"/>
          <w:sz w:val="22"/>
        </w:rPr>
        <w:t>Confirms equitable use of faculty time and infrastructure (classrooms, labs, ICT).</w:t>
      </w:r>
    </w:p>
    <w:p>
      <w:pPr>
        <w:spacing w:after="80"/>
        <w:ind w:left="340" w:hanging="340"/>
        <w:jc w:val="both"/>
      </w:pPr>
      <w:r>
        <w:rPr>
          <w:rFonts w:ascii="Cambria" w:hAnsi="Cambria"/>
          <w:b w:val="0"/>
          <w:i w:val="0"/>
          <w:sz w:val="22"/>
        </w:rPr>
        <w:t xml:space="preserve">4. </w:t>
      </w:r>
      <w:r>
        <w:rPr>
          <w:rFonts w:ascii="Cambria" w:hAnsi="Cambria"/>
          <w:b w:val="0"/>
          <w:i w:val="0"/>
          <w:sz w:val="22"/>
        </w:rPr>
        <w:t>Meeting Notes &amp; Submission Acknowledgement</w:t>
      </w:r>
    </w:p>
    <w:p>
      <w:pPr>
        <w:pStyle w:val="ListBullet2"/>
        <w:spacing w:after="80"/>
        <w:jc w:val="both"/>
      </w:pPr>
      <w:r>
        <w:rPr>
          <w:rFonts w:ascii="Cambria" w:hAnsi="Cambria"/>
          <w:b w:val="0"/>
          <w:i w:val="0"/>
          <w:sz w:val="22"/>
        </w:rPr>
        <w:t>Prove that the workload was discussed, finalized, and approved.</w:t>
      </w:r>
    </w:p>
    <w:p>
      <w:pPr>
        <w:spacing w:after="120"/>
        <w:jc w:val="both"/>
      </w:pPr>
      <w:r>
        <w:rPr>
          <w:rFonts w:ascii="Cambria" w:hAnsi="Cambria"/>
          <w:b w:val="0"/>
          <w:i w:val="0"/>
          <w:sz w:val="22"/>
        </w:rPr>
        <w:t>Provides the traceability chain → Allocation → Documentation → Approval.</w:t>
      </w:r>
    </w:p>
    <w:p>
      <w:pPr>
        <w:keepNext/>
        <w:spacing w:before="280" w:after="160"/>
        <w:jc w:val="left"/>
      </w:pPr>
      <w:r>
        <w:rPr>
          <w:rFonts w:ascii="Cambria" w:hAnsi="Cambria"/>
          <w:b/>
          <w:i w:val="0"/>
          <w:color w:val="1F3A5F"/>
          <w:sz w:val="26"/>
        </w:rPr>
        <w:t>Tangible Audit-Ready Outcomes</w:t>
      </w:r>
    </w:p>
    <w:p>
      <w:pPr>
        <w:pStyle w:val="ListBullet"/>
        <w:spacing w:after="80"/>
        <w:jc w:val="both"/>
      </w:pPr>
      <w:r>
        <w:rPr>
          <w:rFonts w:ascii="Cambria" w:hAnsi="Cambria"/>
          <w:b w:val="0"/>
          <w:i w:val="0"/>
          <w:sz w:val="22"/>
        </w:rPr>
        <w:t>100% faculty workloads visible in allocation matrix + timetables.</w:t>
      </w:r>
    </w:p>
    <w:p>
      <w:pPr>
        <w:pStyle w:val="ListBullet"/>
        <w:spacing w:after="80"/>
        <w:jc w:val="both"/>
      </w:pPr>
      <w:r>
        <w:rPr>
          <w:rFonts w:ascii="Cambria" w:hAnsi="Cambria"/>
          <w:b w:val="0"/>
          <w:i w:val="0"/>
          <w:sz w:val="22"/>
        </w:rPr>
        <w:t>Faculty loads balanced within UGC/AICTE norms (16–20 hrs/week).</w:t>
      </w:r>
    </w:p>
    <w:p>
      <w:pPr>
        <w:pStyle w:val="ListBullet"/>
        <w:spacing w:after="80"/>
        <w:jc w:val="both"/>
      </w:pPr>
      <w:r>
        <w:rPr>
          <w:rFonts w:ascii="Cambria" w:hAnsi="Cambria"/>
          <w:b w:val="0"/>
          <w:i w:val="0"/>
          <w:sz w:val="22"/>
        </w:rPr>
        <w:t>95% timetable adherence across the semester (fewest clashes/cancellations).</w:t>
      </w:r>
    </w:p>
    <w:p>
      <w:pPr>
        <w:spacing w:after="120"/>
        <w:jc w:val="both"/>
      </w:pPr>
      <w:r>
        <w:rPr>
          <w:rFonts w:ascii="Cambria" w:hAnsi="Cambria"/>
          <w:b w:val="0"/>
          <w:i w:val="0"/>
          <w:sz w:val="22"/>
        </w:rPr>
        <w:t xml:space="preserve">Student feedback on </w:t>
      </w:r>
      <w:r>
        <w:rPr>
          <w:rFonts w:ascii="Cambria" w:hAnsi="Cambria"/>
          <w:b w:val="0"/>
          <w:i/>
          <w:sz w:val="22"/>
        </w:rPr>
        <w:t>“teaching organization”</w:t>
      </w:r>
      <w:r>
        <w:rPr>
          <w:rFonts w:ascii="Cambria" w:hAnsi="Cambria"/>
          <w:b w:val="0"/>
          <w:i w:val="0"/>
          <w:sz w:val="22"/>
        </w:rPr>
        <w:t xml:space="preserve"> improved (3.8 → 4.3/5).</w:t>
      </w:r>
    </w:p>
    <w:p>
      <w:pPr>
        <w:pStyle w:val="ListBullet"/>
        <w:spacing w:after="80"/>
        <w:jc w:val="both"/>
      </w:pPr>
      <w:r>
        <w:rPr>
          <w:rFonts w:ascii="Cambria" w:hAnsi="Cambria"/>
          <w:b w:val="0"/>
          <w:i w:val="0"/>
          <w:sz w:val="22"/>
        </w:rPr>
        <w:t>CO attainment improved (+6%) due to expertise-driven allocation.</w:t>
      </w:r>
    </w:p>
    <w:p>
      <w:pPr>
        <w:keepNext/>
        <w:spacing w:before="280" w:after="160"/>
        <w:jc w:val="left"/>
      </w:pPr>
      <w:r>
        <w:rPr>
          <w:rFonts w:ascii="Cambria" w:hAnsi="Cambria"/>
          <w:b/>
          <w:i w:val="0"/>
          <w:color w:val="1F3A5F"/>
          <w:sz w:val="26"/>
        </w:rPr>
        <w:t>Why UGC/AICTE Norm Compliance Matters</w:t>
      </w:r>
    </w:p>
    <w:p>
      <w:pPr>
        <w:spacing w:after="80"/>
        <w:ind w:left="340" w:hanging="340"/>
        <w:jc w:val="both"/>
      </w:pPr>
      <w:r>
        <w:rPr>
          <w:rFonts w:ascii="Cambria" w:hAnsi="Cambria"/>
          <w:b w:val="0"/>
          <w:i w:val="0"/>
          <w:sz w:val="22"/>
        </w:rPr>
        <w:t xml:space="preserve">1. </w:t>
      </w:r>
      <w:r>
        <w:rPr>
          <w:rFonts w:ascii="Cambria" w:hAnsi="Cambria"/>
          <w:b w:val="0"/>
          <w:i w:val="0"/>
          <w:sz w:val="22"/>
        </w:rPr>
        <w:t>Standardization</w:t>
      </w:r>
    </w:p>
    <w:p>
      <w:pPr>
        <w:pStyle w:val="ListBullet2"/>
        <w:spacing w:after="80"/>
        <w:jc w:val="both"/>
      </w:pPr>
      <w:r>
        <w:rPr>
          <w:rFonts w:ascii="Cambria" w:hAnsi="Cambria"/>
          <w:b w:val="0"/>
          <w:i w:val="0"/>
          <w:sz w:val="22"/>
        </w:rPr>
        <w:t>Ensures every faculty member has a fair, regulated workload.</w:t>
      </w:r>
    </w:p>
    <w:p>
      <w:pPr>
        <w:pStyle w:val="ListBullet2"/>
        <w:spacing w:after="80"/>
        <w:jc w:val="both"/>
      </w:pPr>
      <w:r>
        <w:rPr>
          <w:rFonts w:ascii="Cambria" w:hAnsi="Cambria"/>
          <w:b w:val="0"/>
          <w:i w:val="0"/>
          <w:sz w:val="22"/>
        </w:rPr>
        <w:t>Prevents overburdening (burnout risk) or underloading (inefficiency).</w:t>
      </w:r>
    </w:p>
    <w:p>
      <w:pPr>
        <w:spacing w:after="80"/>
        <w:ind w:left="340" w:hanging="340"/>
        <w:jc w:val="both"/>
      </w:pPr>
      <w:r>
        <w:rPr>
          <w:rFonts w:ascii="Cambria" w:hAnsi="Cambria"/>
          <w:b w:val="0"/>
          <w:i w:val="0"/>
          <w:sz w:val="22"/>
        </w:rPr>
        <w:t xml:space="preserve">2. </w:t>
      </w:r>
      <w:r>
        <w:rPr>
          <w:rFonts w:ascii="Cambria" w:hAnsi="Cambria"/>
          <w:b w:val="0"/>
          <w:i w:val="0"/>
          <w:sz w:val="22"/>
        </w:rPr>
        <w:t>Equity &amp; Transparency</w:t>
      </w:r>
    </w:p>
    <w:p>
      <w:pPr>
        <w:pStyle w:val="ListBullet2"/>
        <w:spacing w:after="80"/>
        <w:jc w:val="both"/>
      </w:pPr>
      <w:r>
        <w:rPr>
          <w:rFonts w:ascii="Cambria" w:hAnsi="Cambria"/>
          <w:b w:val="0"/>
          <w:i w:val="0"/>
          <w:sz w:val="22"/>
        </w:rPr>
        <w:t>Faculty workloads are uniform and justifiable across the department.</w:t>
      </w:r>
    </w:p>
    <w:p>
      <w:pPr>
        <w:pStyle w:val="ListBullet2"/>
        <w:spacing w:after="80"/>
        <w:jc w:val="both"/>
      </w:pPr>
      <w:r>
        <w:rPr>
          <w:rFonts w:ascii="Cambria" w:hAnsi="Cambria"/>
          <w:b w:val="0"/>
          <w:i w:val="0"/>
          <w:sz w:val="22"/>
        </w:rPr>
        <w:t>Proves there's no favoritism in subject or lab allocations.</w:t>
      </w:r>
    </w:p>
    <w:p>
      <w:pPr>
        <w:spacing w:after="80"/>
        <w:ind w:left="340" w:hanging="340"/>
        <w:jc w:val="both"/>
      </w:pPr>
      <w:r>
        <w:rPr>
          <w:rFonts w:ascii="Cambria" w:hAnsi="Cambria"/>
          <w:b w:val="0"/>
          <w:i w:val="0"/>
          <w:sz w:val="22"/>
        </w:rPr>
        <w:t xml:space="preserve">3. </w:t>
      </w:r>
      <w:r>
        <w:rPr>
          <w:rFonts w:ascii="Cambria" w:hAnsi="Cambria"/>
          <w:b w:val="0"/>
          <w:i w:val="0"/>
          <w:sz w:val="22"/>
        </w:rPr>
        <w:t>Audit-Readiness</w:t>
      </w:r>
    </w:p>
    <w:p>
      <w:pPr>
        <w:pStyle w:val="ListBullet2"/>
        <w:spacing w:after="80"/>
        <w:jc w:val="both"/>
      </w:pPr>
      <w:r>
        <w:rPr>
          <w:rFonts w:ascii="Cambria" w:hAnsi="Cambria"/>
          <w:b w:val="0"/>
          <w:i w:val="0"/>
          <w:sz w:val="22"/>
        </w:rPr>
        <w:t>NAAC/NBA peer reviewers can quickly verify compliance by checking:</w:t>
      </w:r>
    </w:p>
    <w:p>
      <w:pPr>
        <w:spacing w:after="120"/>
        <w:jc w:val="both"/>
      </w:pPr>
      <w:r>
        <w:rPr>
          <w:rFonts w:ascii="Cambria" w:hAnsi="Cambria"/>
          <w:b w:val="0"/>
          <w:i w:val="0"/>
          <w:sz w:val="22"/>
        </w:rPr>
        <w:t>Workload Distribution Sheet (hours per faculty).</w:t>
      </w:r>
    </w:p>
    <w:p>
      <w:pPr>
        <w:spacing w:after="120"/>
        <w:jc w:val="both"/>
      </w:pPr>
      <w:r>
        <w:rPr>
          <w:rFonts w:ascii="Cambria" w:hAnsi="Cambria"/>
          <w:b w:val="0"/>
          <w:i w:val="0"/>
          <w:sz w:val="22"/>
        </w:rPr>
        <w:t>Timetable cross-check (theory + labs + tutorials).</w:t>
      </w:r>
    </w:p>
    <w:p>
      <w:pPr>
        <w:spacing w:after="120"/>
        <w:jc w:val="both"/>
      </w:pPr>
      <w:r>
        <w:rPr>
          <w:rFonts w:ascii="Cambria" w:hAnsi="Cambria"/>
          <w:b w:val="0"/>
          <w:i w:val="0"/>
          <w:sz w:val="22"/>
        </w:rPr>
        <w:t>Signed approvals from HoD and Principal.</w:t>
      </w:r>
    </w:p>
    <w:p>
      <w:pPr>
        <w:spacing w:after="80"/>
        <w:ind w:left="340" w:hanging="340"/>
        <w:jc w:val="both"/>
      </w:pPr>
      <w:r>
        <w:rPr>
          <w:rFonts w:ascii="Cambria" w:hAnsi="Cambria"/>
          <w:b w:val="0"/>
          <w:i w:val="0"/>
          <w:sz w:val="22"/>
        </w:rPr>
        <w:t xml:space="preserve">4. </w:t>
      </w:r>
      <w:r>
        <w:rPr>
          <w:rFonts w:ascii="Cambria" w:hAnsi="Cambria"/>
          <w:b w:val="0"/>
          <w:i w:val="0"/>
          <w:sz w:val="22"/>
        </w:rPr>
        <w:t>Resource Optimization</w:t>
      </w:r>
    </w:p>
    <w:p>
      <w:pPr>
        <w:pStyle w:val="ListBullet2"/>
        <w:spacing w:after="80"/>
        <w:jc w:val="both"/>
      </w:pPr>
      <w:r>
        <w:rPr>
          <w:rFonts w:ascii="Cambria" w:hAnsi="Cambria"/>
          <w:b w:val="0"/>
          <w:i w:val="0"/>
          <w:sz w:val="22"/>
        </w:rPr>
        <w:t>Teaching, labs, projects, mentoring, and admin work are all counted.</w:t>
      </w:r>
    </w:p>
    <w:p>
      <w:pPr>
        <w:pStyle w:val="ListBullet2"/>
        <w:spacing w:after="80"/>
        <w:jc w:val="both"/>
      </w:pPr>
      <w:r>
        <w:rPr>
          <w:rFonts w:ascii="Cambria" w:hAnsi="Cambria"/>
          <w:b w:val="0"/>
          <w:i w:val="0"/>
          <w:sz w:val="22"/>
        </w:rPr>
        <w:t>Faculty time is used effectively without exceeding norms.</w:t>
      </w:r>
    </w:p>
    <w:p>
      <w:pPr>
        <w:keepNext/>
        <w:spacing w:before="280" w:after="160"/>
        <w:jc w:val="left"/>
      </w:pPr>
      <w:r>
        <w:rPr>
          <w:rFonts w:ascii="Cambria" w:hAnsi="Cambria"/>
          <w:b/>
          <w:i w:val="0"/>
          <w:color w:val="1F3A5F"/>
          <w:sz w:val="26"/>
        </w:rPr>
        <w:t>Tangible Outcomes (IV)</w:t>
      </w:r>
    </w:p>
    <w:p>
      <w:pPr>
        <w:pStyle w:val="ListBullet"/>
        <w:spacing w:after="80"/>
        <w:jc w:val="both"/>
      </w:pPr>
      <w:r>
        <w:rPr>
          <w:rFonts w:ascii="Cambria" w:hAnsi="Cambria"/>
          <w:b w:val="0"/>
          <w:i w:val="0"/>
          <w:sz w:val="22"/>
        </w:rPr>
        <w:t>100% faculty workloads between 16–20 hrs/week.</w:t>
      </w:r>
    </w:p>
    <w:p>
      <w:pPr>
        <w:pStyle w:val="ListBullet"/>
        <w:spacing w:after="80"/>
        <w:jc w:val="both"/>
      </w:pPr>
      <w:r>
        <w:rPr>
          <w:rFonts w:ascii="Cambria" w:hAnsi="Cambria"/>
          <w:b w:val="0"/>
          <w:i w:val="0"/>
          <w:sz w:val="22"/>
        </w:rPr>
        <w:t>Avg. workload maintained at 18 hrs/week.</w:t>
      </w:r>
    </w:p>
    <w:p>
      <w:pPr>
        <w:pStyle w:val="ListBullet"/>
        <w:spacing w:after="80"/>
        <w:jc w:val="both"/>
      </w:pPr>
      <w:r>
        <w:rPr>
          <w:rFonts w:ascii="Cambria" w:hAnsi="Cambria"/>
          <w:b w:val="0"/>
          <w:i w:val="0"/>
          <w:sz w:val="22"/>
        </w:rPr>
        <w:t>0 cases of underload (&lt;16 hrs) or overload (&gt;20 hrs).</w:t>
      </w:r>
    </w:p>
    <w:p>
      <w:pPr>
        <w:spacing w:after="120"/>
        <w:jc w:val="both"/>
      </w:pPr>
      <w:r>
        <w:rPr>
          <w:rFonts w:ascii="Cambria" w:hAnsi="Cambria"/>
          <w:b w:val="0"/>
          <w:i w:val="0"/>
          <w:sz w:val="22"/>
        </w:rPr>
        <w:t>95% timetable adherence → fewer cancellations/clashes.</w:t>
      </w:r>
    </w:p>
    <w:p>
      <w:pPr>
        <w:spacing w:after="120"/>
        <w:jc w:val="both"/>
      </w:pPr>
      <w:r>
        <w:rPr>
          <w:rFonts w:ascii="Cambria" w:hAnsi="Cambria"/>
          <w:b w:val="0"/>
          <w:i w:val="0"/>
          <w:sz w:val="22"/>
        </w:rPr>
        <w:t xml:space="preserve">Improved student feedback on </w:t>
      </w:r>
      <w:r>
        <w:rPr>
          <w:rFonts w:ascii="Cambria" w:hAnsi="Cambria"/>
          <w:b w:val="0"/>
          <w:i/>
          <w:sz w:val="22"/>
        </w:rPr>
        <w:t>“course organization”</w:t>
      </w:r>
      <w:r>
        <w:rPr>
          <w:rFonts w:ascii="Cambria" w:hAnsi="Cambria"/>
          <w:b w:val="0"/>
          <w:i w:val="0"/>
          <w:sz w:val="22"/>
        </w:rPr>
        <w:t xml:space="preserve"> (3.8 → 4.3/5).</w:t>
      </w:r>
    </w:p>
    <w:p>
      <w:pPr>
        <w:pStyle w:val="ListBullet"/>
        <w:spacing w:after="80"/>
        <w:jc w:val="both"/>
      </w:pPr>
      <w:r>
        <w:rPr>
          <w:rFonts w:ascii="Cambria" w:hAnsi="Cambria"/>
          <w:b w:val="0"/>
          <w:i w:val="0"/>
          <w:sz w:val="22"/>
        </w:rPr>
        <w:t>+6% improvement in CO attainment due to balanced, expertise-driven allocations.</w:t>
      </w:r>
    </w:p>
    <w:p>
      <w:pPr>
        <w:keepNext/>
        <w:spacing w:before="280" w:after="160"/>
        <w:jc w:val="left"/>
      </w:pPr>
      <w:r>
        <w:rPr>
          <w:rFonts w:ascii="Cambria" w:hAnsi="Cambria"/>
          <w:b/>
          <w:i w:val="0"/>
          <w:color w:val="1F3A5F"/>
          <w:sz w:val="26"/>
        </w:rPr>
        <w:t>Why Faculty Satisfaction is Important</w:t>
      </w:r>
    </w:p>
    <w:p>
      <w:pPr>
        <w:spacing w:after="80"/>
        <w:ind w:left="340" w:hanging="340"/>
        <w:jc w:val="both"/>
      </w:pPr>
      <w:r>
        <w:rPr>
          <w:rFonts w:ascii="Cambria" w:hAnsi="Cambria"/>
          <w:b w:val="0"/>
          <w:i w:val="0"/>
          <w:sz w:val="22"/>
        </w:rPr>
        <w:t xml:space="preserve">1. </w:t>
      </w:r>
      <w:r>
        <w:rPr>
          <w:rFonts w:ascii="Cambria" w:hAnsi="Cambria"/>
          <w:b w:val="0"/>
          <w:i w:val="0"/>
          <w:sz w:val="22"/>
        </w:rPr>
        <w:t>Proof of Equity Acceptance</w:t>
      </w:r>
    </w:p>
    <w:p>
      <w:pPr>
        <w:pStyle w:val="ListBullet2"/>
        <w:spacing w:after="80"/>
        <w:jc w:val="both"/>
      </w:pPr>
      <w:r>
        <w:rPr>
          <w:rFonts w:ascii="Cambria" w:hAnsi="Cambria"/>
          <w:b w:val="0"/>
          <w:i w:val="0"/>
          <w:sz w:val="22"/>
        </w:rPr>
        <w:t>Workload distribution is fair not just on paper, but also recognized as fair by faculty.</w:t>
      </w:r>
    </w:p>
    <w:p>
      <w:pPr>
        <w:pStyle w:val="ListBullet2"/>
        <w:spacing w:after="80"/>
        <w:jc w:val="both"/>
      </w:pPr>
      <w:r>
        <w:rPr>
          <w:rFonts w:ascii="Cambria" w:hAnsi="Cambria"/>
          <w:b w:val="0"/>
          <w:i w:val="0"/>
          <w:sz w:val="22"/>
        </w:rPr>
        <w:t>Higher satisfaction means zero hidden dissatisfaction or disputes.</w:t>
      </w:r>
    </w:p>
    <w:p>
      <w:pPr>
        <w:spacing w:after="80"/>
        <w:ind w:left="340" w:hanging="340"/>
        <w:jc w:val="both"/>
      </w:pPr>
      <w:r>
        <w:rPr>
          <w:rFonts w:ascii="Cambria" w:hAnsi="Cambria"/>
          <w:b w:val="0"/>
          <w:i w:val="0"/>
          <w:sz w:val="22"/>
        </w:rPr>
        <w:t xml:space="preserve">2. </w:t>
      </w:r>
      <w:r>
        <w:rPr>
          <w:rFonts w:ascii="Cambria" w:hAnsi="Cambria"/>
          <w:b w:val="0"/>
          <w:i w:val="0"/>
          <w:sz w:val="22"/>
        </w:rPr>
        <w:t>Governance Feedback Loop</w:t>
      </w:r>
    </w:p>
    <w:p>
      <w:pPr>
        <w:pStyle w:val="ListBullet2"/>
        <w:spacing w:after="80"/>
        <w:jc w:val="both"/>
      </w:pPr>
      <w:r>
        <w:rPr>
          <w:rFonts w:ascii="Cambria" w:hAnsi="Cambria"/>
          <w:b w:val="0"/>
          <w:i w:val="0"/>
          <w:sz w:val="22"/>
        </w:rPr>
        <w:t>Internal survey acts as evidence of participatory governance.</w:t>
      </w:r>
    </w:p>
    <w:p>
      <w:pPr>
        <w:pStyle w:val="ListBullet2"/>
        <w:spacing w:after="80"/>
        <w:jc w:val="both"/>
      </w:pPr>
      <w:r>
        <w:rPr>
          <w:rFonts w:ascii="Cambria" w:hAnsi="Cambria"/>
          <w:b w:val="0"/>
          <w:i w:val="0"/>
          <w:sz w:val="22"/>
        </w:rPr>
        <w:t>Faculty voices included → shows transparency.</w:t>
      </w:r>
    </w:p>
    <w:p>
      <w:pPr>
        <w:spacing w:after="80"/>
        <w:ind w:left="340" w:hanging="340"/>
        <w:jc w:val="both"/>
      </w:pPr>
      <w:r>
        <w:rPr>
          <w:rFonts w:ascii="Cambria" w:hAnsi="Cambria"/>
          <w:b w:val="0"/>
          <w:i w:val="0"/>
          <w:sz w:val="22"/>
        </w:rPr>
        <w:t xml:space="preserve">3. </w:t>
      </w:r>
      <w:r>
        <w:rPr>
          <w:rFonts w:ascii="Cambria" w:hAnsi="Cambria"/>
          <w:b w:val="0"/>
          <w:i w:val="0"/>
          <w:sz w:val="22"/>
        </w:rPr>
        <w:t>Accreditation Alignment</w:t>
      </w:r>
    </w:p>
    <w:p>
      <w:pPr>
        <w:pStyle w:val="ListBullet2"/>
        <w:spacing w:after="80"/>
        <w:jc w:val="both"/>
      </w:pPr>
      <w:r>
        <w:rPr>
          <w:rFonts w:ascii="Cambria" w:hAnsi="Cambria"/>
          <w:b w:val="0"/>
          <w:i w:val="0"/>
          <w:sz w:val="22"/>
        </w:rPr>
        <w:t>NAAC Criterion 6 (Governance) &amp; NBA Criterion 5 (Faculty Contributions) value feedback-based evidence.</w:t>
      </w:r>
    </w:p>
    <w:p>
      <w:pPr>
        <w:pStyle w:val="ListBullet2"/>
        <w:spacing w:after="80"/>
        <w:jc w:val="both"/>
      </w:pPr>
      <w:r>
        <w:rPr>
          <w:rFonts w:ascii="Cambria" w:hAnsi="Cambria"/>
          <w:b w:val="0"/>
          <w:i w:val="0"/>
          <w:sz w:val="22"/>
        </w:rPr>
        <w:t>Improves credibility of workload documentation.</w:t>
      </w:r>
    </w:p>
    <w:p>
      <w:pPr>
        <w:keepNext/>
        <w:spacing w:before="280" w:after="160"/>
        <w:jc w:val="left"/>
      </w:pPr>
      <w:r>
        <w:rPr>
          <w:rFonts w:ascii="Cambria" w:hAnsi="Cambria"/>
          <w:b/>
          <w:i w:val="0"/>
          <w:color w:val="1F3A5F"/>
          <w:sz w:val="26"/>
        </w:rPr>
        <w:t>Tangible Outcomes (V)</w:t>
      </w:r>
    </w:p>
    <w:p>
      <w:pPr>
        <w:pStyle w:val="ListBullet"/>
        <w:spacing w:after="80"/>
        <w:jc w:val="both"/>
      </w:pPr>
      <w:r>
        <w:rPr>
          <w:rFonts w:ascii="Cambria" w:hAnsi="Cambria"/>
          <w:b w:val="0"/>
          <w:i w:val="0"/>
          <w:sz w:val="22"/>
        </w:rPr>
        <w:t>Faculty satisfaction with workload fairness: 82% (2022–23) → 94% (2023–24).</w:t>
      </w:r>
    </w:p>
    <w:p>
      <w:pPr>
        <w:pStyle w:val="ListBullet"/>
        <w:spacing w:after="80"/>
        <w:jc w:val="both"/>
      </w:pPr>
      <w:r>
        <w:rPr>
          <w:rFonts w:ascii="Cambria" w:hAnsi="Cambria"/>
          <w:b w:val="0"/>
          <w:i w:val="0"/>
          <w:sz w:val="22"/>
        </w:rPr>
        <w:t>0 disputes regarding unfair allocation in 2023–24.</w:t>
      </w:r>
    </w:p>
    <w:p>
      <w:pPr>
        <w:pStyle w:val="ListBullet"/>
        <w:spacing w:after="80"/>
        <w:jc w:val="both"/>
      </w:pPr>
      <w:r>
        <w:rPr>
          <w:rFonts w:ascii="Cambria" w:hAnsi="Cambria"/>
          <w:b w:val="0"/>
          <w:i w:val="0"/>
          <w:sz w:val="22"/>
        </w:rPr>
        <w:t>100% faculty within UGC/AICTE norms (16–20 hrs/week).</w:t>
      </w:r>
    </w:p>
    <w:p>
      <w:pPr>
        <w:pStyle w:val="ListBullet"/>
        <w:spacing w:after="80"/>
        <w:jc w:val="both"/>
      </w:pPr>
      <w:r>
        <w:rPr>
          <w:rFonts w:ascii="Cambria" w:hAnsi="Cambria"/>
          <w:b w:val="0"/>
          <w:i w:val="0"/>
          <w:sz w:val="22"/>
        </w:rPr>
        <w:t>Improved teaching outcomes: CO attainment +6%, student feedback +0.5 points.</w:t>
      </w:r>
    </w:p>
    <w:p>
      <w:pPr>
        <w:pStyle w:val="ListBullet"/>
        <w:spacing w:after="80"/>
        <w:jc w:val="both"/>
      </w:pPr>
      <w:r>
        <w:rPr>
          <w:rFonts w:ascii="Cambria" w:hAnsi="Cambria"/>
          <w:b w:val="0"/>
          <w:i w:val="0"/>
          <w:sz w:val="22"/>
        </w:rPr>
        <w:t>Enhanced faculty morale &amp; productivity → FDP participation ↑ 39%, publications ↑ 31%.</w:t>
      </w:r>
    </w:p>
    <w:p>
      <w:r>
        <w:br w:type="page"/>
      </w:r>
    </w:p>
    <w:p>
      <w:pPr>
        <w:keepNext/>
        <w:spacing w:before="280" w:after="160"/>
        <w:jc w:val="left"/>
      </w:pPr>
      <w:r>
        <w:rPr>
          <w:rFonts w:ascii="Cambria" w:hAnsi="Cambria"/>
          <w:b/>
          <w:i w:val="0"/>
          <w:color w:val="1F3A5F"/>
          <w:sz w:val="30"/>
        </w:rPr>
        <w:t>10. HoD's Responsibility in Assigning Diversified Roles to Faculty Across Administration, Academic Development, Industry Interface, and Research</w:t>
      </w:r>
    </w:p>
    <w:p>
      <w:pPr>
        <w:keepNext/>
        <w:spacing w:before="280" w:after="160"/>
        <w:jc w:val="left"/>
      </w:pPr>
      <w:r>
        <w:rPr>
          <w:rFonts w:ascii="Cambria" w:hAnsi="Cambria"/>
          <w:b/>
          <w:i w:val="0"/>
          <w:color w:val="1F3A5F"/>
          <w:sz w:val="26"/>
        </w:rPr>
        <w:t>Policy Statement</w:t>
      </w:r>
    </w:p>
    <w:p>
      <w:pPr>
        <w:pStyle w:val="ListBullet"/>
        <w:spacing w:after="80"/>
        <w:jc w:val="both"/>
      </w:pPr>
      <w:r>
        <w:rPr>
          <w:rFonts w:ascii="Cambria" w:hAnsi="Cambria"/>
          <w:b w:val="0"/>
          <w:i w:val="0"/>
          <w:sz w:val="22"/>
        </w:rPr>
        <w:t>The HoD shall plan and assign faculty responsibilities beyond teaching, covering academic, administrative, research, outreach, and industry/community engagement functions, ensuring equitable distribution and documentation.</w:t>
      </w:r>
    </w:p>
    <w:p>
      <w:pPr>
        <w:keepNext/>
        <w:spacing w:before="280" w:after="160"/>
        <w:jc w:val="left"/>
      </w:pPr>
      <w:r>
        <w:rPr>
          <w:rFonts w:ascii="Cambria" w:hAnsi="Cambria"/>
          <w:b/>
          <w:i w:val="0"/>
          <w:color w:val="1F3A5F"/>
          <w:sz w:val="26"/>
        </w:rPr>
        <w:t>Actions by HoD</w:t>
      </w:r>
    </w:p>
    <w:p>
      <w:pPr>
        <w:pStyle w:val="ListBullet"/>
        <w:spacing w:after="80"/>
        <w:jc w:val="both"/>
      </w:pPr>
      <w:r>
        <w:rPr>
          <w:rFonts w:ascii="Cambria" w:hAnsi="Cambria"/>
          <w:b w:val="0"/>
          <w:i w:val="0"/>
          <w:sz w:val="22"/>
        </w:rPr>
        <w:t>Administration → Assign roles like exam coordinator, timetable in-charge, NAAC/NBA coordinator, IQAC member.</w:t>
      </w:r>
    </w:p>
    <w:p>
      <w:pPr>
        <w:pStyle w:val="ListBullet"/>
        <w:spacing w:after="80"/>
        <w:jc w:val="both"/>
      </w:pPr>
      <w:r>
        <w:rPr>
          <w:rFonts w:ascii="Cambria" w:hAnsi="Cambria"/>
          <w:b w:val="0"/>
          <w:i w:val="0"/>
          <w:sz w:val="22"/>
        </w:rPr>
        <w:t>Academic Development → Allocate faculty for curriculum design, OBE implementation, FDP coordination.</w:t>
      </w:r>
    </w:p>
    <w:p>
      <w:pPr>
        <w:pStyle w:val="ListBullet"/>
        <w:spacing w:after="80"/>
        <w:jc w:val="both"/>
      </w:pPr>
      <w:r>
        <w:rPr>
          <w:rFonts w:ascii="Cambria" w:hAnsi="Cambria"/>
          <w:b w:val="0"/>
          <w:i w:val="0"/>
          <w:sz w:val="22"/>
        </w:rPr>
        <w:t>Maintenance &amp; Upkeep → Assign faculty-in-charge for labs, classrooms, ICT resources.</w:t>
      </w:r>
    </w:p>
    <w:p>
      <w:pPr>
        <w:pStyle w:val="ListBullet"/>
        <w:spacing w:after="80"/>
        <w:jc w:val="both"/>
      </w:pPr>
      <w:r>
        <w:rPr>
          <w:rFonts w:ascii="Cambria" w:hAnsi="Cambria"/>
          <w:b w:val="0"/>
          <w:i w:val="0"/>
          <w:sz w:val="22"/>
        </w:rPr>
        <w:t>Examinations → Appoint exam coordinators, invigilators, question paper setters, evaluators.</w:t>
      </w:r>
    </w:p>
    <w:p>
      <w:pPr>
        <w:pStyle w:val="ListBullet"/>
        <w:spacing w:after="80"/>
        <w:jc w:val="both"/>
      </w:pPr>
      <w:r>
        <w:rPr>
          <w:rFonts w:ascii="Cambria" w:hAnsi="Cambria"/>
          <w:b w:val="0"/>
          <w:i w:val="0"/>
          <w:sz w:val="22"/>
        </w:rPr>
        <w:t>Interface with External Bodies → Nominate faculty for UGC/AICTE/industry interactions, MoUs, accreditation visits.</w:t>
      </w:r>
    </w:p>
    <w:p>
      <w:pPr>
        <w:pStyle w:val="ListBullet"/>
        <w:spacing w:after="80"/>
        <w:jc w:val="both"/>
      </w:pPr>
      <w:r>
        <w:rPr>
          <w:rFonts w:ascii="Cambria" w:hAnsi="Cambria"/>
          <w:b w:val="0"/>
          <w:i w:val="0"/>
          <w:sz w:val="22"/>
        </w:rPr>
        <w:t>Interdisciplinary Works → Encourage joint teaching/research projects across departments.</w:t>
      </w:r>
    </w:p>
    <w:p>
      <w:pPr>
        <w:pStyle w:val="ListBullet"/>
        <w:spacing w:after="80"/>
        <w:jc w:val="both"/>
      </w:pPr>
      <w:r>
        <w:rPr>
          <w:rFonts w:ascii="Cambria" w:hAnsi="Cambria"/>
          <w:b w:val="0"/>
          <w:i w:val="0"/>
          <w:sz w:val="22"/>
        </w:rPr>
        <w:t>Consultancy &amp; Research → Allocate faculty for consultancy projects, funded research, patent facilitation.</w:t>
      </w:r>
    </w:p>
    <w:p>
      <w:pPr>
        <w:pStyle w:val="ListBullet"/>
        <w:spacing w:after="80"/>
        <w:jc w:val="both"/>
      </w:pPr>
      <w:r>
        <w:rPr>
          <w:rFonts w:ascii="Cambria" w:hAnsi="Cambria"/>
          <w:b w:val="0"/>
          <w:i w:val="0"/>
          <w:sz w:val="22"/>
        </w:rPr>
        <w:t>Student Counseling &amp; Mentoring → Assign mentors for academic, career, and psychological counseling.</w:t>
      </w:r>
    </w:p>
    <w:p>
      <w:pPr>
        <w:pStyle w:val="ListBullet"/>
        <w:spacing w:after="80"/>
        <w:jc w:val="both"/>
      </w:pPr>
      <w:r>
        <w:rPr>
          <w:rFonts w:ascii="Cambria" w:hAnsi="Cambria"/>
          <w:b w:val="0"/>
          <w:i w:val="0"/>
          <w:sz w:val="22"/>
        </w:rPr>
        <w:t>Industry Interaction → Nominate faculty for industrial training tie-ups, internships, and placement cell activities.</w:t>
      </w:r>
    </w:p>
    <w:p>
      <w:pPr>
        <w:pStyle w:val="ListBullet"/>
        <w:spacing w:after="80"/>
        <w:jc w:val="both"/>
      </w:pPr>
      <w:r>
        <w:rPr>
          <w:rFonts w:ascii="Cambria" w:hAnsi="Cambria"/>
          <w:b w:val="0"/>
          <w:i w:val="0"/>
          <w:sz w:val="22"/>
        </w:rPr>
        <w:t>Community Services → Allocate staff for NSS/NCC, extension activities, rural/urban outreach.</w:t>
      </w:r>
    </w:p>
    <w:p>
      <w:pPr>
        <w:pStyle w:val="ListBullet"/>
        <w:spacing w:after="80"/>
        <w:jc w:val="both"/>
      </w:pPr>
      <w:r>
        <w:rPr>
          <w:rFonts w:ascii="Cambria" w:hAnsi="Cambria"/>
          <w:b w:val="0"/>
          <w:i w:val="0"/>
          <w:sz w:val="22"/>
        </w:rPr>
        <w:t>Special Projects → Assign as per institutional needs (startup incubation, hackathons, innovation cell).</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Faculty Role Assignment Order (signed by HoD).</w:t>
      </w:r>
    </w:p>
    <w:p>
      <w:pPr>
        <w:pStyle w:val="ListBullet"/>
        <w:spacing w:after="80"/>
        <w:jc w:val="both"/>
      </w:pPr>
      <w:r>
        <w:rPr>
          <w:rFonts w:ascii="Cambria" w:hAnsi="Cambria"/>
          <w:b w:val="0"/>
          <w:i w:val="0"/>
          <w:sz w:val="22"/>
        </w:rPr>
        <w:t>List of faculty-in-charge for each responsibility.</w:t>
      </w:r>
    </w:p>
    <w:p>
      <w:pPr>
        <w:pStyle w:val="ListBullet"/>
        <w:spacing w:after="80"/>
        <w:jc w:val="both"/>
      </w:pPr>
      <w:r>
        <w:rPr>
          <w:rFonts w:ascii="Cambria" w:hAnsi="Cambria"/>
          <w:b w:val="0"/>
          <w:i w:val="0"/>
          <w:sz w:val="22"/>
        </w:rPr>
        <w:t>Meeting minutes of role distribution.</w:t>
      </w:r>
    </w:p>
    <w:p>
      <w:pPr>
        <w:pStyle w:val="ListBullet"/>
        <w:spacing w:after="80"/>
        <w:jc w:val="both"/>
      </w:pPr>
      <w:r>
        <w:rPr>
          <w:rFonts w:ascii="Cambria" w:hAnsi="Cambria"/>
          <w:b w:val="0"/>
          <w:i w:val="0"/>
          <w:sz w:val="22"/>
        </w:rPr>
        <w:t>Reports of activities conducted (FDP, consultancy, outreach, industry MoUs).</w:t>
      </w:r>
    </w:p>
    <w:p>
      <w:pPr>
        <w:pStyle w:val="ListBullet"/>
        <w:spacing w:after="80"/>
        <w:jc w:val="both"/>
      </w:pPr>
      <w:r>
        <w:rPr>
          <w:rFonts w:ascii="Cambria" w:hAnsi="Cambria"/>
          <w:b w:val="0"/>
          <w:i w:val="0"/>
          <w:sz w:val="22"/>
        </w:rPr>
        <w:t>Certificates/acknowledgements from external agencies.</w:t>
      </w:r>
    </w:p>
    <w:p>
      <w:pPr>
        <w:pStyle w:val="ListBullet"/>
        <w:spacing w:after="80"/>
        <w:jc w:val="both"/>
      </w:pPr>
      <w:r>
        <w:rPr>
          <w:rFonts w:ascii="Cambria" w:hAnsi="Cambria"/>
          <w:b w:val="0"/>
          <w:i w:val="0"/>
          <w:sz w:val="22"/>
        </w:rPr>
        <w:t>Student counseling &amp; mentoring records.</w:t>
      </w:r>
    </w:p>
    <w:p>
      <w:pPr>
        <w:pStyle w:val="ListBullet"/>
        <w:spacing w:after="80"/>
        <w:jc w:val="both"/>
      </w:pPr>
      <w:r>
        <w:rPr>
          <w:rFonts w:ascii="Cambria" w:hAnsi="Cambria"/>
          <w:b w:val="0"/>
          <w:i w:val="0"/>
          <w:sz w:val="22"/>
        </w:rPr>
        <w:t>Consultancy/research project sanction letters.</w:t>
      </w:r>
    </w:p>
    <w:p>
      <w:pPr>
        <w:keepNext/>
        <w:spacing w:before="280" w:after="160"/>
        <w:jc w:val="left"/>
      </w:pPr>
      <w:r>
        <w:rPr>
          <w:rFonts w:ascii="Cambria" w:hAnsi="Cambria"/>
          <w:b/>
          <w:i w:val="0"/>
          <w:color w:val="1F3A5F"/>
          <w:sz w:val="26"/>
        </w:rPr>
        <w:t>OBE Mapping (PO/PSO Links)</w:t>
      </w:r>
    </w:p>
    <w:p>
      <w:pPr>
        <w:pStyle w:val="ListBullet"/>
        <w:spacing w:after="80"/>
        <w:jc w:val="both"/>
      </w:pPr>
      <w:r>
        <w:rPr>
          <w:rFonts w:ascii="Cambria" w:hAnsi="Cambria"/>
          <w:b w:val="0"/>
          <w:i w:val="0"/>
          <w:sz w:val="22"/>
        </w:rPr>
        <w:t>PO9: Individual &amp; Team Work → administrative and interdisciplinary roles.</w:t>
      </w:r>
    </w:p>
    <w:p>
      <w:pPr>
        <w:pStyle w:val="ListBullet"/>
        <w:spacing w:after="80"/>
        <w:jc w:val="both"/>
      </w:pPr>
      <w:r>
        <w:rPr>
          <w:rFonts w:ascii="Cambria" w:hAnsi="Cambria"/>
          <w:b w:val="0"/>
          <w:i w:val="0"/>
          <w:sz w:val="22"/>
        </w:rPr>
        <w:t>PO10: Communication → industry interface, consultancy, community outreach.</w:t>
      </w:r>
    </w:p>
    <w:p>
      <w:pPr>
        <w:pStyle w:val="ListBullet"/>
        <w:spacing w:after="80"/>
        <w:jc w:val="both"/>
      </w:pPr>
      <w:r>
        <w:rPr>
          <w:rFonts w:ascii="Cambria" w:hAnsi="Cambria"/>
          <w:b w:val="0"/>
          <w:i w:val="0"/>
          <w:sz w:val="22"/>
        </w:rPr>
        <w:t>PO11: Project Management &amp; Finance → handling research projects, events, consultancies.</w:t>
      </w:r>
    </w:p>
    <w:p>
      <w:pPr>
        <w:pStyle w:val="ListBullet"/>
        <w:spacing w:after="80"/>
        <w:jc w:val="both"/>
      </w:pPr>
      <w:r>
        <w:rPr>
          <w:rFonts w:ascii="Cambria" w:hAnsi="Cambria"/>
          <w:b w:val="0"/>
          <w:i w:val="0"/>
          <w:sz w:val="22"/>
        </w:rPr>
        <w:t>PO12: Life-long Learning → FDPs, curriculum design, interdisciplinary work.</w:t>
      </w:r>
    </w:p>
    <w:p>
      <w:pPr>
        <w:pStyle w:val="ListBullet"/>
        <w:spacing w:after="80"/>
        <w:jc w:val="both"/>
      </w:pPr>
      <w:r>
        <w:rPr>
          <w:rFonts w:ascii="Cambria" w:hAnsi="Cambria"/>
          <w:b w:val="0"/>
          <w:i w:val="0"/>
          <w:sz w:val="22"/>
        </w:rPr>
        <w:t>PSO2: Research Skills → consultancy, funded projects, publications.</w:t>
      </w:r>
    </w:p>
    <w:p>
      <w:pPr>
        <w:pStyle w:val="ListBullet"/>
        <w:spacing w:after="80"/>
        <w:jc w:val="both"/>
      </w:pPr>
      <w:r>
        <w:rPr>
          <w:rFonts w:ascii="Cambria" w:hAnsi="Cambria"/>
          <w:b w:val="0"/>
          <w:i w:val="0"/>
          <w:sz w:val="22"/>
        </w:rPr>
        <w:t>PSO3: Industry Readiness → internships, MoUs, industrial training initiatives.</w:t>
      </w:r>
    </w:p>
    <w:p>
      <w:pPr>
        <w:keepNext/>
        <w:spacing w:before="280" w:after="160"/>
        <w:jc w:val="left"/>
      </w:pPr>
      <w:r>
        <w:rPr>
          <w:rFonts w:ascii="Cambria" w:hAnsi="Cambria"/>
          <w:b/>
          <w:i w:val="0"/>
          <w:color w:val="1F3A5F"/>
          <w:sz w:val="26"/>
        </w:rPr>
        <w:t>Tangible &amp; Numeric Outcomes</w:t>
      </w:r>
    </w:p>
    <w:p>
      <w:pPr>
        <w:pStyle w:val="ListBullet"/>
        <w:spacing w:after="80"/>
        <w:jc w:val="both"/>
      </w:pPr>
      <w:r>
        <w:rPr>
          <w:rFonts w:ascii="Cambria" w:hAnsi="Cambria"/>
          <w:b w:val="0"/>
          <w:i w:val="0"/>
          <w:sz w:val="22"/>
        </w:rPr>
        <w:t>100% faculty assigned at least one additional role beyond teaching.</w:t>
      </w:r>
    </w:p>
    <w:p>
      <w:pPr>
        <w:pStyle w:val="ListBullet"/>
        <w:spacing w:after="80"/>
        <w:jc w:val="both"/>
      </w:pPr>
      <w:r>
        <w:rPr>
          <w:rFonts w:ascii="Cambria" w:hAnsi="Cambria"/>
          <w:b w:val="0"/>
          <w:i w:val="0"/>
          <w:sz w:val="22"/>
        </w:rPr>
        <w:t>Number of MoUs signed via faculty engagement: ↑ from 5 → 8.</w:t>
      </w:r>
    </w:p>
    <w:p>
      <w:pPr>
        <w:pStyle w:val="ListBullet"/>
        <w:spacing w:after="80"/>
        <w:jc w:val="both"/>
      </w:pPr>
      <w:r>
        <w:rPr>
          <w:rFonts w:ascii="Cambria" w:hAnsi="Cambria"/>
          <w:b w:val="0"/>
          <w:i w:val="0"/>
          <w:sz w:val="22"/>
        </w:rPr>
        <w:t>FDPs/workshops organized: ↑ from 6 → 10 per year.</w:t>
      </w:r>
    </w:p>
    <w:p>
      <w:pPr>
        <w:pStyle w:val="ListBullet"/>
        <w:spacing w:after="80"/>
        <w:jc w:val="both"/>
      </w:pPr>
      <w:r>
        <w:rPr>
          <w:rFonts w:ascii="Cambria" w:hAnsi="Cambria"/>
          <w:b w:val="0"/>
          <w:i w:val="0"/>
          <w:sz w:val="22"/>
        </w:rPr>
        <w:t>Consultancy revenue: ↑ from ₹5L → ₹9L.</w:t>
      </w:r>
    </w:p>
    <w:p>
      <w:pPr>
        <w:pStyle w:val="ListBullet"/>
        <w:spacing w:after="80"/>
        <w:jc w:val="both"/>
      </w:pPr>
      <w:r>
        <w:rPr>
          <w:rFonts w:ascii="Cambria" w:hAnsi="Cambria"/>
          <w:b w:val="0"/>
          <w:i w:val="0"/>
          <w:sz w:val="22"/>
        </w:rPr>
        <w:t>Student counseling sessions: ≥90% coverage of students with mentoring reports.</w:t>
      </w:r>
    </w:p>
    <w:p>
      <w:pPr>
        <w:pStyle w:val="ListBullet"/>
        <w:spacing w:after="80"/>
        <w:jc w:val="both"/>
      </w:pPr>
      <w:r>
        <w:rPr>
          <w:rFonts w:ascii="Cambria" w:hAnsi="Cambria"/>
          <w:b w:val="0"/>
          <w:i w:val="0"/>
          <w:sz w:val="22"/>
        </w:rPr>
        <w:t>Community outreach programs: 4 → 7 in a year.</w:t>
      </w:r>
    </w:p>
    <w:p>
      <w:pPr>
        <w:pStyle w:val="ListBullet"/>
        <w:spacing w:after="80"/>
        <w:jc w:val="both"/>
      </w:pPr>
      <w:r>
        <w:rPr>
          <w:rFonts w:ascii="Cambria" w:hAnsi="Cambria"/>
          <w:b w:val="0"/>
          <w:i w:val="0"/>
          <w:sz w:val="22"/>
        </w:rPr>
        <w:t>Research publications: ↑ 31% YoY (1.6 → 2.1 per faculty).</w:t>
      </w:r>
    </w:p>
    <w:p>
      <w:pPr>
        <w:keepNext/>
        <w:spacing w:before="280" w:after="160"/>
        <w:jc w:val="left"/>
      </w:pPr>
      <w:r>
        <w:rPr>
          <w:rFonts w:ascii="Cambria" w:hAnsi="Cambria"/>
          <w:b/>
          <w:i w:val="0"/>
          <w:color w:val="1F3A5F"/>
          <w:sz w:val="26"/>
        </w:rPr>
        <w:t>Why This Matters for Accreditation</w:t>
      </w:r>
    </w:p>
    <w:p>
      <w:pPr>
        <w:pStyle w:val="ListBullet"/>
        <w:spacing w:after="80"/>
        <w:jc w:val="both"/>
      </w:pPr>
      <w:r>
        <w:rPr>
          <w:rFonts w:ascii="Cambria" w:hAnsi="Cambria"/>
          <w:b w:val="0"/>
          <w:i w:val="0"/>
          <w:sz w:val="22"/>
        </w:rPr>
        <w:t>Demonstrates holistic faculty contribution (teaching + admin + research + outreach).</w:t>
      </w:r>
    </w:p>
    <w:p>
      <w:pPr>
        <w:pStyle w:val="ListBullet"/>
        <w:spacing w:after="80"/>
        <w:jc w:val="both"/>
      </w:pPr>
      <w:r>
        <w:rPr>
          <w:rFonts w:ascii="Cambria" w:hAnsi="Cambria"/>
          <w:b w:val="0"/>
          <w:i w:val="0"/>
          <w:sz w:val="22"/>
        </w:rPr>
        <w:t>Proves systematic governance and role allocation.</w:t>
      </w:r>
    </w:p>
    <w:p>
      <w:pPr>
        <w:pStyle w:val="ListBullet"/>
        <w:spacing w:after="80"/>
        <w:jc w:val="both"/>
      </w:pPr>
      <w:r>
        <w:rPr>
          <w:rFonts w:ascii="Cambria" w:hAnsi="Cambria"/>
          <w:b w:val="0"/>
          <w:i w:val="0"/>
          <w:sz w:val="22"/>
        </w:rPr>
        <w:t>Shows continuous improvement in academic and social impact.</w:t>
      </w:r>
    </w:p>
    <w:p>
      <w:pPr>
        <w:pStyle w:val="ListBullet"/>
        <w:spacing w:after="80"/>
        <w:jc w:val="both"/>
      </w:pPr>
      <w:r>
        <w:rPr>
          <w:rFonts w:ascii="Cambria" w:hAnsi="Cambria"/>
          <w:b w:val="0"/>
          <w:i w:val="0"/>
          <w:sz w:val="22"/>
        </w:rPr>
        <w:t>Strengthens NAAC Criterion 3 (Research &amp; Extension) and Criterion 6 (Governance).</w:t>
      </w:r>
    </w:p>
    <w:p>
      <w:pPr>
        <w:keepNext/>
        <w:spacing w:before="280" w:after="160"/>
        <w:jc w:val="left"/>
      </w:pPr>
      <w:r>
        <w:rPr>
          <w:rFonts w:ascii="Cambria" w:hAnsi="Cambria"/>
          <w:b/>
          <w:i w:val="0"/>
          <w:color w:val="1F3A5F"/>
          <w:sz w:val="26"/>
        </w:rPr>
        <w:t>Evidence/Documents for Faculty Role Assignment</w:t>
      </w:r>
    </w:p>
    <w:p>
      <w:pPr>
        <w:spacing w:after="80"/>
        <w:ind w:left="340" w:hanging="340"/>
        <w:jc w:val="both"/>
      </w:pPr>
      <w:r>
        <w:rPr>
          <w:rFonts w:ascii="Cambria" w:hAnsi="Cambria"/>
          <w:b w:val="0"/>
          <w:i w:val="0"/>
          <w:sz w:val="22"/>
        </w:rPr>
        <w:t xml:space="preserve">1. </w:t>
      </w:r>
      <w:r>
        <w:rPr>
          <w:rFonts w:ascii="Cambria" w:hAnsi="Cambria"/>
          <w:b w:val="0"/>
          <w:i w:val="0"/>
          <w:sz w:val="22"/>
        </w:rPr>
        <w:t>Faculty Role Assignment Order (signed by HoD)</w:t>
      </w:r>
    </w:p>
    <w:p>
      <w:pPr>
        <w:pStyle w:val="ListBullet2"/>
        <w:spacing w:after="80"/>
        <w:jc w:val="both"/>
      </w:pPr>
      <w:r>
        <w:rPr>
          <w:rFonts w:ascii="Cambria" w:hAnsi="Cambria"/>
          <w:b w:val="0"/>
          <w:i w:val="0"/>
          <w:sz w:val="22"/>
        </w:rPr>
        <w:t>Official order/memo listing faculty assigned for admin, academic, research, industry, or community duties.</w:t>
      </w:r>
    </w:p>
    <w:p>
      <w:pPr>
        <w:pStyle w:val="ListBullet2"/>
        <w:spacing w:after="80"/>
        <w:jc w:val="both"/>
      </w:pPr>
      <w:r>
        <w:rPr>
          <w:rFonts w:ascii="Cambria" w:hAnsi="Cambria"/>
          <w:b w:val="0"/>
          <w:i w:val="0"/>
          <w:sz w:val="22"/>
        </w:rPr>
        <w:t>Signed by HoD → makes it formal and verifiable.</w:t>
      </w:r>
    </w:p>
    <w:p>
      <w:pPr>
        <w:spacing w:after="80"/>
        <w:ind w:left="340" w:hanging="340"/>
        <w:jc w:val="both"/>
      </w:pPr>
      <w:r>
        <w:rPr>
          <w:rFonts w:ascii="Cambria" w:hAnsi="Cambria"/>
          <w:b w:val="0"/>
          <w:i w:val="0"/>
          <w:sz w:val="22"/>
        </w:rPr>
        <w:t xml:space="preserve">2. </w:t>
      </w:r>
      <w:r>
        <w:rPr>
          <w:rFonts w:ascii="Cambria" w:hAnsi="Cambria"/>
          <w:b w:val="0"/>
          <w:i w:val="0"/>
          <w:sz w:val="22"/>
        </w:rPr>
        <w:t>List of Faculty-in-Charge for Each Responsibility</w:t>
      </w:r>
    </w:p>
    <w:p>
      <w:pPr>
        <w:pStyle w:val="ListBullet2"/>
        <w:spacing w:after="80"/>
        <w:jc w:val="both"/>
      </w:pPr>
      <w:r>
        <w:rPr>
          <w:rFonts w:ascii="Cambria" w:hAnsi="Cambria"/>
          <w:b w:val="0"/>
          <w:i w:val="0"/>
          <w:sz w:val="22"/>
        </w:rPr>
        <w:t>Division-wise roster showing who is in charge of:</w:t>
      </w:r>
    </w:p>
    <w:p>
      <w:pPr>
        <w:pStyle w:val="ListBullet2"/>
        <w:spacing w:after="80"/>
        <w:jc w:val="both"/>
      </w:pPr>
      <w:r>
        <w:rPr>
          <w:rFonts w:ascii="Cambria" w:hAnsi="Cambria"/>
          <w:b w:val="0"/>
          <w:i w:val="0"/>
          <w:sz w:val="22"/>
        </w:rPr>
        <w:t>Exams, Timetable, NAAC/NBA, Labs, FDPs, Consultancy, Industry MoUs, Community Services, Student Counseling.</w:t>
      </w:r>
    </w:p>
    <w:p>
      <w:pPr>
        <w:spacing w:after="80"/>
        <w:ind w:left="340" w:hanging="340"/>
        <w:jc w:val="both"/>
      </w:pPr>
      <w:r>
        <w:rPr>
          <w:rFonts w:ascii="Cambria" w:hAnsi="Cambria"/>
          <w:b w:val="0"/>
          <w:i w:val="0"/>
          <w:sz w:val="22"/>
        </w:rPr>
        <w:t xml:space="preserve">3. </w:t>
      </w:r>
      <w:r>
        <w:rPr>
          <w:rFonts w:ascii="Cambria" w:hAnsi="Cambria"/>
          <w:b w:val="0"/>
          <w:i w:val="0"/>
          <w:sz w:val="22"/>
        </w:rPr>
        <w:t>Meeting Minutes of Role Distribution</w:t>
      </w:r>
    </w:p>
    <w:p>
      <w:pPr>
        <w:pStyle w:val="ListBullet2"/>
        <w:spacing w:after="80"/>
        <w:jc w:val="both"/>
      </w:pPr>
      <w:r>
        <w:rPr>
          <w:rFonts w:ascii="Cambria" w:hAnsi="Cambria"/>
          <w:b w:val="0"/>
          <w:i w:val="0"/>
          <w:sz w:val="22"/>
        </w:rPr>
        <w:t>Department meeting record where responsibilities were discussed and finalized.</w:t>
      </w:r>
    </w:p>
    <w:p>
      <w:pPr>
        <w:spacing w:after="120"/>
        <w:jc w:val="both"/>
      </w:pPr>
      <w:r>
        <w:rPr>
          <w:rFonts w:ascii="Cambria" w:hAnsi="Cambria"/>
          <w:b w:val="0"/>
          <w:i w:val="0"/>
          <w:sz w:val="22"/>
        </w:rPr>
        <w:t>Signed by faculty &amp; HoD → shows transparency.</w:t>
      </w:r>
    </w:p>
    <w:p>
      <w:pPr>
        <w:spacing w:after="80"/>
        <w:ind w:left="340" w:hanging="340"/>
        <w:jc w:val="both"/>
      </w:pPr>
      <w:r>
        <w:rPr>
          <w:rFonts w:ascii="Cambria" w:hAnsi="Cambria"/>
          <w:b w:val="0"/>
          <w:i w:val="0"/>
          <w:sz w:val="22"/>
        </w:rPr>
        <w:t xml:space="preserve">4. </w:t>
      </w:r>
      <w:r>
        <w:rPr>
          <w:rFonts w:ascii="Cambria" w:hAnsi="Cambria"/>
          <w:b w:val="0"/>
          <w:i w:val="0"/>
          <w:sz w:val="22"/>
        </w:rPr>
        <w:t>Reports of Activities Conducted</w:t>
      </w:r>
    </w:p>
    <w:p>
      <w:pPr>
        <w:pStyle w:val="ListBullet2"/>
        <w:spacing w:after="80"/>
        <w:jc w:val="both"/>
      </w:pPr>
      <w:r>
        <w:rPr>
          <w:rFonts w:ascii="Cambria" w:hAnsi="Cambria"/>
          <w:b w:val="0"/>
          <w:i w:val="0"/>
          <w:sz w:val="22"/>
        </w:rPr>
        <w:t>FDP/Workshop reports.</w:t>
      </w:r>
    </w:p>
    <w:p>
      <w:pPr>
        <w:pStyle w:val="ListBullet2"/>
        <w:spacing w:after="80"/>
        <w:jc w:val="both"/>
      </w:pPr>
      <w:r>
        <w:rPr>
          <w:rFonts w:ascii="Cambria" w:hAnsi="Cambria"/>
          <w:b w:val="0"/>
          <w:i w:val="0"/>
          <w:sz w:val="22"/>
        </w:rPr>
        <w:t>Consultancy engagement reports.</w:t>
      </w:r>
    </w:p>
    <w:p>
      <w:pPr>
        <w:pStyle w:val="ListBullet2"/>
        <w:spacing w:after="80"/>
        <w:jc w:val="both"/>
      </w:pPr>
      <w:r>
        <w:rPr>
          <w:rFonts w:ascii="Cambria" w:hAnsi="Cambria"/>
          <w:b w:val="0"/>
          <w:i w:val="0"/>
          <w:sz w:val="22"/>
        </w:rPr>
        <w:t>Outreach and extension activity reports.</w:t>
      </w:r>
    </w:p>
    <w:p>
      <w:pPr>
        <w:pStyle w:val="ListBullet2"/>
        <w:spacing w:after="80"/>
        <w:jc w:val="both"/>
      </w:pPr>
      <w:r>
        <w:rPr>
          <w:rFonts w:ascii="Cambria" w:hAnsi="Cambria"/>
          <w:b w:val="0"/>
          <w:i w:val="0"/>
          <w:sz w:val="22"/>
        </w:rPr>
        <w:t>Industry collaboration/MoU execution reports.</w:t>
      </w:r>
    </w:p>
    <w:p>
      <w:pPr>
        <w:spacing w:after="80"/>
        <w:ind w:left="340" w:hanging="340"/>
        <w:jc w:val="both"/>
      </w:pPr>
      <w:r>
        <w:rPr>
          <w:rFonts w:ascii="Cambria" w:hAnsi="Cambria"/>
          <w:b w:val="0"/>
          <w:i w:val="0"/>
          <w:sz w:val="22"/>
        </w:rPr>
        <w:t xml:space="preserve">5. </w:t>
      </w:r>
      <w:r>
        <w:rPr>
          <w:rFonts w:ascii="Cambria" w:hAnsi="Cambria"/>
          <w:b w:val="0"/>
          <w:i w:val="0"/>
          <w:sz w:val="22"/>
        </w:rPr>
        <w:t>Certificates/Acknowledgements from External Agencies</w:t>
      </w:r>
    </w:p>
    <w:p>
      <w:pPr>
        <w:pStyle w:val="ListBullet2"/>
        <w:spacing w:after="80"/>
        <w:jc w:val="both"/>
      </w:pPr>
      <w:r>
        <w:rPr>
          <w:rFonts w:ascii="Cambria" w:hAnsi="Cambria"/>
          <w:b w:val="0"/>
          <w:i w:val="0"/>
          <w:sz w:val="22"/>
        </w:rPr>
        <w:t>Industry MoU acknowledgements.</w:t>
      </w:r>
    </w:p>
    <w:p>
      <w:pPr>
        <w:pStyle w:val="ListBullet2"/>
        <w:spacing w:after="80"/>
        <w:jc w:val="both"/>
      </w:pPr>
      <w:r>
        <w:rPr>
          <w:rFonts w:ascii="Cambria" w:hAnsi="Cambria"/>
          <w:b w:val="0"/>
          <w:i w:val="0"/>
          <w:sz w:val="22"/>
        </w:rPr>
        <w:t>Community service recognition letters.</w:t>
      </w:r>
    </w:p>
    <w:p>
      <w:pPr>
        <w:pStyle w:val="ListBullet2"/>
        <w:spacing w:after="80"/>
        <w:jc w:val="both"/>
      </w:pPr>
      <w:r>
        <w:rPr>
          <w:rFonts w:ascii="Cambria" w:hAnsi="Cambria"/>
          <w:b w:val="0"/>
          <w:i w:val="0"/>
          <w:sz w:val="22"/>
        </w:rPr>
        <w:t>FDP participation/coordination certificates.</w:t>
      </w:r>
    </w:p>
    <w:p>
      <w:pPr>
        <w:spacing w:after="80"/>
        <w:ind w:left="340" w:hanging="340"/>
        <w:jc w:val="both"/>
      </w:pPr>
      <w:r>
        <w:rPr>
          <w:rFonts w:ascii="Cambria" w:hAnsi="Cambria"/>
          <w:b w:val="0"/>
          <w:i w:val="0"/>
          <w:sz w:val="22"/>
        </w:rPr>
        <w:t xml:space="preserve">6. </w:t>
      </w:r>
      <w:r>
        <w:rPr>
          <w:rFonts w:ascii="Cambria" w:hAnsi="Cambria"/>
          <w:b w:val="0"/>
          <w:i w:val="0"/>
          <w:sz w:val="22"/>
        </w:rPr>
        <w:t>Student Counseling &amp; Mentoring Records</w:t>
      </w:r>
    </w:p>
    <w:p>
      <w:pPr>
        <w:pStyle w:val="ListBullet2"/>
        <w:spacing w:after="80"/>
        <w:jc w:val="both"/>
      </w:pPr>
      <w:r>
        <w:rPr>
          <w:rFonts w:ascii="Cambria" w:hAnsi="Cambria"/>
          <w:b w:val="0"/>
          <w:i w:val="0"/>
          <w:sz w:val="22"/>
        </w:rPr>
        <w:t>Mentor–mentee allocation sheets.</w:t>
      </w:r>
    </w:p>
    <w:p>
      <w:pPr>
        <w:pStyle w:val="ListBullet2"/>
        <w:spacing w:after="80"/>
        <w:jc w:val="both"/>
      </w:pPr>
      <w:r>
        <w:rPr>
          <w:rFonts w:ascii="Cambria" w:hAnsi="Cambria"/>
          <w:b w:val="0"/>
          <w:i w:val="0"/>
          <w:sz w:val="22"/>
        </w:rPr>
        <w:t>Counseling session logs with outcomes.</w:t>
      </w:r>
    </w:p>
    <w:p>
      <w:pPr>
        <w:pStyle w:val="ListBullet2"/>
        <w:spacing w:after="80"/>
        <w:jc w:val="both"/>
      </w:pPr>
      <w:r>
        <w:rPr>
          <w:rFonts w:ascii="Cambria" w:hAnsi="Cambria"/>
          <w:b w:val="0"/>
          <w:i w:val="0"/>
          <w:sz w:val="22"/>
        </w:rPr>
        <w:t>Feedback collected from mentees.</w:t>
      </w:r>
    </w:p>
    <w:p>
      <w:pPr>
        <w:spacing w:after="80"/>
        <w:ind w:left="340" w:hanging="340"/>
        <w:jc w:val="both"/>
      </w:pPr>
      <w:r>
        <w:rPr>
          <w:rFonts w:ascii="Cambria" w:hAnsi="Cambria"/>
          <w:b w:val="0"/>
          <w:i w:val="0"/>
          <w:sz w:val="22"/>
        </w:rPr>
        <w:t xml:space="preserve">7. </w:t>
      </w:r>
      <w:r>
        <w:rPr>
          <w:rFonts w:ascii="Cambria" w:hAnsi="Cambria"/>
          <w:b w:val="0"/>
          <w:i w:val="0"/>
          <w:sz w:val="22"/>
        </w:rPr>
        <w:t>Consultancy/Research Project Sanction Letters</w:t>
      </w:r>
    </w:p>
    <w:p>
      <w:pPr>
        <w:pStyle w:val="ListBullet2"/>
        <w:spacing w:after="80"/>
        <w:jc w:val="both"/>
      </w:pPr>
      <w:r>
        <w:rPr>
          <w:rFonts w:ascii="Cambria" w:hAnsi="Cambria"/>
          <w:b w:val="0"/>
          <w:i w:val="0"/>
          <w:sz w:val="22"/>
        </w:rPr>
        <w:t>Letters from funding agencies (UGC, AICTE, DST, industries).</w:t>
      </w:r>
    </w:p>
    <w:p>
      <w:pPr>
        <w:pStyle w:val="ListBullet2"/>
        <w:spacing w:after="80"/>
        <w:jc w:val="both"/>
      </w:pPr>
      <w:r>
        <w:rPr>
          <w:rFonts w:ascii="Cambria" w:hAnsi="Cambria"/>
          <w:b w:val="0"/>
          <w:i w:val="0"/>
          <w:sz w:val="22"/>
        </w:rPr>
        <w:t>Consultancy approval documents.</w:t>
      </w:r>
    </w:p>
    <w:p>
      <w:pPr>
        <w:pStyle w:val="ListBullet2"/>
        <w:spacing w:after="80"/>
        <w:jc w:val="both"/>
      </w:pPr>
      <w:r>
        <w:rPr>
          <w:rFonts w:ascii="Cambria" w:hAnsi="Cambria"/>
          <w:b w:val="0"/>
          <w:i w:val="0"/>
          <w:sz w:val="22"/>
        </w:rPr>
        <w:t>Grant utilization certificates.</w:t>
      </w:r>
    </w:p>
    <w:p>
      <w:pPr>
        <w:keepNext/>
        <w:spacing w:before="280" w:after="160"/>
        <w:jc w:val="left"/>
      </w:pPr>
      <w:r>
        <w:rPr>
          <w:rFonts w:ascii="Cambria" w:hAnsi="Cambria"/>
          <w:b/>
          <w:i w:val="0"/>
          <w:color w:val="1F3A5F"/>
          <w:sz w:val="26"/>
        </w:rPr>
        <w:t>Why Peer Reviewers Value This</w:t>
      </w:r>
    </w:p>
    <w:p>
      <w:pPr>
        <w:spacing w:after="120"/>
        <w:jc w:val="both"/>
      </w:pPr>
      <w:r>
        <w:rPr>
          <w:rFonts w:ascii="Cambria" w:hAnsi="Cambria"/>
          <w:b w:val="0"/>
          <w:i w:val="0"/>
          <w:sz w:val="22"/>
        </w:rPr>
        <w:t>Transparency → shows role allocation was structured, not arbitrary.</w:t>
      </w:r>
    </w:p>
    <w:p>
      <w:pPr>
        <w:spacing w:after="120"/>
        <w:jc w:val="both"/>
      </w:pPr>
      <w:r>
        <w:rPr>
          <w:rFonts w:ascii="Cambria" w:hAnsi="Cambria"/>
          <w:b w:val="0"/>
          <w:i w:val="0"/>
          <w:sz w:val="22"/>
        </w:rPr>
        <w:t>Traceability → reviewers can check each activity back to its assignment order.</w:t>
      </w:r>
    </w:p>
    <w:p>
      <w:pPr>
        <w:spacing w:after="120"/>
        <w:jc w:val="both"/>
      </w:pPr>
      <w:r>
        <w:rPr>
          <w:rFonts w:ascii="Cambria" w:hAnsi="Cambria"/>
          <w:b w:val="0"/>
          <w:i w:val="0"/>
          <w:sz w:val="22"/>
        </w:rPr>
        <w:t>OBE Compliance → duties like FDPs, MoUs, consultancy directly map to PO11, PO12, PSO2, PSO3.</w:t>
      </w:r>
    </w:p>
    <w:p>
      <w:pPr>
        <w:spacing w:after="120"/>
        <w:jc w:val="both"/>
      </w:pPr>
      <w:r>
        <w:rPr>
          <w:rFonts w:ascii="Cambria" w:hAnsi="Cambria"/>
          <w:b w:val="0"/>
          <w:i w:val="0"/>
          <w:sz w:val="22"/>
        </w:rPr>
        <w:t>Audit-Readiness → every claim backed with signed, numeric, and verifiable documents.</w:t>
      </w:r>
    </w:p>
    <w:p>
      <w:pPr>
        <w:keepNext/>
        <w:spacing w:before="280" w:after="160"/>
        <w:jc w:val="left"/>
      </w:pPr>
      <w:r>
        <w:rPr>
          <w:rFonts w:ascii="Cambria" w:hAnsi="Cambria"/>
          <w:b/>
          <w:i w:val="0"/>
          <w:color w:val="1F3A5F"/>
          <w:sz w:val="26"/>
        </w:rPr>
        <w:t>How Holistic Faculty Contribution is Demonstrated</w:t>
      </w:r>
    </w:p>
    <w:p>
      <w:pPr>
        <w:spacing w:after="80"/>
        <w:ind w:left="340" w:hanging="340"/>
        <w:jc w:val="both"/>
      </w:pPr>
      <w:r>
        <w:rPr>
          <w:rFonts w:ascii="Cambria" w:hAnsi="Cambria"/>
          <w:b w:val="0"/>
          <w:i w:val="0"/>
          <w:sz w:val="22"/>
        </w:rPr>
        <w:t xml:space="preserve">1. </w:t>
      </w:r>
      <w:r>
        <w:rPr>
          <w:rFonts w:ascii="Cambria" w:hAnsi="Cambria"/>
          <w:b w:val="0"/>
          <w:i w:val="0"/>
          <w:sz w:val="22"/>
        </w:rPr>
        <w:t>Teaching Contribution</w:t>
      </w:r>
    </w:p>
    <w:p>
      <w:pPr>
        <w:pStyle w:val="ListBullet2"/>
        <w:spacing w:after="80"/>
        <w:jc w:val="both"/>
      </w:pPr>
      <w:r>
        <w:rPr>
          <w:rFonts w:ascii="Cambria" w:hAnsi="Cambria"/>
          <w:b w:val="0"/>
          <w:i w:val="0"/>
          <w:sz w:val="22"/>
        </w:rPr>
        <w:t>Faculty handling theory, labs, projects, seminars, tutorials.</w:t>
      </w:r>
    </w:p>
    <w:p>
      <w:pPr>
        <w:pStyle w:val="ListBullet2"/>
        <w:spacing w:after="80"/>
        <w:jc w:val="both"/>
      </w:pPr>
      <w:r>
        <w:rPr>
          <w:rFonts w:ascii="Cambria" w:hAnsi="Cambria"/>
          <w:b w:val="0"/>
          <w:i w:val="0"/>
          <w:sz w:val="22"/>
        </w:rPr>
        <w:t>Evidence: Workload distribution sheets, timetables, CO–PO attainment reports.</w:t>
      </w:r>
    </w:p>
    <w:p>
      <w:pPr>
        <w:spacing w:after="80"/>
        <w:ind w:left="340" w:hanging="340"/>
        <w:jc w:val="both"/>
      </w:pPr>
      <w:r>
        <w:rPr>
          <w:rFonts w:ascii="Cambria" w:hAnsi="Cambria"/>
          <w:b w:val="0"/>
          <w:i w:val="0"/>
          <w:sz w:val="22"/>
        </w:rPr>
        <w:t xml:space="preserve">2. </w:t>
      </w:r>
      <w:r>
        <w:rPr>
          <w:rFonts w:ascii="Cambria" w:hAnsi="Cambria"/>
          <w:b w:val="0"/>
          <w:i w:val="0"/>
          <w:sz w:val="22"/>
        </w:rPr>
        <w:t>Administrative Contribution</w:t>
      </w:r>
    </w:p>
    <w:p>
      <w:pPr>
        <w:pStyle w:val="ListBullet2"/>
        <w:spacing w:after="80"/>
        <w:jc w:val="both"/>
      </w:pPr>
      <w:r>
        <w:rPr>
          <w:rFonts w:ascii="Cambria" w:hAnsi="Cambria"/>
          <w:b w:val="0"/>
          <w:i w:val="0"/>
          <w:sz w:val="22"/>
        </w:rPr>
        <w:t>Roles like exam coordinator, NAAC/NBA coordinator, timetable in-charge, IQAC member.</w:t>
      </w:r>
    </w:p>
    <w:p>
      <w:pPr>
        <w:pStyle w:val="ListBullet2"/>
        <w:spacing w:after="80"/>
        <w:jc w:val="both"/>
      </w:pPr>
      <w:r>
        <w:rPr>
          <w:rFonts w:ascii="Cambria" w:hAnsi="Cambria"/>
          <w:b w:val="0"/>
          <w:i w:val="0"/>
          <w:sz w:val="22"/>
        </w:rPr>
        <w:t>Evidence: Faculty role assignment orders, meeting minutes.</w:t>
      </w:r>
    </w:p>
    <w:p>
      <w:pPr>
        <w:spacing w:after="80"/>
        <w:ind w:left="340" w:hanging="340"/>
        <w:jc w:val="both"/>
      </w:pPr>
      <w:r>
        <w:rPr>
          <w:rFonts w:ascii="Cambria" w:hAnsi="Cambria"/>
          <w:b w:val="0"/>
          <w:i w:val="0"/>
          <w:sz w:val="22"/>
        </w:rPr>
        <w:t xml:space="preserve">3. </w:t>
      </w:r>
      <w:r>
        <w:rPr>
          <w:rFonts w:ascii="Cambria" w:hAnsi="Cambria"/>
          <w:b w:val="0"/>
          <w:i w:val="0"/>
          <w:sz w:val="22"/>
        </w:rPr>
        <w:t>Research Contribution</w:t>
      </w:r>
    </w:p>
    <w:p>
      <w:pPr>
        <w:pStyle w:val="ListBullet2"/>
        <w:spacing w:after="80"/>
        <w:jc w:val="both"/>
      </w:pPr>
      <w:r>
        <w:rPr>
          <w:rFonts w:ascii="Cambria" w:hAnsi="Cambria"/>
          <w:b w:val="0"/>
          <w:i w:val="0"/>
          <w:sz w:val="22"/>
        </w:rPr>
        <w:t>Faculty leading funded projects, publications, patents, consultancy.</w:t>
      </w:r>
    </w:p>
    <w:p>
      <w:pPr>
        <w:pStyle w:val="ListBullet2"/>
        <w:spacing w:after="80"/>
        <w:jc w:val="both"/>
      </w:pPr>
      <w:r>
        <w:rPr>
          <w:rFonts w:ascii="Cambria" w:hAnsi="Cambria"/>
          <w:b w:val="0"/>
          <w:i w:val="0"/>
          <w:sz w:val="22"/>
        </w:rPr>
        <w:t>Evidence: Project sanction letters, publication lists, consultancy MoUs.</w:t>
      </w:r>
    </w:p>
    <w:p>
      <w:pPr>
        <w:spacing w:after="80"/>
        <w:ind w:left="340" w:hanging="340"/>
        <w:jc w:val="both"/>
      </w:pPr>
      <w:r>
        <w:rPr>
          <w:rFonts w:ascii="Cambria" w:hAnsi="Cambria"/>
          <w:b w:val="0"/>
          <w:i w:val="0"/>
          <w:sz w:val="22"/>
        </w:rPr>
        <w:t xml:space="preserve">4. </w:t>
      </w:r>
      <w:r>
        <w:rPr>
          <w:rFonts w:ascii="Cambria" w:hAnsi="Cambria"/>
          <w:b w:val="0"/>
          <w:i w:val="0"/>
          <w:sz w:val="22"/>
        </w:rPr>
        <w:t>Outreach &amp; Community Contribution</w:t>
      </w:r>
    </w:p>
    <w:p>
      <w:pPr>
        <w:pStyle w:val="ListBullet2"/>
        <w:spacing w:after="80"/>
        <w:jc w:val="both"/>
      </w:pPr>
      <w:r>
        <w:rPr>
          <w:rFonts w:ascii="Cambria" w:hAnsi="Cambria"/>
          <w:b w:val="0"/>
          <w:i w:val="0"/>
          <w:sz w:val="22"/>
        </w:rPr>
        <w:t>Faculty in-charge of NSS/NCC, extension activities, rural/urban outreach, social innovation projects.</w:t>
      </w:r>
    </w:p>
    <w:p>
      <w:pPr>
        <w:pStyle w:val="ListBullet2"/>
        <w:spacing w:after="80"/>
        <w:jc w:val="both"/>
      </w:pPr>
      <w:r>
        <w:rPr>
          <w:rFonts w:ascii="Cambria" w:hAnsi="Cambria"/>
          <w:b w:val="0"/>
          <w:i w:val="0"/>
          <w:sz w:val="22"/>
        </w:rPr>
        <w:t>Evidence: Outreach reports, certificates from external bodies, participation records.</w:t>
      </w:r>
    </w:p>
    <w:p>
      <w:pPr>
        <w:spacing w:after="80"/>
        <w:ind w:left="340" w:hanging="340"/>
        <w:jc w:val="both"/>
      </w:pPr>
      <w:r>
        <w:rPr>
          <w:rFonts w:ascii="Cambria" w:hAnsi="Cambria"/>
          <w:b w:val="0"/>
          <w:i w:val="0"/>
          <w:sz w:val="22"/>
        </w:rPr>
        <w:t xml:space="preserve">5. </w:t>
      </w:r>
      <w:r>
        <w:rPr>
          <w:rFonts w:ascii="Cambria" w:hAnsi="Cambria"/>
          <w:b w:val="0"/>
          <w:i w:val="0"/>
          <w:sz w:val="22"/>
        </w:rPr>
        <w:t>Industry/External Interface Contribution</w:t>
      </w:r>
    </w:p>
    <w:p>
      <w:pPr>
        <w:pStyle w:val="ListBullet2"/>
        <w:spacing w:after="80"/>
        <w:jc w:val="both"/>
      </w:pPr>
      <w:r>
        <w:rPr>
          <w:rFonts w:ascii="Cambria" w:hAnsi="Cambria"/>
          <w:b w:val="0"/>
          <w:i w:val="0"/>
          <w:sz w:val="22"/>
        </w:rPr>
        <w:t>Faculty coordinating MoUs, internships, industrial training, placement drives.</w:t>
      </w:r>
    </w:p>
    <w:p>
      <w:pPr>
        <w:pStyle w:val="ListBullet2"/>
        <w:spacing w:after="80"/>
        <w:jc w:val="both"/>
      </w:pPr>
      <w:r>
        <w:rPr>
          <w:rFonts w:ascii="Cambria" w:hAnsi="Cambria"/>
          <w:b w:val="0"/>
          <w:i w:val="0"/>
          <w:sz w:val="22"/>
        </w:rPr>
        <w:t>Evidence: MoU copies, internship completion letters, placement records.</w:t>
      </w:r>
    </w:p>
    <w:p>
      <w:pPr>
        <w:spacing w:after="80"/>
        <w:ind w:left="340" w:hanging="340"/>
        <w:jc w:val="both"/>
      </w:pPr>
      <w:r>
        <w:rPr>
          <w:rFonts w:ascii="Cambria" w:hAnsi="Cambria"/>
          <w:b w:val="0"/>
          <w:i w:val="0"/>
          <w:sz w:val="22"/>
        </w:rPr>
        <w:t xml:space="preserve">6. </w:t>
      </w:r>
      <w:r>
        <w:rPr>
          <w:rFonts w:ascii="Cambria" w:hAnsi="Cambria"/>
          <w:b w:val="0"/>
          <w:i w:val="0"/>
          <w:sz w:val="22"/>
        </w:rPr>
        <w:t>Student Support Contribution</w:t>
      </w:r>
    </w:p>
    <w:p>
      <w:pPr>
        <w:pStyle w:val="ListBullet2"/>
        <w:spacing w:after="80"/>
        <w:jc w:val="both"/>
      </w:pPr>
      <w:r>
        <w:rPr>
          <w:rFonts w:ascii="Cambria" w:hAnsi="Cambria"/>
          <w:b w:val="0"/>
          <w:i w:val="0"/>
          <w:sz w:val="22"/>
        </w:rPr>
        <w:t>Faculty assigned as mentors/counselors for student career and personal development.</w:t>
      </w:r>
    </w:p>
    <w:p>
      <w:pPr>
        <w:pStyle w:val="ListBullet2"/>
        <w:spacing w:after="80"/>
        <w:jc w:val="both"/>
      </w:pPr>
      <w:r>
        <w:rPr>
          <w:rFonts w:ascii="Cambria" w:hAnsi="Cambria"/>
          <w:b w:val="0"/>
          <w:i w:val="0"/>
          <w:sz w:val="22"/>
        </w:rPr>
        <w:t>Evidence: Mentor–mentee allocation, counseling records, student feedback.</w:t>
      </w:r>
    </w:p>
    <w:p>
      <w:pPr>
        <w:keepNext/>
        <w:spacing w:before="280" w:after="160"/>
        <w:jc w:val="left"/>
      </w:pPr>
      <w:r>
        <w:rPr>
          <w:rFonts w:ascii="Cambria" w:hAnsi="Cambria"/>
          <w:b/>
          <w:i w:val="0"/>
          <w:color w:val="1F3A5F"/>
          <w:sz w:val="26"/>
        </w:rPr>
        <w:t>Tangible Outcomes (Role Assignment)</w:t>
      </w:r>
    </w:p>
    <w:p>
      <w:pPr>
        <w:pStyle w:val="ListBullet"/>
        <w:spacing w:after="80"/>
        <w:jc w:val="both"/>
      </w:pPr>
      <w:r>
        <w:rPr>
          <w:rFonts w:ascii="Cambria" w:hAnsi="Cambria"/>
          <w:b w:val="0"/>
          <w:i w:val="0"/>
          <w:sz w:val="22"/>
        </w:rPr>
        <w:t>100% faculty assigned at least one role beyond teaching.</w:t>
      </w:r>
    </w:p>
    <w:p>
      <w:pPr>
        <w:pStyle w:val="ListBullet"/>
        <w:spacing w:after="80"/>
        <w:jc w:val="both"/>
      </w:pPr>
      <w:r>
        <w:rPr>
          <w:rFonts w:ascii="Cambria" w:hAnsi="Cambria"/>
          <w:b w:val="0"/>
          <w:i w:val="0"/>
          <w:sz w:val="22"/>
        </w:rPr>
        <w:t>FDPs organized: 6 → 10 per year (+66%).</w:t>
      </w:r>
    </w:p>
    <w:p>
      <w:pPr>
        <w:pStyle w:val="ListBullet"/>
        <w:spacing w:after="80"/>
        <w:jc w:val="both"/>
      </w:pPr>
      <w:r>
        <w:rPr>
          <w:rFonts w:ascii="Cambria" w:hAnsi="Cambria"/>
          <w:b w:val="0"/>
          <w:i w:val="0"/>
          <w:sz w:val="22"/>
        </w:rPr>
        <w:t>MoUs signed: 5 → 8 (+60%).</w:t>
      </w:r>
    </w:p>
    <w:p>
      <w:pPr>
        <w:pStyle w:val="ListBullet"/>
        <w:spacing w:after="80"/>
        <w:jc w:val="both"/>
      </w:pPr>
      <w:r>
        <w:rPr>
          <w:rFonts w:ascii="Cambria" w:hAnsi="Cambria"/>
          <w:b w:val="0"/>
          <w:i w:val="0"/>
          <w:sz w:val="22"/>
        </w:rPr>
        <w:t>Consultancy revenue: ₹5L → ₹9L (+80%).</w:t>
      </w:r>
    </w:p>
    <w:p>
      <w:pPr>
        <w:pStyle w:val="ListBullet"/>
        <w:spacing w:after="80"/>
        <w:jc w:val="both"/>
      </w:pPr>
      <w:r>
        <w:rPr>
          <w:rFonts w:ascii="Cambria" w:hAnsi="Cambria"/>
          <w:b w:val="0"/>
          <w:i w:val="0"/>
          <w:sz w:val="22"/>
        </w:rPr>
        <w:t>Student mentoring coverage: 92% of students assigned faculty mentors.</w:t>
      </w:r>
    </w:p>
    <w:p>
      <w:pPr>
        <w:pStyle w:val="ListBullet"/>
        <w:spacing w:after="80"/>
        <w:jc w:val="both"/>
      </w:pPr>
      <w:r>
        <w:rPr>
          <w:rFonts w:ascii="Cambria" w:hAnsi="Cambria"/>
          <w:b w:val="0"/>
          <w:i w:val="0"/>
          <w:sz w:val="22"/>
        </w:rPr>
        <w:t>Research output: Publications/faculty ↑ 31% (1.6 → 2.1).</w:t>
      </w:r>
    </w:p>
    <w:p>
      <w:pPr>
        <w:keepNext/>
        <w:spacing w:before="280" w:after="160"/>
        <w:jc w:val="left"/>
      </w:pPr>
      <w:r>
        <w:rPr>
          <w:rFonts w:ascii="Cambria" w:hAnsi="Cambria"/>
          <w:b/>
          <w:i w:val="0"/>
          <w:color w:val="1F3A5F"/>
          <w:sz w:val="26"/>
        </w:rPr>
        <w:t>Why This Matters for Accreditation (II)</w:t>
      </w:r>
    </w:p>
    <w:p>
      <w:pPr>
        <w:spacing w:after="120"/>
        <w:jc w:val="both"/>
      </w:pPr>
      <w:r>
        <w:rPr>
          <w:rFonts w:ascii="Cambria" w:hAnsi="Cambria"/>
          <w:b w:val="0"/>
          <w:i w:val="0"/>
          <w:sz w:val="22"/>
        </w:rPr>
        <w:t>NAAC Criterion 3 (Research, Innovation, Extension) → outreach &amp; research contributions documented.</w:t>
      </w:r>
    </w:p>
    <w:p>
      <w:pPr>
        <w:spacing w:after="120"/>
        <w:jc w:val="both"/>
      </w:pPr>
      <w:r>
        <w:rPr>
          <w:rFonts w:ascii="Cambria" w:hAnsi="Cambria"/>
          <w:b w:val="0"/>
          <w:i w:val="0"/>
          <w:sz w:val="22"/>
        </w:rPr>
        <w:t>NAAC Criterion 6 (Governance &amp; Leadership) → administrative contributions proved.</w:t>
      </w:r>
    </w:p>
    <w:p>
      <w:pPr>
        <w:spacing w:after="120"/>
        <w:jc w:val="both"/>
      </w:pPr>
      <w:r>
        <w:rPr>
          <w:rFonts w:ascii="Cambria" w:hAnsi="Cambria"/>
          <w:b w:val="0"/>
          <w:i w:val="0"/>
          <w:sz w:val="22"/>
        </w:rPr>
        <w:t>NBA Criterion 5 (Faculty Contributions) → faculty engagement shown beyond classroom teaching.</w:t>
      </w:r>
    </w:p>
    <w:p>
      <w:pPr>
        <w:spacing w:after="120"/>
        <w:jc w:val="both"/>
      </w:pPr>
      <w:r>
        <w:rPr>
          <w:rFonts w:ascii="Cambria" w:hAnsi="Cambria"/>
          <w:b w:val="0"/>
          <w:i w:val="0"/>
          <w:sz w:val="22"/>
        </w:rPr>
        <w:t>OBE Alignment → mapped to PO9 (Teamwork), PO10 (Communication), PO11 (Project Management), PO12 (Lifelong Learning), PSO2 (Research), PSO3 (Industry Readiness).</w:t>
      </w:r>
    </w:p>
    <w:p>
      <w:pPr>
        <w:keepNext/>
        <w:spacing w:before="280" w:after="160"/>
        <w:jc w:val="left"/>
      </w:pPr>
      <w:r>
        <w:rPr>
          <w:rFonts w:ascii="Cambria" w:hAnsi="Cambria"/>
          <w:b/>
          <w:i w:val="0"/>
          <w:color w:val="1F3A5F"/>
          <w:sz w:val="26"/>
        </w:rPr>
        <w:t>How This Proves Systematic Governance &amp; Role Allocation</w:t>
      </w:r>
    </w:p>
    <w:p>
      <w:pPr>
        <w:spacing w:after="80"/>
        <w:ind w:left="340" w:hanging="340"/>
        <w:jc w:val="both"/>
      </w:pPr>
      <w:r>
        <w:rPr>
          <w:rFonts w:ascii="Cambria" w:hAnsi="Cambria"/>
          <w:b w:val="0"/>
          <w:i w:val="0"/>
          <w:sz w:val="22"/>
        </w:rPr>
        <w:t xml:space="preserve">1. </w:t>
      </w:r>
      <w:r>
        <w:rPr>
          <w:rFonts w:ascii="Cambria" w:hAnsi="Cambria"/>
          <w:b w:val="0"/>
          <w:i w:val="0"/>
          <w:sz w:val="22"/>
        </w:rPr>
        <w:t>Formal Assignment Orders</w:t>
      </w:r>
    </w:p>
    <w:p>
      <w:pPr>
        <w:pStyle w:val="ListBullet2"/>
        <w:spacing w:after="80"/>
        <w:jc w:val="both"/>
      </w:pPr>
      <w:r>
        <w:rPr>
          <w:rFonts w:ascii="Cambria" w:hAnsi="Cambria"/>
          <w:b w:val="0"/>
          <w:i w:val="0"/>
          <w:sz w:val="22"/>
        </w:rPr>
        <w:t>Faculty role allocation documented in HoD-signed orders.</w:t>
      </w:r>
    </w:p>
    <w:p>
      <w:pPr>
        <w:spacing w:after="120"/>
        <w:jc w:val="both"/>
      </w:pPr>
      <w:r>
        <w:rPr>
          <w:rFonts w:ascii="Cambria" w:hAnsi="Cambria"/>
          <w:b w:val="0"/>
          <w:i w:val="0"/>
          <w:sz w:val="22"/>
        </w:rPr>
        <w:t>Prevents ad-hoc distribution → shows structured governance.</w:t>
      </w:r>
    </w:p>
    <w:p>
      <w:pPr>
        <w:spacing w:after="80"/>
        <w:ind w:left="340" w:hanging="340"/>
        <w:jc w:val="both"/>
      </w:pPr>
      <w:r>
        <w:rPr>
          <w:rFonts w:ascii="Cambria" w:hAnsi="Cambria"/>
          <w:b w:val="0"/>
          <w:i w:val="0"/>
          <w:sz w:val="22"/>
        </w:rPr>
        <w:t xml:space="preserve">2. </w:t>
      </w:r>
      <w:r>
        <w:rPr>
          <w:rFonts w:ascii="Cambria" w:hAnsi="Cambria"/>
          <w:b w:val="0"/>
          <w:i w:val="0"/>
          <w:sz w:val="22"/>
        </w:rPr>
        <w:t>Defined Responsibility Matrix</w:t>
      </w:r>
    </w:p>
    <w:p>
      <w:pPr>
        <w:pStyle w:val="ListBullet2"/>
        <w:spacing w:after="80"/>
        <w:jc w:val="both"/>
      </w:pPr>
      <w:r>
        <w:rPr>
          <w:rFonts w:ascii="Cambria" w:hAnsi="Cambria"/>
          <w:b w:val="0"/>
          <w:i w:val="0"/>
          <w:sz w:val="22"/>
        </w:rPr>
        <w:t>Each faculty linked to at least one academic, administrative, research, or outreach duty.</w:t>
      </w:r>
    </w:p>
    <w:p>
      <w:pPr>
        <w:pStyle w:val="ListBullet2"/>
        <w:spacing w:after="80"/>
        <w:jc w:val="both"/>
      </w:pPr>
      <w:r>
        <w:rPr>
          <w:rFonts w:ascii="Cambria" w:hAnsi="Cambria"/>
          <w:b w:val="0"/>
          <w:i w:val="0"/>
          <w:sz w:val="22"/>
        </w:rPr>
        <w:t>Evidence: Faculty-in-charge list, meeting minutes of allocation.</w:t>
      </w:r>
    </w:p>
    <w:p>
      <w:pPr>
        <w:spacing w:after="80"/>
        <w:ind w:left="340" w:hanging="340"/>
        <w:jc w:val="both"/>
      </w:pPr>
      <w:r>
        <w:rPr>
          <w:rFonts w:ascii="Cambria" w:hAnsi="Cambria"/>
          <w:b w:val="0"/>
          <w:i w:val="0"/>
          <w:sz w:val="22"/>
        </w:rPr>
        <w:t xml:space="preserve">3. </w:t>
      </w:r>
      <w:r>
        <w:rPr>
          <w:rFonts w:ascii="Cambria" w:hAnsi="Cambria"/>
          <w:b w:val="0"/>
          <w:i w:val="0"/>
          <w:sz w:val="22"/>
        </w:rPr>
        <w:t>Transparency in Distribution</w:t>
      </w:r>
    </w:p>
    <w:p>
      <w:pPr>
        <w:pStyle w:val="ListBullet2"/>
        <w:spacing w:after="80"/>
        <w:jc w:val="both"/>
      </w:pPr>
      <w:r>
        <w:rPr>
          <w:rFonts w:ascii="Cambria" w:hAnsi="Cambria"/>
          <w:b w:val="0"/>
          <w:i w:val="0"/>
          <w:sz w:val="22"/>
        </w:rPr>
        <w:t>Responsibilities rotated periodically (e.g., exam coordination, mentoring, NSS/NCC).</w:t>
      </w:r>
    </w:p>
    <w:p>
      <w:pPr>
        <w:pStyle w:val="ListBullet2"/>
        <w:spacing w:after="80"/>
        <w:jc w:val="both"/>
      </w:pPr>
      <w:r>
        <w:rPr>
          <w:rFonts w:ascii="Cambria" w:hAnsi="Cambria"/>
          <w:b w:val="0"/>
          <w:i w:val="0"/>
          <w:sz w:val="22"/>
        </w:rPr>
        <w:t>Avoids favoritism or repetitive burden on a few faculty.</w:t>
      </w:r>
    </w:p>
    <w:p>
      <w:pPr>
        <w:spacing w:after="80"/>
        <w:ind w:left="340" w:hanging="340"/>
        <w:jc w:val="both"/>
      </w:pPr>
      <w:r>
        <w:rPr>
          <w:rFonts w:ascii="Cambria" w:hAnsi="Cambria"/>
          <w:b w:val="0"/>
          <w:i w:val="0"/>
          <w:sz w:val="22"/>
        </w:rPr>
        <w:t xml:space="preserve">4. </w:t>
      </w:r>
      <w:r>
        <w:rPr>
          <w:rFonts w:ascii="Cambria" w:hAnsi="Cambria"/>
          <w:b w:val="0"/>
          <w:i w:val="0"/>
          <w:sz w:val="22"/>
        </w:rPr>
        <w:t>Documentation &amp; Traceability</w:t>
      </w:r>
    </w:p>
    <w:p>
      <w:pPr>
        <w:pStyle w:val="ListBullet2"/>
        <w:spacing w:after="80"/>
        <w:jc w:val="both"/>
      </w:pPr>
      <w:r>
        <w:rPr>
          <w:rFonts w:ascii="Cambria" w:hAnsi="Cambria"/>
          <w:b w:val="0"/>
          <w:i w:val="0"/>
          <w:sz w:val="22"/>
        </w:rPr>
        <w:t>Meeting records, activity reports, consultancy sanction letters, MoU acknowledgements.</w:t>
      </w:r>
    </w:p>
    <w:p>
      <w:pPr>
        <w:spacing w:after="120"/>
        <w:jc w:val="both"/>
      </w:pPr>
      <w:r>
        <w:rPr>
          <w:rFonts w:ascii="Cambria" w:hAnsi="Cambria"/>
          <w:b w:val="0"/>
          <w:i w:val="0"/>
          <w:sz w:val="22"/>
        </w:rPr>
        <w:t xml:space="preserve">Reviewers can trace </w:t>
      </w:r>
      <w:r>
        <w:rPr>
          <w:rFonts w:ascii="Cambria" w:hAnsi="Cambria"/>
          <w:b/>
          <w:i w:val="0"/>
          <w:sz w:val="22"/>
        </w:rPr>
        <w:t>role → evidence → outcome</w:t>
      </w:r>
      <w:r>
        <w:rPr>
          <w:rFonts w:ascii="Cambria" w:hAnsi="Cambria"/>
          <w:b w:val="0"/>
          <w:i w:val="0"/>
          <w:sz w:val="22"/>
        </w:rPr>
        <w:t>.</w:t>
      </w:r>
    </w:p>
    <w:p>
      <w:pPr>
        <w:spacing w:after="80"/>
        <w:ind w:left="340" w:hanging="340"/>
        <w:jc w:val="both"/>
      </w:pPr>
      <w:r>
        <w:rPr>
          <w:rFonts w:ascii="Cambria" w:hAnsi="Cambria"/>
          <w:b w:val="0"/>
          <w:i w:val="0"/>
          <w:sz w:val="22"/>
        </w:rPr>
        <w:t xml:space="preserve">5. </w:t>
      </w:r>
      <w:r>
        <w:rPr>
          <w:rFonts w:ascii="Cambria" w:hAnsi="Cambria"/>
          <w:b w:val="0"/>
          <w:i w:val="0"/>
          <w:sz w:val="22"/>
        </w:rPr>
        <w:t>Institutional Accountability</w:t>
      </w:r>
    </w:p>
    <w:p>
      <w:pPr>
        <w:pStyle w:val="ListBullet2"/>
        <w:spacing w:after="80"/>
        <w:jc w:val="both"/>
      </w:pPr>
      <w:r>
        <w:rPr>
          <w:rFonts w:ascii="Cambria" w:hAnsi="Cambria"/>
          <w:b w:val="0"/>
          <w:i w:val="0"/>
          <w:sz w:val="22"/>
        </w:rPr>
        <w:t>Role allocations submitted to Principal/Dean/IQAC.</w:t>
      </w:r>
    </w:p>
    <w:p>
      <w:pPr>
        <w:pStyle w:val="ListBullet2"/>
        <w:spacing w:after="80"/>
        <w:jc w:val="both"/>
      </w:pPr>
      <w:r>
        <w:rPr>
          <w:rFonts w:ascii="Cambria" w:hAnsi="Cambria"/>
          <w:b w:val="0"/>
          <w:i w:val="0"/>
          <w:sz w:val="22"/>
        </w:rPr>
        <w:t>Creates an institutional record of governance decisions.</w:t>
      </w:r>
    </w:p>
    <w:p>
      <w:pPr>
        <w:keepNext/>
        <w:spacing w:before="280" w:after="160"/>
        <w:jc w:val="left"/>
      </w:pPr>
      <w:r>
        <w:rPr>
          <w:rFonts w:ascii="Cambria" w:hAnsi="Cambria"/>
          <w:b/>
          <w:i w:val="0"/>
          <w:color w:val="1F3A5F"/>
          <w:sz w:val="26"/>
        </w:rPr>
        <w:t>Tangible Outcomes (Governance)</w:t>
      </w:r>
    </w:p>
    <w:p>
      <w:pPr>
        <w:pStyle w:val="ListBullet"/>
        <w:spacing w:after="80"/>
        <w:jc w:val="both"/>
      </w:pPr>
      <w:r>
        <w:rPr>
          <w:rFonts w:ascii="Cambria" w:hAnsi="Cambria"/>
          <w:b w:val="0"/>
          <w:i w:val="0"/>
          <w:sz w:val="22"/>
        </w:rPr>
        <w:t>100% faculty assigned roles beyond teaching (administration, research, outreach).</w:t>
      </w:r>
    </w:p>
    <w:p>
      <w:pPr>
        <w:pStyle w:val="ListBullet"/>
        <w:spacing w:after="80"/>
        <w:jc w:val="both"/>
      </w:pPr>
      <w:r>
        <w:rPr>
          <w:rFonts w:ascii="Cambria" w:hAnsi="Cambria"/>
          <w:b w:val="0"/>
          <w:i w:val="0"/>
          <w:sz w:val="22"/>
        </w:rPr>
        <w:t>Zero disputes on role allocation in 2023–24 cycle.</w:t>
      </w:r>
    </w:p>
    <w:p>
      <w:pPr>
        <w:pStyle w:val="ListBullet"/>
        <w:spacing w:after="80"/>
        <w:jc w:val="both"/>
      </w:pPr>
      <w:r>
        <w:rPr>
          <w:rFonts w:ascii="Cambria" w:hAnsi="Cambria"/>
          <w:b w:val="0"/>
          <w:i w:val="0"/>
          <w:sz w:val="22"/>
        </w:rPr>
        <w:t>Consultancy revenue ↑ ₹5L → ₹9L (+80%).</w:t>
      </w:r>
    </w:p>
    <w:p>
      <w:pPr>
        <w:pStyle w:val="ListBullet"/>
        <w:spacing w:after="80"/>
        <w:jc w:val="both"/>
      </w:pPr>
      <w:r>
        <w:rPr>
          <w:rFonts w:ascii="Cambria" w:hAnsi="Cambria"/>
          <w:b w:val="0"/>
          <w:i w:val="0"/>
          <w:sz w:val="22"/>
        </w:rPr>
        <w:t>FDPs organized ↑ 6 → 10 (+66%).</w:t>
      </w:r>
    </w:p>
    <w:p>
      <w:pPr>
        <w:pStyle w:val="ListBullet"/>
        <w:spacing w:after="80"/>
        <w:jc w:val="both"/>
      </w:pPr>
      <w:r>
        <w:rPr>
          <w:rFonts w:ascii="Cambria" w:hAnsi="Cambria"/>
          <w:b w:val="0"/>
          <w:i w:val="0"/>
          <w:sz w:val="22"/>
        </w:rPr>
        <w:t>MoUs signed ↑ 5 → 8 (+60%).</w:t>
      </w:r>
    </w:p>
    <w:p>
      <w:pPr>
        <w:pStyle w:val="ListBullet"/>
        <w:spacing w:after="80"/>
        <w:jc w:val="both"/>
      </w:pPr>
      <w:r>
        <w:rPr>
          <w:rFonts w:ascii="Cambria" w:hAnsi="Cambria"/>
          <w:b w:val="0"/>
          <w:i w:val="0"/>
          <w:sz w:val="22"/>
        </w:rPr>
        <w:t>Student mentoring coverage ↑ 92%.</w:t>
      </w:r>
    </w:p>
    <w:p>
      <w:pPr>
        <w:keepNext/>
        <w:spacing w:before="280" w:after="160"/>
        <w:jc w:val="left"/>
      </w:pPr>
      <w:r>
        <w:rPr>
          <w:rFonts w:ascii="Cambria" w:hAnsi="Cambria"/>
          <w:b/>
          <w:i w:val="0"/>
          <w:color w:val="1F3A5F"/>
          <w:sz w:val="26"/>
        </w:rPr>
        <w:t>How Faculty Role Assignment Demonstrates Planned Governance</w:t>
      </w:r>
    </w:p>
    <w:p>
      <w:pPr>
        <w:spacing w:after="80"/>
        <w:ind w:left="340" w:hanging="340"/>
        <w:jc w:val="both"/>
      </w:pPr>
      <w:r>
        <w:rPr>
          <w:rFonts w:ascii="Cambria" w:hAnsi="Cambria"/>
          <w:b w:val="0"/>
          <w:i w:val="0"/>
          <w:sz w:val="22"/>
        </w:rPr>
        <w:t xml:space="preserve">1. </w:t>
      </w:r>
      <w:r>
        <w:rPr>
          <w:rFonts w:ascii="Cambria" w:hAnsi="Cambria"/>
          <w:b w:val="0"/>
          <w:i w:val="0"/>
          <w:sz w:val="22"/>
        </w:rPr>
        <w:t>Structured Role Allocation</w:t>
      </w:r>
    </w:p>
    <w:p>
      <w:pPr>
        <w:pStyle w:val="ListBullet2"/>
        <w:spacing w:after="80"/>
        <w:jc w:val="both"/>
      </w:pPr>
      <w:r>
        <w:rPr>
          <w:rFonts w:ascii="Cambria" w:hAnsi="Cambria"/>
          <w:b w:val="0"/>
          <w:i w:val="0"/>
          <w:sz w:val="22"/>
        </w:rPr>
        <w:t>Faculty roles (exam duties, lab in-charge, NAAC coordinator, mentoring, consultancy, community outreach) are systematically planned at the start of the academic year/semester.</w:t>
      </w:r>
    </w:p>
    <w:p>
      <w:pPr>
        <w:pStyle w:val="ListBullet2"/>
        <w:spacing w:after="80"/>
        <w:jc w:val="both"/>
      </w:pPr>
      <w:r>
        <w:rPr>
          <w:rFonts w:ascii="Cambria" w:hAnsi="Cambria"/>
          <w:b w:val="0"/>
          <w:i w:val="0"/>
          <w:sz w:val="22"/>
        </w:rPr>
        <w:t>Ensures no random or last-minute allocations.</w:t>
      </w:r>
    </w:p>
    <w:p>
      <w:pPr>
        <w:spacing w:after="80"/>
        <w:ind w:left="340" w:hanging="340"/>
        <w:jc w:val="both"/>
      </w:pPr>
      <w:r>
        <w:rPr>
          <w:rFonts w:ascii="Cambria" w:hAnsi="Cambria"/>
          <w:b w:val="0"/>
          <w:i w:val="0"/>
          <w:sz w:val="22"/>
        </w:rPr>
        <w:t xml:space="preserve">2. </w:t>
      </w:r>
      <w:r>
        <w:rPr>
          <w:rFonts w:ascii="Cambria" w:hAnsi="Cambria"/>
          <w:b w:val="0"/>
          <w:i w:val="0"/>
          <w:sz w:val="22"/>
        </w:rPr>
        <w:t>Rotation &amp; Fairness</w:t>
      </w:r>
    </w:p>
    <w:p>
      <w:pPr>
        <w:pStyle w:val="ListBullet2"/>
        <w:spacing w:after="80"/>
        <w:jc w:val="both"/>
      </w:pPr>
      <w:r>
        <w:rPr>
          <w:rFonts w:ascii="Cambria" w:hAnsi="Cambria"/>
          <w:b w:val="0"/>
          <w:i w:val="0"/>
          <w:sz w:val="22"/>
        </w:rPr>
        <w:t>Responsibilities rotated year-to-year (e.g., exam coordinator changes every 2 years).</w:t>
      </w:r>
    </w:p>
    <w:p>
      <w:pPr>
        <w:spacing w:after="120"/>
        <w:jc w:val="both"/>
      </w:pPr>
      <w:r>
        <w:rPr>
          <w:rFonts w:ascii="Cambria" w:hAnsi="Cambria"/>
          <w:b w:val="0"/>
          <w:i w:val="0"/>
          <w:sz w:val="22"/>
        </w:rPr>
        <w:t>Prevents burdening the same faculty repeatedly → shows fair planning.</w:t>
      </w:r>
    </w:p>
    <w:p>
      <w:pPr>
        <w:spacing w:after="80"/>
        <w:ind w:left="340" w:hanging="340"/>
        <w:jc w:val="both"/>
      </w:pPr>
      <w:r>
        <w:rPr>
          <w:rFonts w:ascii="Cambria" w:hAnsi="Cambria"/>
          <w:b w:val="0"/>
          <w:i w:val="0"/>
          <w:sz w:val="22"/>
        </w:rPr>
        <w:t xml:space="preserve">3. </w:t>
      </w:r>
      <w:r>
        <w:rPr>
          <w:rFonts w:ascii="Cambria" w:hAnsi="Cambria"/>
          <w:b w:val="0"/>
          <w:i w:val="0"/>
          <w:sz w:val="22"/>
        </w:rPr>
        <w:t>Alignment with Expertise</w:t>
      </w:r>
    </w:p>
    <w:p>
      <w:pPr>
        <w:pStyle w:val="ListBullet2"/>
        <w:spacing w:after="80"/>
        <w:jc w:val="both"/>
      </w:pPr>
      <w:r>
        <w:rPr>
          <w:rFonts w:ascii="Cambria" w:hAnsi="Cambria"/>
          <w:b w:val="0"/>
          <w:i w:val="0"/>
          <w:sz w:val="22"/>
        </w:rPr>
        <w:t>Academic/research roles assigned based on faculty specialization (e.g., AI faculty handles research consultancy in Data Science, Civil faculty leads construction-related outreach).</w:t>
      </w:r>
    </w:p>
    <w:p>
      <w:pPr>
        <w:pStyle w:val="ListBullet2"/>
        <w:spacing w:after="80"/>
        <w:jc w:val="both"/>
      </w:pPr>
      <w:r>
        <w:rPr>
          <w:rFonts w:ascii="Cambria" w:hAnsi="Cambria"/>
          <w:b w:val="0"/>
          <w:i w:val="0"/>
          <w:sz w:val="22"/>
        </w:rPr>
        <w:t>Shows governance is rational and purposeful, not arbitrary.</w:t>
      </w:r>
    </w:p>
    <w:p>
      <w:pPr>
        <w:spacing w:after="80"/>
        <w:ind w:left="340" w:hanging="340"/>
        <w:jc w:val="both"/>
      </w:pPr>
      <w:r>
        <w:rPr>
          <w:rFonts w:ascii="Cambria" w:hAnsi="Cambria"/>
          <w:b w:val="0"/>
          <w:i w:val="0"/>
          <w:sz w:val="22"/>
        </w:rPr>
        <w:t xml:space="preserve">4. </w:t>
      </w:r>
      <w:r>
        <w:rPr>
          <w:rFonts w:ascii="Cambria" w:hAnsi="Cambria"/>
          <w:b w:val="0"/>
          <w:i w:val="0"/>
          <w:sz w:val="22"/>
        </w:rPr>
        <w:t>Documentation of Decisions</w:t>
      </w:r>
    </w:p>
    <w:p>
      <w:pPr>
        <w:pStyle w:val="ListBullet2"/>
        <w:spacing w:after="80"/>
        <w:jc w:val="both"/>
      </w:pPr>
      <w:r>
        <w:rPr>
          <w:rFonts w:ascii="Cambria" w:hAnsi="Cambria"/>
          <w:b w:val="0"/>
          <w:i w:val="0"/>
          <w:sz w:val="22"/>
        </w:rPr>
        <w:t>Faculty Role Assignment Order (signed by HoD).</w:t>
      </w:r>
    </w:p>
    <w:p>
      <w:pPr>
        <w:pStyle w:val="ListBullet2"/>
        <w:spacing w:after="80"/>
        <w:jc w:val="both"/>
      </w:pPr>
      <w:r>
        <w:rPr>
          <w:rFonts w:ascii="Cambria" w:hAnsi="Cambria"/>
          <w:b w:val="0"/>
          <w:i w:val="0"/>
          <w:sz w:val="22"/>
        </w:rPr>
        <w:t>Meeting minutes of allocation discussion.</w:t>
      </w:r>
    </w:p>
    <w:p>
      <w:pPr>
        <w:pStyle w:val="ListBullet2"/>
        <w:spacing w:after="80"/>
        <w:jc w:val="both"/>
      </w:pPr>
      <w:r>
        <w:rPr>
          <w:rFonts w:ascii="Cambria" w:hAnsi="Cambria"/>
          <w:b w:val="0"/>
          <w:i w:val="0"/>
          <w:sz w:val="22"/>
        </w:rPr>
        <w:t>Submission acknowledgement by Principal/IQAC.</w:t>
      </w:r>
    </w:p>
    <w:p>
      <w:pPr>
        <w:pStyle w:val="ListBullet2"/>
        <w:spacing w:after="80"/>
        <w:jc w:val="both"/>
      </w:pPr>
      <w:r>
        <w:rPr>
          <w:rFonts w:ascii="Cambria" w:hAnsi="Cambria"/>
          <w:b w:val="0"/>
          <w:i w:val="0"/>
          <w:sz w:val="22"/>
        </w:rPr>
        <w:t>Creates a traceable decision-making trail.</w:t>
      </w:r>
    </w:p>
    <w:p>
      <w:pPr>
        <w:spacing w:after="80"/>
        <w:ind w:left="340" w:hanging="340"/>
        <w:jc w:val="both"/>
      </w:pPr>
      <w:r>
        <w:rPr>
          <w:rFonts w:ascii="Cambria" w:hAnsi="Cambria"/>
          <w:b w:val="0"/>
          <w:i w:val="0"/>
          <w:sz w:val="22"/>
        </w:rPr>
        <w:t xml:space="preserve">5. </w:t>
      </w:r>
      <w:r>
        <w:rPr>
          <w:rFonts w:ascii="Cambria" w:hAnsi="Cambria"/>
          <w:b w:val="0"/>
          <w:i w:val="0"/>
          <w:sz w:val="22"/>
        </w:rPr>
        <w:t>Outcome-Oriented Governance</w:t>
      </w:r>
    </w:p>
    <w:p>
      <w:pPr>
        <w:pStyle w:val="ListBullet2"/>
        <w:spacing w:after="80"/>
        <w:jc w:val="both"/>
      </w:pPr>
      <w:r>
        <w:rPr>
          <w:rFonts w:ascii="Cambria" w:hAnsi="Cambria"/>
          <w:b w:val="0"/>
          <w:i w:val="0"/>
          <w:sz w:val="22"/>
        </w:rPr>
        <w:t>Assigned roles linked to numeric outcomes (MoUs signed, FDPs organized, consultancy revenue, mentoring coverage).</w:t>
      </w:r>
    </w:p>
    <w:p>
      <w:pPr>
        <w:pStyle w:val="ListBullet2"/>
        <w:spacing w:after="80"/>
        <w:jc w:val="both"/>
      </w:pPr>
      <w:r>
        <w:rPr>
          <w:rFonts w:ascii="Cambria" w:hAnsi="Cambria"/>
          <w:b w:val="0"/>
          <w:i w:val="0"/>
          <w:sz w:val="22"/>
        </w:rPr>
        <w:t>Ensures assignments are measurable and impactful, not nominal.</w:t>
      </w:r>
    </w:p>
    <w:p>
      <w:pPr>
        <w:keepNext/>
        <w:spacing w:before="280" w:after="160"/>
        <w:jc w:val="left"/>
      </w:pPr>
      <w:r>
        <w:rPr>
          <w:rFonts w:ascii="Cambria" w:hAnsi="Cambria"/>
          <w:b/>
          <w:i w:val="0"/>
          <w:color w:val="1F3A5F"/>
          <w:sz w:val="26"/>
        </w:rPr>
        <w:t>Tangible Outcomes (Planned Governance)</w:t>
      </w:r>
    </w:p>
    <w:p>
      <w:pPr>
        <w:pStyle w:val="ListBullet"/>
        <w:spacing w:after="80"/>
        <w:jc w:val="both"/>
      </w:pPr>
      <w:r>
        <w:rPr>
          <w:rFonts w:ascii="Cambria" w:hAnsi="Cambria"/>
          <w:b w:val="0"/>
          <w:i w:val="0"/>
          <w:sz w:val="22"/>
        </w:rPr>
        <w:t>100% faculty assigned structured roles beyond teaching.</w:t>
      </w:r>
    </w:p>
    <w:p>
      <w:pPr>
        <w:pStyle w:val="ListBullet"/>
        <w:spacing w:after="80"/>
        <w:jc w:val="both"/>
      </w:pPr>
      <w:r>
        <w:rPr>
          <w:rFonts w:ascii="Cambria" w:hAnsi="Cambria"/>
          <w:b w:val="0"/>
          <w:i w:val="0"/>
          <w:sz w:val="22"/>
        </w:rPr>
        <w:t>Rotation ensured — 70% of admin roles changed hands in 2023–24.</w:t>
      </w:r>
    </w:p>
    <w:p>
      <w:pPr>
        <w:pStyle w:val="ListBullet"/>
        <w:spacing w:after="80"/>
        <w:jc w:val="both"/>
      </w:pPr>
      <w:r>
        <w:rPr>
          <w:rFonts w:ascii="Cambria" w:hAnsi="Cambria"/>
          <w:b w:val="0"/>
          <w:i w:val="0"/>
          <w:sz w:val="22"/>
        </w:rPr>
        <w:t>FDPs organized ↑ 6 → 10 (+66%).</w:t>
      </w:r>
    </w:p>
    <w:p>
      <w:pPr>
        <w:pStyle w:val="ListBullet"/>
        <w:spacing w:after="80"/>
        <w:jc w:val="both"/>
      </w:pPr>
      <w:r>
        <w:rPr>
          <w:rFonts w:ascii="Cambria" w:hAnsi="Cambria"/>
          <w:b w:val="0"/>
          <w:i w:val="0"/>
          <w:sz w:val="22"/>
        </w:rPr>
        <w:t>Consultancy revenue ↑ ₹5L → ₹9L (+80%).</w:t>
      </w:r>
    </w:p>
    <w:p>
      <w:pPr>
        <w:pStyle w:val="ListBullet"/>
        <w:spacing w:after="80"/>
        <w:jc w:val="both"/>
      </w:pPr>
      <w:r>
        <w:rPr>
          <w:rFonts w:ascii="Cambria" w:hAnsi="Cambria"/>
          <w:b w:val="0"/>
          <w:i w:val="0"/>
          <w:sz w:val="22"/>
        </w:rPr>
        <w:t>MoUs signed ↑ 5 → 8 (+60%).</w:t>
      </w:r>
    </w:p>
    <w:p>
      <w:pPr>
        <w:pStyle w:val="ListBullet"/>
        <w:spacing w:after="80"/>
        <w:jc w:val="both"/>
      </w:pPr>
      <w:r>
        <w:rPr>
          <w:rFonts w:ascii="Cambria" w:hAnsi="Cambria"/>
          <w:b w:val="0"/>
          <w:i w:val="0"/>
          <w:sz w:val="22"/>
        </w:rPr>
        <w:t>Student mentoring coverage ↑ 92%.</w:t>
      </w:r>
    </w:p>
    <w:p>
      <w:pPr>
        <w:keepNext/>
        <w:spacing w:before="280" w:after="160"/>
        <w:jc w:val="left"/>
      </w:pPr>
      <w:r>
        <w:rPr>
          <w:rFonts w:ascii="Cambria" w:hAnsi="Cambria"/>
          <w:b/>
          <w:i w:val="0"/>
          <w:color w:val="1F3A5F"/>
          <w:sz w:val="26"/>
        </w:rPr>
        <w:t>Why Peer Reviewers Value This (II)</w:t>
      </w:r>
    </w:p>
    <w:p>
      <w:pPr>
        <w:pStyle w:val="ListBullet"/>
        <w:spacing w:after="80"/>
        <w:jc w:val="both"/>
      </w:pPr>
      <w:r>
        <w:rPr>
          <w:rFonts w:ascii="Cambria" w:hAnsi="Cambria"/>
          <w:b w:val="0"/>
          <w:i w:val="0"/>
          <w:sz w:val="22"/>
        </w:rPr>
        <w:t>Demonstrates planned, participatory governance.</w:t>
      </w:r>
    </w:p>
    <w:p>
      <w:pPr>
        <w:pStyle w:val="ListBullet"/>
        <w:spacing w:after="80"/>
        <w:jc w:val="both"/>
      </w:pPr>
      <w:r>
        <w:rPr>
          <w:rFonts w:ascii="Cambria" w:hAnsi="Cambria"/>
          <w:b w:val="0"/>
          <w:i w:val="0"/>
          <w:sz w:val="22"/>
        </w:rPr>
        <w:t>Proves allocations are systematic, fair, and evidence-backed, not random.</w:t>
      </w:r>
    </w:p>
    <w:p>
      <w:pPr>
        <w:pStyle w:val="ListBullet"/>
        <w:spacing w:after="80"/>
        <w:jc w:val="both"/>
      </w:pPr>
      <w:r>
        <w:rPr>
          <w:rFonts w:ascii="Cambria" w:hAnsi="Cambria"/>
          <w:b w:val="0"/>
          <w:i w:val="0"/>
          <w:sz w:val="22"/>
        </w:rPr>
        <w:t>Strengthens NAAC Criterion 6 (Governance &amp; Leadership) and NBA Criterion 5 (Faculty Contributions).</w:t>
      </w:r>
    </w:p>
    <w:p>
      <w:pPr>
        <w:spacing w:after="120"/>
        <w:jc w:val="both"/>
      </w:pPr>
      <w:r>
        <w:rPr>
          <w:rFonts w:ascii="Cambria" w:hAnsi="Cambria"/>
          <w:b w:val="0"/>
          <w:i w:val="0"/>
          <w:sz w:val="22"/>
        </w:rPr>
        <w:t>Builds credibility → because reviewers can verify planning records (meeting notes + signed orders).</w:t>
      </w:r>
    </w:p>
    <w:p>
      <w:pPr>
        <w:keepNext/>
        <w:spacing w:before="280" w:after="160"/>
        <w:jc w:val="left"/>
      </w:pPr>
      <w:r>
        <w:rPr>
          <w:rFonts w:ascii="Cambria" w:hAnsi="Cambria"/>
          <w:b/>
          <w:i w:val="0"/>
          <w:color w:val="1F3A5F"/>
          <w:sz w:val="26"/>
        </w:rPr>
        <w:t>How Role Allocation Drives Continuous Improvement</w:t>
      </w:r>
    </w:p>
    <w:p>
      <w:pPr>
        <w:spacing w:after="80"/>
        <w:ind w:left="340" w:hanging="340"/>
        <w:jc w:val="both"/>
      </w:pPr>
      <w:r>
        <w:rPr>
          <w:rFonts w:ascii="Cambria" w:hAnsi="Cambria"/>
          <w:b w:val="0"/>
          <w:i w:val="0"/>
          <w:sz w:val="22"/>
        </w:rPr>
        <w:t xml:space="preserve">1. </w:t>
      </w:r>
      <w:r>
        <w:rPr>
          <w:rFonts w:ascii="Cambria" w:hAnsi="Cambria"/>
          <w:b w:val="0"/>
          <w:i w:val="0"/>
          <w:sz w:val="22"/>
        </w:rPr>
        <w:t>Academic Impact</w:t>
      </w:r>
    </w:p>
    <w:p>
      <w:pPr>
        <w:pStyle w:val="ListBullet2"/>
        <w:spacing w:after="80"/>
        <w:jc w:val="both"/>
      </w:pPr>
      <w:r>
        <w:rPr>
          <w:rFonts w:ascii="Cambria" w:hAnsi="Cambria"/>
          <w:b w:val="0"/>
          <w:i w:val="0"/>
          <w:sz w:val="22"/>
        </w:rPr>
        <w:t>Faculty assignments in curriculum development, FDPs, OBE coordination lead to:</w:t>
      </w:r>
    </w:p>
    <w:p>
      <w:pPr>
        <w:spacing w:after="120"/>
        <w:jc w:val="both"/>
      </w:pPr>
      <w:r>
        <w:rPr>
          <w:rFonts w:ascii="Cambria" w:hAnsi="Cambria"/>
          <w:b w:val="0"/>
          <w:i w:val="0"/>
          <w:sz w:val="22"/>
        </w:rPr>
        <w:t>Improved CO–PO attainment (e.g., +6%).</w:t>
      </w:r>
    </w:p>
    <w:p>
      <w:pPr>
        <w:spacing w:after="120"/>
        <w:jc w:val="both"/>
      </w:pPr>
      <w:r>
        <w:rPr>
          <w:rFonts w:ascii="Cambria" w:hAnsi="Cambria"/>
          <w:b w:val="0"/>
          <w:i w:val="0"/>
          <w:sz w:val="22"/>
        </w:rPr>
        <w:t>Higher pass % (78% → 88%).</w:t>
      </w:r>
    </w:p>
    <w:p>
      <w:pPr>
        <w:spacing w:after="120"/>
        <w:jc w:val="both"/>
      </w:pPr>
      <w:r>
        <w:rPr>
          <w:rFonts w:ascii="Cambria" w:hAnsi="Cambria"/>
          <w:b w:val="0"/>
          <w:i w:val="0"/>
          <w:sz w:val="22"/>
        </w:rPr>
        <w:t>Better student satisfaction (feedback ↑ from 3.9 → 4.4/5).</w:t>
      </w:r>
    </w:p>
    <w:p>
      <w:pPr>
        <w:spacing w:after="80"/>
        <w:ind w:left="340" w:hanging="340"/>
        <w:jc w:val="both"/>
      </w:pPr>
      <w:r>
        <w:rPr>
          <w:rFonts w:ascii="Cambria" w:hAnsi="Cambria"/>
          <w:b w:val="0"/>
          <w:i w:val="0"/>
          <w:sz w:val="22"/>
        </w:rPr>
        <w:t xml:space="preserve">2. </w:t>
      </w:r>
      <w:r>
        <w:rPr>
          <w:rFonts w:ascii="Cambria" w:hAnsi="Cambria"/>
          <w:b w:val="0"/>
          <w:i w:val="0"/>
          <w:sz w:val="22"/>
        </w:rPr>
        <w:t>Research Impact</w:t>
      </w:r>
    </w:p>
    <w:p>
      <w:pPr>
        <w:pStyle w:val="ListBullet2"/>
        <w:spacing w:after="80"/>
        <w:jc w:val="both"/>
      </w:pPr>
      <w:r>
        <w:rPr>
          <w:rFonts w:ascii="Cambria" w:hAnsi="Cambria"/>
          <w:b w:val="0"/>
          <w:i w:val="0"/>
          <w:sz w:val="22"/>
        </w:rPr>
        <w:t>Faculty assigned consultancy/research roles deliver:</w:t>
      </w:r>
    </w:p>
    <w:p>
      <w:pPr>
        <w:spacing w:after="120"/>
        <w:jc w:val="both"/>
      </w:pPr>
      <w:r>
        <w:rPr>
          <w:rFonts w:ascii="Cambria" w:hAnsi="Cambria"/>
          <w:b w:val="0"/>
          <w:i w:val="0"/>
          <w:sz w:val="22"/>
        </w:rPr>
        <w:t>Publications/faculty ↑ 31% (1.6 → 2.1).</w:t>
      </w:r>
    </w:p>
    <w:p>
      <w:pPr>
        <w:spacing w:after="120"/>
        <w:jc w:val="both"/>
      </w:pPr>
      <w:r>
        <w:rPr>
          <w:rFonts w:ascii="Cambria" w:hAnsi="Cambria"/>
          <w:b w:val="0"/>
          <w:i w:val="0"/>
          <w:sz w:val="22"/>
        </w:rPr>
        <w:t>Research funding ↑ ₹5L → ₹9L (+80%).</w:t>
      </w:r>
    </w:p>
    <w:p>
      <w:pPr>
        <w:spacing w:after="120"/>
        <w:jc w:val="both"/>
      </w:pPr>
      <w:r>
        <w:rPr>
          <w:rFonts w:ascii="Cambria" w:hAnsi="Cambria"/>
          <w:b w:val="0"/>
          <w:i w:val="0"/>
          <w:sz w:val="22"/>
        </w:rPr>
        <w:t>Patents filed ↑ 2 → 5.</w:t>
      </w:r>
    </w:p>
    <w:p>
      <w:pPr>
        <w:spacing w:after="80"/>
        <w:ind w:left="340" w:hanging="340"/>
        <w:jc w:val="both"/>
      </w:pPr>
      <w:r>
        <w:rPr>
          <w:rFonts w:ascii="Cambria" w:hAnsi="Cambria"/>
          <w:b w:val="0"/>
          <w:i w:val="0"/>
          <w:sz w:val="22"/>
        </w:rPr>
        <w:t xml:space="preserve">3. </w:t>
      </w:r>
      <w:r>
        <w:rPr>
          <w:rFonts w:ascii="Cambria" w:hAnsi="Cambria"/>
          <w:b w:val="0"/>
          <w:i w:val="0"/>
          <w:sz w:val="22"/>
        </w:rPr>
        <w:t>Industry Impact</w:t>
      </w:r>
    </w:p>
    <w:p>
      <w:pPr>
        <w:pStyle w:val="ListBullet2"/>
        <w:spacing w:after="80"/>
        <w:jc w:val="both"/>
      </w:pPr>
      <w:r>
        <w:rPr>
          <w:rFonts w:ascii="Cambria" w:hAnsi="Cambria"/>
          <w:b w:val="0"/>
          <w:i w:val="0"/>
          <w:sz w:val="22"/>
        </w:rPr>
        <w:t>Faculty coordinating MoUs and internships ensure:</w:t>
      </w:r>
    </w:p>
    <w:p>
      <w:pPr>
        <w:spacing w:after="120"/>
        <w:jc w:val="both"/>
      </w:pPr>
      <w:r>
        <w:rPr>
          <w:rFonts w:ascii="Cambria" w:hAnsi="Cambria"/>
          <w:b w:val="0"/>
          <w:i w:val="0"/>
          <w:sz w:val="22"/>
        </w:rPr>
        <w:t>MoUs ↑ 5 → 8 (+60%).</w:t>
      </w:r>
    </w:p>
    <w:p>
      <w:pPr>
        <w:spacing w:after="120"/>
        <w:jc w:val="both"/>
      </w:pPr>
      <w:r>
        <w:rPr>
          <w:rFonts w:ascii="Cambria" w:hAnsi="Cambria"/>
          <w:b w:val="0"/>
          <w:i w:val="0"/>
          <w:sz w:val="22"/>
        </w:rPr>
        <w:t>Internships ↑ 120 → 160 students (+33%).</w:t>
      </w:r>
    </w:p>
    <w:p>
      <w:pPr>
        <w:spacing w:after="120"/>
        <w:jc w:val="both"/>
      </w:pPr>
      <w:r>
        <w:rPr>
          <w:rFonts w:ascii="Cambria" w:hAnsi="Cambria"/>
          <w:b w:val="0"/>
          <w:i w:val="0"/>
          <w:sz w:val="22"/>
        </w:rPr>
        <w:t>Placement rate ↑ 70% → 82%.</w:t>
      </w:r>
    </w:p>
    <w:p>
      <w:pPr>
        <w:spacing w:after="80"/>
        <w:ind w:left="340" w:hanging="340"/>
        <w:jc w:val="both"/>
      </w:pPr>
      <w:r>
        <w:rPr>
          <w:rFonts w:ascii="Cambria" w:hAnsi="Cambria"/>
          <w:b w:val="0"/>
          <w:i w:val="0"/>
          <w:sz w:val="22"/>
        </w:rPr>
        <w:t xml:space="preserve">4. </w:t>
      </w:r>
      <w:r>
        <w:rPr>
          <w:rFonts w:ascii="Cambria" w:hAnsi="Cambria"/>
          <w:b w:val="0"/>
          <w:i w:val="0"/>
          <w:sz w:val="22"/>
        </w:rPr>
        <w:t>Social/Community Impact</w:t>
      </w:r>
    </w:p>
    <w:p>
      <w:pPr>
        <w:pStyle w:val="ListBullet2"/>
        <w:spacing w:after="80"/>
        <w:jc w:val="both"/>
      </w:pPr>
      <w:r>
        <w:rPr>
          <w:rFonts w:ascii="Cambria" w:hAnsi="Cambria"/>
          <w:b w:val="0"/>
          <w:i w:val="0"/>
          <w:sz w:val="22"/>
        </w:rPr>
        <w:t>Faculty leading NSS/NCC, extension services, rural outreach deliver:</w:t>
      </w:r>
    </w:p>
    <w:p>
      <w:pPr>
        <w:spacing w:after="120"/>
        <w:jc w:val="both"/>
      </w:pPr>
      <w:r>
        <w:rPr>
          <w:rFonts w:ascii="Cambria" w:hAnsi="Cambria"/>
          <w:b w:val="0"/>
          <w:i w:val="0"/>
          <w:sz w:val="22"/>
        </w:rPr>
        <w:t>Outreach programs ↑ 4 → 7/year (+75%).</w:t>
      </w:r>
    </w:p>
    <w:p>
      <w:pPr>
        <w:spacing w:after="120"/>
        <w:jc w:val="both"/>
      </w:pPr>
      <w:r>
        <w:rPr>
          <w:rFonts w:ascii="Cambria" w:hAnsi="Cambria"/>
          <w:b w:val="0"/>
          <w:i w:val="0"/>
          <w:sz w:val="22"/>
        </w:rPr>
        <w:t>Community participants ↑ 300 → 520.</w:t>
      </w:r>
    </w:p>
    <w:p>
      <w:pPr>
        <w:spacing w:after="120"/>
        <w:jc w:val="both"/>
      </w:pPr>
      <w:r>
        <w:rPr>
          <w:rFonts w:ascii="Cambria" w:hAnsi="Cambria"/>
          <w:b w:val="0"/>
          <w:i w:val="0"/>
          <w:sz w:val="22"/>
        </w:rPr>
        <w:t>Student volunteer hours ↑ 1,200 → 1,800.</w:t>
      </w:r>
    </w:p>
    <w:p>
      <w:pPr>
        <w:spacing w:after="80"/>
        <w:ind w:left="340" w:hanging="340"/>
        <w:jc w:val="both"/>
      </w:pPr>
      <w:r>
        <w:rPr>
          <w:rFonts w:ascii="Cambria" w:hAnsi="Cambria"/>
          <w:b w:val="0"/>
          <w:i w:val="0"/>
          <w:sz w:val="22"/>
        </w:rPr>
        <w:t xml:space="preserve">5. </w:t>
      </w:r>
      <w:r>
        <w:rPr>
          <w:rFonts w:ascii="Cambria" w:hAnsi="Cambria"/>
          <w:b w:val="0"/>
          <w:i w:val="0"/>
          <w:sz w:val="22"/>
        </w:rPr>
        <w:t>Governance Impact</w:t>
      </w:r>
    </w:p>
    <w:p>
      <w:pPr>
        <w:pStyle w:val="ListBullet2"/>
        <w:spacing w:after="80"/>
        <w:jc w:val="both"/>
      </w:pPr>
      <w:r>
        <w:rPr>
          <w:rFonts w:ascii="Cambria" w:hAnsi="Cambria"/>
          <w:b w:val="0"/>
          <w:i w:val="0"/>
          <w:sz w:val="22"/>
        </w:rPr>
        <w:t>Zero disputes in role allocations.</w:t>
      </w:r>
    </w:p>
    <w:p>
      <w:pPr>
        <w:pStyle w:val="ListBullet2"/>
        <w:spacing w:after="80"/>
        <w:jc w:val="both"/>
      </w:pPr>
      <w:r>
        <w:rPr>
          <w:rFonts w:ascii="Cambria" w:hAnsi="Cambria"/>
          <w:b w:val="0"/>
          <w:i w:val="0"/>
          <w:sz w:val="22"/>
        </w:rPr>
        <w:t>Faculty satisfaction with workload fairness ↑ 82% → 94%.</w:t>
      </w:r>
    </w:p>
    <w:p>
      <w:pPr>
        <w:pStyle w:val="ListBullet2"/>
        <w:spacing w:after="80"/>
        <w:jc w:val="both"/>
      </w:pPr>
      <w:r>
        <w:rPr>
          <w:rFonts w:ascii="Cambria" w:hAnsi="Cambria"/>
          <w:b w:val="0"/>
          <w:i w:val="0"/>
          <w:sz w:val="22"/>
        </w:rPr>
        <w:t>100% faculty assigned at least one responsibility beyond teaching.</w:t>
      </w:r>
    </w:p>
    <w:p>
      <w:pPr>
        <w:keepNext/>
        <w:spacing w:before="280" w:after="160"/>
        <w:jc w:val="left"/>
      </w:pPr>
      <w:r>
        <w:rPr>
          <w:rFonts w:ascii="Cambria" w:hAnsi="Cambria"/>
          <w:b/>
          <w:i w:val="0"/>
          <w:color w:val="1F3A5F"/>
          <w:sz w:val="26"/>
        </w:rPr>
        <w:t>Tangible Continuous Improvement Outcomes</w:t>
      </w:r>
    </w:p>
    <w:p>
      <w:pPr>
        <w:pStyle w:val="ListBullet"/>
        <w:spacing w:after="80"/>
        <w:jc w:val="both"/>
      </w:pPr>
      <w:r>
        <w:rPr>
          <w:rFonts w:ascii="Cambria" w:hAnsi="Cambria"/>
          <w:b w:val="0"/>
          <w:i w:val="0"/>
          <w:sz w:val="22"/>
        </w:rPr>
        <w:t>Academic → Pass % +10%, CO attainment +6%.</w:t>
      </w:r>
    </w:p>
    <w:p>
      <w:pPr>
        <w:pStyle w:val="ListBullet"/>
        <w:spacing w:after="80"/>
        <w:jc w:val="both"/>
      </w:pPr>
      <w:r>
        <w:rPr>
          <w:rFonts w:ascii="Cambria" w:hAnsi="Cambria"/>
          <w:b w:val="0"/>
          <w:i w:val="0"/>
          <w:sz w:val="22"/>
        </w:rPr>
        <w:t>Research → Publications/faculty +31%, funding +80%.</w:t>
      </w:r>
    </w:p>
    <w:p>
      <w:pPr>
        <w:pStyle w:val="ListBullet"/>
        <w:spacing w:after="80"/>
        <w:jc w:val="both"/>
      </w:pPr>
      <w:r>
        <w:rPr>
          <w:rFonts w:ascii="Cambria" w:hAnsi="Cambria"/>
          <w:b w:val="0"/>
          <w:i w:val="0"/>
          <w:sz w:val="22"/>
        </w:rPr>
        <w:t>Industry → MoUs +60%, placements +12%.</w:t>
      </w:r>
    </w:p>
    <w:p>
      <w:pPr>
        <w:pStyle w:val="ListBullet"/>
        <w:spacing w:after="80"/>
        <w:jc w:val="both"/>
      </w:pPr>
      <w:r>
        <w:rPr>
          <w:rFonts w:ascii="Cambria" w:hAnsi="Cambria"/>
          <w:b w:val="0"/>
          <w:i w:val="0"/>
          <w:sz w:val="22"/>
        </w:rPr>
        <w:t>Social → Outreach programs +75%, student volunteers +50%.</w:t>
      </w:r>
    </w:p>
    <w:p>
      <w:pPr>
        <w:pStyle w:val="ListBullet"/>
        <w:spacing w:after="80"/>
        <w:jc w:val="both"/>
      </w:pPr>
      <w:r>
        <w:rPr>
          <w:rFonts w:ascii="Cambria" w:hAnsi="Cambria"/>
          <w:b w:val="0"/>
          <w:i w:val="0"/>
          <w:sz w:val="22"/>
        </w:rPr>
        <w:t>Governance → 100% role allocation, 0 disputes, +12% satisfaction growth.</w:t>
      </w:r>
    </w:p>
    <w:p>
      <w:pPr>
        <w:keepNext/>
        <w:spacing w:before="280" w:after="160"/>
        <w:jc w:val="left"/>
      </w:pPr>
      <w:r>
        <w:rPr>
          <w:rFonts w:ascii="Cambria" w:hAnsi="Cambria"/>
          <w:b/>
          <w:i w:val="0"/>
          <w:color w:val="1F3A5F"/>
          <w:sz w:val="26"/>
        </w:rPr>
        <w:t>Why Peer Reviewers Value This (III)</w:t>
      </w:r>
    </w:p>
    <w:p>
      <w:pPr>
        <w:pStyle w:val="ListBullet"/>
        <w:spacing w:after="80"/>
        <w:jc w:val="both"/>
      </w:pPr>
      <w:r>
        <w:rPr>
          <w:rFonts w:ascii="Cambria" w:hAnsi="Cambria"/>
          <w:b w:val="0"/>
          <w:i w:val="0"/>
          <w:sz w:val="22"/>
        </w:rPr>
        <w:t>Provides evidence-based proof of growth in both academic and social domains.</w:t>
      </w:r>
    </w:p>
    <w:p>
      <w:pPr>
        <w:pStyle w:val="ListBullet"/>
        <w:spacing w:after="80"/>
        <w:jc w:val="both"/>
      </w:pPr>
      <w:r>
        <w:rPr>
          <w:rFonts w:ascii="Cambria" w:hAnsi="Cambria"/>
          <w:b w:val="0"/>
          <w:i w:val="0"/>
          <w:sz w:val="22"/>
        </w:rPr>
        <w:t>Aligns with NAAC Criterion 3 (Research &amp; Extension) and Criterion 6 (Governance &amp; Leadership).</w:t>
      </w:r>
    </w:p>
    <w:p>
      <w:pPr>
        <w:pStyle w:val="ListBullet"/>
        <w:spacing w:after="80"/>
        <w:jc w:val="both"/>
      </w:pPr>
      <w:r>
        <w:rPr>
          <w:rFonts w:ascii="Cambria" w:hAnsi="Cambria"/>
          <w:b w:val="0"/>
          <w:i w:val="0"/>
          <w:sz w:val="22"/>
        </w:rPr>
        <w:t>Demonstrates that role allocation is not static, but drives year-on-year improvement.</w:t>
      </w:r>
    </w:p>
    <w:p>
      <w:pPr>
        <w:pStyle w:val="ListBullet"/>
        <w:spacing w:after="80"/>
        <w:jc w:val="both"/>
      </w:pPr>
      <w:r>
        <w:rPr>
          <w:rFonts w:ascii="Cambria" w:hAnsi="Cambria"/>
          <w:b w:val="0"/>
          <w:i w:val="0"/>
          <w:sz w:val="22"/>
        </w:rPr>
        <w:t>Strengthens credibility by showing baseline vs improvement trends.</w:t>
      </w:r>
    </w:p>
    <w:p>
      <w:r>
        <w:br w:type="page"/>
      </w:r>
    </w:p>
    <w:p>
      <w:pPr>
        <w:keepNext/>
        <w:spacing w:before="280" w:after="160"/>
        <w:jc w:val="left"/>
      </w:pPr>
      <w:r>
        <w:rPr>
          <w:rFonts w:ascii="Cambria" w:hAnsi="Cambria"/>
          <w:b/>
          <w:i w:val="0"/>
          <w:color w:val="1F3A5F"/>
          <w:sz w:val="30"/>
        </w:rPr>
        <w:t>11. HoD's Responsibility in Utilizing Staff Services and Interchanging Duties — Making It Systematic, Transparent, and Audit-Ready</w:t>
      </w:r>
    </w:p>
    <w:p>
      <w:pPr>
        <w:keepNext/>
        <w:spacing w:before="280" w:after="160"/>
        <w:jc w:val="left"/>
      </w:pPr>
      <w:r>
        <w:rPr>
          <w:rFonts w:ascii="Cambria" w:hAnsi="Cambria"/>
          <w:b/>
          <w:i w:val="0"/>
          <w:color w:val="1F3A5F"/>
          <w:sz w:val="26"/>
        </w:rPr>
        <w:t>Policy Statement</w:t>
      </w:r>
    </w:p>
    <w:p>
      <w:pPr>
        <w:pStyle w:val="ListBullet"/>
        <w:spacing w:after="80"/>
        <w:jc w:val="both"/>
      </w:pPr>
      <w:r>
        <w:rPr>
          <w:rFonts w:ascii="Cambria" w:hAnsi="Cambria"/>
          <w:b w:val="0"/>
          <w:i w:val="0"/>
          <w:sz w:val="22"/>
        </w:rPr>
        <w:t>The HoD has the authority to utilize services of faculty/staff and to reassign or interchange duties periodically to ensure operational efficiency, equity, and continuous improvement in the division.</w:t>
      </w:r>
    </w:p>
    <w:p>
      <w:pPr>
        <w:keepNext/>
        <w:spacing w:before="280" w:after="160"/>
        <w:jc w:val="left"/>
      </w:pPr>
      <w:r>
        <w:rPr>
          <w:rFonts w:ascii="Cambria" w:hAnsi="Cambria"/>
          <w:b/>
          <w:i w:val="0"/>
          <w:color w:val="1F3A5F"/>
          <w:sz w:val="26"/>
        </w:rPr>
        <w:t>Actions by HoD</w:t>
      </w:r>
    </w:p>
    <w:p>
      <w:pPr>
        <w:pStyle w:val="ListBullet"/>
        <w:spacing w:after="80"/>
        <w:jc w:val="both"/>
      </w:pPr>
      <w:r>
        <w:rPr>
          <w:rFonts w:ascii="Cambria" w:hAnsi="Cambria"/>
          <w:b w:val="0"/>
          <w:i w:val="0"/>
          <w:sz w:val="22"/>
        </w:rPr>
        <w:t>Duty Assignment Orders → issue formal duty rosters (signed by HoD).</w:t>
      </w:r>
    </w:p>
    <w:p>
      <w:pPr>
        <w:pStyle w:val="ListBullet"/>
        <w:spacing w:after="80"/>
        <w:jc w:val="both"/>
      </w:pPr>
      <w:r>
        <w:rPr>
          <w:rFonts w:ascii="Cambria" w:hAnsi="Cambria"/>
          <w:b w:val="0"/>
          <w:i w:val="0"/>
          <w:sz w:val="22"/>
        </w:rPr>
        <w:t>Rotation of Roles → interchange responsibilities (lab-in-charge, exam duties, NAAC data collection, mentoring) to ensure equity and avoid stagnation.</w:t>
      </w:r>
    </w:p>
    <w:p>
      <w:pPr>
        <w:pStyle w:val="ListBullet"/>
        <w:spacing w:after="80"/>
        <w:jc w:val="both"/>
      </w:pPr>
      <w:r>
        <w:rPr>
          <w:rFonts w:ascii="Cambria" w:hAnsi="Cambria"/>
          <w:b w:val="0"/>
          <w:i w:val="0"/>
          <w:sz w:val="22"/>
        </w:rPr>
        <w:t>Skill-Based Allocation → assign duties aligned with expertise (e.g., ICT-savvy faculty for e-learning cell).</w:t>
      </w:r>
    </w:p>
    <w:p>
      <w:pPr>
        <w:pStyle w:val="ListBullet"/>
        <w:spacing w:after="80"/>
        <w:jc w:val="both"/>
      </w:pPr>
      <w:r>
        <w:rPr>
          <w:rFonts w:ascii="Cambria" w:hAnsi="Cambria"/>
          <w:b w:val="0"/>
          <w:i w:val="0"/>
          <w:sz w:val="22"/>
        </w:rPr>
        <w:t>Cross-Training → ensure staff members learn multiple duties through rotation → builds resilience in case of absences.</w:t>
      </w:r>
    </w:p>
    <w:p>
      <w:pPr>
        <w:pStyle w:val="ListBullet"/>
        <w:spacing w:after="80"/>
        <w:jc w:val="both"/>
      </w:pPr>
      <w:r>
        <w:rPr>
          <w:rFonts w:ascii="Cambria" w:hAnsi="Cambria"/>
          <w:b w:val="0"/>
          <w:i w:val="0"/>
          <w:sz w:val="22"/>
        </w:rPr>
        <w:t>Temporary Assignments → reallocate responsibilities when a faculty/staff is on leave or engaged in FDP/research.</w:t>
      </w:r>
    </w:p>
    <w:p>
      <w:pPr>
        <w:pStyle w:val="ListBullet"/>
        <w:spacing w:after="80"/>
        <w:jc w:val="both"/>
      </w:pPr>
      <w:r>
        <w:rPr>
          <w:rFonts w:ascii="Cambria" w:hAnsi="Cambria"/>
          <w:b w:val="0"/>
          <w:i w:val="0"/>
          <w:sz w:val="22"/>
        </w:rPr>
        <w:t>Interdisciplinary Roles → assign staff across labs/departments for collaborative projects.</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Duty Assignment Orders (signed by HoD).</w:t>
      </w:r>
    </w:p>
    <w:p>
      <w:pPr>
        <w:pStyle w:val="ListBullet"/>
        <w:spacing w:after="80"/>
        <w:jc w:val="both"/>
      </w:pPr>
      <w:r>
        <w:rPr>
          <w:rFonts w:ascii="Cambria" w:hAnsi="Cambria"/>
          <w:b w:val="0"/>
          <w:i w:val="0"/>
          <w:sz w:val="22"/>
        </w:rPr>
        <w:t>Staff duty rosters with timelines.</w:t>
      </w:r>
    </w:p>
    <w:p>
      <w:pPr>
        <w:pStyle w:val="ListBullet"/>
        <w:spacing w:after="80"/>
        <w:jc w:val="both"/>
      </w:pPr>
      <w:r>
        <w:rPr>
          <w:rFonts w:ascii="Cambria" w:hAnsi="Cambria"/>
          <w:b w:val="0"/>
          <w:i w:val="0"/>
          <w:sz w:val="22"/>
        </w:rPr>
        <w:t>Records of duty interchange (before vs. after).</w:t>
      </w:r>
    </w:p>
    <w:p>
      <w:pPr>
        <w:pStyle w:val="ListBullet"/>
        <w:spacing w:after="80"/>
        <w:jc w:val="both"/>
      </w:pPr>
      <w:r>
        <w:rPr>
          <w:rFonts w:ascii="Cambria" w:hAnsi="Cambria"/>
          <w:b w:val="0"/>
          <w:i w:val="0"/>
          <w:sz w:val="22"/>
        </w:rPr>
        <w:t>Meeting minutes on duty distribution.</w:t>
      </w:r>
    </w:p>
    <w:p>
      <w:pPr>
        <w:pStyle w:val="ListBullet"/>
        <w:spacing w:after="80"/>
        <w:jc w:val="both"/>
      </w:pPr>
      <w:r>
        <w:rPr>
          <w:rFonts w:ascii="Cambria" w:hAnsi="Cambria"/>
          <w:b w:val="0"/>
          <w:i w:val="0"/>
          <w:sz w:val="22"/>
        </w:rPr>
        <w:t>Activity/Performance reports from staff assigned.</w:t>
      </w:r>
    </w:p>
    <w:p>
      <w:pPr>
        <w:pStyle w:val="ListBullet"/>
        <w:spacing w:after="80"/>
        <w:jc w:val="both"/>
      </w:pPr>
      <w:r>
        <w:rPr>
          <w:rFonts w:ascii="Cambria" w:hAnsi="Cambria"/>
          <w:b w:val="0"/>
          <w:i w:val="0"/>
          <w:sz w:val="22"/>
        </w:rPr>
        <w:t>Acknowledgement from Principal/Registrar on duty restructuring.</w:t>
      </w:r>
    </w:p>
    <w:p>
      <w:pPr>
        <w:keepNext/>
        <w:spacing w:before="280" w:after="160"/>
        <w:jc w:val="left"/>
      </w:pPr>
      <w:r>
        <w:rPr>
          <w:rFonts w:ascii="Cambria" w:hAnsi="Cambria"/>
          <w:b/>
          <w:i w:val="0"/>
          <w:color w:val="1F3A5F"/>
          <w:sz w:val="26"/>
        </w:rPr>
        <w:t>OBE Mapping (PO/PSO Links)</w:t>
      </w:r>
    </w:p>
    <w:p>
      <w:pPr>
        <w:pStyle w:val="ListBullet"/>
        <w:spacing w:after="80"/>
        <w:jc w:val="both"/>
      </w:pPr>
      <w:r>
        <w:rPr>
          <w:rFonts w:ascii="Cambria" w:hAnsi="Cambria"/>
          <w:b w:val="0"/>
          <w:i w:val="0"/>
          <w:sz w:val="22"/>
        </w:rPr>
        <w:t>PO9 (Teamwork) → shared responsibilities, collaborative culture.</w:t>
      </w:r>
    </w:p>
    <w:p>
      <w:pPr>
        <w:pStyle w:val="ListBullet"/>
        <w:spacing w:after="80"/>
        <w:jc w:val="both"/>
      </w:pPr>
      <w:r>
        <w:rPr>
          <w:rFonts w:ascii="Cambria" w:hAnsi="Cambria"/>
          <w:b w:val="0"/>
          <w:i w:val="0"/>
          <w:sz w:val="22"/>
        </w:rPr>
        <w:t>PO10 (Communication) → staff interacting across duties.</w:t>
      </w:r>
    </w:p>
    <w:p>
      <w:pPr>
        <w:pStyle w:val="ListBullet"/>
        <w:spacing w:after="80"/>
        <w:jc w:val="both"/>
      </w:pPr>
      <w:r>
        <w:rPr>
          <w:rFonts w:ascii="Cambria" w:hAnsi="Cambria"/>
          <w:b w:val="0"/>
          <w:i w:val="0"/>
          <w:sz w:val="22"/>
        </w:rPr>
        <w:t>PO11 (Project Management &amp; Finance) → better lab/project handling.</w:t>
      </w:r>
    </w:p>
    <w:p>
      <w:pPr>
        <w:pStyle w:val="ListBullet"/>
        <w:spacing w:after="80"/>
        <w:jc w:val="both"/>
      </w:pPr>
      <w:r>
        <w:rPr>
          <w:rFonts w:ascii="Cambria" w:hAnsi="Cambria"/>
          <w:b w:val="0"/>
          <w:i w:val="0"/>
          <w:sz w:val="22"/>
        </w:rPr>
        <w:t>PO12 (Lifelong Learning) → cross-training, multi-skill exposure.</w:t>
      </w:r>
    </w:p>
    <w:p>
      <w:pPr>
        <w:pStyle w:val="ListBullet"/>
        <w:spacing w:after="80"/>
        <w:jc w:val="both"/>
      </w:pPr>
      <w:r>
        <w:rPr>
          <w:rFonts w:ascii="Cambria" w:hAnsi="Cambria"/>
          <w:b w:val="0"/>
          <w:i w:val="0"/>
          <w:sz w:val="22"/>
        </w:rPr>
        <w:t>PSO3 (Industry Readiness) → staff trained in ICT/industry projects.</w:t>
      </w:r>
    </w:p>
    <w:p>
      <w:pPr>
        <w:keepNext/>
        <w:spacing w:before="280" w:after="160"/>
        <w:jc w:val="left"/>
      </w:pPr>
      <w:r>
        <w:rPr>
          <w:rFonts w:ascii="Cambria" w:hAnsi="Cambria"/>
          <w:b/>
          <w:i w:val="0"/>
          <w:color w:val="1F3A5F"/>
          <w:sz w:val="26"/>
        </w:rPr>
        <w:t>Tangible &amp; Numeric Outcomes</w:t>
      </w:r>
    </w:p>
    <w:p>
      <w:pPr>
        <w:pStyle w:val="ListBullet"/>
        <w:spacing w:after="80"/>
        <w:jc w:val="both"/>
      </w:pPr>
      <w:r>
        <w:rPr>
          <w:rFonts w:ascii="Cambria" w:hAnsi="Cambria"/>
          <w:b w:val="0"/>
          <w:i w:val="0"/>
          <w:sz w:val="22"/>
        </w:rPr>
        <w:t>100% staff members assigned at least one duty beyond teaching.</w:t>
      </w:r>
    </w:p>
    <w:p>
      <w:pPr>
        <w:pStyle w:val="ListBullet"/>
        <w:spacing w:after="80"/>
        <w:jc w:val="both"/>
      </w:pPr>
      <w:r>
        <w:rPr>
          <w:rFonts w:ascii="Cambria" w:hAnsi="Cambria"/>
          <w:b w:val="0"/>
          <w:i w:val="0"/>
          <w:sz w:val="22"/>
        </w:rPr>
        <w:t>Rotation coverage → at least 60% staff rotated annually.</w:t>
      </w:r>
    </w:p>
    <w:p>
      <w:pPr>
        <w:pStyle w:val="ListBullet"/>
        <w:spacing w:after="80"/>
        <w:jc w:val="both"/>
      </w:pPr>
      <w:r>
        <w:rPr>
          <w:rFonts w:ascii="Cambria" w:hAnsi="Cambria"/>
          <w:b w:val="0"/>
          <w:i w:val="0"/>
          <w:sz w:val="22"/>
        </w:rPr>
        <w:t>Staff cross-trained in 2+ roles (e.g., lab + exam cell).</w:t>
      </w:r>
    </w:p>
    <w:p>
      <w:pPr>
        <w:pStyle w:val="ListBullet"/>
        <w:spacing w:after="80"/>
        <w:jc w:val="both"/>
      </w:pPr>
      <w:r>
        <w:rPr>
          <w:rFonts w:ascii="Cambria" w:hAnsi="Cambria"/>
          <w:b w:val="0"/>
          <w:i w:val="0"/>
          <w:sz w:val="22"/>
        </w:rPr>
        <w:t>Reduced dependency → 0 disruptions in teaching/lab work due to leave/absence.</w:t>
      </w:r>
    </w:p>
    <w:p>
      <w:pPr>
        <w:pStyle w:val="ListBullet"/>
        <w:spacing w:after="80"/>
        <w:jc w:val="both"/>
      </w:pPr>
      <w:r>
        <w:rPr>
          <w:rFonts w:ascii="Cambria" w:hAnsi="Cambria"/>
          <w:b w:val="0"/>
          <w:i w:val="0"/>
          <w:sz w:val="22"/>
        </w:rPr>
        <w:t>Staff satisfaction survey ↑ 78% → 90%.</w:t>
      </w:r>
    </w:p>
    <w:p>
      <w:pPr>
        <w:pStyle w:val="ListBullet"/>
        <w:spacing w:after="80"/>
        <w:jc w:val="both"/>
      </w:pPr>
      <w:r>
        <w:rPr>
          <w:rFonts w:ascii="Cambria" w:hAnsi="Cambria"/>
          <w:b w:val="0"/>
          <w:i w:val="0"/>
          <w:sz w:val="22"/>
        </w:rPr>
        <w:t>Increased efficiency → 95% tasks completed on time after role interchange policy.</w:t>
      </w:r>
    </w:p>
    <w:p>
      <w:pPr>
        <w:keepNext/>
        <w:spacing w:before="280" w:after="160"/>
        <w:jc w:val="left"/>
      </w:pPr>
      <w:r>
        <w:rPr>
          <w:rFonts w:ascii="Cambria" w:hAnsi="Cambria"/>
          <w:b/>
          <w:i w:val="0"/>
          <w:color w:val="1F3A5F"/>
          <w:sz w:val="26"/>
        </w:rPr>
        <w:t>Evidence/Documents for Staff Duty Utilization &amp; Rotation</w:t>
      </w:r>
    </w:p>
    <w:p>
      <w:pPr>
        <w:spacing w:after="80"/>
        <w:ind w:left="340" w:hanging="340"/>
        <w:jc w:val="both"/>
      </w:pPr>
      <w:r>
        <w:rPr>
          <w:rFonts w:ascii="Cambria" w:hAnsi="Cambria"/>
          <w:b w:val="0"/>
          <w:i w:val="0"/>
          <w:sz w:val="22"/>
        </w:rPr>
        <w:t xml:space="preserve">1. </w:t>
      </w:r>
      <w:r>
        <w:rPr>
          <w:rFonts w:ascii="Cambria" w:hAnsi="Cambria"/>
          <w:b w:val="0"/>
          <w:i w:val="0"/>
          <w:sz w:val="22"/>
        </w:rPr>
        <w:t>Duty Assignment Orders (signed by HoD)</w:t>
      </w:r>
    </w:p>
    <w:p>
      <w:pPr>
        <w:pStyle w:val="ListBullet2"/>
        <w:spacing w:after="80"/>
        <w:jc w:val="both"/>
      </w:pPr>
      <w:r>
        <w:rPr>
          <w:rFonts w:ascii="Cambria" w:hAnsi="Cambria"/>
          <w:b w:val="0"/>
          <w:i w:val="0"/>
          <w:sz w:val="22"/>
        </w:rPr>
        <w:t>Formal written orders assigning specific duties (lab in-charge, exam duty, ICT cell, outreach).</w:t>
      </w:r>
    </w:p>
    <w:p>
      <w:pPr>
        <w:spacing w:after="120"/>
        <w:jc w:val="both"/>
      </w:pPr>
      <w:r>
        <w:rPr>
          <w:rFonts w:ascii="Cambria" w:hAnsi="Cambria"/>
          <w:b w:val="0"/>
          <w:i w:val="0"/>
          <w:sz w:val="22"/>
        </w:rPr>
        <w:t>Signed by HoD → makes it official and verifiable.</w:t>
      </w:r>
    </w:p>
    <w:p>
      <w:pPr>
        <w:spacing w:after="80"/>
        <w:ind w:left="340" w:hanging="340"/>
        <w:jc w:val="both"/>
      </w:pPr>
      <w:r>
        <w:rPr>
          <w:rFonts w:ascii="Cambria" w:hAnsi="Cambria"/>
          <w:b w:val="0"/>
          <w:i w:val="0"/>
          <w:sz w:val="22"/>
        </w:rPr>
        <w:t xml:space="preserve">2. </w:t>
      </w:r>
      <w:r>
        <w:rPr>
          <w:rFonts w:ascii="Cambria" w:hAnsi="Cambria"/>
          <w:b w:val="0"/>
          <w:i w:val="0"/>
          <w:sz w:val="22"/>
        </w:rPr>
        <w:t>Staff Duty Rosters with Timelines</w:t>
      </w:r>
    </w:p>
    <w:p>
      <w:pPr>
        <w:pStyle w:val="ListBullet2"/>
        <w:spacing w:after="80"/>
        <w:jc w:val="both"/>
      </w:pPr>
      <w:r>
        <w:rPr>
          <w:rFonts w:ascii="Cambria" w:hAnsi="Cambria"/>
          <w:b w:val="0"/>
          <w:i w:val="0"/>
          <w:sz w:val="22"/>
        </w:rPr>
        <w:t>Semester/annual duty charts showing which staff is responsible for what.</w:t>
      </w:r>
    </w:p>
    <w:p>
      <w:pPr>
        <w:pStyle w:val="ListBullet2"/>
        <w:spacing w:after="80"/>
        <w:jc w:val="both"/>
      </w:pPr>
      <w:r>
        <w:rPr>
          <w:rFonts w:ascii="Cambria" w:hAnsi="Cambria"/>
          <w:b w:val="0"/>
          <w:i w:val="0"/>
          <w:sz w:val="22"/>
        </w:rPr>
        <w:t>Ensures planning is time-bound and structured.</w:t>
      </w:r>
    </w:p>
    <w:p>
      <w:pPr>
        <w:spacing w:after="80"/>
        <w:ind w:left="340" w:hanging="340"/>
        <w:jc w:val="both"/>
      </w:pPr>
      <w:r>
        <w:rPr>
          <w:rFonts w:ascii="Cambria" w:hAnsi="Cambria"/>
          <w:b w:val="0"/>
          <w:i w:val="0"/>
          <w:sz w:val="22"/>
        </w:rPr>
        <w:t xml:space="preserve">3. </w:t>
      </w:r>
      <w:r>
        <w:rPr>
          <w:rFonts w:ascii="Cambria" w:hAnsi="Cambria"/>
          <w:b w:val="0"/>
          <w:i w:val="0"/>
          <w:sz w:val="22"/>
        </w:rPr>
        <w:t>Records of Duty Interchange (Before vs. After)</w:t>
      </w:r>
    </w:p>
    <w:p>
      <w:pPr>
        <w:pStyle w:val="ListBullet2"/>
        <w:spacing w:after="80"/>
        <w:jc w:val="both"/>
      </w:pPr>
      <w:r>
        <w:rPr>
          <w:rFonts w:ascii="Cambria" w:hAnsi="Cambria"/>
          <w:b w:val="0"/>
          <w:i w:val="0"/>
          <w:sz w:val="22"/>
        </w:rPr>
        <w:t>Documentation of staff roles prior to rotation vs. post-rotation.</w:t>
      </w:r>
    </w:p>
    <w:p>
      <w:pPr>
        <w:pStyle w:val="ListBullet2"/>
        <w:spacing w:after="80"/>
        <w:jc w:val="both"/>
      </w:pPr>
      <w:r>
        <w:rPr>
          <w:rFonts w:ascii="Cambria" w:hAnsi="Cambria"/>
          <w:b w:val="0"/>
          <w:i w:val="0"/>
          <w:sz w:val="22"/>
        </w:rPr>
        <w:t>Demonstrates equity, fairness, and skill development.</w:t>
      </w:r>
    </w:p>
    <w:p>
      <w:pPr>
        <w:spacing w:after="80"/>
        <w:ind w:left="340" w:hanging="340"/>
        <w:jc w:val="both"/>
      </w:pPr>
      <w:r>
        <w:rPr>
          <w:rFonts w:ascii="Cambria" w:hAnsi="Cambria"/>
          <w:b w:val="0"/>
          <w:i w:val="0"/>
          <w:sz w:val="22"/>
        </w:rPr>
        <w:t xml:space="preserve">4. </w:t>
      </w:r>
      <w:r>
        <w:rPr>
          <w:rFonts w:ascii="Cambria" w:hAnsi="Cambria"/>
          <w:b w:val="0"/>
          <w:i w:val="0"/>
          <w:sz w:val="22"/>
        </w:rPr>
        <w:t>Meeting Minutes on Duty Distribution</w:t>
      </w:r>
    </w:p>
    <w:p>
      <w:pPr>
        <w:pStyle w:val="ListBullet2"/>
        <w:spacing w:after="80"/>
        <w:jc w:val="both"/>
      </w:pPr>
      <w:r>
        <w:rPr>
          <w:rFonts w:ascii="Cambria" w:hAnsi="Cambria"/>
          <w:b w:val="0"/>
          <w:i w:val="0"/>
          <w:sz w:val="22"/>
        </w:rPr>
        <w:t>Departmental meeting records where duty allocation/rotation was discussed.</w:t>
      </w:r>
    </w:p>
    <w:p>
      <w:pPr>
        <w:spacing w:after="120"/>
        <w:jc w:val="both"/>
      </w:pPr>
      <w:r>
        <w:rPr>
          <w:rFonts w:ascii="Cambria" w:hAnsi="Cambria"/>
          <w:b w:val="0"/>
          <w:i w:val="0"/>
          <w:sz w:val="22"/>
        </w:rPr>
        <w:t>Signed by staff present → ensures consensus and transparency.</w:t>
      </w:r>
    </w:p>
    <w:p>
      <w:pPr>
        <w:spacing w:after="80"/>
        <w:ind w:left="340" w:hanging="340"/>
        <w:jc w:val="both"/>
      </w:pPr>
      <w:r>
        <w:rPr>
          <w:rFonts w:ascii="Cambria" w:hAnsi="Cambria"/>
          <w:b w:val="0"/>
          <w:i w:val="0"/>
          <w:sz w:val="22"/>
        </w:rPr>
        <w:t xml:space="preserve">5. </w:t>
      </w:r>
      <w:r>
        <w:rPr>
          <w:rFonts w:ascii="Cambria" w:hAnsi="Cambria"/>
          <w:b w:val="0"/>
          <w:i w:val="0"/>
          <w:sz w:val="22"/>
        </w:rPr>
        <w:t>Activity/Performance Reports from Staff Assigned</w:t>
      </w:r>
    </w:p>
    <w:p>
      <w:pPr>
        <w:pStyle w:val="ListBullet2"/>
        <w:spacing w:after="80"/>
        <w:jc w:val="both"/>
      </w:pPr>
      <w:r>
        <w:rPr>
          <w:rFonts w:ascii="Cambria" w:hAnsi="Cambria"/>
          <w:b w:val="0"/>
          <w:i w:val="0"/>
          <w:sz w:val="22"/>
        </w:rPr>
        <w:t>Proof of tasks completed under the assigned duty (lab reports, exam duty logs, ICT support records).</w:t>
      </w:r>
    </w:p>
    <w:p>
      <w:pPr>
        <w:pStyle w:val="ListBullet2"/>
        <w:spacing w:after="80"/>
        <w:jc w:val="both"/>
      </w:pPr>
      <w:r>
        <w:rPr>
          <w:rFonts w:ascii="Cambria" w:hAnsi="Cambria"/>
          <w:b w:val="0"/>
          <w:i w:val="0"/>
          <w:sz w:val="22"/>
        </w:rPr>
        <w:t>Provides evidence of outcome and accountability.</w:t>
      </w:r>
    </w:p>
    <w:p>
      <w:pPr>
        <w:spacing w:after="80"/>
        <w:ind w:left="340" w:hanging="340"/>
        <w:jc w:val="both"/>
      </w:pPr>
      <w:r>
        <w:rPr>
          <w:rFonts w:ascii="Cambria" w:hAnsi="Cambria"/>
          <w:b w:val="0"/>
          <w:i w:val="0"/>
          <w:sz w:val="22"/>
        </w:rPr>
        <w:t xml:space="preserve">6. </w:t>
      </w:r>
      <w:r>
        <w:rPr>
          <w:rFonts w:ascii="Cambria" w:hAnsi="Cambria"/>
          <w:b w:val="0"/>
          <w:i w:val="0"/>
          <w:sz w:val="22"/>
        </w:rPr>
        <w:t>Acknowledgement from Principal/Registrar on Duty Restructuring</w:t>
      </w:r>
    </w:p>
    <w:p>
      <w:pPr>
        <w:pStyle w:val="ListBullet2"/>
        <w:spacing w:after="80"/>
        <w:jc w:val="both"/>
      </w:pPr>
      <w:r>
        <w:rPr>
          <w:rFonts w:ascii="Cambria" w:hAnsi="Cambria"/>
          <w:b w:val="0"/>
          <w:i w:val="0"/>
          <w:sz w:val="22"/>
        </w:rPr>
        <w:t>Formal submission/approval of duty assignments/rotations.</w:t>
      </w:r>
    </w:p>
    <w:p>
      <w:pPr>
        <w:pStyle w:val="ListBullet2"/>
        <w:spacing w:after="80"/>
        <w:jc w:val="both"/>
      </w:pPr>
      <w:r>
        <w:rPr>
          <w:rFonts w:ascii="Cambria" w:hAnsi="Cambria"/>
          <w:b w:val="0"/>
          <w:i w:val="0"/>
          <w:sz w:val="22"/>
        </w:rPr>
        <w:t>Confirms governance validation at the institutional level.</w:t>
      </w:r>
    </w:p>
    <w:p>
      <w:pPr>
        <w:keepNext/>
        <w:spacing w:before="280" w:after="160"/>
        <w:jc w:val="left"/>
      </w:pPr>
      <w:r>
        <w:rPr>
          <w:rFonts w:ascii="Cambria" w:hAnsi="Cambria"/>
          <w:b/>
          <w:i w:val="0"/>
          <w:color w:val="1F3A5F"/>
          <w:sz w:val="26"/>
        </w:rPr>
        <w:t>Why Peer Reviewers Value This</w:t>
      </w:r>
    </w:p>
    <w:p>
      <w:pPr>
        <w:spacing w:after="120"/>
        <w:jc w:val="both"/>
      </w:pPr>
      <w:r>
        <w:rPr>
          <w:rFonts w:ascii="Cambria" w:hAnsi="Cambria"/>
          <w:b w:val="0"/>
          <w:i w:val="0"/>
          <w:sz w:val="22"/>
        </w:rPr>
        <w:t>Transparency → shows duty allocation wasn't ad hoc but planned and documented.</w:t>
      </w:r>
    </w:p>
    <w:p>
      <w:pPr>
        <w:spacing w:after="120"/>
        <w:jc w:val="both"/>
      </w:pPr>
      <w:r>
        <w:rPr>
          <w:rFonts w:ascii="Cambria" w:hAnsi="Cambria"/>
          <w:b w:val="0"/>
          <w:i w:val="0"/>
          <w:sz w:val="22"/>
        </w:rPr>
        <w:t>Traceability → reviewers can trace assignments → evidence → outcomes.</w:t>
      </w:r>
    </w:p>
    <w:p>
      <w:pPr>
        <w:spacing w:after="120"/>
        <w:jc w:val="both"/>
      </w:pPr>
      <w:r>
        <w:rPr>
          <w:rFonts w:ascii="Cambria" w:hAnsi="Cambria"/>
          <w:b w:val="0"/>
          <w:i w:val="0"/>
          <w:sz w:val="22"/>
        </w:rPr>
        <w:t>Equity → prevents bias by rotating duties fairly.</w:t>
      </w:r>
    </w:p>
    <w:p>
      <w:pPr>
        <w:spacing w:after="120"/>
        <w:jc w:val="both"/>
      </w:pPr>
      <w:r>
        <w:rPr>
          <w:rFonts w:ascii="Cambria" w:hAnsi="Cambria"/>
          <w:b w:val="0"/>
          <w:i w:val="0"/>
          <w:sz w:val="22"/>
        </w:rPr>
        <w:t>Continuous Improvement → ensures staff are cross-trained, reducing operational risk.</w:t>
      </w:r>
    </w:p>
    <w:p>
      <w:pPr>
        <w:spacing w:after="120"/>
        <w:jc w:val="both"/>
      </w:pPr>
      <w:r>
        <w:rPr>
          <w:rFonts w:ascii="Cambria" w:hAnsi="Cambria"/>
          <w:b w:val="0"/>
          <w:i w:val="0"/>
          <w:sz w:val="22"/>
        </w:rPr>
        <w:t>Audit-Readiness → all evidence is signed, numeric, and easy to present in SSR/SAR annexures.</w:t>
      </w:r>
    </w:p>
    <w:p>
      <w:pPr>
        <w:keepNext/>
        <w:spacing w:before="280" w:after="160"/>
        <w:jc w:val="left"/>
      </w:pPr>
      <w:r>
        <w:rPr>
          <w:rFonts w:ascii="Cambria" w:hAnsi="Cambria"/>
          <w:b/>
          <w:i w:val="0"/>
          <w:color w:val="1F3A5F"/>
          <w:sz w:val="26"/>
        </w:rPr>
        <w:t>How It Demonstrates Systematic Governance</w:t>
      </w:r>
    </w:p>
    <w:p>
      <w:pPr>
        <w:spacing w:after="120"/>
        <w:jc w:val="both"/>
      </w:pPr>
      <w:r>
        <w:rPr>
          <w:rFonts w:ascii="Cambria" w:hAnsi="Cambria"/>
          <w:b w:val="0"/>
          <w:i w:val="0"/>
          <w:sz w:val="22"/>
        </w:rPr>
        <w:t>Structured Assignment → duties given through official HoD-signed orders, not informal instructions.</w:t>
      </w:r>
    </w:p>
    <w:p>
      <w:pPr>
        <w:spacing w:after="120"/>
        <w:jc w:val="both"/>
      </w:pPr>
      <w:r>
        <w:rPr>
          <w:rFonts w:ascii="Cambria" w:hAnsi="Cambria"/>
          <w:b w:val="0"/>
          <w:i w:val="0"/>
          <w:sz w:val="22"/>
        </w:rPr>
        <w:t>Duty Rosters with Timelines → planned schedules (semester/annual) avoid last-minute ad hoc allocation.</w:t>
      </w:r>
    </w:p>
    <w:p>
      <w:pPr>
        <w:spacing w:after="120"/>
        <w:jc w:val="both"/>
      </w:pPr>
      <w:r>
        <w:rPr>
          <w:rFonts w:ascii="Cambria" w:hAnsi="Cambria"/>
          <w:b w:val="0"/>
          <w:i w:val="0"/>
          <w:sz w:val="22"/>
        </w:rPr>
        <w:t>Meeting Minutes → decisions recorded, signed, and transparent → proof of participatory governance.</w:t>
      </w:r>
    </w:p>
    <w:p>
      <w:pPr>
        <w:spacing w:after="120"/>
        <w:jc w:val="both"/>
      </w:pPr>
      <w:r>
        <w:rPr>
          <w:rFonts w:ascii="Cambria" w:hAnsi="Cambria"/>
          <w:b w:val="0"/>
          <w:i w:val="0"/>
          <w:sz w:val="22"/>
        </w:rPr>
        <w:t>Institutional Acknowledgement → duty orders validated by Principal/Registrar, ensuring higher-level accountability.</w:t>
      </w:r>
    </w:p>
    <w:p>
      <w:pPr>
        <w:keepNext/>
        <w:spacing w:before="280" w:after="160"/>
        <w:jc w:val="left"/>
      </w:pPr>
      <w:r>
        <w:rPr>
          <w:rFonts w:ascii="Cambria" w:hAnsi="Cambria"/>
          <w:b/>
          <w:i w:val="0"/>
          <w:color w:val="1F3A5F"/>
          <w:sz w:val="26"/>
        </w:rPr>
        <w:t>How It Demonstrates Equity</w:t>
      </w:r>
    </w:p>
    <w:p>
      <w:pPr>
        <w:spacing w:after="120"/>
        <w:jc w:val="both"/>
      </w:pPr>
      <w:r>
        <w:rPr>
          <w:rFonts w:ascii="Cambria" w:hAnsi="Cambria"/>
          <w:b w:val="0"/>
          <w:i w:val="0"/>
          <w:sz w:val="22"/>
        </w:rPr>
        <w:t>Rotation of Duties → staff not stuck in the same roles every year → prevents favoritism/bias.</w:t>
      </w:r>
    </w:p>
    <w:p>
      <w:pPr>
        <w:spacing w:after="120"/>
        <w:jc w:val="both"/>
      </w:pPr>
      <w:r>
        <w:rPr>
          <w:rFonts w:ascii="Cambria" w:hAnsi="Cambria"/>
          <w:b w:val="0"/>
          <w:i w:val="0"/>
          <w:sz w:val="22"/>
        </w:rPr>
        <w:t>Skill-Based Distribution → duties aligned with competencies, while also offering opportunities to learn new roles.</w:t>
      </w:r>
    </w:p>
    <w:p>
      <w:pPr>
        <w:spacing w:after="120"/>
        <w:jc w:val="both"/>
      </w:pPr>
      <w:r>
        <w:rPr>
          <w:rFonts w:ascii="Cambria" w:hAnsi="Cambria"/>
          <w:b w:val="0"/>
          <w:i w:val="0"/>
          <w:sz w:val="22"/>
        </w:rPr>
        <w:t>Cross-Training → ensures all staff members gain exposure to multiple functions (e.g., labs, exams, ICT, outreach).</w:t>
      </w:r>
    </w:p>
    <w:p>
      <w:pPr>
        <w:spacing w:after="120"/>
        <w:jc w:val="both"/>
      </w:pPr>
      <w:r>
        <w:rPr>
          <w:rFonts w:ascii="Cambria" w:hAnsi="Cambria"/>
          <w:b w:val="0"/>
          <w:i w:val="0"/>
          <w:sz w:val="22"/>
        </w:rPr>
        <w:t>Balanced Workload → avoids overburdening or sidelining staff → fairness in distribution.</w:t>
      </w:r>
    </w:p>
    <w:p>
      <w:pPr>
        <w:keepNext/>
        <w:spacing w:before="280" w:after="160"/>
        <w:jc w:val="left"/>
      </w:pPr>
      <w:r>
        <w:rPr>
          <w:rFonts w:ascii="Cambria" w:hAnsi="Cambria"/>
          <w:b/>
          <w:i w:val="0"/>
          <w:color w:val="1F3A5F"/>
          <w:sz w:val="26"/>
        </w:rPr>
        <w:t>Tangible Outcomes</w:t>
      </w:r>
    </w:p>
    <w:p>
      <w:pPr>
        <w:pStyle w:val="ListBullet"/>
        <w:spacing w:after="80"/>
        <w:jc w:val="both"/>
      </w:pPr>
      <w:r>
        <w:rPr>
          <w:rFonts w:ascii="Cambria" w:hAnsi="Cambria"/>
          <w:b w:val="0"/>
          <w:i w:val="0"/>
          <w:sz w:val="22"/>
        </w:rPr>
        <w:t>100% staff members assigned at least one role beyond teaching support.</w:t>
      </w:r>
    </w:p>
    <w:p>
      <w:pPr>
        <w:pStyle w:val="ListBullet"/>
        <w:spacing w:after="80"/>
        <w:jc w:val="both"/>
      </w:pPr>
      <w:r>
        <w:rPr>
          <w:rFonts w:ascii="Cambria" w:hAnsi="Cambria"/>
          <w:b w:val="0"/>
          <w:i w:val="0"/>
          <w:sz w:val="22"/>
        </w:rPr>
        <w:t>60% staff rotated into new duties annually.</w:t>
      </w:r>
    </w:p>
    <w:p>
      <w:pPr>
        <w:pStyle w:val="ListBullet"/>
        <w:spacing w:after="80"/>
        <w:jc w:val="both"/>
      </w:pPr>
      <w:r>
        <w:rPr>
          <w:rFonts w:ascii="Cambria" w:hAnsi="Cambria"/>
          <w:b w:val="0"/>
          <w:i w:val="0"/>
          <w:sz w:val="22"/>
        </w:rPr>
        <w:t>Cross-training → each staff member handles 2+ different responsibilities.</w:t>
      </w:r>
    </w:p>
    <w:p>
      <w:pPr>
        <w:pStyle w:val="ListBullet"/>
        <w:spacing w:after="80"/>
        <w:jc w:val="both"/>
      </w:pPr>
      <w:r>
        <w:rPr>
          <w:rFonts w:ascii="Cambria" w:hAnsi="Cambria"/>
          <w:b w:val="0"/>
          <w:i w:val="0"/>
          <w:sz w:val="22"/>
        </w:rPr>
        <w:t>95% task completion rate post-rotation (measured via activity reports).</w:t>
      </w:r>
    </w:p>
    <w:p>
      <w:pPr>
        <w:pStyle w:val="ListBullet"/>
        <w:spacing w:after="80"/>
        <w:jc w:val="both"/>
      </w:pPr>
      <w:r>
        <w:rPr>
          <w:rFonts w:ascii="Cambria" w:hAnsi="Cambria"/>
          <w:b w:val="0"/>
          <w:i w:val="0"/>
          <w:sz w:val="22"/>
        </w:rPr>
        <w:t>Staff satisfaction with fairness in duty assignment ↑ 78% → 90%.</w:t>
      </w:r>
    </w:p>
    <w:p>
      <w:pPr>
        <w:pStyle w:val="ListBullet"/>
        <w:spacing w:after="80"/>
        <w:jc w:val="both"/>
      </w:pPr>
      <w:r>
        <w:rPr>
          <w:rFonts w:ascii="Cambria" w:hAnsi="Cambria"/>
          <w:b w:val="0"/>
          <w:i w:val="0"/>
          <w:sz w:val="22"/>
        </w:rPr>
        <w:t>Zero disputes reported regarding unfair duty allocation.</w:t>
      </w:r>
    </w:p>
    <w:p>
      <w:pPr>
        <w:keepNext/>
        <w:spacing w:before="280" w:after="160"/>
        <w:jc w:val="left"/>
      </w:pPr>
      <w:r>
        <w:rPr>
          <w:rFonts w:ascii="Cambria" w:hAnsi="Cambria"/>
          <w:b/>
          <w:i w:val="0"/>
          <w:color w:val="1F3A5F"/>
          <w:sz w:val="26"/>
        </w:rPr>
        <w:t>Why Peer Reviewers Value This (II)</w:t>
      </w:r>
    </w:p>
    <w:p>
      <w:pPr>
        <w:pStyle w:val="ListBullet"/>
        <w:spacing w:after="80"/>
        <w:jc w:val="both"/>
      </w:pPr>
      <w:r>
        <w:rPr>
          <w:rFonts w:ascii="Cambria" w:hAnsi="Cambria"/>
          <w:b w:val="0"/>
          <w:i w:val="0"/>
          <w:sz w:val="22"/>
        </w:rPr>
        <w:t>Shows that governance is structured, not arbitrary.</w:t>
      </w:r>
    </w:p>
    <w:p>
      <w:pPr>
        <w:pStyle w:val="ListBullet"/>
        <w:spacing w:after="80"/>
        <w:jc w:val="both"/>
      </w:pPr>
      <w:r>
        <w:rPr>
          <w:rFonts w:ascii="Cambria" w:hAnsi="Cambria"/>
          <w:b w:val="0"/>
          <w:i w:val="0"/>
          <w:sz w:val="22"/>
        </w:rPr>
        <w:t>Provides proof of equitable staff treatment → strengthens Criterion 6 (Governance) and NBA Criterion 5 (Faculty &amp; Staff Contributions).</w:t>
      </w:r>
    </w:p>
    <w:p>
      <w:pPr>
        <w:pStyle w:val="ListBullet"/>
        <w:spacing w:after="80"/>
        <w:jc w:val="both"/>
      </w:pPr>
      <w:r>
        <w:rPr>
          <w:rFonts w:ascii="Cambria" w:hAnsi="Cambria"/>
          <w:b w:val="0"/>
          <w:i w:val="0"/>
          <w:sz w:val="22"/>
        </w:rPr>
        <w:t>Demonstrates continuous improvement → rotation &amp; cross-training improve efficiency and resilience.</w:t>
      </w:r>
    </w:p>
    <w:p>
      <w:pPr>
        <w:pStyle w:val="ListBullet"/>
        <w:spacing w:after="80"/>
        <w:jc w:val="both"/>
      </w:pPr>
      <w:r>
        <w:rPr>
          <w:rFonts w:ascii="Cambria" w:hAnsi="Cambria"/>
          <w:b w:val="0"/>
          <w:i w:val="0"/>
          <w:sz w:val="22"/>
        </w:rPr>
        <w:t>Makes staff utilization audit-ready and transparent.</w:t>
      </w:r>
    </w:p>
    <w:p>
      <w:pPr>
        <w:keepNext/>
        <w:spacing w:before="280" w:after="160"/>
        <w:jc w:val="left"/>
      </w:pPr>
      <w:r>
        <w:rPr>
          <w:rFonts w:ascii="Cambria" w:hAnsi="Cambria"/>
          <w:b/>
          <w:i w:val="0"/>
          <w:color w:val="1F3A5F"/>
          <w:sz w:val="26"/>
        </w:rPr>
        <w:t>How Transparency is Demonstrated in Staff Duty Allocation</w:t>
      </w:r>
    </w:p>
    <w:p>
      <w:pPr>
        <w:spacing w:after="80"/>
        <w:ind w:left="340" w:hanging="340"/>
        <w:jc w:val="both"/>
      </w:pPr>
      <w:r>
        <w:rPr>
          <w:rFonts w:ascii="Cambria" w:hAnsi="Cambria"/>
          <w:b w:val="0"/>
          <w:i w:val="0"/>
          <w:sz w:val="22"/>
        </w:rPr>
        <w:t xml:space="preserve">1. </w:t>
      </w:r>
      <w:r>
        <w:rPr>
          <w:rFonts w:ascii="Cambria" w:hAnsi="Cambria"/>
          <w:b w:val="0"/>
          <w:i w:val="0"/>
          <w:sz w:val="22"/>
        </w:rPr>
        <w:t>Formal Duty Assignment Orders</w:t>
      </w:r>
    </w:p>
    <w:p>
      <w:pPr>
        <w:pStyle w:val="ListBullet2"/>
        <w:spacing w:after="80"/>
        <w:jc w:val="both"/>
      </w:pPr>
      <w:r>
        <w:rPr>
          <w:rFonts w:ascii="Cambria" w:hAnsi="Cambria"/>
          <w:b w:val="0"/>
          <w:i w:val="0"/>
          <w:sz w:val="22"/>
        </w:rPr>
        <w:t>Every duty allocation issued as a signed document by the HoD.</w:t>
      </w:r>
    </w:p>
    <w:p>
      <w:pPr>
        <w:pStyle w:val="ListBullet2"/>
        <w:spacing w:after="80"/>
        <w:jc w:val="both"/>
      </w:pPr>
      <w:r>
        <w:rPr>
          <w:rFonts w:ascii="Cambria" w:hAnsi="Cambria"/>
          <w:b w:val="0"/>
          <w:i w:val="0"/>
          <w:sz w:val="22"/>
        </w:rPr>
        <w:t>Prevents informal or arbitrary instructions.</w:t>
      </w:r>
    </w:p>
    <w:p>
      <w:pPr>
        <w:spacing w:after="80"/>
        <w:ind w:left="340" w:hanging="340"/>
        <w:jc w:val="both"/>
      </w:pPr>
      <w:r>
        <w:rPr>
          <w:rFonts w:ascii="Cambria" w:hAnsi="Cambria"/>
          <w:b w:val="0"/>
          <w:i w:val="0"/>
          <w:sz w:val="22"/>
        </w:rPr>
        <w:t xml:space="preserve">2. </w:t>
      </w:r>
      <w:r>
        <w:rPr>
          <w:rFonts w:ascii="Cambria" w:hAnsi="Cambria"/>
          <w:b w:val="0"/>
          <w:i w:val="0"/>
          <w:sz w:val="22"/>
        </w:rPr>
        <w:t>Staff Duty Rosters with Timelines</w:t>
      </w:r>
    </w:p>
    <w:p>
      <w:pPr>
        <w:pStyle w:val="ListBullet2"/>
        <w:spacing w:after="80"/>
        <w:jc w:val="both"/>
      </w:pPr>
      <w:r>
        <w:rPr>
          <w:rFonts w:ascii="Cambria" w:hAnsi="Cambria"/>
          <w:b w:val="0"/>
          <w:i w:val="0"/>
          <w:sz w:val="22"/>
        </w:rPr>
        <w:t>Duties published in advance for the semester/year.</w:t>
      </w:r>
    </w:p>
    <w:p>
      <w:pPr>
        <w:spacing w:after="120"/>
        <w:jc w:val="both"/>
      </w:pPr>
      <w:r>
        <w:rPr>
          <w:rFonts w:ascii="Cambria" w:hAnsi="Cambria"/>
          <w:b w:val="0"/>
          <w:i w:val="0"/>
          <w:sz w:val="22"/>
        </w:rPr>
        <w:t>Shows that staff knew their responsibilities upfront → no surprises, no bias.</w:t>
      </w:r>
    </w:p>
    <w:p>
      <w:pPr>
        <w:spacing w:after="80"/>
        <w:ind w:left="340" w:hanging="340"/>
        <w:jc w:val="both"/>
      </w:pPr>
      <w:r>
        <w:rPr>
          <w:rFonts w:ascii="Cambria" w:hAnsi="Cambria"/>
          <w:b w:val="0"/>
          <w:i w:val="0"/>
          <w:sz w:val="22"/>
        </w:rPr>
        <w:t xml:space="preserve">3. </w:t>
      </w:r>
      <w:r>
        <w:rPr>
          <w:rFonts w:ascii="Cambria" w:hAnsi="Cambria"/>
          <w:b w:val="0"/>
          <w:i w:val="0"/>
          <w:sz w:val="22"/>
        </w:rPr>
        <w:t>Records of Duty Interchange</w:t>
      </w:r>
    </w:p>
    <w:p>
      <w:pPr>
        <w:pStyle w:val="ListBullet2"/>
        <w:spacing w:after="80"/>
        <w:jc w:val="both"/>
      </w:pPr>
      <w:r>
        <w:rPr>
          <w:rFonts w:ascii="Cambria" w:hAnsi="Cambria"/>
          <w:b w:val="0"/>
          <w:i w:val="0"/>
          <w:sz w:val="22"/>
        </w:rPr>
        <w:t>Maintains before vs. after records when duties are rotated.</w:t>
      </w:r>
    </w:p>
    <w:p>
      <w:pPr>
        <w:spacing w:after="120"/>
        <w:jc w:val="both"/>
      </w:pPr>
      <w:r>
        <w:rPr>
          <w:rFonts w:ascii="Cambria" w:hAnsi="Cambria"/>
          <w:b w:val="0"/>
          <w:i w:val="0"/>
          <w:sz w:val="22"/>
        </w:rPr>
        <w:t>Ensures clarity in changes → everyone knows who is responsible.</w:t>
      </w:r>
    </w:p>
    <w:p>
      <w:pPr>
        <w:spacing w:after="80"/>
        <w:ind w:left="340" w:hanging="340"/>
        <w:jc w:val="both"/>
      </w:pPr>
      <w:r>
        <w:rPr>
          <w:rFonts w:ascii="Cambria" w:hAnsi="Cambria"/>
          <w:b w:val="0"/>
          <w:i w:val="0"/>
          <w:sz w:val="22"/>
        </w:rPr>
        <w:t xml:space="preserve">4. </w:t>
      </w:r>
      <w:r>
        <w:rPr>
          <w:rFonts w:ascii="Cambria" w:hAnsi="Cambria"/>
          <w:b w:val="0"/>
          <w:i w:val="0"/>
          <w:sz w:val="22"/>
        </w:rPr>
        <w:t>Meeting Minutes</w:t>
      </w:r>
    </w:p>
    <w:p>
      <w:pPr>
        <w:pStyle w:val="ListBullet2"/>
        <w:spacing w:after="80"/>
        <w:jc w:val="both"/>
      </w:pPr>
      <w:r>
        <w:rPr>
          <w:rFonts w:ascii="Cambria" w:hAnsi="Cambria"/>
          <w:b w:val="0"/>
          <w:i w:val="0"/>
          <w:sz w:val="22"/>
        </w:rPr>
        <w:t>Duty distribution discussed in departmental meetings.</w:t>
      </w:r>
    </w:p>
    <w:p>
      <w:pPr>
        <w:pStyle w:val="ListBullet2"/>
        <w:spacing w:after="80"/>
        <w:jc w:val="both"/>
      </w:pPr>
      <w:r>
        <w:rPr>
          <w:rFonts w:ascii="Cambria" w:hAnsi="Cambria"/>
          <w:b w:val="0"/>
          <w:i w:val="0"/>
          <w:sz w:val="22"/>
        </w:rPr>
        <w:t>Signed minutes show decisions were participatory, not imposed.</w:t>
      </w:r>
    </w:p>
    <w:p>
      <w:pPr>
        <w:spacing w:after="80"/>
        <w:ind w:left="340" w:hanging="340"/>
        <w:jc w:val="both"/>
      </w:pPr>
      <w:r>
        <w:rPr>
          <w:rFonts w:ascii="Cambria" w:hAnsi="Cambria"/>
          <w:b w:val="0"/>
          <w:i w:val="0"/>
          <w:sz w:val="22"/>
        </w:rPr>
        <w:t xml:space="preserve">5. </w:t>
      </w:r>
      <w:r>
        <w:rPr>
          <w:rFonts w:ascii="Cambria" w:hAnsi="Cambria"/>
          <w:b w:val="0"/>
          <w:i w:val="0"/>
          <w:sz w:val="22"/>
        </w:rPr>
        <w:t>Activity/Performance Reports</w:t>
      </w:r>
    </w:p>
    <w:p>
      <w:pPr>
        <w:pStyle w:val="ListBullet2"/>
        <w:spacing w:after="80"/>
        <w:jc w:val="both"/>
      </w:pPr>
      <w:r>
        <w:rPr>
          <w:rFonts w:ascii="Cambria" w:hAnsi="Cambria"/>
          <w:b w:val="0"/>
          <w:i w:val="0"/>
          <w:sz w:val="22"/>
        </w:rPr>
        <w:t>Staff submit activity reports linked to their duties (lab reports, exam duty logs, ICT support).</w:t>
      </w:r>
    </w:p>
    <w:p>
      <w:pPr>
        <w:pStyle w:val="ListBullet2"/>
        <w:spacing w:after="80"/>
        <w:jc w:val="both"/>
      </w:pPr>
      <w:r>
        <w:rPr>
          <w:rFonts w:ascii="Cambria" w:hAnsi="Cambria"/>
          <w:b w:val="0"/>
          <w:i w:val="0"/>
          <w:sz w:val="22"/>
        </w:rPr>
        <w:t>Confirms that allocated roles were actually executed.</w:t>
      </w:r>
    </w:p>
    <w:p>
      <w:pPr>
        <w:spacing w:after="80"/>
        <w:ind w:left="340" w:hanging="340"/>
        <w:jc w:val="both"/>
      </w:pPr>
      <w:r>
        <w:rPr>
          <w:rFonts w:ascii="Cambria" w:hAnsi="Cambria"/>
          <w:b w:val="0"/>
          <w:i w:val="0"/>
          <w:sz w:val="22"/>
        </w:rPr>
        <w:t xml:space="preserve">6. </w:t>
      </w:r>
      <w:r>
        <w:rPr>
          <w:rFonts w:ascii="Cambria" w:hAnsi="Cambria"/>
          <w:b w:val="0"/>
          <w:i w:val="0"/>
          <w:sz w:val="22"/>
        </w:rPr>
        <w:t>Principal/Registrar Acknowledgement</w:t>
      </w:r>
    </w:p>
    <w:p>
      <w:pPr>
        <w:pStyle w:val="ListBullet2"/>
        <w:spacing w:after="80"/>
        <w:jc w:val="both"/>
      </w:pPr>
      <w:r>
        <w:rPr>
          <w:rFonts w:ascii="Cambria" w:hAnsi="Cambria"/>
          <w:b w:val="0"/>
          <w:i w:val="0"/>
          <w:sz w:val="22"/>
        </w:rPr>
        <w:t>Formal forwarding/approval ensures governance transparency at the institutional level.</w:t>
      </w:r>
    </w:p>
    <w:p>
      <w:pPr>
        <w:keepNext/>
        <w:spacing w:before="280" w:after="160"/>
        <w:jc w:val="left"/>
      </w:pPr>
      <w:r>
        <w:rPr>
          <w:rFonts w:ascii="Cambria" w:hAnsi="Cambria"/>
          <w:b/>
          <w:i w:val="0"/>
          <w:color w:val="1F3A5F"/>
          <w:sz w:val="26"/>
        </w:rPr>
        <w:t>Tangible Outcomes of Transparency</w:t>
      </w:r>
    </w:p>
    <w:p>
      <w:pPr>
        <w:pStyle w:val="ListBullet"/>
        <w:spacing w:after="80"/>
        <w:jc w:val="both"/>
      </w:pPr>
      <w:r>
        <w:rPr>
          <w:rFonts w:ascii="Cambria" w:hAnsi="Cambria"/>
          <w:b w:val="0"/>
          <w:i w:val="0"/>
          <w:sz w:val="22"/>
        </w:rPr>
        <w:t>100% duties documented in official orders and rosters.</w:t>
      </w:r>
    </w:p>
    <w:p>
      <w:pPr>
        <w:pStyle w:val="ListBullet"/>
        <w:spacing w:after="80"/>
        <w:jc w:val="both"/>
      </w:pPr>
      <w:r>
        <w:rPr>
          <w:rFonts w:ascii="Cambria" w:hAnsi="Cambria"/>
          <w:b w:val="0"/>
          <w:i w:val="0"/>
          <w:sz w:val="22"/>
        </w:rPr>
        <w:t>60% staff roles rotated annually, with clear before/after records.</w:t>
      </w:r>
    </w:p>
    <w:p>
      <w:pPr>
        <w:pStyle w:val="ListBullet"/>
        <w:spacing w:after="80"/>
        <w:jc w:val="both"/>
      </w:pPr>
      <w:r>
        <w:rPr>
          <w:rFonts w:ascii="Cambria" w:hAnsi="Cambria"/>
          <w:b w:val="0"/>
          <w:i w:val="0"/>
          <w:sz w:val="22"/>
        </w:rPr>
        <w:t>0 disputes regarding duty allocation in 2023–24 cycle.</w:t>
      </w:r>
    </w:p>
    <w:p>
      <w:pPr>
        <w:pStyle w:val="ListBullet"/>
        <w:spacing w:after="80"/>
        <w:jc w:val="both"/>
      </w:pPr>
      <w:r>
        <w:rPr>
          <w:rFonts w:ascii="Cambria" w:hAnsi="Cambria"/>
          <w:b w:val="0"/>
          <w:i w:val="0"/>
          <w:sz w:val="22"/>
        </w:rPr>
        <w:t>Staff satisfaction on fairness ↑ from 78% → 90%.</w:t>
      </w:r>
    </w:p>
    <w:p>
      <w:pPr>
        <w:pStyle w:val="ListBullet"/>
        <w:spacing w:after="80"/>
        <w:jc w:val="both"/>
      </w:pPr>
      <w:r>
        <w:rPr>
          <w:rFonts w:ascii="Cambria" w:hAnsi="Cambria"/>
          <w:b w:val="0"/>
          <w:i w:val="0"/>
          <w:sz w:val="22"/>
        </w:rPr>
        <w:t>95% task completion rate, since responsibilities were clear and documented.</w:t>
      </w:r>
    </w:p>
    <w:p>
      <w:pPr>
        <w:keepNext/>
        <w:spacing w:before="280" w:after="160"/>
        <w:jc w:val="left"/>
      </w:pPr>
      <w:r>
        <w:rPr>
          <w:rFonts w:ascii="Cambria" w:hAnsi="Cambria"/>
          <w:b/>
          <w:i w:val="0"/>
          <w:color w:val="1F3A5F"/>
          <w:sz w:val="26"/>
        </w:rPr>
        <w:t>Why Peer Reviewers Value This (III)</w:t>
      </w:r>
    </w:p>
    <w:p>
      <w:pPr>
        <w:pStyle w:val="ListBullet"/>
        <w:spacing w:after="80"/>
        <w:jc w:val="both"/>
      </w:pPr>
      <w:r>
        <w:rPr>
          <w:rFonts w:ascii="Cambria" w:hAnsi="Cambria"/>
          <w:b w:val="0"/>
          <w:i w:val="0"/>
          <w:sz w:val="22"/>
        </w:rPr>
        <w:t>They can verify allocations directly from signed orders and rosters.</w:t>
      </w:r>
    </w:p>
    <w:p>
      <w:pPr>
        <w:pStyle w:val="ListBullet"/>
        <w:spacing w:after="80"/>
        <w:jc w:val="both"/>
      </w:pPr>
      <w:r>
        <w:rPr>
          <w:rFonts w:ascii="Cambria" w:hAnsi="Cambria"/>
          <w:b w:val="0"/>
          <w:i w:val="0"/>
          <w:sz w:val="22"/>
        </w:rPr>
        <w:t>Transparency builds credibility → reviewers trust the department's governance.</w:t>
      </w:r>
    </w:p>
    <w:p>
      <w:pPr>
        <w:pStyle w:val="ListBullet"/>
        <w:spacing w:after="80"/>
        <w:jc w:val="both"/>
      </w:pPr>
      <w:r>
        <w:rPr>
          <w:rFonts w:ascii="Cambria" w:hAnsi="Cambria"/>
          <w:b w:val="0"/>
          <w:i w:val="0"/>
          <w:sz w:val="22"/>
        </w:rPr>
        <w:t>Reduces audit objections → no claims of hidden/unfair duty allocation.</w:t>
      </w:r>
    </w:p>
    <w:p>
      <w:pPr>
        <w:pStyle w:val="ListBullet"/>
        <w:spacing w:after="80"/>
        <w:jc w:val="both"/>
      </w:pPr>
      <w:r>
        <w:rPr>
          <w:rFonts w:ascii="Cambria" w:hAnsi="Cambria"/>
          <w:b w:val="0"/>
          <w:i w:val="0"/>
          <w:sz w:val="22"/>
        </w:rPr>
        <w:t>Strengthens compliance with NAAC Criterion 6 (Governance) and NBA Criterion 5 (Faculty/Staff Contributions).</w:t>
      </w:r>
    </w:p>
    <w:p>
      <w:r>
        <w:br w:type="page"/>
      </w:r>
    </w:p>
    <w:p>
      <w:pPr>
        <w:keepNext/>
        <w:spacing w:before="280" w:after="160"/>
        <w:jc w:val="left"/>
      </w:pPr>
      <w:r>
        <w:rPr>
          <w:rFonts w:ascii="Cambria" w:hAnsi="Cambria"/>
          <w:b/>
          <w:i w:val="0"/>
          <w:color w:val="1F3A5F"/>
          <w:sz w:val="30"/>
        </w:rPr>
        <w:t>12. HoD's Responsibility in Nominating Members for the Library Committee and Recommending Learning Resources</w:t>
      </w:r>
    </w:p>
    <w:p>
      <w:pPr>
        <w:keepNext/>
        <w:spacing w:before="280" w:after="160"/>
        <w:jc w:val="left"/>
      </w:pPr>
      <w:r>
        <w:rPr>
          <w:rFonts w:ascii="Cambria" w:hAnsi="Cambria"/>
          <w:b/>
          <w:i w:val="0"/>
          <w:color w:val="1F3A5F"/>
          <w:sz w:val="26"/>
        </w:rPr>
        <w:t>Policy Statement</w:t>
      </w:r>
    </w:p>
    <w:p>
      <w:pPr>
        <w:pStyle w:val="ListBullet"/>
        <w:spacing w:after="80"/>
        <w:jc w:val="both"/>
      </w:pPr>
      <w:r>
        <w:rPr>
          <w:rFonts w:ascii="Cambria" w:hAnsi="Cambria"/>
          <w:b w:val="0"/>
          <w:i w:val="0"/>
          <w:sz w:val="22"/>
        </w:rPr>
        <w:t>The HoD shall nominate faculty representatives to the Library Committee and, in consultation with senior faculty, make recommendations for procurement of journals, textbooks, reference books, e-resources, and other learning materials to strengthen academic quality and support Outcome-Based Education (OBE).</w:t>
      </w:r>
    </w:p>
    <w:p>
      <w:pPr>
        <w:keepNext/>
        <w:spacing w:before="280" w:after="160"/>
        <w:jc w:val="left"/>
      </w:pPr>
      <w:r>
        <w:rPr>
          <w:rFonts w:ascii="Cambria" w:hAnsi="Cambria"/>
          <w:b/>
          <w:i w:val="0"/>
          <w:color w:val="1F3A5F"/>
          <w:sz w:val="26"/>
        </w:rPr>
        <w:t>Actions by HoD</w:t>
      </w:r>
    </w:p>
    <w:p>
      <w:pPr>
        <w:pStyle w:val="ListBullet"/>
        <w:spacing w:after="80"/>
        <w:jc w:val="both"/>
      </w:pPr>
      <w:r>
        <w:rPr>
          <w:rFonts w:ascii="Cambria" w:hAnsi="Cambria"/>
          <w:b w:val="0"/>
          <w:i w:val="0"/>
          <w:sz w:val="22"/>
        </w:rPr>
        <w:t>Constitute/nominate members → senior faculty + subject experts included in the departmental library sub-committee.</w:t>
      </w:r>
    </w:p>
    <w:p>
      <w:pPr>
        <w:pStyle w:val="ListBullet"/>
        <w:spacing w:after="80"/>
        <w:jc w:val="both"/>
      </w:pPr>
      <w:r>
        <w:rPr>
          <w:rFonts w:ascii="Cambria" w:hAnsi="Cambria"/>
          <w:b w:val="0"/>
          <w:i w:val="0"/>
          <w:sz w:val="22"/>
        </w:rPr>
        <w:t>Needs assessment → collect inputs from faculty, students, and course files (gap analysis).</w:t>
      </w:r>
    </w:p>
    <w:p>
      <w:pPr>
        <w:pStyle w:val="ListBullet"/>
        <w:spacing w:after="80"/>
        <w:jc w:val="both"/>
      </w:pPr>
      <w:r>
        <w:rPr>
          <w:rFonts w:ascii="Cambria" w:hAnsi="Cambria"/>
          <w:b w:val="0"/>
          <w:i w:val="0"/>
          <w:sz w:val="22"/>
        </w:rPr>
        <w:t>Curriculum alignment → map recommended books/journals with syllabus, CO–PO–PSO requirements.</w:t>
      </w:r>
    </w:p>
    <w:p>
      <w:pPr>
        <w:pStyle w:val="ListBullet"/>
        <w:spacing w:after="80"/>
        <w:jc w:val="both"/>
      </w:pPr>
      <w:r>
        <w:rPr>
          <w:rFonts w:ascii="Cambria" w:hAnsi="Cambria"/>
          <w:b w:val="0"/>
          <w:i w:val="0"/>
          <w:sz w:val="22"/>
        </w:rPr>
        <w:t>Prepare recommendations → textbooks, reference books, e-journals, databases, digital libraries.</w:t>
      </w:r>
    </w:p>
    <w:p>
      <w:pPr>
        <w:pStyle w:val="ListBullet"/>
        <w:spacing w:after="80"/>
        <w:jc w:val="both"/>
      </w:pPr>
      <w:r>
        <w:rPr>
          <w:rFonts w:ascii="Cambria" w:hAnsi="Cambria"/>
          <w:b w:val="0"/>
          <w:i w:val="0"/>
          <w:sz w:val="22"/>
        </w:rPr>
        <w:t>Submit proposals → forward to Central Library Committee/Principal for approval and budget allocation.</w:t>
      </w:r>
    </w:p>
    <w:p>
      <w:pPr>
        <w:pStyle w:val="ListBullet"/>
        <w:spacing w:after="80"/>
        <w:jc w:val="both"/>
      </w:pPr>
      <w:r>
        <w:rPr>
          <w:rFonts w:ascii="Cambria" w:hAnsi="Cambria"/>
          <w:b w:val="0"/>
          <w:i w:val="0"/>
          <w:sz w:val="22"/>
        </w:rPr>
        <w:t>Monitor usage → track circulation, student/faculty feedback, and e-resource logins.</w:t>
      </w:r>
    </w:p>
    <w:p>
      <w:pPr>
        <w:pStyle w:val="ListBullet"/>
        <w:spacing w:after="80"/>
        <w:jc w:val="both"/>
      </w:pPr>
      <w:r>
        <w:rPr>
          <w:rFonts w:ascii="Cambria" w:hAnsi="Cambria"/>
          <w:b w:val="0"/>
          <w:i w:val="0"/>
          <w:sz w:val="22"/>
        </w:rPr>
        <w:t>Review periodically → update lists annually to maintain relevance.</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Nomination orders for Library Committee members (signed by HoD).</w:t>
      </w:r>
    </w:p>
    <w:p>
      <w:pPr>
        <w:pStyle w:val="ListBullet"/>
        <w:spacing w:after="80"/>
        <w:jc w:val="both"/>
      </w:pPr>
      <w:r>
        <w:rPr>
          <w:rFonts w:ascii="Cambria" w:hAnsi="Cambria"/>
          <w:b w:val="0"/>
          <w:i w:val="0"/>
          <w:sz w:val="22"/>
        </w:rPr>
        <w:t>Minutes of Library Committee meetings (signed by HoD/Committee).</w:t>
      </w:r>
    </w:p>
    <w:p>
      <w:pPr>
        <w:pStyle w:val="ListBullet"/>
        <w:spacing w:after="80"/>
        <w:jc w:val="both"/>
      </w:pPr>
      <w:r>
        <w:rPr>
          <w:rFonts w:ascii="Cambria" w:hAnsi="Cambria"/>
          <w:b w:val="0"/>
          <w:i w:val="0"/>
          <w:sz w:val="22"/>
        </w:rPr>
        <w:t>Book/journal recommendation list with subject mapping.</w:t>
      </w:r>
    </w:p>
    <w:p>
      <w:pPr>
        <w:pStyle w:val="ListBullet"/>
        <w:spacing w:after="80"/>
        <w:jc w:val="both"/>
      </w:pPr>
      <w:r>
        <w:rPr>
          <w:rFonts w:ascii="Cambria" w:hAnsi="Cambria"/>
          <w:b w:val="0"/>
          <w:i w:val="0"/>
          <w:sz w:val="22"/>
        </w:rPr>
        <w:t>Approval letters from Principal/Library Committee.</w:t>
      </w:r>
    </w:p>
    <w:p>
      <w:pPr>
        <w:pStyle w:val="ListBullet"/>
        <w:spacing w:after="80"/>
        <w:jc w:val="both"/>
      </w:pPr>
      <w:r>
        <w:rPr>
          <w:rFonts w:ascii="Cambria" w:hAnsi="Cambria"/>
          <w:b w:val="0"/>
          <w:i w:val="0"/>
          <w:sz w:val="22"/>
        </w:rPr>
        <w:t>Purchase orders &amp; invoices for recommended resources.</w:t>
      </w:r>
    </w:p>
    <w:p>
      <w:pPr>
        <w:pStyle w:val="ListBullet"/>
        <w:spacing w:after="80"/>
        <w:jc w:val="both"/>
      </w:pPr>
      <w:r>
        <w:rPr>
          <w:rFonts w:ascii="Cambria" w:hAnsi="Cambria"/>
          <w:b w:val="0"/>
          <w:i w:val="0"/>
          <w:sz w:val="22"/>
        </w:rPr>
        <w:t>Library accession register entries / e-resource subscription proof.</w:t>
      </w:r>
    </w:p>
    <w:p>
      <w:pPr>
        <w:pStyle w:val="ListBullet"/>
        <w:spacing w:after="80"/>
        <w:jc w:val="both"/>
      </w:pPr>
      <w:r>
        <w:rPr>
          <w:rFonts w:ascii="Cambria" w:hAnsi="Cambria"/>
          <w:b w:val="0"/>
          <w:i w:val="0"/>
          <w:sz w:val="22"/>
        </w:rPr>
        <w:t>Feedback reports from students/faculty on library adequacy.</w:t>
      </w:r>
    </w:p>
    <w:p>
      <w:pPr>
        <w:keepNext/>
        <w:spacing w:before="280" w:after="160"/>
        <w:jc w:val="left"/>
      </w:pPr>
      <w:r>
        <w:rPr>
          <w:rFonts w:ascii="Cambria" w:hAnsi="Cambria"/>
          <w:b/>
          <w:i w:val="0"/>
          <w:color w:val="1F3A5F"/>
          <w:sz w:val="26"/>
        </w:rPr>
        <w:t>OBE Mapping (PO/PSO Links)</w:t>
      </w:r>
    </w:p>
    <w:p>
      <w:pPr>
        <w:pStyle w:val="ListBullet"/>
        <w:spacing w:after="80"/>
        <w:jc w:val="both"/>
      </w:pPr>
      <w:r>
        <w:rPr>
          <w:rFonts w:ascii="Cambria" w:hAnsi="Cambria"/>
          <w:b w:val="0"/>
          <w:i w:val="0"/>
          <w:sz w:val="22"/>
        </w:rPr>
        <w:t>PO2: Problem Analysis → reference books strengthen analytical ability.</w:t>
      </w:r>
    </w:p>
    <w:p>
      <w:pPr>
        <w:pStyle w:val="ListBullet"/>
        <w:spacing w:after="80"/>
        <w:jc w:val="both"/>
      </w:pPr>
      <w:r>
        <w:rPr>
          <w:rFonts w:ascii="Cambria" w:hAnsi="Cambria"/>
          <w:b w:val="0"/>
          <w:i w:val="0"/>
          <w:sz w:val="22"/>
        </w:rPr>
        <w:t>PO4: Investigations of Complex Problems → journals provide latest research.</w:t>
      </w:r>
    </w:p>
    <w:p>
      <w:pPr>
        <w:pStyle w:val="ListBullet"/>
        <w:spacing w:after="80"/>
        <w:jc w:val="both"/>
      </w:pPr>
      <w:r>
        <w:rPr>
          <w:rFonts w:ascii="Cambria" w:hAnsi="Cambria"/>
          <w:b w:val="0"/>
          <w:i w:val="0"/>
          <w:sz w:val="22"/>
        </w:rPr>
        <w:t>PO9: Individual &amp; Team Work → library committee fosters collaborative decision-making.</w:t>
      </w:r>
    </w:p>
    <w:p>
      <w:pPr>
        <w:pStyle w:val="ListBullet"/>
        <w:spacing w:after="80"/>
        <w:jc w:val="both"/>
      </w:pPr>
      <w:r>
        <w:rPr>
          <w:rFonts w:ascii="Cambria" w:hAnsi="Cambria"/>
          <w:b w:val="0"/>
          <w:i w:val="0"/>
          <w:sz w:val="22"/>
        </w:rPr>
        <w:t>PO12: Life-long Learning → access to updated resources develops continuous learning culture.</w:t>
      </w:r>
    </w:p>
    <w:p>
      <w:pPr>
        <w:pStyle w:val="ListBullet"/>
        <w:spacing w:after="80"/>
        <w:jc w:val="both"/>
      </w:pPr>
      <w:r>
        <w:rPr>
          <w:rFonts w:ascii="Cambria" w:hAnsi="Cambria"/>
          <w:b w:val="0"/>
          <w:i w:val="0"/>
          <w:sz w:val="22"/>
        </w:rPr>
        <w:t>PSO1/PSO2: Subject-specific depth → recommended resources align with specialization outcomes.</w:t>
      </w:r>
    </w:p>
    <w:p>
      <w:pPr>
        <w:keepNext/>
        <w:spacing w:before="280" w:after="160"/>
        <w:jc w:val="left"/>
      </w:pPr>
      <w:r>
        <w:rPr>
          <w:rFonts w:ascii="Cambria" w:hAnsi="Cambria"/>
          <w:b/>
          <w:i w:val="0"/>
          <w:color w:val="1F3A5F"/>
          <w:sz w:val="26"/>
        </w:rPr>
        <w:t>Tangible &amp; Numeric Outcomes</w:t>
      </w:r>
    </w:p>
    <w:p>
      <w:pPr>
        <w:pStyle w:val="ListBullet"/>
        <w:spacing w:after="80"/>
        <w:jc w:val="both"/>
      </w:pPr>
      <w:r>
        <w:rPr>
          <w:rFonts w:ascii="Cambria" w:hAnsi="Cambria"/>
          <w:b w:val="0"/>
          <w:i w:val="0"/>
          <w:sz w:val="22"/>
        </w:rPr>
        <w:t>100% courses mapped to at least 1 textbook + 1 reference book.</w:t>
      </w:r>
    </w:p>
    <w:p>
      <w:pPr>
        <w:pStyle w:val="ListBullet"/>
        <w:spacing w:after="80"/>
        <w:jc w:val="both"/>
      </w:pPr>
      <w:r>
        <w:rPr>
          <w:rFonts w:ascii="Cambria" w:hAnsi="Cambria"/>
          <w:b w:val="0"/>
          <w:i w:val="0"/>
          <w:sz w:val="22"/>
        </w:rPr>
        <w:t>Journals subscribed ↑ from 20 → 32 (60% growth).</w:t>
      </w:r>
    </w:p>
    <w:p>
      <w:pPr>
        <w:pStyle w:val="ListBullet"/>
        <w:spacing w:after="80"/>
        <w:jc w:val="both"/>
      </w:pPr>
      <w:r>
        <w:rPr>
          <w:rFonts w:ascii="Cambria" w:hAnsi="Cambria"/>
          <w:b w:val="0"/>
          <w:i w:val="0"/>
          <w:sz w:val="22"/>
        </w:rPr>
        <w:t>E-resources (databases, e-journals) ↑ from 5 → 8.</w:t>
      </w:r>
    </w:p>
    <w:p>
      <w:pPr>
        <w:spacing w:after="120"/>
        <w:jc w:val="both"/>
      </w:pPr>
      <w:r>
        <w:rPr>
          <w:rFonts w:ascii="Cambria" w:hAnsi="Cambria"/>
          <w:b w:val="0"/>
          <w:i w:val="0"/>
          <w:sz w:val="22"/>
        </w:rPr>
        <w:t xml:space="preserve">Student satisfaction on </w:t>
      </w:r>
      <w:r>
        <w:rPr>
          <w:rFonts w:ascii="Cambria" w:hAnsi="Cambria"/>
          <w:b w:val="0"/>
          <w:i/>
          <w:sz w:val="22"/>
        </w:rPr>
        <w:t>“Library Resources”</w:t>
      </w:r>
      <w:r>
        <w:rPr>
          <w:rFonts w:ascii="Cambria" w:hAnsi="Cambria"/>
          <w:b w:val="0"/>
          <w:i w:val="0"/>
          <w:sz w:val="22"/>
        </w:rPr>
        <w:t xml:space="preserve"> ↑ 3.7 → 4.4/5.</w:t>
      </w:r>
    </w:p>
    <w:p>
      <w:pPr>
        <w:pStyle w:val="ListBullet"/>
        <w:spacing w:after="80"/>
        <w:jc w:val="both"/>
      </w:pPr>
      <w:r>
        <w:rPr>
          <w:rFonts w:ascii="Cambria" w:hAnsi="Cambria"/>
          <w:b w:val="0"/>
          <w:i w:val="0"/>
          <w:sz w:val="22"/>
        </w:rPr>
        <w:t>Average library footfall ↑ 25% YoY.</w:t>
      </w:r>
    </w:p>
    <w:p>
      <w:pPr>
        <w:pStyle w:val="ListBullet"/>
        <w:spacing w:after="80"/>
        <w:jc w:val="both"/>
      </w:pPr>
      <w:r>
        <w:rPr>
          <w:rFonts w:ascii="Cambria" w:hAnsi="Cambria"/>
          <w:b w:val="0"/>
          <w:i w:val="0"/>
          <w:sz w:val="22"/>
        </w:rPr>
        <w:t>92% students reported adequate access to recommended course resources.</w:t>
      </w:r>
    </w:p>
    <w:p>
      <w:pPr>
        <w:keepNext/>
        <w:spacing w:before="280" w:after="160"/>
        <w:jc w:val="left"/>
      </w:pPr>
      <w:r>
        <w:rPr>
          <w:rFonts w:ascii="Cambria" w:hAnsi="Cambria"/>
          <w:b/>
          <w:i w:val="0"/>
          <w:color w:val="1F3A5F"/>
          <w:sz w:val="26"/>
        </w:rPr>
        <w:t>Evidence/Documents for Library Committee &amp; Resource Recommendations</w:t>
      </w:r>
    </w:p>
    <w:p>
      <w:pPr>
        <w:spacing w:after="80"/>
        <w:ind w:left="340" w:hanging="340"/>
        <w:jc w:val="both"/>
      </w:pPr>
      <w:r>
        <w:rPr>
          <w:rFonts w:ascii="Cambria" w:hAnsi="Cambria"/>
          <w:b w:val="0"/>
          <w:i w:val="0"/>
          <w:sz w:val="22"/>
        </w:rPr>
        <w:t xml:space="preserve">1. </w:t>
      </w:r>
      <w:r>
        <w:rPr>
          <w:rFonts w:ascii="Cambria" w:hAnsi="Cambria"/>
          <w:b w:val="0"/>
          <w:i w:val="0"/>
          <w:sz w:val="22"/>
        </w:rPr>
        <w:t>Nomination Orders for Library Committee Members (signed by HoD)</w:t>
      </w:r>
    </w:p>
    <w:p>
      <w:pPr>
        <w:pStyle w:val="ListBullet2"/>
        <w:spacing w:after="80"/>
        <w:jc w:val="both"/>
      </w:pPr>
      <w:r>
        <w:rPr>
          <w:rFonts w:ascii="Cambria" w:hAnsi="Cambria"/>
          <w:b w:val="0"/>
          <w:i w:val="0"/>
          <w:sz w:val="22"/>
        </w:rPr>
        <w:t>Official record of faculty nominated to represent the department in the library committee.</w:t>
      </w:r>
    </w:p>
    <w:p>
      <w:pPr>
        <w:pStyle w:val="ListBullet2"/>
        <w:spacing w:after="80"/>
        <w:jc w:val="both"/>
      </w:pPr>
      <w:r>
        <w:rPr>
          <w:rFonts w:ascii="Cambria" w:hAnsi="Cambria"/>
          <w:b w:val="0"/>
          <w:i w:val="0"/>
          <w:sz w:val="22"/>
        </w:rPr>
        <w:t>Ensures transparency in governance.</w:t>
      </w:r>
    </w:p>
    <w:p>
      <w:pPr>
        <w:spacing w:after="80"/>
        <w:ind w:left="340" w:hanging="340"/>
        <w:jc w:val="both"/>
      </w:pPr>
      <w:r>
        <w:rPr>
          <w:rFonts w:ascii="Cambria" w:hAnsi="Cambria"/>
          <w:b w:val="0"/>
          <w:i w:val="0"/>
          <w:sz w:val="22"/>
        </w:rPr>
        <w:t xml:space="preserve">2. </w:t>
      </w:r>
      <w:r>
        <w:rPr>
          <w:rFonts w:ascii="Cambria" w:hAnsi="Cambria"/>
          <w:b w:val="0"/>
          <w:i w:val="0"/>
          <w:sz w:val="22"/>
        </w:rPr>
        <w:t>Minutes of Library Committee Meetings (signed by HoD/Committee)</w:t>
      </w:r>
    </w:p>
    <w:p>
      <w:pPr>
        <w:pStyle w:val="ListBullet2"/>
        <w:spacing w:after="80"/>
        <w:jc w:val="both"/>
      </w:pPr>
      <w:r>
        <w:rPr>
          <w:rFonts w:ascii="Cambria" w:hAnsi="Cambria"/>
          <w:b w:val="0"/>
          <w:i w:val="0"/>
          <w:sz w:val="22"/>
        </w:rPr>
        <w:t>Records of discussions on resource needs, journals, and book recommendations.</w:t>
      </w:r>
    </w:p>
    <w:p>
      <w:pPr>
        <w:pStyle w:val="ListBullet2"/>
        <w:spacing w:after="80"/>
        <w:jc w:val="both"/>
      </w:pPr>
      <w:r>
        <w:rPr>
          <w:rFonts w:ascii="Cambria" w:hAnsi="Cambria"/>
          <w:b w:val="0"/>
          <w:i w:val="0"/>
          <w:sz w:val="22"/>
        </w:rPr>
        <w:t>Provides traceability of decisions.</w:t>
      </w:r>
    </w:p>
    <w:p>
      <w:pPr>
        <w:spacing w:after="80"/>
        <w:ind w:left="340" w:hanging="340"/>
        <w:jc w:val="both"/>
      </w:pPr>
      <w:r>
        <w:rPr>
          <w:rFonts w:ascii="Cambria" w:hAnsi="Cambria"/>
          <w:b w:val="0"/>
          <w:i w:val="0"/>
          <w:sz w:val="22"/>
        </w:rPr>
        <w:t xml:space="preserve">3. </w:t>
      </w:r>
      <w:r>
        <w:rPr>
          <w:rFonts w:ascii="Cambria" w:hAnsi="Cambria"/>
          <w:b w:val="0"/>
          <w:i w:val="0"/>
          <w:sz w:val="22"/>
        </w:rPr>
        <w:t>Book/Journal Recommendation List with Subject Mapping</w:t>
      </w:r>
    </w:p>
    <w:p>
      <w:pPr>
        <w:pStyle w:val="ListBullet2"/>
        <w:spacing w:after="80"/>
        <w:jc w:val="both"/>
      </w:pPr>
      <w:r>
        <w:rPr>
          <w:rFonts w:ascii="Cambria" w:hAnsi="Cambria"/>
          <w:b w:val="0"/>
          <w:i w:val="0"/>
          <w:sz w:val="22"/>
        </w:rPr>
        <w:t>Course-wise matrix linking textbooks, reference books, and journals to syllabus/CO–PO–PSO.</w:t>
      </w:r>
    </w:p>
    <w:p>
      <w:pPr>
        <w:pStyle w:val="ListBullet2"/>
        <w:spacing w:after="80"/>
        <w:jc w:val="both"/>
      </w:pPr>
      <w:r>
        <w:rPr>
          <w:rFonts w:ascii="Cambria" w:hAnsi="Cambria"/>
          <w:b w:val="0"/>
          <w:i w:val="0"/>
          <w:sz w:val="22"/>
        </w:rPr>
        <w:t>Ensures alignment of curriculum with resources.</w:t>
      </w:r>
    </w:p>
    <w:p>
      <w:pPr>
        <w:spacing w:after="80"/>
        <w:ind w:left="340" w:hanging="340"/>
        <w:jc w:val="both"/>
      </w:pPr>
      <w:r>
        <w:rPr>
          <w:rFonts w:ascii="Cambria" w:hAnsi="Cambria"/>
          <w:b w:val="0"/>
          <w:i w:val="0"/>
          <w:sz w:val="22"/>
        </w:rPr>
        <w:t xml:space="preserve">4. </w:t>
      </w:r>
      <w:r>
        <w:rPr>
          <w:rFonts w:ascii="Cambria" w:hAnsi="Cambria"/>
          <w:b w:val="0"/>
          <w:i w:val="0"/>
          <w:sz w:val="22"/>
        </w:rPr>
        <w:t>Approval Letters from Principal/Library Committee</w:t>
      </w:r>
    </w:p>
    <w:p>
      <w:pPr>
        <w:pStyle w:val="ListBullet2"/>
        <w:spacing w:after="80"/>
        <w:jc w:val="both"/>
      </w:pPr>
      <w:r>
        <w:rPr>
          <w:rFonts w:ascii="Cambria" w:hAnsi="Cambria"/>
          <w:b w:val="0"/>
          <w:i w:val="0"/>
          <w:sz w:val="22"/>
        </w:rPr>
        <w:t>Formal sanction of recommended books/journals/e-resources.</w:t>
      </w:r>
    </w:p>
    <w:p>
      <w:pPr>
        <w:pStyle w:val="ListBullet2"/>
        <w:spacing w:after="80"/>
        <w:jc w:val="both"/>
      </w:pPr>
      <w:r>
        <w:rPr>
          <w:rFonts w:ascii="Cambria" w:hAnsi="Cambria"/>
          <w:b w:val="0"/>
          <w:i w:val="0"/>
          <w:sz w:val="22"/>
        </w:rPr>
        <w:t>Evidence of structured governance.</w:t>
      </w:r>
    </w:p>
    <w:p>
      <w:pPr>
        <w:spacing w:after="80"/>
        <w:ind w:left="340" w:hanging="340"/>
        <w:jc w:val="both"/>
      </w:pPr>
      <w:r>
        <w:rPr>
          <w:rFonts w:ascii="Cambria" w:hAnsi="Cambria"/>
          <w:b w:val="0"/>
          <w:i w:val="0"/>
          <w:sz w:val="22"/>
        </w:rPr>
        <w:t xml:space="preserve">5. </w:t>
      </w:r>
      <w:r>
        <w:rPr>
          <w:rFonts w:ascii="Cambria" w:hAnsi="Cambria"/>
          <w:b w:val="0"/>
          <w:i w:val="0"/>
          <w:sz w:val="22"/>
        </w:rPr>
        <w:t>Purchase Orders &amp; Invoices for Recommended Resources</w:t>
      </w:r>
    </w:p>
    <w:p>
      <w:pPr>
        <w:pStyle w:val="ListBullet2"/>
        <w:spacing w:after="80"/>
        <w:jc w:val="both"/>
      </w:pPr>
      <w:r>
        <w:rPr>
          <w:rFonts w:ascii="Cambria" w:hAnsi="Cambria"/>
          <w:b w:val="0"/>
          <w:i w:val="0"/>
          <w:sz w:val="22"/>
        </w:rPr>
        <w:t>Proof of procurement of suggested learning materials.</w:t>
      </w:r>
    </w:p>
    <w:p>
      <w:pPr>
        <w:pStyle w:val="ListBullet2"/>
        <w:spacing w:after="80"/>
        <w:jc w:val="both"/>
      </w:pPr>
      <w:r>
        <w:rPr>
          <w:rFonts w:ascii="Cambria" w:hAnsi="Cambria"/>
          <w:b w:val="0"/>
          <w:i w:val="0"/>
          <w:sz w:val="22"/>
        </w:rPr>
        <w:t>Demonstrates resource allocation and utilization.</w:t>
      </w:r>
    </w:p>
    <w:p>
      <w:pPr>
        <w:spacing w:after="80"/>
        <w:ind w:left="340" w:hanging="340"/>
        <w:jc w:val="both"/>
      </w:pPr>
      <w:r>
        <w:rPr>
          <w:rFonts w:ascii="Cambria" w:hAnsi="Cambria"/>
          <w:b w:val="0"/>
          <w:i w:val="0"/>
          <w:sz w:val="22"/>
        </w:rPr>
        <w:t xml:space="preserve">6. </w:t>
      </w:r>
      <w:r>
        <w:rPr>
          <w:rFonts w:ascii="Cambria" w:hAnsi="Cambria"/>
          <w:b w:val="0"/>
          <w:i w:val="0"/>
          <w:sz w:val="22"/>
        </w:rPr>
        <w:t>Library Accession Register Entries / E-Resource Subscription Proof</w:t>
      </w:r>
    </w:p>
    <w:p>
      <w:pPr>
        <w:pStyle w:val="ListBullet2"/>
        <w:spacing w:after="80"/>
        <w:jc w:val="both"/>
      </w:pPr>
      <w:r>
        <w:rPr>
          <w:rFonts w:ascii="Cambria" w:hAnsi="Cambria"/>
          <w:b w:val="0"/>
          <w:i w:val="0"/>
          <w:sz w:val="22"/>
        </w:rPr>
        <w:t>Records of physical books added to library holdings.</w:t>
      </w:r>
    </w:p>
    <w:p>
      <w:pPr>
        <w:pStyle w:val="ListBullet2"/>
        <w:spacing w:after="80"/>
        <w:jc w:val="both"/>
      </w:pPr>
      <w:r>
        <w:rPr>
          <w:rFonts w:ascii="Cambria" w:hAnsi="Cambria"/>
          <w:b w:val="0"/>
          <w:i w:val="0"/>
          <w:sz w:val="22"/>
        </w:rPr>
        <w:t>Proof of subscription renewals for digital databases/journals.</w:t>
      </w:r>
    </w:p>
    <w:p>
      <w:pPr>
        <w:spacing w:after="80"/>
        <w:ind w:left="340" w:hanging="340"/>
        <w:jc w:val="both"/>
      </w:pPr>
      <w:r>
        <w:rPr>
          <w:rFonts w:ascii="Cambria" w:hAnsi="Cambria"/>
          <w:b w:val="0"/>
          <w:i w:val="0"/>
          <w:sz w:val="22"/>
        </w:rPr>
        <w:t xml:space="preserve">7. </w:t>
      </w:r>
      <w:r>
        <w:rPr>
          <w:rFonts w:ascii="Cambria" w:hAnsi="Cambria"/>
          <w:b w:val="0"/>
          <w:i w:val="0"/>
          <w:sz w:val="22"/>
        </w:rPr>
        <w:t>Feedback Reports from Students/Faculty on Library Adequacy</w:t>
      </w:r>
    </w:p>
    <w:p>
      <w:pPr>
        <w:pStyle w:val="ListBullet2"/>
        <w:spacing w:after="80"/>
        <w:jc w:val="both"/>
      </w:pPr>
      <w:r>
        <w:rPr>
          <w:rFonts w:ascii="Cambria" w:hAnsi="Cambria"/>
          <w:b w:val="0"/>
          <w:i w:val="0"/>
          <w:sz w:val="22"/>
        </w:rPr>
        <w:t>Surveys or structured feedback showing satisfaction levels with library resources.</w:t>
      </w:r>
    </w:p>
    <w:p>
      <w:pPr>
        <w:pStyle w:val="ListBullet2"/>
        <w:spacing w:after="80"/>
        <w:jc w:val="both"/>
      </w:pPr>
      <w:r>
        <w:rPr>
          <w:rFonts w:ascii="Cambria" w:hAnsi="Cambria"/>
          <w:b w:val="0"/>
          <w:i w:val="0"/>
          <w:sz w:val="22"/>
        </w:rPr>
        <w:t>Provides numeric evidence of effectiveness.</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Journals subscribed ↑ from 20 → 32 (+60%).</w:t>
      </w:r>
    </w:p>
    <w:p>
      <w:pPr>
        <w:pStyle w:val="ListBullet"/>
        <w:spacing w:after="80"/>
        <w:jc w:val="both"/>
      </w:pPr>
      <w:r>
        <w:rPr>
          <w:rFonts w:ascii="Cambria" w:hAnsi="Cambria"/>
          <w:b w:val="0"/>
          <w:i w:val="0"/>
          <w:sz w:val="22"/>
        </w:rPr>
        <w:t>E-resources ↑ from 5 → 8.</w:t>
      </w:r>
    </w:p>
    <w:p>
      <w:pPr>
        <w:pStyle w:val="ListBullet"/>
        <w:spacing w:after="80"/>
        <w:jc w:val="both"/>
      </w:pPr>
      <w:r>
        <w:rPr>
          <w:rFonts w:ascii="Cambria" w:hAnsi="Cambria"/>
          <w:b w:val="0"/>
          <w:i w:val="0"/>
          <w:sz w:val="22"/>
        </w:rPr>
        <w:t>Course-to-resource mapping coverage → 100% courses mapped to at least 1 textbook + 1 reference.</w:t>
      </w:r>
    </w:p>
    <w:p>
      <w:pPr>
        <w:spacing w:after="120"/>
        <w:jc w:val="both"/>
      </w:pPr>
      <w:r>
        <w:rPr>
          <w:rFonts w:ascii="Cambria" w:hAnsi="Cambria"/>
          <w:b w:val="0"/>
          <w:i w:val="0"/>
          <w:sz w:val="22"/>
        </w:rPr>
        <w:t xml:space="preserve">Student satisfaction on </w:t>
      </w:r>
      <w:r>
        <w:rPr>
          <w:rFonts w:ascii="Cambria" w:hAnsi="Cambria"/>
          <w:b w:val="0"/>
          <w:i/>
          <w:sz w:val="22"/>
        </w:rPr>
        <w:t>“Library Adequacy”</w:t>
      </w:r>
      <w:r>
        <w:rPr>
          <w:rFonts w:ascii="Cambria" w:hAnsi="Cambria"/>
          <w:b w:val="0"/>
          <w:i w:val="0"/>
          <w:sz w:val="22"/>
        </w:rPr>
        <w:t xml:space="preserve"> ↑ from 3.7 → 4.4/5.</w:t>
      </w:r>
    </w:p>
    <w:p>
      <w:pPr>
        <w:pStyle w:val="ListBullet"/>
        <w:spacing w:after="80"/>
        <w:jc w:val="both"/>
      </w:pPr>
      <w:r>
        <w:rPr>
          <w:rFonts w:ascii="Cambria" w:hAnsi="Cambria"/>
          <w:b w:val="0"/>
          <w:i w:val="0"/>
          <w:sz w:val="22"/>
        </w:rPr>
        <w:t>Average footfall ↑ 25% YoY.</w:t>
      </w:r>
    </w:p>
    <w:p>
      <w:pPr>
        <w:pStyle w:val="ListBullet"/>
        <w:spacing w:after="80"/>
        <w:jc w:val="both"/>
      </w:pPr>
      <w:r>
        <w:rPr>
          <w:rFonts w:ascii="Cambria" w:hAnsi="Cambria"/>
          <w:b w:val="0"/>
          <w:i w:val="0"/>
          <w:sz w:val="22"/>
        </w:rPr>
        <w:t>92% of students reported easy access to course-linked resources.</w:t>
      </w:r>
    </w:p>
    <w:p>
      <w:pPr>
        <w:keepNext/>
        <w:spacing w:before="280" w:after="160"/>
        <w:jc w:val="left"/>
      </w:pPr>
      <w:r>
        <w:rPr>
          <w:rFonts w:ascii="Cambria" w:hAnsi="Cambria"/>
          <w:b/>
          <w:i w:val="0"/>
          <w:color w:val="1F3A5F"/>
          <w:sz w:val="26"/>
        </w:rPr>
        <w:t>Why Peer Reviewers Value This</w:t>
      </w:r>
    </w:p>
    <w:p>
      <w:pPr>
        <w:pStyle w:val="ListBullet"/>
        <w:spacing w:after="80"/>
        <w:jc w:val="both"/>
      </w:pPr>
      <w:r>
        <w:rPr>
          <w:rFonts w:ascii="Cambria" w:hAnsi="Cambria"/>
          <w:b w:val="0"/>
          <w:i w:val="0"/>
          <w:sz w:val="22"/>
        </w:rPr>
        <w:t>Shows structured decision-making (committee + HoD + approvals).</w:t>
      </w:r>
    </w:p>
    <w:p>
      <w:pPr>
        <w:pStyle w:val="ListBullet"/>
        <w:spacing w:after="80"/>
        <w:jc w:val="both"/>
      </w:pPr>
      <w:r>
        <w:rPr>
          <w:rFonts w:ascii="Cambria" w:hAnsi="Cambria"/>
          <w:b w:val="0"/>
          <w:i w:val="0"/>
          <w:sz w:val="22"/>
        </w:rPr>
        <w:t>Ensures curriculum-resource alignment → strengthens OBE compliance.</w:t>
      </w:r>
    </w:p>
    <w:p>
      <w:pPr>
        <w:pStyle w:val="ListBullet"/>
        <w:spacing w:after="80"/>
        <w:jc w:val="both"/>
      </w:pPr>
      <w:r>
        <w:rPr>
          <w:rFonts w:ascii="Cambria" w:hAnsi="Cambria"/>
          <w:b w:val="0"/>
          <w:i w:val="0"/>
          <w:sz w:val="22"/>
        </w:rPr>
        <w:t>Provides documented and numeric proof → no vague claims.</w:t>
      </w:r>
    </w:p>
    <w:p>
      <w:pPr>
        <w:pStyle w:val="ListBullet"/>
        <w:spacing w:after="80"/>
        <w:jc w:val="both"/>
      </w:pPr>
      <w:r>
        <w:rPr>
          <w:rFonts w:ascii="Cambria" w:hAnsi="Cambria"/>
          <w:b w:val="0"/>
          <w:i w:val="0"/>
          <w:sz w:val="22"/>
        </w:rPr>
        <w:t>Strengthens NAAC Criterion 4 (Infrastructure &amp; Learning Resources) and NBA Criterion 7 (Facilities &amp; Technical Support).</w:t>
      </w:r>
    </w:p>
    <w:p>
      <w:pPr>
        <w:keepNext/>
        <w:spacing w:before="280" w:after="160"/>
        <w:jc w:val="left"/>
      </w:pPr>
      <w:r>
        <w:rPr>
          <w:rFonts w:ascii="Cambria" w:hAnsi="Cambria"/>
          <w:b/>
          <w:i w:val="0"/>
          <w:color w:val="1F3A5F"/>
          <w:sz w:val="26"/>
        </w:rPr>
        <w:t>How It Demonstrates Systematic Planning</w:t>
      </w:r>
    </w:p>
    <w:p>
      <w:pPr>
        <w:spacing w:after="80"/>
        <w:ind w:left="340" w:hanging="340"/>
        <w:jc w:val="both"/>
      </w:pPr>
      <w:r>
        <w:rPr>
          <w:rFonts w:ascii="Cambria" w:hAnsi="Cambria"/>
          <w:b w:val="0"/>
          <w:i w:val="0"/>
          <w:sz w:val="22"/>
        </w:rPr>
        <w:t xml:space="preserve">1. </w:t>
      </w:r>
      <w:r>
        <w:rPr>
          <w:rFonts w:ascii="Cambria" w:hAnsi="Cambria"/>
          <w:b w:val="0"/>
          <w:i w:val="0"/>
          <w:sz w:val="22"/>
        </w:rPr>
        <w:t>Structured Committee Formation</w:t>
      </w:r>
    </w:p>
    <w:p>
      <w:pPr>
        <w:spacing w:after="120"/>
        <w:jc w:val="both"/>
      </w:pPr>
      <w:r>
        <w:rPr>
          <w:rFonts w:ascii="Cambria" w:hAnsi="Cambria"/>
          <w:b w:val="0"/>
          <w:i w:val="0"/>
          <w:sz w:val="22"/>
        </w:rPr>
        <w:t>Faculty nominated via official HoD-signed orders → ensures fair representation.</w:t>
      </w:r>
    </w:p>
    <w:p>
      <w:pPr>
        <w:spacing w:after="120"/>
        <w:jc w:val="both"/>
      </w:pPr>
      <w:r>
        <w:rPr>
          <w:rFonts w:ascii="Cambria" w:hAnsi="Cambria"/>
          <w:b w:val="0"/>
          <w:i w:val="0"/>
          <w:sz w:val="22"/>
        </w:rPr>
        <w:t>Senior faculty and subject experts involved → balanced decision-making.</w:t>
      </w:r>
    </w:p>
    <w:p>
      <w:pPr>
        <w:spacing w:after="80"/>
        <w:ind w:left="340" w:hanging="340"/>
        <w:jc w:val="both"/>
      </w:pPr>
      <w:r>
        <w:rPr>
          <w:rFonts w:ascii="Cambria" w:hAnsi="Cambria"/>
          <w:b w:val="0"/>
          <w:i w:val="0"/>
          <w:sz w:val="22"/>
        </w:rPr>
        <w:t xml:space="preserve">2. </w:t>
      </w:r>
      <w:r>
        <w:rPr>
          <w:rFonts w:ascii="Cambria" w:hAnsi="Cambria"/>
          <w:b w:val="0"/>
          <w:i w:val="0"/>
          <w:sz w:val="22"/>
        </w:rPr>
        <w:t>Needs Assessment</w:t>
      </w:r>
    </w:p>
    <w:p>
      <w:pPr>
        <w:pStyle w:val="ListBullet2"/>
        <w:spacing w:after="80"/>
        <w:jc w:val="both"/>
      </w:pPr>
      <w:r>
        <w:rPr>
          <w:rFonts w:ascii="Cambria" w:hAnsi="Cambria"/>
          <w:b w:val="0"/>
          <w:i w:val="0"/>
          <w:sz w:val="22"/>
        </w:rPr>
        <w:t>Inputs collected from faculty, students, course files, CO–PO–PSO mappings.</w:t>
      </w:r>
    </w:p>
    <w:p>
      <w:pPr>
        <w:pStyle w:val="ListBullet2"/>
        <w:spacing w:after="80"/>
        <w:jc w:val="both"/>
      </w:pPr>
      <w:r>
        <w:rPr>
          <w:rFonts w:ascii="Cambria" w:hAnsi="Cambria"/>
          <w:b w:val="0"/>
          <w:i w:val="0"/>
          <w:sz w:val="22"/>
        </w:rPr>
        <w:t>Identifies gaps in textbooks, reference books, and journals.</w:t>
      </w:r>
    </w:p>
    <w:p>
      <w:pPr>
        <w:spacing w:after="80"/>
        <w:ind w:left="340" w:hanging="340"/>
        <w:jc w:val="both"/>
      </w:pPr>
      <w:r>
        <w:rPr>
          <w:rFonts w:ascii="Cambria" w:hAnsi="Cambria"/>
          <w:b w:val="0"/>
          <w:i w:val="0"/>
          <w:sz w:val="22"/>
        </w:rPr>
        <w:t xml:space="preserve">3. </w:t>
      </w:r>
      <w:r>
        <w:rPr>
          <w:rFonts w:ascii="Cambria" w:hAnsi="Cambria"/>
          <w:b w:val="0"/>
          <w:i w:val="0"/>
          <w:sz w:val="22"/>
        </w:rPr>
        <w:t>Curriculum-Resource Mapping</w:t>
      </w:r>
    </w:p>
    <w:p>
      <w:pPr>
        <w:pStyle w:val="ListBullet2"/>
        <w:spacing w:after="80"/>
        <w:jc w:val="both"/>
      </w:pPr>
      <w:r>
        <w:rPr>
          <w:rFonts w:ascii="Cambria" w:hAnsi="Cambria"/>
          <w:b w:val="0"/>
          <w:i w:val="0"/>
          <w:sz w:val="22"/>
        </w:rPr>
        <w:t>Every course linked to minimum 1 textbook + 1 reference book + journal support.</w:t>
      </w:r>
    </w:p>
    <w:p>
      <w:pPr>
        <w:spacing w:after="120"/>
        <w:jc w:val="both"/>
      </w:pPr>
      <w:r>
        <w:rPr>
          <w:rFonts w:ascii="Cambria" w:hAnsi="Cambria"/>
          <w:b w:val="0"/>
          <w:i w:val="0"/>
          <w:sz w:val="22"/>
        </w:rPr>
        <w:t>Aligns resources with OBE framework → supports teaching-learning outcomes.</w:t>
      </w:r>
    </w:p>
    <w:p>
      <w:pPr>
        <w:spacing w:after="80"/>
        <w:ind w:left="340" w:hanging="340"/>
        <w:jc w:val="both"/>
      </w:pPr>
      <w:r>
        <w:rPr>
          <w:rFonts w:ascii="Cambria" w:hAnsi="Cambria"/>
          <w:b w:val="0"/>
          <w:i w:val="0"/>
          <w:sz w:val="22"/>
        </w:rPr>
        <w:t xml:space="preserve">4. </w:t>
      </w:r>
      <w:r>
        <w:rPr>
          <w:rFonts w:ascii="Cambria" w:hAnsi="Cambria"/>
          <w:b w:val="0"/>
          <w:i w:val="0"/>
          <w:sz w:val="22"/>
        </w:rPr>
        <w:t>Formal Approvals &amp; Budgeting</w:t>
      </w:r>
    </w:p>
    <w:p>
      <w:pPr>
        <w:pStyle w:val="ListBullet2"/>
        <w:spacing w:after="80"/>
        <w:jc w:val="both"/>
      </w:pPr>
      <w:r>
        <w:rPr>
          <w:rFonts w:ascii="Cambria" w:hAnsi="Cambria"/>
          <w:b w:val="0"/>
          <w:i w:val="0"/>
          <w:sz w:val="22"/>
        </w:rPr>
        <w:t>Recommendations approved by Principal/Library Committee.</w:t>
      </w:r>
    </w:p>
    <w:p>
      <w:pPr>
        <w:pStyle w:val="ListBullet2"/>
        <w:spacing w:after="80"/>
        <w:jc w:val="both"/>
      </w:pPr>
      <w:r>
        <w:rPr>
          <w:rFonts w:ascii="Cambria" w:hAnsi="Cambria"/>
          <w:b w:val="0"/>
          <w:i w:val="0"/>
          <w:sz w:val="22"/>
        </w:rPr>
        <w:t>Purchase orders and invoices provide documented governance.</w:t>
      </w:r>
    </w:p>
    <w:p>
      <w:pPr>
        <w:spacing w:after="80"/>
        <w:ind w:left="340" w:hanging="340"/>
        <w:jc w:val="both"/>
      </w:pPr>
      <w:r>
        <w:rPr>
          <w:rFonts w:ascii="Cambria" w:hAnsi="Cambria"/>
          <w:b w:val="0"/>
          <w:i w:val="0"/>
          <w:sz w:val="22"/>
        </w:rPr>
        <w:t xml:space="preserve">5. </w:t>
      </w:r>
      <w:r>
        <w:rPr>
          <w:rFonts w:ascii="Cambria" w:hAnsi="Cambria"/>
          <w:b w:val="0"/>
          <w:i w:val="0"/>
          <w:sz w:val="22"/>
        </w:rPr>
        <w:t>Implementation &amp; Monitoring</w:t>
      </w:r>
    </w:p>
    <w:p>
      <w:pPr>
        <w:pStyle w:val="ListBullet2"/>
        <w:spacing w:after="80"/>
        <w:jc w:val="both"/>
      </w:pPr>
      <w:r>
        <w:rPr>
          <w:rFonts w:ascii="Cambria" w:hAnsi="Cambria"/>
          <w:b w:val="0"/>
          <w:i w:val="0"/>
          <w:sz w:val="22"/>
        </w:rPr>
        <w:t>Accession register entries / e-subscription proofs validate procurement.</w:t>
      </w:r>
    </w:p>
    <w:p>
      <w:pPr>
        <w:pStyle w:val="ListBullet2"/>
        <w:spacing w:after="80"/>
        <w:jc w:val="both"/>
      </w:pPr>
      <w:r>
        <w:rPr>
          <w:rFonts w:ascii="Cambria" w:hAnsi="Cambria"/>
          <w:b w:val="0"/>
          <w:i w:val="0"/>
          <w:sz w:val="22"/>
        </w:rPr>
        <w:t>Student/faculty feedback collected to assess adequacy and utilization.</w:t>
      </w:r>
    </w:p>
    <w:p>
      <w:pPr>
        <w:keepNext/>
        <w:spacing w:before="280" w:after="160"/>
        <w:jc w:val="left"/>
      </w:pPr>
      <w:r>
        <w:rPr>
          <w:rFonts w:ascii="Cambria" w:hAnsi="Cambria"/>
          <w:b/>
          <w:i w:val="0"/>
          <w:color w:val="1F3A5F"/>
          <w:sz w:val="26"/>
        </w:rPr>
        <w:t>Tangible Outcomes (II)</w:t>
      </w:r>
    </w:p>
    <w:p>
      <w:pPr>
        <w:pStyle w:val="ListBullet"/>
        <w:spacing w:after="80"/>
        <w:jc w:val="both"/>
      </w:pPr>
      <w:r>
        <w:rPr>
          <w:rFonts w:ascii="Cambria" w:hAnsi="Cambria"/>
          <w:b w:val="0"/>
          <w:i w:val="0"/>
          <w:sz w:val="22"/>
        </w:rPr>
        <w:t>Journals subscribed ↑ from 20 → 32 (+60%).</w:t>
      </w:r>
    </w:p>
    <w:p>
      <w:pPr>
        <w:pStyle w:val="ListBullet"/>
        <w:spacing w:after="80"/>
        <w:jc w:val="both"/>
      </w:pPr>
      <w:r>
        <w:rPr>
          <w:rFonts w:ascii="Cambria" w:hAnsi="Cambria"/>
          <w:b w:val="0"/>
          <w:i w:val="0"/>
          <w:sz w:val="22"/>
        </w:rPr>
        <w:t>E-resources ↑ from 5 → 8 (+3 new subscriptions).</w:t>
      </w:r>
    </w:p>
    <w:p>
      <w:pPr>
        <w:pStyle w:val="ListBullet"/>
        <w:spacing w:after="80"/>
        <w:jc w:val="both"/>
      </w:pPr>
      <w:r>
        <w:rPr>
          <w:rFonts w:ascii="Cambria" w:hAnsi="Cambria"/>
          <w:b w:val="0"/>
          <w:i w:val="0"/>
          <w:sz w:val="22"/>
        </w:rPr>
        <w:t>100% courses mapped with recommended textbooks and references.</w:t>
      </w:r>
    </w:p>
    <w:p>
      <w:pPr>
        <w:pStyle w:val="ListBullet"/>
        <w:spacing w:after="80"/>
        <w:jc w:val="both"/>
      </w:pPr>
      <w:r>
        <w:rPr>
          <w:rFonts w:ascii="Cambria" w:hAnsi="Cambria"/>
          <w:b w:val="0"/>
          <w:i w:val="0"/>
          <w:sz w:val="22"/>
        </w:rPr>
        <w:t>Student satisfaction on library adequacy ↑ from 3.7 → 4.4/5.</w:t>
      </w:r>
    </w:p>
    <w:p>
      <w:pPr>
        <w:pStyle w:val="ListBullet"/>
        <w:spacing w:after="80"/>
        <w:jc w:val="both"/>
      </w:pPr>
      <w:r>
        <w:rPr>
          <w:rFonts w:ascii="Cambria" w:hAnsi="Cambria"/>
          <w:b w:val="0"/>
          <w:i w:val="0"/>
          <w:sz w:val="22"/>
        </w:rPr>
        <w:t>Library footfall ↑ 25% YoY; e-resource usage ↑ 40%.</w:t>
      </w:r>
    </w:p>
    <w:p>
      <w:pPr>
        <w:pStyle w:val="ListBullet"/>
        <w:spacing w:after="80"/>
        <w:jc w:val="both"/>
      </w:pPr>
      <w:r>
        <w:rPr>
          <w:rFonts w:ascii="Cambria" w:hAnsi="Cambria"/>
          <w:b w:val="0"/>
          <w:i w:val="0"/>
          <w:sz w:val="22"/>
        </w:rPr>
        <w:t>92% students reported adequate access to recommended resources.</w:t>
      </w:r>
    </w:p>
    <w:p>
      <w:pPr>
        <w:keepNext/>
        <w:spacing w:before="280" w:after="160"/>
        <w:jc w:val="left"/>
      </w:pPr>
      <w:r>
        <w:rPr>
          <w:rFonts w:ascii="Cambria" w:hAnsi="Cambria"/>
          <w:b/>
          <w:i w:val="0"/>
          <w:color w:val="1F3A5F"/>
          <w:sz w:val="26"/>
        </w:rPr>
        <w:t>How Alignment is Achieved</w:t>
      </w:r>
    </w:p>
    <w:p>
      <w:pPr>
        <w:spacing w:after="80"/>
        <w:ind w:left="340" w:hanging="340"/>
        <w:jc w:val="both"/>
      </w:pPr>
      <w:r>
        <w:rPr>
          <w:rFonts w:ascii="Cambria" w:hAnsi="Cambria"/>
          <w:b w:val="0"/>
          <w:i w:val="0"/>
          <w:sz w:val="22"/>
        </w:rPr>
        <w:t xml:space="preserve">1. </w:t>
      </w:r>
      <w:r>
        <w:rPr>
          <w:rFonts w:ascii="Cambria" w:hAnsi="Cambria"/>
          <w:b w:val="0"/>
          <w:i w:val="0"/>
          <w:sz w:val="22"/>
        </w:rPr>
        <w:t>Curriculum-Linked Recommendations</w:t>
      </w:r>
    </w:p>
    <w:p>
      <w:pPr>
        <w:pStyle w:val="ListBullet2"/>
        <w:spacing w:after="80"/>
        <w:jc w:val="both"/>
      </w:pPr>
      <w:r>
        <w:rPr>
          <w:rFonts w:ascii="Cambria" w:hAnsi="Cambria"/>
          <w:b w:val="0"/>
          <w:i w:val="0"/>
          <w:sz w:val="22"/>
        </w:rPr>
        <w:t>Every course mapped to at least one textbook and one reference book.</w:t>
      </w:r>
    </w:p>
    <w:p>
      <w:pPr>
        <w:pStyle w:val="ListBullet2"/>
        <w:spacing w:after="80"/>
        <w:jc w:val="both"/>
      </w:pPr>
      <w:r>
        <w:rPr>
          <w:rFonts w:ascii="Cambria" w:hAnsi="Cambria"/>
          <w:b w:val="0"/>
          <w:i w:val="0"/>
          <w:sz w:val="22"/>
        </w:rPr>
        <w:t>Relevant journals/e-resources linked to specialized subjects (e.g., IEEE journals for engineering, Scopus databases for research).</w:t>
      </w:r>
    </w:p>
    <w:p>
      <w:pPr>
        <w:spacing w:after="80"/>
        <w:ind w:left="340" w:hanging="340"/>
        <w:jc w:val="both"/>
      </w:pPr>
      <w:r>
        <w:rPr>
          <w:rFonts w:ascii="Cambria" w:hAnsi="Cambria"/>
          <w:b w:val="0"/>
          <w:i w:val="0"/>
          <w:sz w:val="22"/>
        </w:rPr>
        <w:t xml:space="preserve">2. </w:t>
      </w:r>
      <w:r>
        <w:rPr>
          <w:rFonts w:ascii="Cambria" w:hAnsi="Cambria"/>
          <w:b w:val="0"/>
          <w:i w:val="0"/>
          <w:sz w:val="22"/>
        </w:rPr>
        <w:t>OBE Integration</w:t>
      </w:r>
    </w:p>
    <w:p>
      <w:pPr>
        <w:pStyle w:val="ListBullet2"/>
        <w:spacing w:after="80"/>
        <w:jc w:val="both"/>
      </w:pPr>
      <w:r>
        <w:rPr>
          <w:rFonts w:ascii="Cambria" w:hAnsi="Cambria"/>
          <w:b w:val="0"/>
          <w:i w:val="0"/>
          <w:sz w:val="22"/>
        </w:rPr>
        <w:t>Library recommendations tied to CO–PO–PSO mappings.</w:t>
      </w:r>
    </w:p>
    <w:p>
      <w:pPr>
        <w:pStyle w:val="ListBullet2"/>
        <w:spacing w:after="80"/>
        <w:jc w:val="both"/>
      </w:pPr>
      <w:r>
        <w:rPr>
          <w:rFonts w:ascii="Cambria" w:hAnsi="Cambria"/>
          <w:b w:val="0"/>
          <w:i w:val="0"/>
          <w:sz w:val="22"/>
        </w:rPr>
        <w:t>Example: Research methodology course → linked with Scopus/Web of Science journals (supports PO4: Investigations of Complex Problems).</w:t>
      </w:r>
    </w:p>
    <w:p>
      <w:pPr>
        <w:spacing w:after="80"/>
        <w:ind w:left="340" w:hanging="340"/>
        <w:jc w:val="both"/>
      </w:pPr>
      <w:r>
        <w:rPr>
          <w:rFonts w:ascii="Cambria" w:hAnsi="Cambria"/>
          <w:b w:val="0"/>
          <w:i w:val="0"/>
          <w:sz w:val="22"/>
        </w:rPr>
        <w:t xml:space="preserve">3. </w:t>
      </w:r>
      <w:r>
        <w:rPr>
          <w:rFonts w:ascii="Cambria" w:hAnsi="Cambria"/>
          <w:b w:val="0"/>
          <w:i w:val="0"/>
          <w:sz w:val="22"/>
        </w:rPr>
        <w:t>Faculty &amp; Committee Involvement</w:t>
      </w:r>
    </w:p>
    <w:p>
      <w:pPr>
        <w:spacing w:after="120"/>
        <w:jc w:val="both"/>
      </w:pPr>
      <w:r>
        <w:rPr>
          <w:rFonts w:ascii="Cambria" w:hAnsi="Cambria"/>
          <w:b w:val="0"/>
          <w:i w:val="0"/>
          <w:sz w:val="22"/>
        </w:rPr>
        <w:t>Subject experts and senior faculty review syllabi → identify gaps in existing library holdings.</w:t>
      </w:r>
    </w:p>
    <w:p>
      <w:pPr>
        <w:pStyle w:val="ListBullet2"/>
        <w:spacing w:after="80"/>
        <w:jc w:val="both"/>
      </w:pPr>
      <w:r>
        <w:rPr>
          <w:rFonts w:ascii="Cambria" w:hAnsi="Cambria"/>
          <w:b w:val="0"/>
          <w:i w:val="0"/>
          <w:sz w:val="22"/>
        </w:rPr>
        <w:t>Recommendations documented in Library Committee minutes.</w:t>
      </w:r>
    </w:p>
    <w:p>
      <w:pPr>
        <w:spacing w:after="80"/>
        <w:ind w:left="340" w:hanging="340"/>
        <w:jc w:val="both"/>
      </w:pPr>
      <w:r>
        <w:rPr>
          <w:rFonts w:ascii="Cambria" w:hAnsi="Cambria"/>
          <w:b w:val="0"/>
          <w:i w:val="0"/>
          <w:sz w:val="22"/>
        </w:rPr>
        <w:t xml:space="preserve">4. </w:t>
      </w:r>
      <w:r>
        <w:rPr>
          <w:rFonts w:ascii="Cambria" w:hAnsi="Cambria"/>
          <w:b w:val="0"/>
          <w:i w:val="0"/>
          <w:sz w:val="22"/>
        </w:rPr>
        <w:t>Approval &amp; Procurement</w:t>
      </w:r>
    </w:p>
    <w:p>
      <w:pPr>
        <w:pStyle w:val="ListBullet2"/>
        <w:spacing w:after="80"/>
        <w:jc w:val="both"/>
      </w:pPr>
      <w:r>
        <w:rPr>
          <w:rFonts w:ascii="Cambria" w:hAnsi="Cambria"/>
          <w:b w:val="0"/>
          <w:i w:val="0"/>
          <w:sz w:val="22"/>
        </w:rPr>
        <w:t>HoD forwards recommendations → approved by Principal/Library Committee.</w:t>
      </w:r>
    </w:p>
    <w:p>
      <w:pPr>
        <w:pStyle w:val="ListBullet2"/>
        <w:spacing w:after="80"/>
        <w:jc w:val="both"/>
      </w:pPr>
      <w:r>
        <w:rPr>
          <w:rFonts w:ascii="Cambria" w:hAnsi="Cambria"/>
          <w:b w:val="0"/>
          <w:i w:val="0"/>
          <w:sz w:val="22"/>
        </w:rPr>
        <w:t>Procurement evidence (purchase orders, invoices, accession register) confirms alignment is implemented.</w:t>
      </w:r>
    </w:p>
    <w:p>
      <w:pPr>
        <w:spacing w:after="80"/>
        <w:ind w:left="340" w:hanging="340"/>
        <w:jc w:val="both"/>
      </w:pPr>
      <w:r>
        <w:rPr>
          <w:rFonts w:ascii="Cambria" w:hAnsi="Cambria"/>
          <w:b w:val="0"/>
          <w:i w:val="0"/>
          <w:sz w:val="22"/>
        </w:rPr>
        <w:t xml:space="preserve">5. </w:t>
      </w:r>
      <w:r>
        <w:rPr>
          <w:rFonts w:ascii="Cambria" w:hAnsi="Cambria"/>
          <w:b w:val="0"/>
          <w:i w:val="0"/>
          <w:sz w:val="22"/>
        </w:rPr>
        <w:t>Usage &amp; Feedback</w:t>
      </w:r>
    </w:p>
    <w:p>
      <w:pPr>
        <w:pStyle w:val="ListBullet2"/>
        <w:spacing w:after="80"/>
        <w:jc w:val="both"/>
      </w:pPr>
      <w:r>
        <w:rPr>
          <w:rFonts w:ascii="Cambria" w:hAnsi="Cambria"/>
          <w:b w:val="0"/>
          <w:i w:val="0"/>
          <w:sz w:val="22"/>
        </w:rPr>
        <w:t>Student/faculty surveys assess adequacy of recommended materials.</w:t>
      </w:r>
    </w:p>
    <w:p>
      <w:pPr>
        <w:pStyle w:val="ListBullet2"/>
        <w:spacing w:after="80"/>
        <w:jc w:val="both"/>
      </w:pPr>
      <w:r>
        <w:rPr>
          <w:rFonts w:ascii="Cambria" w:hAnsi="Cambria"/>
          <w:b w:val="0"/>
          <w:i w:val="0"/>
          <w:sz w:val="22"/>
        </w:rPr>
        <w:t>Feedback loop ensures continuous resource updating as per curriculum revisions.</w:t>
      </w:r>
    </w:p>
    <w:p>
      <w:pPr>
        <w:keepNext/>
        <w:spacing w:before="280" w:after="160"/>
        <w:jc w:val="left"/>
      </w:pPr>
      <w:r>
        <w:rPr>
          <w:rFonts w:ascii="Cambria" w:hAnsi="Cambria"/>
          <w:b/>
          <w:i w:val="0"/>
          <w:color w:val="1F3A5F"/>
          <w:sz w:val="26"/>
        </w:rPr>
        <w:t>Tangible Outcomes (III)</w:t>
      </w:r>
    </w:p>
    <w:p>
      <w:pPr>
        <w:pStyle w:val="ListBullet"/>
        <w:spacing w:after="80"/>
        <w:jc w:val="both"/>
      </w:pPr>
      <w:r>
        <w:rPr>
          <w:rFonts w:ascii="Cambria" w:hAnsi="Cambria"/>
          <w:b w:val="0"/>
          <w:i w:val="0"/>
          <w:sz w:val="22"/>
        </w:rPr>
        <w:t>100% curriculum courses mapped with textbooks &amp; references.</w:t>
      </w:r>
    </w:p>
    <w:p>
      <w:pPr>
        <w:pStyle w:val="ListBullet"/>
        <w:spacing w:after="80"/>
        <w:jc w:val="both"/>
      </w:pPr>
      <w:r>
        <w:rPr>
          <w:rFonts w:ascii="Cambria" w:hAnsi="Cambria"/>
          <w:b w:val="0"/>
          <w:i w:val="0"/>
          <w:sz w:val="22"/>
        </w:rPr>
        <w:t>Journals subscribed ↑ from 20 → 32 (aligned with new electives).</w:t>
      </w:r>
    </w:p>
    <w:p>
      <w:pPr>
        <w:pStyle w:val="ListBullet"/>
        <w:spacing w:after="80"/>
        <w:jc w:val="both"/>
      </w:pPr>
      <w:r>
        <w:rPr>
          <w:rFonts w:ascii="Cambria" w:hAnsi="Cambria"/>
          <w:b w:val="0"/>
          <w:i w:val="0"/>
          <w:sz w:val="22"/>
        </w:rPr>
        <w:t>E-resources ↑ from 5 → 8, including subject-specialized databases.</w:t>
      </w:r>
    </w:p>
    <w:p>
      <w:pPr>
        <w:pStyle w:val="ListBullet"/>
        <w:spacing w:after="80"/>
        <w:jc w:val="both"/>
      </w:pPr>
      <w:r>
        <w:rPr>
          <w:rFonts w:ascii="Cambria" w:hAnsi="Cambria"/>
          <w:b w:val="0"/>
          <w:i w:val="0"/>
          <w:sz w:val="22"/>
        </w:rPr>
        <w:t>92% students confirmed course-related resources were accessible.</w:t>
      </w:r>
    </w:p>
    <w:p>
      <w:pPr>
        <w:pStyle w:val="ListBullet"/>
        <w:spacing w:after="80"/>
        <w:jc w:val="both"/>
      </w:pPr>
      <w:r>
        <w:rPr>
          <w:rFonts w:ascii="Cambria" w:hAnsi="Cambria"/>
          <w:b w:val="0"/>
          <w:i w:val="0"/>
          <w:sz w:val="22"/>
        </w:rPr>
        <w:t>Student satisfaction with library adequacy ↑ from 3.7 → 4.4/5.</w:t>
      </w:r>
    </w:p>
    <w:p>
      <w:pPr>
        <w:pStyle w:val="ListBullet"/>
        <w:spacing w:after="80"/>
        <w:jc w:val="both"/>
      </w:pPr>
      <w:r>
        <w:rPr>
          <w:rFonts w:ascii="Cambria" w:hAnsi="Cambria"/>
          <w:b w:val="0"/>
          <w:i w:val="0"/>
          <w:sz w:val="22"/>
        </w:rPr>
        <w:t>Research publications ↑ 31% due to improved access to quality journals.</w:t>
      </w:r>
    </w:p>
    <w:p>
      <w:pPr>
        <w:keepNext/>
        <w:spacing w:before="280" w:after="160"/>
        <w:jc w:val="left"/>
      </w:pPr>
      <w:r>
        <w:rPr>
          <w:rFonts w:ascii="Cambria" w:hAnsi="Cambria"/>
          <w:b/>
          <w:i w:val="0"/>
          <w:color w:val="1F3A5F"/>
          <w:sz w:val="26"/>
        </w:rPr>
        <w:t>Why Peer Reviewers Value This (II)</w:t>
      </w:r>
    </w:p>
    <w:p>
      <w:pPr>
        <w:pStyle w:val="ListBullet"/>
        <w:spacing w:after="80"/>
        <w:jc w:val="both"/>
      </w:pPr>
      <w:r>
        <w:rPr>
          <w:rFonts w:ascii="Cambria" w:hAnsi="Cambria"/>
          <w:b w:val="0"/>
          <w:i w:val="0"/>
          <w:sz w:val="22"/>
        </w:rPr>
        <w:t>Proves resource adequacy is linked to academic delivery, not generic purchases.</w:t>
      </w:r>
    </w:p>
    <w:p>
      <w:pPr>
        <w:pStyle w:val="ListBullet"/>
        <w:spacing w:after="80"/>
        <w:jc w:val="both"/>
      </w:pPr>
      <w:r>
        <w:rPr>
          <w:rFonts w:ascii="Cambria" w:hAnsi="Cambria"/>
          <w:b w:val="0"/>
          <w:i w:val="0"/>
          <w:sz w:val="22"/>
        </w:rPr>
        <w:t>Shows continuous improvement in teaching-learning support.</w:t>
      </w:r>
    </w:p>
    <w:p>
      <w:pPr>
        <w:pStyle w:val="ListBullet"/>
        <w:spacing w:after="80"/>
        <w:jc w:val="both"/>
      </w:pPr>
      <w:r>
        <w:rPr>
          <w:rFonts w:ascii="Cambria" w:hAnsi="Cambria"/>
          <w:b w:val="0"/>
          <w:i w:val="0"/>
          <w:sz w:val="22"/>
        </w:rPr>
        <w:t>Strengthens NAAC Criterion 4 (Infrastructure &amp; Learning Resources) and NBA Criterion 7 (Facilities).</w:t>
      </w:r>
    </w:p>
    <w:p>
      <w:pPr>
        <w:pStyle w:val="ListBullet"/>
        <w:spacing w:after="80"/>
        <w:jc w:val="both"/>
      </w:pPr>
      <w:r>
        <w:rPr>
          <w:rFonts w:ascii="Cambria" w:hAnsi="Cambria"/>
          <w:b w:val="0"/>
          <w:i w:val="0"/>
          <w:sz w:val="22"/>
        </w:rPr>
        <w:t>Demonstrates evidence-based OBE alignment (resources → CO/PO/PSO attainment).</w:t>
      </w:r>
    </w:p>
    <w:p>
      <w:pPr>
        <w:keepNext/>
        <w:spacing w:before="280" w:after="160"/>
        <w:jc w:val="left"/>
      </w:pPr>
      <w:r>
        <w:rPr>
          <w:rFonts w:ascii="Cambria" w:hAnsi="Cambria"/>
          <w:b/>
          <w:i w:val="0"/>
          <w:color w:val="1F3A5F"/>
          <w:sz w:val="26"/>
        </w:rPr>
        <w:t>Numeric Evidence of Improvement</w:t>
      </w:r>
    </w:p>
    <w:p>
      <w:pPr>
        <w:spacing w:after="80"/>
        <w:ind w:left="340" w:hanging="340"/>
        <w:jc w:val="both"/>
      </w:pPr>
      <w:r>
        <w:rPr>
          <w:rFonts w:ascii="Cambria" w:hAnsi="Cambria"/>
          <w:b w:val="0"/>
          <w:i w:val="0"/>
          <w:sz w:val="22"/>
        </w:rPr>
        <w:t xml:space="preserve">1. </w:t>
      </w:r>
      <w:r>
        <w:rPr>
          <w:rFonts w:ascii="Cambria" w:hAnsi="Cambria"/>
          <w:b w:val="0"/>
          <w:i w:val="0"/>
          <w:sz w:val="22"/>
        </w:rPr>
        <w:t>Library Resources</w:t>
      </w:r>
    </w:p>
    <w:p>
      <w:pPr>
        <w:pStyle w:val="ListBullet2"/>
        <w:spacing w:after="80"/>
        <w:jc w:val="both"/>
      </w:pPr>
      <w:r>
        <w:rPr>
          <w:rFonts w:ascii="Cambria" w:hAnsi="Cambria"/>
          <w:b w:val="0"/>
          <w:i w:val="0"/>
          <w:sz w:val="22"/>
        </w:rPr>
        <w:t>Journals: increased from 20 → 32 (+60%).</w:t>
      </w:r>
    </w:p>
    <w:p>
      <w:pPr>
        <w:pStyle w:val="ListBullet2"/>
        <w:spacing w:after="80"/>
        <w:jc w:val="both"/>
      </w:pPr>
      <w:r>
        <w:rPr>
          <w:rFonts w:ascii="Cambria" w:hAnsi="Cambria"/>
          <w:b w:val="0"/>
          <w:i w:val="0"/>
          <w:sz w:val="22"/>
        </w:rPr>
        <w:t>E-Resources: expanded from 5 → 8 (+3 new subscriptions, +40%).</w:t>
      </w:r>
    </w:p>
    <w:p>
      <w:pPr>
        <w:pStyle w:val="ListBullet2"/>
        <w:spacing w:after="80"/>
        <w:jc w:val="both"/>
      </w:pPr>
      <w:r>
        <w:rPr>
          <w:rFonts w:ascii="Cambria" w:hAnsi="Cambria"/>
          <w:b w:val="0"/>
          <w:i w:val="0"/>
          <w:sz w:val="22"/>
        </w:rPr>
        <w:t>Books/References: 100% curriculum courses mapped to at least 1 textbook + 1 reference book.</w:t>
      </w:r>
    </w:p>
    <w:p>
      <w:pPr>
        <w:pStyle w:val="ListBullet2"/>
        <w:spacing w:after="80"/>
        <w:jc w:val="both"/>
      </w:pPr>
      <w:r>
        <w:rPr>
          <w:rFonts w:ascii="Cambria" w:hAnsi="Cambria"/>
          <w:b w:val="0"/>
          <w:i w:val="0"/>
          <w:sz w:val="22"/>
        </w:rPr>
        <w:t>Accession Records: 220 new titles added in 2023–24.</w:t>
      </w:r>
    </w:p>
    <w:p>
      <w:pPr>
        <w:spacing w:after="80"/>
        <w:ind w:left="340" w:hanging="340"/>
        <w:jc w:val="both"/>
      </w:pPr>
      <w:r>
        <w:rPr>
          <w:rFonts w:ascii="Cambria" w:hAnsi="Cambria"/>
          <w:b w:val="0"/>
          <w:i w:val="0"/>
          <w:sz w:val="22"/>
        </w:rPr>
        <w:t xml:space="preserve">2. </w:t>
      </w:r>
      <w:r>
        <w:rPr>
          <w:rFonts w:ascii="Cambria" w:hAnsi="Cambria"/>
          <w:b w:val="0"/>
          <w:i w:val="0"/>
          <w:sz w:val="22"/>
        </w:rPr>
        <w:t>Usage &amp; Access</w:t>
      </w:r>
    </w:p>
    <w:p>
      <w:pPr>
        <w:pStyle w:val="ListBullet2"/>
        <w:spacing w:after="80"/>
        <w:jc w:val="both"/>
      </w:pPr>
      <w:r>
        <w:rPr>
          <w:rFonts w:ascii="Cambria" w:hAnsi="Cambria"/>
          <w:b w:val="0"/>
          <w:i w:val="0"/>
          <w:sz w:val="22"/>
        </w:rPr>
        <w:t>Library Footfall: ↑ 25% YoY (from ~9,000 visits → 11,300 visits).</w:t>
      </w:r>
    </w:p>
    <w:p>
      <w:pPr>
        <w:pStyle w:val="ListBullet2"/>
        <w:spacing w:after="80"/>
        <w:jc w:val="both"/>
      </w:pPr>
      <w:r>
        <w:rPr>
          <w:rFonts w:ascii="Cambria" w:hAnsi="Cambria"/>
          <w:b w:val="0"/>
          <w:i w:val="0"/>
          <w:sz w:val="22"/>
        </w:rPr>
        <w:t>E-Resource Logins: ↑ 40% (from 3,200 → 4,480 annual logins).</w:t>
      </w:r>
    </w:p>
    <w:p>
      <w:pPr>
        <w:pStyle w:val="ListBullet2"/>
        <w:spacing w:after="80"/>
        <w:jc w:val="both"/>
      </w:pPr>
      <w:r>
        <w:rPr>
          <w:rFonts w:ascii="Cambria" w:hAnsi="Cambria"/>
          <w:b w:val="0"/>
          <w:i w:val="0"/>
          <w:sz w:val="22"/>
        </w:rPr>
        <w:t>Book Issue Records: ↑ 18% YoY (from 7,500 → 8,850 books issued).</w:t>
      </w:r>
    </w:p>
    <w:p>
      <w:pPr>
        <w:spacing w:after="80"/>
        <w:ind w:left="340" w:hanging="340"/>
        <w:jc w:val="both"/>
      </w:pPr>
      <w:r>
        <w:rPr>
          <w:rFonts w:ascii="Cambria" w:hAnsi="Cambria"/>
          <w:b w:val="0"/>
          <w:i w:val="0"/>
          <w:sz w:val="22"/>
        </w:rPr>
        <w:t xml:space="preserve">3. </w:t>
      </w:r>
      <w:r>
        <w:rPr>
          <w:rFonts w:ascii="Cambria" w:hAnsi="Cambria"/>
          <w:b w:val="0"/>
          <w:i w:val="0"/>
          <w:sz w:val="22"/>
        </w:rPr>
        <w:t>User Satisfaction (Survey-Based)</w:t>
      </w:r>
    </w:p>
    <w:p>
      <w:pPr>
        <w:pStyle w:val="ListBullet2"/>
        <w:spacing w:after="80"/>
        <w:jc w:val="both"/>
      </w:pPr>
      <w:r>
        <w:rPr>
          <w:rFonts w:ascii="Cambria" w:hAnsi="Cambria"/>
          <w:b w:val="0"/>
          <w:i w:val="0"/>
          <w:sz w:val="22"/>
        </w:rPr>
        <w:t>Student Satisfaction: ↑ from 3.7 → 4.4/5.</w:t>
      </w:r>
    </w:p>
    <w:p>
      <w:pPr>
        <w:pStyle w:val="ListBullet2"/>
        <w:spacing w:after="80"/>
        <w:jc w:val="both"/>
      </w:pPr>
      <w:r>
        <w:rPr>
          <w:rFonts w:ascii="Cambria" w:hAnsi="Cambria"/>
          <w:b w:val="0"/>
          <w:i w:val="0"/>
          <w:sz w:val="22"/>
        </w:rPr>
        <w:t>Faculty Satisfaction: ↑ from 4.0 → 4.5/5.</w:t>
      </w:r>
    </w:p>
    <w:p>
      <w:pPr>
        <w:pStyle w:val="ListBullet2"/>
        <w:spacing w:after="80"/>
        <w:jc w:val="both"/>
      </w:pPr>
      <w:r>
        <w:rPr>
          <w:rFonts w:ascii="Cambria" w:hAnsi="Cambria"/>
          <w:b w:val="0"/>
          <w:i w:val="0"/>
          <w:sz w:val="22"/>
        </w:rPr>
        <w:t>Adequacy Coverage: 92% of students confirmed access to course-related resources (up from 84%).</w:t>
      </w:r>
    </w:p>
    <w:p>
      <w:pPr>
        <w:spacing w:after="80"/>
        <w:ind w:left="340" w:hanging="340"/>
        <w:jc w:val="both"/>
      </w:pPr>
      <w:r>
        <w:rPr>
          <w:rFonts w:ascii="Cambria" w:hAnsi="Cambria"/>
          <w:b w:val="0"/>
          <w:i w:val="0"/>
          <w:sz w:val="22"/>
        </w:rPr>
        <w:t xml:space="preserve">4. </w:t>
      </w:r>
      <w:r>
        <w:rPr>
          <w:rFonts w:ascii="Cambria" w:hAnsi="Cambria"/>
          <w:b w:val="0"/>
          <w:i w:val="0"/>
          <w:sz w:val="22"/>
        </w:rPr>
        <w:t>Academic Outcomes Linked to Resources</w:t>
      </w:r>
    </w:p>
    <w:p>
      <w:pPr>
        <w:pStyle w:val="ListBullet2"/>
        <w:spacing w:after="80"/>
        <w:jc w:val="both"/>
      </w:pPr>
      <w:r>
        <w:rPr>
          <w:rFonts w:ascii="Cambria" w:hAnsi="Cambria"/>
          <w:b w:val="0"/>
          <w:i w:val="0"/>
          <w:sz w:val="22"/>
        </w:rPr>
        <w:t>Research Publications: ↑ 31% (avg. per faculty: 1.6 → 2.1).</w:t>
      </w:r>
    </w:p>
    <w:p>
      <w:pPr>
        <w:pStyle w:val="ListBullet2"/>
        <w:spacing w:after="80"/>
        <w:jc w:val="both"/>
      </w:pPr>
      <w:r>
        <w:rPr>
          <w:rFonts w:ascii="Cambria" w:hAnsi="Cambria"/>
          <w:b w:val="0"/>
          <w:i w:val="0"/>
          <w:sz w:val="22"/>
        </w:rPr>
        <w:t>Project Quality: 15% increase in UG/PG projects citing standard journals.</w:t>
      </w:r>
    </w:p>
    <w:p>
      <w:pPr>
        <w:keepNext/>
        <w:spacing w:before="280" w:after="160"/>
        <w:jc w:val="left"/>
      </w:pPr>
      <w:r>
        <w:rPr>
          <w:rFonts w:ascii="Cambria" w:hAnsi="Cambria"/>
          <w:b/>
          <w:i w:val="0"/>
          <w:color w:val="1F3A5F"/>
          <w:sz w:val="26"/>
        </w:rPr>
        <w:t>Why Peer Reviewers Value Numeric Evidence</w:t>
      </w:r>
    </w:p>
    <w:p>
      <w:pPr>
        <w:pStyle w:val="ListBullet"/>
        <w:spacing w:after="80"/>
        <w:jc w:val="both"/>
      </w:pPr>
      <w:r>
        <w:rPr>
          <w:rFonts w:ascii="Cambria" w:hAnsi="Cambria"/>
          <w:b w:val="0"/>
          <w:i w:val="0"/>
          <w:sz w:val="22"/>
        </w:rPr>
        <w:t>Shows baseline vs improvement clearly → avoids vague claims.</w:t>
      </w:r>
    </w:p>
    <w:p>
      <w:pPr>
        <w:pStyle w:val="ListBullet"/>
        <w:spacing w:after="80"/>
        <w:jc w:val="both"/>
      </w:pPr>
      <w:r>
        <w:rPr>
          <w:rFonts w:ascii="Cambria" w:hAnsi="Cambria"/>
          <w:b w:val="0"/>
          <w:i w:val="0"/>
          <w:sz w:val="22"/>
        </w:rPr>
        <w:t>Demonstrates that investments in resources are yielding measurable impact.</w:t>
      </w:r>
    </w:p>
    <w:p>
      <w:pPr>
        <w:pStyle w:val="ListBullet"/>
        <w:spacing w:after="80"/>
        <w:jc w:val="both"/>
      </w:pPr>
      <w:r>
        <w:rPr>
          <w:rFonts w:ascii="Cambria" w:hAnsi="Cambria"/>
          <w:b w:val="0"/>
          <w:i w:val="0"/>
          <w:sz w:val="22"/>
        </w:rPr>
        <w:t>Strengthens compliance with NAAC Criterion 4 (Infrastructure &amp; Learning Resources) and NBA Criterion 7 (Facilities).</w:t>
      </w:r>
    </w:p>
    <w:p>
      <w:pPr>
        <w:pStyle w:val="ListBullet"/>
        <w:spacing w:after="80"/>
        <w:jc w:val="both"/>
      </w:pPr>
      <w:r>
        <w:rPr>
          <w:rFonts w:ascii="Cambria" w:hAnsi="Cambria"/>
          <w:b w:val="0"/>
          <w:i w:val="0"/>
          <w:sz w:val="22"/>
        </w:rPr>
        <w:t>Proves continuous improvement in both quantity (resources) and quality (satisfaction).</w:t>
      </w:r>
    </w:p>
    <w:p>
      <w:r>
        <w:br w:type="page"/>
      </w:r>
    </w:p>
    <w:p>
      <w:pPr>
        <w:keepNext/>
        <w:spacing w:before="280" w:after="160"/>
        <w:jc w:val="left"/>
      </w:pPr>
      <w:r>
        <w:rPr>
          <w:rFonts w:ascii="Cambria" w:hAnsi="Cambria"/>
          <w:b/>
          <w:i w:val="0"/>
          <w:color w:val="1F3A5F"/>
          <w:sz w:val="30"/>
        </w:rPr>
        <w:t>13. HoD's Responsibility to Recommend Purchase of Books for the Division and Related Disciplines is Central to Ensuring Curriculum Adequacy, Academic Quality, and Compliance with NAAC/NBA Standards</w:t>
      </w:r>
    </w:p>
    <w:p>
      <w:pPr>
        <w:keepNext/>
        <w:spacing w:before="280" w:after="160"/>
        <w:jc w:val="left"/>
      </w:pPr>
      <w:r>
        <w:rPr>
          <w:rFonts w:ascii="Cambria" w:hAnsi="Cambria"/>
          <w:b/>
          <w:i w:val="0"/>
          <w:color w:val="1F3A5F"/>
          <w:sz w:val="26"/>
        </w:rPr>
        <w:t>Policy Statement</w:t>
      </w:r>
    </w:p>
    <w:p>
      <w:pPr>
        <w:pStyle w:val="ListBullet"/>
        <w:spacing w:after="80"/>
        <w:jc w:val="both"/>
      </w:pPr>
      <w:r>
        <w:rPr>
          <w:rFonts w:ascii="Cambria" w:hAnsi="Cambria"/>
          <w:b w:val="0"/>
          <w:i w:val="0"/>
          <w:sz w:val="22"/>
        </w:rPr>
        <w:t>The HoD, in consultation with faculty and the library committee, shall recommend textbooks, reference books, and subject-specific resources for the division and allied disciplines to ensure resource adequacy and curriculum alignment.</w:t>
      </w:r>
    </w:p>
    <w:p>
      <w:pPr>
        <w:keepNext/>
        <w:spacing w:before="280" w:after="160"/>
        <w:jc w:val="left"/>
      </w:pPr>
      <w:r>
        <w:rPr>
          <w:rFonts w:ascii="Cambria" w:hAnsi="Cambria"/>
          <w:b/>
          <w:i w:val="0"/>
          <w:color w:val="1F3A5F"/>
          <w:sz w:val="26"/>
        </w:rPr>
        <w:t>Actions by HoD</w:t>
      </w:r>
    </w:p>
    <w:p>
      <w:pPr>
        <w:pStyle w:val="ListBullet"/>
        <w:spacing w:after="80"/>
        <w:jc w:val="both"/>
      </w:pPr>
      <w:r>
        <w:rPr>
          <w:rFonts w:ascii="Cambria" w:hAnsi="Cambria"/>
          <w:b w:val="0"/>
          <w:i w:val="0"/>
          <w:sz w:val="22"/>
        </w:rPr>
        <w:t>Curriculum Review → identify gaps in current library holdings based on syllabus, electives, and CO–PO–PSO mappings.</w:t>
      </w:r>
    </w:p>
    <w:p>
      <w:pPr>
        <w:pStyle w:val="ListBullet"/>
        <w:spacing w:after="80"/>
        <w:jc w:val="both"/>
      </w:pPr>
      <w:r>
        <w:rPr>
          <w:rFonts w:ascii="Cambria" w:hAnsi="Cambria"/>
          <w:b w:val="0"/>
          <w:i w:val="0"/>
          <w:sz w:val="22"/>
        </w:rPr>
        <w:t>Faculty Consultation → collect book requirements from subject experts and senior faculty.</w:t>
      </w:r>
    </w:p>
    <w:p>
      <w:pPr>
        <w:pStyle w:val="ListBullet"/>
        <w:spacing w:after="80"/>
        <w:jc w:val="both"/>
      </w:pPr>
      <w:r>
        <w:rPr>
          <w:rFonts w:ascii="Cambria" w:hAnsi="Cambria"/>
          <w:b w:val="0"/>
          <w:i w:val="0"/>
          <w:sz w:val="22"/>
        </w:rPr>
        <w:t>Student Feedback → consider inputs on reference needs for projects, research, and competitive exams.</w:t>
      </w:r>
    </w:p>
    <w:p>
      <w:pPr>
        <w:pStyle w:val="ListBullet"/>
        <w:spacing w:after="80"/>
        <w:jc w:val="both"/>
      </w:pPr>
      <w:r>
        <w:rPr>
          <w:rFonts w:ascii="Cambria" w:hAnsi="Cambria"/>
          <w:b w:val="0"/>
          <w:i w:val="0"/>
          <w:sz w:val="22"/>
        </w:rPr>
        <w:t>Recommendation Preparation → prepare a consolidated list of required books (author, edition, publisher, ISBN).</w:t>
      </w:r>
    </w:p>
    <w:p>
      <w:pPr>
        <w:pStyle w:val="ListBullet"/>
        <w:spacing w:after="80"/>
        <w:jc w:val="both"/>
      </w:pPr>
      <w:r>
        <w:rPr>
          <w:rFonts w:ascii="Cambria" w:hAnsi="Cambria"/>
          <w:b w:val="0"/>
          <w:i w:val="0"/>
          <w:sz w:val="22"/>
        </w:rPr>
        <w:t>Submission to Library Committee → forward recommendations formally for approval and budgeting.</w:t>
      </w:r>
    </w:p>
    <w:p>
      <w:pPr>
        <w:pStyle w:val="ListBullet"/>
        <w:spacing w:after="80"/>
        <w:jc w:val="both"/>
      </w:pPr>
      <w:r>
        <w:rPr>
          <w:rFonts w:ascii="Cambria" w:hAnsi="Cambria"/>
          <w:b w:val="0"/>
          <w:i w:val="0"/>
          <w:sz w:val="22"/>
        </w:rPr>
        <w:t>Follow-Up Procurement → ensure purchase orders are placed, invoices recorded, and accession numbers assigned.</w:t>
      </w:r>
    </w:p>
    <w:p>
      <w:pPr>
        <w:pStyle w:val="ListBullet"/>
        <w:spacing w:after="80"/>
        <w:jc w:val="both"/>
      </w:pPr>
      <w:r>
        <w:rPr>
          <w:rFonts w:ascii="Cambria" w:hAnsi="Cambria"/>
          <w:b w:val="0"/>
          <w:i w:val="0"/>
          <w:sz w:val="22"/>
        </w:rPr>
        <w:t>Annual Review → update list based on curriculum revisions, new electives, and research trends.</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Department book requirement forms (from faculty/students).</w:t>
      </w:r>
    </w:p>
    <w:p>
      <w:pPr>
        <w:pStyle w:val="ListBullet"/>
        <w:spacing w:after="80"/>
        <w:jc w:val="both"/>
      </w:pPr>
      <w:r>
        <w:rPr>
          <w:rFonts w:ascii="Cambria" w:hAnsi="Cambria"/>
          <w:b w:val="0"/>
          <w:i w:val="0"/>
          <w:sz w:val="22"/>
        </w:rPr>
        <w:t>HoD's consolidated recommendation list.</w:t>
      </w:r>
    </w:p>
    <w:p>
      <w:pPr>
        <w:pStyle w:val="ListBullet"/>
        <w:spacing w:after="80"/>
        <w:jc w:val="both"/>
      </w:pPr>
      <w:r>
        <w:rPr>
          <w:rFonts w:ascii="Cambria" w:hAnsi="Cambria"/>
          <w:b w:val="0"/>
          <w:i w:val="0"/>
          <w:sz w:val="22"/>
        </w:rPr>
        <w:t>Library Committee meeting minutes with approval records.</w:t>
      </w:r>
    </w:p>
    <w:p>
      <w:pPr>
        <w:pStyle w:val="ListBullet"/>
        <w:spacing w:after="80"/>
        <w:jc w:val="both"/>
      </w:pPr>
      <w:r>
        <w:rPr>
          <w:rFonts w:ascii="Cambria" w:hAnsi="Cambria"/>
          <w:b w:val="0"/>
          <w:i w:val="0"/>
          <w:sz w:val="22"/>
        </w:rPr>
        <w:t>Principal/Registrar approval letters.</w:t>
      </w:r>
    </w:p>
    <w:p>
      <w:pPr>
        <w:pStyle w:val="ListBullet"/>
        <w:spacing w:after="80"/>
        <w:jc w:val="both"/>
      </w:pPr>
      <w:r>
        <w:rPr>
          <w:rFonts w:ascii="Cambria" w:hAnsi="Cambria"/>
          <w:b w:val="0"/>
          <w:i w:val="0"/>
          <w:sz w:val="22"/>
        </w:rPr>
        <w:t>Purchase orders &amp; invoices for books.</w:t>
      </w:r>
    </w:p>
    <w:p>
      <w:pPr>
        <w:pStyle w:val="ListBullet"/>
        <w:spacing w:after="80"/>
        <w:jc w:val="both"/>
      </w:pPr>
      <w:r>
        <w:rPr>
          <w:rFonts w:ascii="Cambria" w:hAnsi="Cambria"/>
          <w:b w:val="0"/>
          <w:i w:val="0"/>
          <w:sz w:val="22"/>
        </w:rPr>
        <w:t>Accession register entries (proof of addition to library stock).</w:t>
      </w:r>
    </w:p>
    <w:p>
      <w:pPr>
        <w:pStyle w:val="ListBullet"/>
        <w:spacing w:after="80"/>
        <w:jc w:val="both"/>
      </w:pPr>
      <w:r>
        <w:rPr>
          <w:rFonts w:ascii="Cambria" w:hAnsi="Cambria"/>
          <w:b w:val="0"/>
          <w:i w:val="0"/>
          <w:sz w:val="22"/>
        </w:rPr>
        <w:t>Feedback reports on adequacy of new books.</w:t>
      </w:r>
    </w:p>
    <w:p>
      <w:pPr>
        <w:keepNext/>
        <w:spacing w:before="280" w:after="160"/>
        <w:jc w:val="left"/>
      </w:pPr>
      <w:r>
        <w:rPr>
          <w:rFonts w:ascii="Cambria" w:hAnsi="Cambria"/>
          <w:b/>
          <w:i w:val="0"/>
          <w:color w:val="1F3A5F"/>
          <w:sz w:val="26"/>
        </w:rPr>
        <w:t>OBE Mapping (PO/PSO Links)</w:t>
      </w:r>
    </w:p>
    <w:p>
      <w:pPr>
        <w:pStyle w:val="ListBullet"/>
        <w:spacing w:after="80"/>
        <w:jc w:val="both"/>
      </w:pPr>
      <w:r>
        <w:rPr>
          <w:rFonts w:ascii="Cambria" w:hAnsi="Cambria"/>
          <w:b w:val="0"/>
          <w:i w:val="0"/>
          <w:sz w:val="22"/>
        </w:rPr>
        <w:t>PO1: Engineering/Subject Knowledge → textbooks ensure foundational learning.</w:t>
      </w:r>
    </w:p>
    <w:p>
      <w:pPr>
        <w:pStyle w:val="ListBullet"/>
        <w:spacing w:after="80"/>
        <w:jc w:val="both"/>
      </w:pPr>
      <w:r>
        <w:rPr>
          <w:rFonts w:ascii="Cambria" w:hAnsi="Cambria"/>
          <w:b w:val="0"/>
          <w:i w:val="0"/>
          <w:sz w:val="22"/>
        </w:rPr>
        <w:t>PO2: Problem Analysis → reference books aid in analytical depth.</w:t>
      </w:r>
    </w:p>
    <w:p>
      <w:pPr>
        <w:pStyle w:val="ListBullet"/>
        <w:spacing w:after="80"/>
        <w:jc w:val="both"/>
      </w:pPr>
      <w:r>
        <w:rPr>
          <w:rFonts w:ascii="Cambria" w:hAnsi="Cambria"/>
          <w:b w:val="0"/>
          <w:i w:val="0"/>
          <w:sz w:val="22"/>
        </w:rPr>
        <w:t>PO4: Research &amp; Investigation → advanced texts and journals support project work.</w:t>
      </w:r>
    </w:p>
    <w:p>
      <w:pPr>
        <w:pStyle w:val="ListBullet"/>
        <w:spacing w:after="80"/>
        <w:jc w:val="both"/>
      </w:pPr>
      <w:r>
        <w:rPr>
          <w:rFonts w:ascii="Cambria" w:hAnsi="Cambria"/>
          <w:b w:val="0"/>
          <w:i w:val="0"/>
          <w:sz w:val="22"/>
        </w:rPr>
        <w:t>PO12: Life-long Learning → diverse resources promote continuous self-learning.</w:t>
      </w:r>
    </w:p>
    <w:p>
      <w:pPr>
        <w:pStyle w:val="ListBullet"/>
        <w:spacing w:after="80"/>
        <w:jc w:val="both"/>
      </w:pPr>
      <w:r>
        <w:rPr>
          <w:rFonts w:ascii="Cambria" w:hAnsi="Cambria"/>
          <w:b w:val="0"/>
          <w:i w:val="0"/>
          <w:sz w:val="22"/>
        </w:rPr>
        <w:t>PSO1/PSO2: Specialization knowledge → subject-specific books mapped to program-specific outcomes.</w:t>
      </w:r>
    </w:p>
    <w:p>
      <w:pPr>
        <w:keepNext/>
        <w:spacing w:before="280" w:after="160"/>
        <w:jc w:val="left"/>
      </w:pPr>
      <w:r>
        <w:rPr>
          <w:rFonts w:ascii="Cambria" w:hAnsi="Cambria"/>
          <w:b/>
          <w:i w:val="0"/>
          <w:color w:val="1F3A5F"/>
          <w:sz w:val="26"/>
        </w:rPr>
        <w:t>Tangible &amp; Numeric Outcomes</w:t>
      </w:r>
    </w:p>
    <w:p>
      <w:pPr>
        <w:pStyle w:val="ListBullet"/>
        <w:spacing w:after="80"/>
        <w:jc w:val="both"/>
      </w:pPr>
      <w:r>
        <w:rPr>
          <w:rFonts w:ascii="Cambria" w:hAnsi="Cambria"/>
          <w:b w:val="0"/>
          <w:i w:val="0"/>
          <w:sz w:val="22"/>
        </w:rPr>
        <w:t>100% courses mapped to at least 1 textbook + 1 reference book.</w:t>
      </w:r>
    </w:p>
    <w:p>
      <w:pPr>
        <w:pStyle w:val="ListBullet"/>
        <w:spacing w:after="80"/>
        <w:jc w:val="both"/>
      </w:pPr>
      <w:r>
        <w:rPr>
          <w:rFonts w:ascii="Cambria" w:hAnsi="Cambria"/>
          <w:b w:val="0"/>
          <w:i w:val="0"/>
          <w:sz w:val="22"/>
        </w:rPr>
        <w:t>New titles added in 2023–24 → 220 across division and allied disciplines.</w:t>
      </w:r>
    </w:p>
    <w:p>
      <w:pPr>
        <w:pStyle w:val="ListBullet"/>
        <w:spacing w:after="80"/>
        <w:jc w:val="both"/>
      </w:pPr>
      <w:r>
        <w:rPr>
          <w:rFonts w:ascii="Cambria" w:hAnsi="Cambria"/>
          <w:b w:val="0"/>
          <w:i w:val="0"/>
          <w:sz w:val="22"/>
        </w:rPr>
        <w:t>Student satisfaction on adequacy of books ↑ from 3.8 → 4.5/5.</w:t>
      </w:r>
    </w:p>
    <w:p>
      <w:pPr>
        <w:pStyle w:val="ListBullet"/>
        <w:spacing w:after="80"/>
        <w:jc w:val="both"/>
      </w:pPr>
      <w:r>
        <w:rPr>
          <w:rFonts w:ascii="Cambria" w:hAnsi="Cambria"/>
          <w:b w:val="0"/>
          <w:i w:val="0"/>
          <w:sz w:val="22"/>
        </w:rPr>
        <w:t>Library footfall ↑ by 25% YoY after new procurement.</w:t>
      </w:r>
    </w:p>
    <w:p>
      <w:pPr>
        <w:pStyle w:val="ListBullet"/>
        <w:spacing w:after="80"/>
        <w:jc w:val="both"/>
      </w:pPr>
      <w:r>
        <w:rPr>
          <w:rFonts w:ascii="Cambria" w:hAnsi="Cambria"/>
          <w:b w:val="0"/>
          <w:i w:val="0"/>
          <w:sz w:val="22"/>
        </w:rPr>
        <w:t>90% of final-year projects cited references from newly procured books.</w:t>
      </w:r>
    </w:p>
    <w:p>
      <w:pPr>
        <w:keepNext/>
        <w:spacing w:before="280" w:after="160"/>
        <w:jc w:val="left"/>
      </w:pPr>
      <w:r>
        <w:rPr>
          <w:rFonts w:ascii="Cambria" w:hAnsi="Cambria"/>
          <w:b/>
          <w:i w:val="0"/>
          <w:color w:val="1F3A5F"/>
          <w:sz w:val="26"/>
        </w:rPr>
        <w:t>Evidence/Documents for Book Recommendations &amp; Procurement</w:t>
      </w:r>
    </w:p>
    <w:p>
      <w:pPr>
        <w:spacing w:after="80"/>
        <w:ind w:left="340" w:hanging="340"/>
        <w:jc w:val="both"/>
      </w:pPr>
      <w:r>
        <w:rPr>
          <w:rFonts w:ascii="Cambria" w:hAnsi="Cambria"/>
          <w:b w:val="0"/>
          <w:i w:val="0"/>
          <w:sz w:val="22"/>
        </w:rPr>
        <w:t xml:space="preserve">1. </w:t>
      </w:r>
      <w:r>
        <w:rPr>
          <w:rFonts w:ascii="Cambria" w:hAnsi="Cambria"/>
          <w:b w:val="0"/>
          <w:i w:val="0"/>
          <w:sz w:val="22"/>
        </w:rPr>
        <w:t>Department Book Requirement Forms (from Faculty/Students)</w:t>
      </w:r>
    </w:p>
    <w:p>
      <w:pPr>
        <w:pStyle w:val="ListBullet2"/>
        <w:spacing w:after="80"/>
        <w:jc w:val="both"/>
      </w:pPr>
      <w:r>
        <w:rPr>
          <w:rFonts w:ascii="Cambria" w:hAnsi="Cambria"/>
          <w:b w:val="0"/>
          <w:i w:val="0"/>
          <w:sz w:val="22"/>
        </w:rPr>
        <w:t>Faculty submit subject-wise book requirements aligned to syllabus.</w:t>
      </w:r>
    </w:p>
    <w:p>
      <w:pPr>
        <w:pStyle w:val="ListBullet2"/>
        <w:spacing w:after="80"/>
        <w:jc w:val="both"/>
      </w:pPr>
      <w:r>
        <w:rPr>
          <w:rFonts w:ascii="Cambria" w:hAnsi="Cambria"/>
          <w:b w:val="0"/>
          <w:i w:val="0"/>
          <w:sz w:val="22"/>
        </w:rPr>
        <w:t>Students may suggest references for projects, competitive exams, or electives.</w:t>
      </w:r>
    </w:p>
    <w:p>
      <w:pPr>
        <w:spacing w:after="80"/>
        <w:ind w:left="340" w:hanging="340"/>
        <w:jc w:val="both"/>
      </w:pPr>
      <w:r>
        <w:rPr>
          <w:rFonts w:ascii="Cambria" w:hAnsi="Cambria"/>
          <w:b w:val="0"/>
          <w:i w:val="0"/>
          <w:sz w:val="22"/>
        </w:rPr>
        <w:t xml:space="preserve">2. </w:t>
      </w:r>
      <w:r>
        <w:rPr>
          <w:rFonts w:ascii="Cambria" w:hAnsi="Cambria"/>
          <w:b w:val="0"/>
          <w:i w:val="0"/>
          <w:sz w:val="22"/>
        </w:rPr>
        <w:t>HoD's Consolidated Recommendation List</w:t>
      </w:r>
    </w:p>
    <w:p>
      <w:pPr>
        <w:pStyle w:val="ListBullet2"/>
        <w:spacing w:after="80"/>
        <w:jc w:val="both"/>
      </w:pPr>
      <w:r>
        <w:rPr>
          <w:rFonts w:ascii="Cambria" w:hAnsi="Cambria"/>
          <w:b w:val="0"/>
          <w:i w:val="0"/>
          <w:sz w:val="22"/>
        </w:rPr>
        <w:t>Compiled list of textbooks, reference books, and related discipline resources.</w:t>
      </w:r>
    </w:p>
    <w:p>
      <w:pPr>
        <w:spacing w:after="120"/>
        <w:jc w:val="both"/>
      </w:pPr>
      <w:r>
        <w:rPr>
          <w:rFonts w:ascii="Cambria" w:hAnsi="Cambria"/>
          <w:b w:val="0"/>
          <w:i w:val="0"/>
          <w:sz w:val="22"/>
        </w:rPr>
        <w:t xml:space="preserve">Includes details: </w:t>
      </w:r>
      <w:r>
        <w:rPr>
          <w:rFonts w:ascii="Cambria" w:hAnsi="Cambria"/>
          <w:b w:val="0"/>
          <w:i/>
          <w:sz w:val="22"/>
        </w:rPr>
        <w:t>title, author, edition, publisher, ISBN, mapped subject</w:t>
      </w:r>
      <w:r>
        <w:rPr>
          <w:rFonts w:ascii="Cambria" w:hAnsi="Cambria"/>
          <w:b w:val="0"/>
          <w:i w:val="0"/>
          <w:sz w:val="22"/>
        </w:rPr>
        <w:t>.</w:t>
      </w:r>
    </w:p>
    <w:p>
      <w:pPr>
        <w:spacing w:after="80"/>
        <w:ind w:left="340" w:hanging="340"/>
        <w:jc w:val="both"/>
      </w:pPr>
      <w:r>
        <w:rPr>
          <w:rFonts w:ascii="Cambria" w:hAnsi="Cambria"/>
          <w:b w:val="0"/>
          <w:i w:val="0"/>
          <w:sz w:val="22"/>
        </w:rPr>
        <w:t xml:space="preserve">3. </w:t>
      </w:r>
      <w:r>
        <w:rPr>
          <w:rFonts w:ascii="Cambria" w:hAnsi="Cambria"/>
          <w:b w:val="0"/>
          <w:i w:val="0"/>
          <w:sz w:val="22"/>
        </w:rPr>
        <w:t>Library Committee Meeting Minutes with Approval Records</w:t>
      </w:r>
    </w:p>
    <w:p>
      <w:pPr>
        <w:pStyle w:val="ListBullet2"/>
        <w:spacing w:after="80"/>
        <w:jc w:val="both"/>
      </w:pPr>
      <w:r>
        <w:rPr>
          <w:rFonts w:ascii="Cambria" w:hAnsi="Cambria"/>
          <w:b w:val="0"/>
          <w:i w:val="0"/>
          <w:sz w:val="22"/>
        </w:rPr>
        <w:t>Official record of discussions and approvals.</w:t>
      </w:r>
    </w:p>
    <w:p>
      <w:pPr>
        <w:pStyle w:val="ListBullet2"/>
        <w:spacing w:after="80"/>
        <w:jc w:val="both"/>
      </w:pPr>
      <w:r>
        <w:rPr>
          <w:rFonts w:ascii="Cambria" w:hAnsi="Cambria"/>
          <w:b w:val="0"/>
          <w:i w:val="0"/>
          <w:sz w:val="22"/>
        </w:rPr>
        <w:t>Shows transparency in decision-making.</w:t>
      </w:r>
    </w:p>
    <w:p>
      <w:pPr>
        <w:spacing w:after="80"/>
        <w:ind w:left="340" w:hanging="340"/>
        <w:jc w:val="both"/>
      </w:pPr>
      <w:r>
        <w:rPr>
          <w:rFonts w:ascii="Cambria" w:hAnsi="Cambria"/>
          <w:b w:val="0"/>
          <w:i w:val="0"/>
          <w:sz w:val="22"/>
        </w:rPr>
        <w:t xml:space="preserve">4. </w:t>
      </w:r>
      <w:r>
        <w:rPr>
          <w:rFonts w:ascii="Cambria" w:hAnsi="Cambria"/>
          <w:b w:val="0"/>
          <w:i w:val="0"/>
          <w:sz w:val="22"/>
        </w:rPr>
        <w:t>Principal/Registrar Approval Letters</w:t>
      </w:r>
    </w:p>
    <w:p>
      <w:pPr>
        <w:pStyle w:val="ListBullet2"/>
        <w:spacing w:after="80"/>
        <w:jc w:val="both"/>
      </w:pPr>
      <w:r>
        <w:rPr>
          <w:rFonts w:ascii="Cambria" w:hAnsi="Cambria"/>
          <w:b w:val="0"/>
          <w:i w:val="0"/>
          <w:sz w:val="22"/>
        </w:rPr>
        <w:t>Administrative sanction for purchase of recommended books.</w:t>
      </w:r>
    </w:p>
    <w:p>
      <w:pPr>
        <w:pStyle w:val="ListBullet2"/>
        <w:spacing w:after="80"/>
        <w:jc w:val="both"/>
      </w:pPr>
      <w:r>
        <w:rPr>
          <w:rFonts w:ascii="Cambria" w:hAnsi="Cambria"/>
          <w:b w:val="0"/>
          <w:i w:val="0"/>
          <w:sz w:val="22"/>
        </w:rPr>
        <w:t>Ensures institutional validation.</w:t>
      </w:r>
    </w:p>
    <w:p>
      <w:pPr>
        <w:spacing w:after="80"/>
        <w:ind w:left="340" w:hanging="340"/>
        <w:jc w:val="both"/>
      </w:pPr>
      <w:r>
        <w:rPr>
          <w:rFonts w:ascii="Cambria" w:hAnsi="Cambria"/>
          <w:b w:val="0"/>
          <w:i w:val="0"/>
          <w:sz w:val="22"/>
        </w:rPr>
        <w:t xml:space="preserve">5. </w:t>
      </w:r>
      <w:r>
        <w:rPr>
          <w:rFonts w:ascii="Cambria" w:hAnsi="Cambria"/>
          <w:b w:val="0"/>
          <w:i w:val="0"/>
          <w:sz w:val="22"/>
        </w:rPr>
        <w:t>Purchase Orders &amp; Invoices for Books</w:t>
      </w:r>
    </w:p>
    <w:p>
      <w:pPr>
        <w:pStyle w:val="ListBullet2"/>
        <w:spacing w:after="80"/>
        <w:jc w:val="both"/>
      </w:pPr>
      <w:r>
        <w:rPr>
          <w:rFonts w:ascii="Cambria" w:hAnsi="Cambria"/>
          <w:b w:val="0"/>
          <w:i w:val="0"/>
          <w:sz w:val="22"/>
        </w:rPr>
        <w:t>Proof of procurement.</w:t>
      </w:r>
    </w:p>
    <w:p>
      <w:pPr>
        <w:pStyle w:val="ListBullet2"/>
        <w:spacing w:after="80"/>
        <w:jc w:val="both"/>
      </w:pPr>
      <w:r>
        <w:rPr>
          <w:rFonts w:ascii="Cambria" w:hAnsi="Cambria"/>
          <w:b w:val="0"/>
          <w:i w:val="0"/>
          <w:sz w:val="22"/>
        </w:rPr>
        <w:t>Demonstrates proper use of budget allocation.</w:t>
      </w:r>
    </w:p>
    <w:p>
      <w:pPr>
        <w:spacing w:after="80"/>
        <w:ind w:left="340" w:hanging="340"/>
        <w:jc w:val="both"/>
      </w:pPr>
      <w:r>
        <w:rPr>
          <w:rFonts w:ascii="Cambria" w:hAnsi="Cambria"/>
          <w:b w:val="0"/>
          <w:i w:val="0"/>
          <w:sz w:val="22"/>
        </w:rPr>
        <w:t xml:space="preserve">6. </w:t>
      </w:r>
      <w:r>
        <w:rPr>
          <w:rFonts w:ascii="Cambria" w:hAnsi="Cambria"/>
          <w:b w:val="0"/>
          <w:i w:val="0"/>
          <w:sz w:val="22"/>
        </w:rPr>
        <w:t>Accession Register Entries (Proof of Addition to Library Stock)</w:t>
      </w:r>
    </w:p>
    <w:p>
      <w:pPr>
        <w:pStyle w:val="ListBullet2"/>
        <w:spacing w:after="80"/>
        <w:jc w:val="both"/>
      </w:pPr>
      <w:r>
        <w:rPr>
          <w:rFonts w:ascii="Cambria" w:hAnsi="Cambria"/>
          <w:b w:val="0"/>
          <w:i w:val="0"/>
          <w:sz w:val="22"/>
        </w:rPr>
        <w:t>Record of new books integrated into library holdings.</w:t>
      </w:r>
    </w:p>
    <w:p>
      <w:pPr>
        <w:pStyle w:val="ListBullet2"/>
        <w:spacing w:after="80"/>
        <w:jc w:val="both"/>
      </w:pPr>
      <w:r>
        <w:rPr>
          <w:rFonts w:ascii="Cambria" w:hAnsi="Cambria"/>
          <w:b w:val="0"/>
          <w:i w:val="0"/>
          <w:sz w:val="22"/>
        </w:rPr>
        <w:t>Provides traceability of physical resources.</w:t>
      </w:r>
    </w:p>
    <w:p>
      <w:pPr>
        <w:spacing w:after="80"/>
        <w:ind w:left="340" w:hanging="340"/>
        <w:jc w:val="both"/>
      </w:pPr>
      <w:r>
        <w:rPr>
          <w:rFonts w:ascii="Cambria" w:hAnsi="Cambria"/>
          <w:b w:val="0"/>
          <w:i w:val="0"/>
          <w:sz w:val="22"/>
        </w:rPr>
        <w:t xml:space="preserve">7. </w:t>
      </w:r>
      <w:r>
        <w:rPr>
          <w:rFonts w:ascii="Cambria" w:hAnsi="Cambria"/>
          <w:b w:val="0"/>
          <w:i w:val="0"/>
          <w:sz w:val="22"/>
        </w:rPr>
        <w:t>Feedback Reports on Adequacy of New Books</w:t>
      </w:r>
    </w:p>
    <w:p>
      <w:pPr>
        <w:pStyle w:val="ListBullet2"/>
        <w:spacing w:after="80"/>
        <w:jc w:val="both"/>
      </w:pPr>
      <w:r>
        <w:rPr>
          <w:rFonts w:ascii="Cambria" w:hAnsi="Cambria"/>
          <w:b w:val="0"/>
          <w:i w:val="0"/>
          <w:sz w:val="22"/>
        </w:rPr>
        <w:t>Student/faculty satisfaction surveys on book availability and usage.</w:t>
      </w:r>
    </w:p>
    <w:p>
      <w:pPr>
        <w:pStyle w:val="ListBullet2"/>
        <w:spacing w:after="80"/>
        <w:jc w:val="both"/>
      </w:pPr>
      <w:r>
        <w:rPr>
          <w:rFonts w:ascii="Cambria" w:hAnsi="Cambria"/>
          <w:b w:val="0"/>
          <w:i w:val="0"/>
          <w:sz w:val="22"/>
        </w:rPr>
        <w:t>Numeric evidence of effectiveness (e.g., % satisfaction, footfall increase).</w:t>
      </w:r>
    </w:p>
    <w:p>
      <w:pPr>
        <w:keepNext/>
        <w:spacing w:before="280" w:after="160"/>
        <w:jc w:val="left"/>
      </w:pPr>
      <w:r>
        <w:rPr>
          <w:rFonts w:ascii="Cambria" w:hAnsi="Cambria"/>
          <w:b/>
          <w:i w:val="0"/>
          <w:color w:val="1F3A5F"/>
          <w:sz w:val="26"/>
        </w:rPr>
        <w:t>Tangible Outcomes</w:t>
      </w:r>
    </w:p>
    <w:p>
      <w:pPr>
        <w:pStyle w:val="ListBullet"/>
        <w:spacing w:after="80"/>
        <w:jc w:val="both"/>
      </w:pPr>
      <w:r>
        <w:rPr>
          <w:rFonts w:ascii="Cambria" w:hAnsi="Cambria"/>
          <w:b w:val="0"/>
          <w:i w:val="0"/>
          <w:sz w:val="22"/>
        </w:rPr>
        <w:t>220 new titles procured in 2023–24 across division and related disciplines.</w:t>
      </w:r>
    </w:p>
    <w:p>
      <w:pPr>
        <w:pStyle w:val="ListBullet"/>
        <w:spacing w:after="80"/>
        <w:jc w:val="both"/>
      </w:pPr>
      <w:r>
        <w:rPr>
          <w:rFonts w:ascii="Cambria" w:hAnsi="Cambria"/>
          <w:b w:val="0"/>
          <w:i w:val="0"/>
          <w:sz w:val="22"/>
        </w:rPr>
        <w:t>100% curriculum courses mapped with at least 1 textbook + 1 reference book.</w:t>
      </w:r>
    </w:p>
    <w:p>
      <w:pPr>
        <w:pStyle w:val="ListBullet"/>
        <w:spacing w:after="80"/>
        <w:jc w:val="both"/>
      </w:pPr>
      <w:r>
        <w:rPr>
          <w:rFonts w:ascii="Cambria" w:hAnsi="Cambria"/>
          <w:b w:val="0"/>
          <w:i w:val="0"/>
          <w:sz w:val="22"/>
        </w:rPr>
        <w:t>Student satisfaction with library books ↑ from 3.8 → 4.5/5.</w:t>
      </w:r>
    </w:p>
    <w:p>
      <w:pPr>
        <w:pStyle w:val="ListBullet"/>
        <w:spacing w:after="80"/>
        <w:jc w:val="both"/>
      </w:pPr>
      <w:r>
        <w:rPr>
          <w:rFonts w:ascii="Cambria" w:hAnsi="Cambria"/>
          <w:b w:val="0"/>
          <w:i w:val="0"/>
          <w:sz w:val="22"/>
        </w:rPr>
        <w:t>Library usage (footfall &amp; book issues) ↑ 25% YoY.</w:t>
      </w:r>
    </w:p>
    <w:p>
      <w:pPr>
        <w:pStyle w:val="ListBullet"/>
        <w:spacing w:after="80"/>
        <w:jc w:val="both"/>
      </w:pPr>
      <w:r>
        <w:rPr>
          <w:rFonts w:ascii="Cambria" w:hAnsi="Cambria"/>
          <w:b w:val="0"/>
          <w:i w:val="0"/>
          <w:sz w:val="22"/>
        </w:rPr>
        <w:t>90% of projects cited references from newly procured books.</w:t>
      </w:r>
    </w:p>
    <w:p>
      <w:pPr>
        <w:keepNext/>
        <w:spacing w:before="280" w:after="160"/>
        <w:jc w:val="left"/>
      </w:pPr>
      <w:r>
        <w:rPr>
          <w:rFonts w:ascii="Cambria" w:hAnsi="Cambria"/>
          <w:b/>
          <w:i w:val="0"/>
          <w:color w:val="1F3A5F"/>
          <w:sz w:val="26"/>
        </w:rPr>
        <w:t>How It Demonstrates Systematic Governance</w:t>
      </w:r>
    </w:p>
    <w:p>
      <w:pPr>
        <w:spacing w:after="80"/>
        <w:ind w:left="340" w:hanging="340"/>
        <w:jc w:val="both"/>
      </w:pPr>
      <w:r>
        <w:rPr>
          <w:rFonts w:ascii="Cambria" w:hAnsi="Cambria"/>
          <w:b w:val="0"/>
          <w:i w:val="0"/>
          <w:sz w:val="22"/>
        </w:rPr>
        <w:t xml:space="preserve">1. </w:t>
      </w:r>
      <w:r>
        <w:rPr>
          <w:rFonts w:ascii="Cambria" w:hAnsi="Cambria"/>
          <w:b w:val="0"/>
          <w:i w:val="0"/>
          <w:sz w:val="22"/>
        </w:rPr>
        <w:t>Requirement Collection</w:t>
      </w:r>
    </w:p>
    <w:p>
      <w:pPr>
        <w:pStyle w:val="ListBullet2"/>
        <w:spacing w:after="80"/>
        <w:jc w:val="both"/>
      </w:pPr>
      <w:r>
        <w:rPr>
          <w:rFonts w:ascii="Cambria" w:hAnsi="Cambria"/>
          <w:b w:val="0"/>
          <w:i w:val="0"/>
          <w:sz w:val="22"/>
        </w:rPr>
        <w:t>Faculty/students submit book requirement forms.</w:t>
      </w:r>
    </w:p>
    <w:p>
      <w:pPr>
        <w:pStyle w:val="ListBullet2"/>
        <w:spacing w:after="80"/>
        <w:jc w:val="both"/>
      </w:pPr>
      <w:r>
        <w:rPr>
          <w:rFonts w:ascii="Cambria" w:hAnsi="Cambria"/>
          <w:b w:val="0"/>
          <w:i w:val="0"/>
          <w:sz w:val="22"/>
        </w:rPr>
        <w:t>Ensures resource planning is based on actual academic needs, not arbitrary decisions.</w:t>
      </w:r>
    </w:p>
    <w:p>
      <w:pPr>
        <w:spacing w:after="80"/>
        <w:ind w:left="340" w:hanging="340"/>
        <w:jc w:val="both"/>
      </w:pPr>
      <w:r>
        <w:rPr>
          <w:rFonts w:ascii="Cambria" w:hAnsi="Cambria"/>
          <w:b w:val="0"/>
          <w:i w:val="0"/>
          <w:sz w:val="22"/>
        </w:rPr>
        <w:t xml:space="preserve">2. </w:t>
      </w:r>
      <w:r>
        <w:rPr>
          <w:rFonts w:ascii="Cambria" w:hAnsi="Cambria"/>
          <w:b w:val="0"/>
          <w:i w:val="0"/>
          <w:sz w:val="22"/>
        </w:rPr>
        <w:t>Consolidated Recommendations</w:t>
      </w:r>
    </w:p>
    <w:p>
      <w:pPr>
        <w:pStyle w:val="ListBullet2"/>
        <w:spacing w:after="80"/>
        <w:jc w:val="both"/>
      </w:pPr>
      <w:r>
        <w:rPr>
          <w:rFonts w:ascii="Cambria" w:hAnsi="Cambria"/>
          <w:b w:val="0"/>
          <w:i w:val="0"/>
          <w:sz w:val="22"/>
        </w:rPr>
        <w:t>HoD prepares a comprehensive list (title, author, edition, ISBN, mapped subject).</w:t>
      </w:r>
    </w:p>
    <w:p>
      <w:pPr>
        <w:pStyle w:val="ListBullet2"/>
        <w:spacing w:after="80"/>
        <w:jc w:val="both"/>
      </w:pPr>
      <w:r>
        <w:rPr>
          <w:rFonts w:ascii="Cambria" w:hAnsi="Cambria"/>
          <w:b w:val="0"/>
          <w:i w:val="0"/>
          <w:sz w:val="22"/>
        </w:rPr>
        <w:t>Aligns resources to curriculum + CO–PO–PSO mapping.</w:t>
      </w:r>
    </w:p>
    <w:p>
      <w:pPr>
        <w:spacing w:after="80"/>
        <w:ind w:left="340" w:hanging="340"/>
        <w:jc w:val="both"/>
      </w:pPr>
      <w:r>
        <w:rPr>
          <w:rFonts w:ascii="Cambria" w:hAnsi="Cambria"/>
          <w:b w:val="0"/>
          <w:i w:val="0"/>
          <w:sz w:val="22"/>
        </w:rPr>
        <w:t xml:space="preserve">3. </w:t>
      </w:r>
      <w:r>
        <w:rPr>
          <w:rFonts w:ascii="Cambria" w:hAnsi="Cambria"/>
          <w:b w:val="0"/>
          <w:i w:val="0"/>
          <w:sz w:val="22"/>
        </w:rPr>
        <w:t>Committee Review &amp; Approval</w:t>
      </w:r>
    </w:p>
    <w:p>
      <w:pPr>
        <w:pStyle w:val="ListBullet2"/>
        <w:spacing w:after="80"/>
        <w:jc w:val="both"/>
      </w:pPr>
      <w:r>
        <w:rPr>
          <w:rFonts w:ascii="Cambria" w:hAnsi="Cambria"/>
          <w:b w:val="0"/>
          <w:i w:val="0"/>
          <w:sz w:val="22"/>
        </w:rPr>
        <w:t>Recommendations discussed in Library Committee meetings.</w:t>
      </w:r>
    </w:p>
    <w:p>
      <w:pPr>
        <w:pStyle w:val="ListBullet2"/>
        <w:spacing w:after="80"/>
        <w:jc w:val="both"/>
      </w:pPr>
      <w:r>
        <w:rPr>
          <w:rFonts w:ascii="Cambria" w:hAnsi="Cambria"/>
          <w:b w:val="0"/>
          <w:i w:val="0"/>
          <w:sz w:val="22"/>
        </w:rPr>
        <w:t>Decisions recorded in minutes + approval letters from Principal/Registrar.</w:t>
      </w:r>
    </w:p>
    <w:p>
      <w:pPr>
        <w:spacing w:after="80"/>
        <w:ind w:left="340" w:hanging="340"/>
        <w:jc w:val="both"/>
      </w:pPr>
      <w:r>
        <w:rPr>
          <w:rFonts w:ascii="Cambria" w:hAnsi="Cambria"/>
          <w:b w:val="0"/>
          <w:i w:val="0"/>
          <w:sz w:val="22"/>
        </w:rPr>
        <w:t xml:space="preserve">4. </w:t>
      </w:r>
      <w:r>
        <w:rPr>
          <w:rFonts w:ascii="Cambria" w:hAnsi="Cambria"/>
          <w:b w:val="0"/>
          <w:i w:val="0"/>
          <w:sz w:val="22"/>
        </w:rPr>
        <w:t>Procurement &amp; Integration</w:t>
      </w:r>
    </w:p>
    <w:p>
      <w:pPr>
        <w:pStyle w:val="ListBullet2"/>
        <w:spacing w:after="80"/>
        <w:jc w:val="both"/>
      </w:pPr>
      <w:r>
        <w:rPr>
          <w:rFonts w:ascii="Cambria" w:hAnsi="Cambria"/>
          <w:b w:val="0"/>
          <w:i w:val="0"/>
          <w:sz w:val="22"/>
        </w:rPr>
        <w:t>Purchase orders &amp; invoices serve as financial proof.</w:t>
      </w:r>
    </w:p>
    <w:p>
      <w:pPr>
        <w:pStyle w:val="ListBullet2"/>
        <w:spacing w:after="80"/>
        <w:jc w:val="both"/>
      </w:pPr>
      <w:r>
        <w:rPr>
          <w:rFonts w:ascii="Cambria" w:hAnsi="Cambria"/>
          <w:b w:val="0"/>
          <w:i w:val="0"/>
          <w:sz w:val="22"/>
        </w:rPr>
        <w:t>Accession register entries confirm integration into library stock.</w:t>
      </w:r>
    </w:p>
    <w:p>
      <w:pPr>
        <w:spacing w:after="80"/>
        <w:ind w:left="340" w:hanging="340"/>
        <w:jc w:val="both"/>
      </w:pPr>
      <w:r>
        <w:rPr>
          <w:rFonts w:ascii="Cambria" w:hAnsi="Cambria"/>
          <w:b w:val="0"/>
          <w:i w:val="0"/>
          <w:sz w:val="22"/>
        </w:rPr>
        <w:t xml:space="preserve">5. </w:t>
      </w:r>
      <w:r>
        <w:rPr>
          <w:rFonts w:ascii="Cambria" w:hAnsi="Cambria"/>
          <w:b w:val="0"/>
          <w:i w:val="0"/>
          <w:sz w:val="22"/>
        </w:rPr>
        <w:t>Monitoring &amp; Feedback</w:t>
      </w:r>
    </w:p>
    <w:p>
      <w:pPr>
        <w:pStyle w:val="ListBullet2"/>
        <w:spacing w:after="80"/>
        <w:jc w:val="both"/>
      </w:pPr>
      <w:r>
        <w:rPr>
          <w:rFonts w:ascii="Cambria" w:hAnsi="Cambria"/>
          <w:b w:val="0"/>
          <w:i w:val="0"/>
          <w:sz w:val="22"/>
        </w:rPr>
        <w:t>Student/faculty feedback collected on adequacy of new books.</w:t>
      </w:r>
    </w:p>
    <w:p>
      <w:pPr>
        <w:pStyle w:val="ListBullet2"/>
        <w:spacing w:after="80"/>
        <w:jc w:val="both"/>
      </w:pPr>
      <w:r>
        <w:rPr>
          <w:rFonts w:ascii="Cambria" w:hAnsi="Cambria"/>
          <w:b w:val="0"/>
          <w:i w:val="0"/>
          <w:sz w:val="22"/>
        </w:rPr>
        <w:t>Provides a continuous improvement loop for resource planning.</w:t>
      </w:r>
    </w:p>
    <w:p>
      <w:pPr>
        <w:keepNext/>
        <w:spacing w:before="280" w:after="160"/>
        <w:jc w:val="left"/>
      </w:pPr>
      <w:r>
        <w:rPr>
          <w:rFonts w:ascii="Cambria" w:hAnsi="Cambria"/>
          <w:b/>
          <w:i w:val="0"/>
          <w:color w:val="1F3A5F"/>
          <w:sz w:val="26"/>
        </w:rPr>
        <w:t>Tangible Outcomes (II)</w:t>
      </w:r>
    </w:p>
    <w:p>
      <w:pPr>
        <w:pStyle w:val="ListBullet"/>
        <w:spacing w:after="80"/>
        <w:jc w:val="both"/>
      </w:pPr>
      <w:r>
        <w:rPr>
          <w:rFonts w:ascii="Cambria" w:hAnsi="Cambria"/>
          <w:b w:val="0"/>
          <w:i w:val="0"/>
          <w:sz w:val="22"/>
        </w:rPr>
        <w:t>220 new titles procured in 2023–24.</w:t>
      </w:r>
    </w:p>
    <w:p>
      <w:pPr>
        <w:pStyle w:val="ListBullet"/>
        <w:spacing w:after="80"/>
        <w:jc w:val="both"/>
      </w:pPr>
      <w:r>
        <w:rPr>
          <w:rFonts w:ascii="Cambria" w:hAnsi="Cambria"/>
          <w:b w:val="0"/>
          <w:i w:val="0"/>
          <w:sz w:val="22"/>
        </w:rPr>
        <w:t>100% curriculum courses mapped with textbooks and references.</w:t>
      </w:r>
    </w:p>
    <w:p>
      <w:pPr>
        <w:pStyle w:val="ListBullet"/>
        <w:spacing w:after="80"/>
        <w:jc w:val="both"/>
      </w:pPr>
      <w:r>
        <w:rPr>
          <w:rFonts w:ascii="Cambria" w:hAnsi="Cambria"/>
          <w:b w:val="0"/>
          <w:i w:val="0"/>
          <w:sz w:val="22"/>
        </w:rPr>
        <w:t>Student satisfaction on book adequacy ↑ from 3.8 → 4.5/5.</w:t>
      </w:r>
    </w:p>
    <w:p>
      <w:pPr>
        <w:pStyle w:val="ListBullet"/>
        <w:spacing w:after="80"/>
        <w:jc w:val="both"/>
      </w:pPr>
      <w:r>
        <w:rPr>
          <w:rFonts w:ascii="Cambria" w:hAnsi="Cambria"/>
          <w:b w:val="0"/>
          <w:i w:val="0"/>
          <w:sz w:val="22"/>
        </w:rPr>
        <w:t>Library footfall ↑ 25% YoY; book issue records ↑ 18%.</w:t>
      </w:r>
    </w:p>
    <w:p>
      <w:pPr>
        <w:pStyle w:val="ListBullet"/>
        <w:spacing w:after="80"/>
        <w:jc w:val="both"/>
      </w:pPr>
      <w:r>
        <w:rPr>
          <w:rFonts w:ascii="Cambria" w:hAnsi="Cambria"/>
          <w:b w:val="0"/>
          <w:i w:val="0"/>
          <w:sz w:val="22"/>
        </w:rPr>
        <w:t>Research projects citing library books ↑ 90%.</w:t>
      </w:r>
    </w:p>
    <w:p>
      <w:pPr>
        <w:keepNext/>
        <w:spacing w:before="280" w:after="160"/>
        <w:jc w:val="left"/>
      </w:pPr>
      <w:r>
        <w:rPr>
          <w:rFonts w:ascii="Cambria" w:hAnsi="Cambria"/>
          <w:b/>
          <w:i w:val="0"/>
          <w:color w:val="1F3A5F"/>
          <w:sz w:val="26"/>
        </w:rPr>
        <w:t>Documented Traceability in Resource Planning</w:t>
      </w:r>
    </w:p>
    <w:p>
      <w:pPr>
        <w:spacing w:after="80"/>
        <w:ind w:left="340" w:hanging="340"/>
        <w:jc w:val="both"/>
      </w:pPr>
      <w:r>
        <w:rPr>
          <w:rFonts w:ascii="Cambria" w:hAnsi="Cambria"/>
          <w:b w:val="0"/>
          <w:i w:val="0"/>
          <w:sz w:val="22"/>
        </w:rPr>
        <w:t xml:space="preserve">1. </w:t>
      </w:r>
      <w:r>
        <w:rPr>
          <w:rFonts w:ascii="Cambria" w:hAnsi="Cambria"/>
          <w:b w:val="0"/>
          <w:i w:val="0"/>
          <w:sz w:val="22"/>
        </w:rPr>
        <w:t>Request (Faculty/Student Requirement Forms)</w:t>
      </w:r>
    </w:p>
    <w:p>
      <w:pPr>
        <w:spacing w:after="120"/>
        <w:jc w:val="both"/>
      </w:pPr>
      <w:r>
        <w:rPr>
          <w:rFonts w:ascii="Cambria" w:hAnsi="Cambria"/>
          <w:b w:val="0"/>
          <w:i w:val="0"/>
          <w:sz w:val="22"/>
        </w:rPr>
        <w:t xml:space="preserve">Faculty submit </w:t>
      </w:r>
      <w:r>
        <w:rPr>
          <w:rFonts w:ascii="Cambria" w:hAnsi="Cambria"/>
          <w:b w:val="0"/>
          <w:i/>
          <w:sz w:val="22"/>
        </w:rPr>
        <w:t>subject-wise book lists</w:t>
      </w:r>
      <w:r>
        <w:rPr>
          <w:rFonts w:ascii="Cambria" w:hAnsi="Cambria"/>
          <w:b w:val="0"/>
          <w:i w:val="0"/>
          <w:sz w:val="22"/>
        </w:rPr>
        <w:t xml:space="preserve"> aligned to syllabus.</w:t>
      </w:r>
    </w:p>
    <w:p>
      <w:pPr>
        <w:pStyle w:val="ListBullet2"/>
        <w:spacing w:after="80"/>
        <w:jc w:val="both"/>
      </w:pPr>
      <w:r>
        <w:rPr>
          <w:rFonts w:ascii="Cambria" w:hAnsi="Cambria"/>
          <w:b w:val="0"/>
          <w:i w:val="0"/>
          <w:sz w:val="22"/>
        </w:rPr>
        <w:t>Students suggest references for projects, competitive exams, electives.</w:t>
      </w:r>
    </w:p>
    <w:p>
      <w:pPr>
        <w:spacing w:after="120"/>
        <w:jc w:val="both"/>
      </w:pPr>
      <w:r>
        <w:rPr>
          <w:rFonts w:ascii="Cambria" w:hAnsi="Cambria"/>
          <w:b w:val="0"/>
          <w:i w:val="0"/>
          <w:sz w:val="22"/>
        </w:rPr>
        <w:t xml:space="preserve"> Evidence: Book Requirement Forms (signed).</w:t>
      </w:r>
    </w:p>
    <w:p>
      <w:pPr>
        <w:spacing w:after="80"/>
        <w:ind w:left="340" w:hanging="340"/>
        <w:jc w:val="both"/>
      </w:pPr>
      <w:r>
        <w:rPr>
          <w:rFonts w:ascii="Cambria" w:hAnsi="Cambria"/>
          <w:b w:val="0"/>
          <w:i w:val="0"/>
          <w:sz w:val="22"/>
        </w:rPr>
        <w:t xml:space="preserve">2. </w:t>
      </w:r>
      <w:r>
        <w:rPr>
          <w:rFonts w:ascii="Cambria" w:hAnsi="Cambria"/>
          <w:b w:val="0"/>
          <w:i w:val="0"/>
          <w:sz w:val="22"/>
        </w:rPr>
        <w:t>HoD Recommendation (Consolidated List)</w:t>
      </w:r>
    </w:p>
    <w:p>
      <w:pPr>
        <w:spacing w:after="120"/>
        <w:jc w:val="both"/>
      </w:pPr>
      <w:r>
        <w:rPr>
          <w:rFonts w:ascii="Cambria" w:hAnsi="Cambria"/>
          <w:b w:val="0"/>
          <w:i w:val="0"/>
          <w:sz w:val="22"/>
        </w:rPr>
        <w:t xml:space="preserve">HoD prepares a single recommendation list with </w:t>
      </w:r>
      <w:r>
        <w:rPr>
          <w:rFonts w:ascii="Cambria" w:hAnsi="Cambria"/>
          <w:b/>
          <w:i w:val="0"/>
          <w:sz w:val="22"/>
        </w:rPr>
        <w:t>title, author, edition, ISBN, mapped subject</w:t>
      </w:r>
      <w:r>
        <w:rPr>
          <w:rFonts w:ascii="Cambria" w:hAnsi="Cambria"/>
          <w:b w:val="0"/>
          <w:i w:val="0"/>
          <w:sz w:val="22"/>
        </w:rPr>
        <w:t>.</w:t>
      </w:r>
    </w:p>
    <w:p>
      <w:pPr>
        <w:pStyle w:val="ListBullet2"/>
        <w:spacing w:after="80"/>
        <w:jc w:val="both"/>
      </w:pPr>
      <w:r>
        <w:rPr>
          <w:rFonts w:ascii="Cambria" w:hAnsi="Cambria"/>
          <w:b w:val="0"/>
          <w:i w:val="0"/>
          <w:sz w:val="22"/>
        </w:rPr>
        <w:t>Ensures curriculum &amp; OBE alignment (CO–PO–PSO mapping).</w:t>
      </w:r>
    </w:p>
    <w:p>
      <w:pPr>
        <w:spacing w:after="120"/>
        <w:jc w:val="both"/>
      </w:pPr>
      <w:r>
        <w:rPr>
          <w:rFonts w:ascii="Cambria" w:hAnsi="Cambria"/>
          <w:b w:val="0"/>
          <w:i w:val="0"/>
          <w:sz w:val="22"/>
        </w:rPr>
        <w:t xml:space="preserve"> Evidence: HoD's Recommendation List.</w:t>
      </w:r>
    </w:p>
    <w:p>
      <w:pPr>
        <w:spacing w:after="80"/>
        <w:ind w:left="340" w:hanging="340"/>
        <w:jc w:val="both"/>
      </w:pPr>
      <w:r>
        <w:rPr>
          <w:rFonts w:ascii="Cambria" w:hAnsi="Cambria"/>
          <w:b w:val="0"/>
          <w:i w:val="0"/>
          <w:sz w:val="22"/>
        </w:rPr>
        <w:t xml:space="preserve">3. </w:t>
      </w:r>
      <w:r>
        <w:rPr>
          <w:rFonts w:ascii="Cambria" w:hAnsi="Cambria"/>
          <w:b w:val="0"/>
          <w:i w:val="0"/>
          <w:sz w:val="22"/>
        </w:rPr>
        <w:t>Committee Approval (Library Committee + Principal/Registrar)</w:t>
      </w:r>
    </w:p>
    <w:p>
      <w:pPr>
        <w:pStyle w:val="ListBullet2"/>
        <w:spacing w:after="80"/>
        <w:jc w:val="both"/>
      </w:pPr>
      <w:r>
        <w:rPr>
          <w:rFonts w:ascii="Cambria" w:hAnsi="Cambria"/>
          <w:b w:val="0"/>
          <w:i w:val="0"/>
          <w:sz w:val="22"/>
        </w:rPr>
        <w:t>Recommendations discussed, vetted, and approved.</w:t>
      </w:r>
    </w:p>
    <w:p>
      <w:pPr>
        <w:spacing w:after="120"/>
        <w:jc w:val="both"/>
      </w:pPr>
      <w:r>
        <w:rPr>
          <w:rFonts w:ascii="Cambria" w:hAnsi="Cambria"/>
          <w:b w:val="0"/>
          <w:i w:val="0"/>
          <w:sz w:val="22"/>
        </w:rPr>
        <w:t xml:space="preserve"> Evidence: Library Committee Meeting Minutes + Approval Letters.</w:t>
      </w:r>
    </w:p>
    <w:p>
      <w:pPr>
        <w:spacing w:after="80"/>
        <w:ind w:left="340" w:hanging="340"/>
        <w:jc w:val="both"/>
      </w:pPr>
      <w:r>
        <w:rPr>
          <w:rFonts w:ascii="Cambria" w:hAnsi="Cambria"/>
          <w:b w:val="0"/>
          <w:i w:val="0"/>
          <w:sz w:val="22"/>
        </w:rPr>
        <w:t xml:space="preserve">4. </w:t>
      </w:r>
      <w:r>
        <w:rPr>
          <w:rFonts w:ascii="Cambria" w:hAnsi="Cambria"/>
          <w:b w:val="0"/>
          <w:i w:val="0"/>
          <w:sz w:val="22"/>
        </w:rPr>
        <w:t>Procurement (Purchase &amp; Accession)</w:t>
      </w:r>
    </w:p>
    <w:p>
      <w:pPr>
        <w:pStyle w:val="ListBullet2"/>
        <w:spacing w:after="80"/>
        <w:jc w:val="both"/>
      </w:pPr>
      <w:r>
        <w:rPr>
          <w:rFonts w:ascii="Cambria" w:hAnsi="Cambria"/>
          <w:b w:val="0"/>
          <w:i w:val="0"/>
          <w:sz w:val="22"/>
        </w:rPr>
        <w:t>Purchase orders raised, invoices processed.</w:t>
      </w:r>
    </w:p>
    <w:p>
      <w:pPr>
        <w:pStyle w:val="ListBullet2"/>
        <w:spacing w:after="80"/>
        <w:jc w:val="both"/>
      </w:pPr>
      <w:r>
        <w:rPr>
          <w:rFonts w:ascii="Cambria" w:hAnsi="Cambria"/>
          <w:b w:val="0"/>
          <w:i w:val="0"/>
          <w:sz w:val="22"/>
        </w:rPr>
        <w:t>Accession register updated with new books/e-resources.</w:t>
      </w:r>
    </w:p>
    <w:p>
      <w:pPr>
        <w:spacing w:after="120"/>
        <w:jc w:val="both"/>
      </w:pPr>
      <w:r>
        <w:rPr>
          <w:rFonts w:ascii="Cambria" w:hAnsi="Cambria"/>
          <w:b w:val="0"/>
          <w:i w:val="0"/>
          <w:sz w:val="22"/>
        </w:rPr>
        <w:t xml:space="preserve"> Evidence: Purchase Orders, Invoices, Accession Register Entries.</w:t>
      </w:r>
    </w:p>
    <w:p>
      <w:pPr>
        <w:spacing w:after="80"/>
        <w:ind w:left="340" w:hanging="340"/>
        <w:jc w:val="both"/>
      </w:pPr>
      <w:r>
        <w:rPr>
          <w:rFonts w:ascii="Cambria" w:hAnsi="Cambria"/>
          <w:b w:val="0"/>
          <w:i w:val="0"/>
          <w:sz w:val="22"/>
        </w:rPr>
        <w:t xml:space="preserve">5. </w:t>
      </w:r>
      <w:r>
        <w:rPr>
          <w:rFonts w:ascii="Cambria" w:hAnsi="Cambria"/>
          <w:b w:val="0"/>
          <w:i w:val="0"/>
          <w:sz w:val="22"/>
        </w:rPr>
        <w:t>Feedback (Students/Faculty)</w:t>
      </w:r>
    </w:p>
    <w:p>
      <w:pPr>
        <w:pStyle w:val="ListBullet2"/>
        <w:spacing w:after="80"/>
        <w:jc w:val="both"/>
      </w:pPr>
      <w:r>
        <w:rPr>
          <w:rFonts w:ascii="Cambria" w:hAnsi="Cambria"/>
          <w:b w:val="0"/>
          <w:i w:val="0"/>
          <w:sz w:val="22"/>
        </w:rPr>
        <w:t>Post-procurement feedback on adequacy and usage.</w:t>
      </w:r>
    </w:p>
    <w:p>
      <w:pPr>
        <w:spacing w:after="120"/>
        <w:jc w:val="both"/>
      </w:pPr>
      <w:r>
        <w:rPr>
          <w:rFonts w:ascii="Cambria" w:hAnsi="Cambria"/>
          <w:b w:val="0"/>
          <w:i w:val="0"/>
          <w:sz w:val="22"/>
        </w:rPr>
        <w:t xml:space="preserve">Numeric evidence → </w:t>
      </w:r>
      <w:r>
        <w:rPr>
          <w:rFonts w:ascii="Cambria" w:hAnsi="Cambria"/>
          <w:b/>
          <w:i w:val="0"/>
          <w:sz w:val="22"/>
        </w:rPr>
        <w:t>satisfaction scores, footfall, circulation data</w:t>
      </w:r>
      <w:r>
        <w:rPr>
          <w:rFonts w:ascii="Cambria" w:hAnsi="Cambria"/>
          <w:b w:val="0"/>
          <w:i w:val="0"/>
          <w:sz w:val="22"/>
        </w:rPr>
        <w:t>.</w:t>
      </w:r>
    </w:p>
    <w:p>
      <w:pPr>
        <w:spacing w:after="120"/>
        <w:jc w:val="both"/>
      </w:pPr>
      <w:r>
        <w:rPr>
          <w:rFonts w:ascii="Cambria" w:hAnsi="Cambria"/>
          <w:b w:val="0"/>
          <w:i w:val="0"/>
          <w:sz w:val="22"/>
        </w:rPr>
        <w:t xml:space="preserve"> Evidence: Feedback Reports, Survey Results.</w:t>
      </w:r>
    </w:p>
    <w:p>
      <w:pPr>
        <w:keepNext/>
        <w:spacing w:before="280" w:after="160"/>
        <w:jc w:val="left"/>
      </w:pPr>
      <w:r>
        <w:rPr>
          <w:rFonts w:ascii="Cambria" w:hAnsi="Cambria"/>
          <w:b/>
          <w:i w:val="0"/>
          <w:color w:val="1F3A5F"/>
          <w:sz w:val="26"/>
        </w:rPr>
        <w:t>Tangible Outcomes (III)</w:t>
      </w:r>
    </w:p>
    <w:p>
      <w:pPr>
        <w:pStyle w:val="ListBullet"/>
        <w:spacing w:after="80"/>
        <w:jc w:val="both"/>
      </w:pPr>
      <w:r>
        <w:rPr>
          <w:rFonts w:ascii="Cambria" w:hAnsi="Cambria"/>
          <w:b w:val="0"/>
          <w:i w:val="0"/>
          <w:sz w:val="22"/>
        </w:rPr>
        <w:t>220 new books procured in 2023–24.</w:t>
      </w:r>
    </w:p>
    <w:p>
      <w:pPr>
        <w:pStyle w:val="ListBullet"/>
        <w:spacing w:after="80"/>
        <w:jc w:val="both"/>
      </w:pPr>
      <w:r>
        <w:rPr>
          <w:rFonts w:ascii="Cambria" w:hAnsi="Cambria"/>
          <w:b w:val="0"/>
          <w:i w:val="0"/>
          <w:sz w:val="22"/>
        </w:rPr>
        <w:t>Journals ↑ from 20 → 32, e-resources ↑ from 5 → 8.</w:t>
      </w:r>
    </w:p>
    <w:p>
      <w:pPr>
        <w:pStyle w:val="ListBullet"/>
        <w:spacing w:after="80"/>
        <w:jc w:val="both"/>
      </w:pPr>
      <w:r>
        <w:rPr>
          <w:rFonts w:ascii="Cambria" w:hAnsi="Cambria"/>
          <w:b w:val="0"/>
          <w:i w:val="0"/>
          <w:sz w:val="22"/>
        </w:rPr>
        <w:t>Student satisfaction on adequacy ↑ from 3.8 → 4.5/5.</w:t>
      </w:r>
    </w:p>
    <w:p>
      <w:pPr>
        <w:pStyle w:val="ListBullet"/>
        <w:spacing w:after="80"/>
        <w:jc w:val="both"/>
      </w:pPr>
      <w:r>
        <w:rPr>
          <w:rFonts w:ascii="Cambria" w:hAnsi="Cambria"/>
          <w:b w:val="0"/>
          <w:i w:val="0"/>
          <w:sz w:val="22"/>
        </w:rPr>
        <w:t>Library usage ↑ 25% YoY; book issue records ↑ 18%.</w:t>
      </w:r>
    </w:p>
    <w:p>
      <w:pPr>
        <w:pStyle w:val="ListBullet"/>
        <w:spacing w:after="80"/>
        <w:jc w:val="both"/>
      </w:pPr>
      <w:r>
        <w:rPr>
          <w:rFonts w:ascii="Cambria" w:hAnsi="Cambria"/>
          <w:b w:val="0"/>
          <w:i w:val="0"/>
          <w:sz w:val="22"/>
        </w:rPr>
        <w:t>92% students reported adequate access to course-mapped resources.</w:t>
      </w:r>
    </w:p>
    <w:p>
      <w:pPr>
        <w:keepNext/>
        <w:spacing w:before="280" w:after="160"/>
        <w:jc w:val="left"/>
      </w:pPr>
      <w:r>
        <w:rPr>
          <w:rFonts w:ascii="Cambria" w:hAnsi="Cambria"/>
          <w:b/>
          <w:i w:val="0"/>
          <w:color w:val="1F3A5F"/>
          <w:sz w:val="26"/>
        </w:rPr>
        <w:t>Why Peer Reviewers Value This</w:t>
      </w:r>
    </w:p>
    <w:p>
      <w:pPr>
        <w:spacing w:after="120"/>
        <w:jc w:val="both"/>
      </w:pPr>
      <w:r>
        <w:rPr>
          <w:rFonts w:ascii="Cambria" w:hAnsi="Cambria"/>
          <w:b w:val="0"/>
          <w:i w:val="0"/>
          <w:sz w:val="22"/>
        </w:rPr>
        <w:t>Traceability → reviewers can follow the exact chain of evidence.</w:t>
      </w:r>
    </w:p>
    <w:p>
      <w:pPr>
        <w:spacing w:after="120"/>
        <w:jc w:val="both"/>
      </w:pPr>
      <w:r>
        <w:rPr>
          <w:rFonts w:ascii="Cambria" w:hAnsi="Cambria"/>
          <w:b w:val="0"/>
          <w:i w:val="0"/>
          <w:sz w:val="22"/>
        </w:rPr>
        <w:t>Transparency → every step documented and signed.</w:t>
      </w:r>
    </w:p>
    <w:p>
      <w:pPr>
        <w:spacing w:after="120"/>
        <w:jc w:val="both"/>
      </w:pPr>
      <w:r>
        <w:rPr>
          <w:rFonts w:ascii="Cambria" w:hAnsi="Cambria"/>
          <w:b w:val="0"/>
          <w:i w:val="0"/>
          <w:sz w:val="22"/>
        </w:rPr>
        <w:t>Audit-Readiness → prevents objections (</w:t>
      </w:r>
      <w:r>
        <w:rPr>
          <w:rFonts w:ascii="Cambria" w:hAnsi="Cambria"/>
          <w:b/>
          <w:i w:val="0"/>
          <w:sz w:val="22"/>
        </w:rPr>
        <w:t>“show us proof of adequacy”</w:t>
      </w:r>
      <w:r>
        <w:rPr>
          <w:rFonts w:ascii="Cambria" w:hAnsi="Cambria"/>
          <w:b w:val="0"/>
          <w:i w:val="0"/>
          <w:sz w:val="22"/>
        </w:rPr>
        <w:t>).</w:t>
      </w:r>
    </w:p>
    <w:p>
      <w:pPr>
        <w:spacing w:after="120"/>
        <w:jc w:val="both"/>
      </w:pPr>
      <w:r>
        <w:rPr>
          <w:rFonts w:ascii="Cambria" w:hAnsi="Cambria"/>
          <w:b w:val="0"/>
          <w:i w:val="0"/>
          <w:sz w:val="22"/>
        </w:rPr>
        <w:t>Continuous Improvement → numeric feedback loops strengthen future planning.</w:t>
      </w:r>
    </w:p>
    <w:p>
      <w:r>
        <w:br w:type="page"/>
      </w:r>
    </w:p>
    <w:p>
      <w:pPr>
        <w:keepNext/>
        <w:spacing w:before="280" w:after="160"/>
        <w:jc w:val="left"/>
      </w:pPr>
      <w:r>
        <w:rPr>
          <w:rFonts w:ascii="Cambria" w:hAnsi="Cambria"/>
          <w:b/>
          <w:i w:val="0"/>
          <w:color w:val="1F3A5F"/>
          <w:sz w:val="30"/>
        </w:rPr>
        <w:t>14. HoD Responsibility Ensures Academic Delivery, Record Maintenance, and Audit-Readiness Across Coursework, Labs, Projects, Thesis, Assignments, and Examinations</w:t>
      </w:r>
    </w:p>
    <w:p>
      <w:pPr>
        <w:keepNext/>
        <w:spacing w:before="280" w:after="160"/>
        <w:jc w:val="left"/>
      </w:pPr>
      <w:r>
        <w:rPr>
          <w:rFonts w:ascii="Cambria" w:hAnsi="Cambria"/>
          <w:b/>
          <w:i w:val="0"/>
          <w:color w:val="1F3A5F"/>
          <w:sz w:val="26"/>
        </w:rPr>
        <w:t>Policy Statement</w:t>
      </w:r>
    </w:p>
    <w:p>
      <w:pPr>
        <w:pStyle w:val="ListBullet"/>
        <w:spacing w:after="80"/>
        <w:jc w:val="both"/>
      </w:pPr>
      <w:r>
        <w:rPr>
          <w:rFonts w:ascii="Cambria" w:hAnsi="Cambria"/>
          <w:b w:val="0"/>
          <w:i w:val="0"/>
          <w:sz w:val="22"/>
        </w:rPr>
        <w:t>The HoD shall ensure that all academic activities (theory, labs, projects, thesis, assignments, and internal exams) are conducted as per the academic calendar, and that faculty maintain complete, verifiable records of delivery, evaluation, and attainment.</w:t>
      </w:r>
    </w:p>
    <w:p>
      <w:pPr>
        <w:keepNext/>
        <w:spacing w:before="280" w:after="160"/>
        <w:jc w:val="left"/>
      </w:pPr>
      <w:r>
        <w:rPr>
          <w:rFonts w:ascii="Cambria" w:hAnsi="Cambria"/>
          <w:b/>
          <w:i w:val="0"/>
          <w:color w:val="1F3A5F"/>
          <w:sz w:val="26"/>
        </w:rPr>
        <w:t>Actions by HoD</w:t>
      </w:r>
    </w:p>
    <w:p>
      <w:pPr>
        <w:pStyle w:val="ListBullet"/>
        <w:spacing w:after="80"/>
        <w:jc w:val="both"/>
      </w:pPr>
      <w:r>
        <w:rPr>
          <w:rFonts w:ascii="Cambria" w:hAnsi="Cambria"/>
          <w:b w:val="0"/>
          <w:i w:val="0"/>
          <w:sz w:val="22"/>
        </w:rPr>
        <w:t>Course Work → Verify faculty course files (syllabus, lesson plan, CO–PO mapping, lecture notes, assessments).</w:t>
      </w:r>
    </w:p>
    <w:p>
      <w:pPr>
        <w:pStyle w:val="ListBullet"/>
        <w:spacing w:after="80"/>
        <w:jc w:val="both"/>
      </w:pPr>
      <w:r>
        <w:rPr>
          <w:rFonts w:ascii="Cambria" w:hAnsi="Cambria"/>
          <w:b w:val="0"/>
          <w:i w:val="0"/>
          <w:sz w:val="22"/>
        </w:rPr>
        <w:t>Laboratory Work → Approve lab schedules, ensure availability of equipment &amp; consumables, review lab manuals and student logbooks.</w:t>
      </w:r>
    </w:p>
    <w:p>
      <w:pPr>
        <w:pStyle w:val="ListBullet"/>
        <w:spacing w:after="80"/>
        <w:jc w:val="both"/>
      </w:pPr>
      <w:r>
        <w:rPr>
          <w:rFonts w:ascii="Cambria" w:hAnsi="Cambria"/>
          <w:b w:val="0"/>
          <w:i w:val="0"/>
          <w:sz w:val="22"/>
        </w:rPr>
        <w:t>Project/Thesis Work → Form project/thesis review committees, track progress, ensure plagiarism checks, and collect final reports.</w:t>
      </w:r>
    </w:p>
    <w:p>
      <w:pPr>
        <w:pStyle w:val="ListBullet"/>
        <w:spacing w:after="80"/>
        <w:jc w:val="both"/>
      </w:pPr>
      <w:r>
        <w:rPr>
          <w:rFonts w:ascii="Cambria" w:hAnsi="Cambria"/>
          <w:b w:val="0"/>
          <w:i w:val="0"/>
          <w:sz w:val="22"/>
        </w:rPr>
        <w:t>Assignments → Mandate timely submission, ensure CO-mapped assessment rubrics, and review sample evaluation records.</w:t>
      </w:r>
    </w:p>
    <w:p>
      <w:pPr>
        <w:pStyle w:val="ListBullet"/>
        <w:spacing w:after="80"/>
        <w:jc w:val="both"/>
      </w:pPr>
      <w:r>
        <w:rPr>
          <w:rFonts w:ascii="Cambria" w:hAnsi="Cambria"/>
          <w:b w:val="0"/>
          <w:i w:val="0"/>
          <w:sz w:val="22"/>
        </w:rPr>
        <w:t>Internal Examinations → Approve exam timetables, ensure question papers follow Bloom's Taxonomy, and oversee evaluation &amp; moderation.</w:t>
      </w:r>
    </w:p>
    <w:p>
      <w:pPr>
        <w:pStyle w:val="ListBullet"/>
        <w:spacing w:after="80"/>
        <w:jc w:val="both"/>
      </w:pPr>
      <w:r>
        <w:rPr>
          <w:rFonts w:ascii="Cambria" w:hAnsi="Cambria"/>
          <w:b w:val="0"/>
          <w:i w:val="0"/>
          <w:sz w:val="22"/>
        </w:rPr>
        <w:t>Record Maintenance → Faculty required to maintain:</w:t>
      </w:r>
    </w:p>
    <w:p>
      <w:pPr>
        <w:pStyle w:val="ListBullet2"/>
        <w:spacing w:after="80"/>
        <w:jc w:val="both"/>
      </w:pPr>
      <w:r>
        <w:rPr>
          <w:rFonts w:ascii="Cambria" w:hAnsi="Cambria"/>
          <w:b w:val="0"/>
          <w:i w:val="0"/>
          <w:sz w:val="22"/>
        </w:rPr>
        <w:t>Course files (CO–PO attainment records, attendance, feedback).</w:t>
      </w:r>
    </w:p>
    <w:p>
      <w:pPr>
        <w:pStyle w:val="ListBullet2"/>
        <w:spacing w:after="80"/>
        <w:jc w:val="both"/>
      </w:pPr>
      <w:r>
        <w:rPr>
          <w:rFonts w:ascii="Cambria" w:hAnsi="Cambria"/>
          <w:b w:val="0"/>
          <w:i w:val="0"/>
          <w:sz w:val="22"/>
        </w:rPr>
        <w:t>Lab records (manuals, logbooks, internal marks).</w:t>
      </w:r>
    </w:p>
    <w:p>
      <w:pPr>
        <w:pStyle w:val="ListBullet2"/>
        <w:spacing w:after="80"/>
        <w:jc w:val="both"/>
      </w:pPr>
      <w:r>
        <w:rPr>
          <w:rFonts w:ascii="Cambria" w:hAnsi="Cambria"/>
          <w:b w:val="0"/>
          <w:i w:val="0"/>
          <w:sz w:val="22"/>
        </w:rPr>
        <w:t>Project/thesis evaluation reports.</w:t>
      </w:r>
    </w:p>
    <w:p>
      <w:pPr>
        <w:pStyle w:val="ListBullet2"/>
        <w:spacing w:after="80"/>
        <w:jc w:val="both"/>
      </w:pPr>
      <w:r>
        <w:rPr>
          <w:rFonts w:ascii="Cambria" w:hAnsi="Cambria"/>
          <w:b w:val="0"/>
          <w:i w:val="0"/>
          <w:sz w:val="22"/>
        </w:rPr>
        <w:t>Internal exam question papers, answer scripts, and mark sheets.</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Course files (lesson plans, CO–PO mapping, attainment sheets).</w:t>
      </w:r>
    </w:p>
    <w:p>
      <w:pPr>
        <w:pStyle w:val="ListBullet"/>
        <w:spacing w:after="80"/>
        <w:jc w:val="both"/>
      </w:pPr>
      <w:r>
        <w:rPr>
          <w:rFonts w:ascii="Cambria" w:hAnsi="Cambria"/>
          <w:b w:val="0"/>
          <w:i w:val="0"/>
          <w:sz w:val="22"/>
        </w:rPr>
        <w:t>Lab manuals, student experiment records, and internal lab evaluation sheets.</w:t>
      </w:r>
    </w:p>
    <w:p>
      <w:pPr>
        <w:pStyle w:val="ListBullet"/>
        <w:spacing w:after="80"/>
        <w:jc w:val="both"/>
      </w:pPr>
      <w:r>
        <w:rPr>
          <w:rFonts w:ascii="Cambria" w:hAnsi="Cambria"/>
          <w:b w:val="0"/>
          <w:i w:val="0"/>
          <w:sz w:val="22"/>
        </w:rPr>
        <w:t>Project/thesis allocation list, review committee minutes, plagiarism reports, evaluation rubrics.</w:t>
      </w:r>
    </w:p>
    <w:p>
      <w:pPr>
        <w:pStyle w:val="ListBullet"/>
        <w:spacing w:after="80"/>
        <w:jc w:val="both"/>
      </w:pPr>
      <w:r>
        <w:rPr>
          <w:rFonts w:ascii="Cambria" w:hAnsi="Cambria"/>
          <w:b w:val="0"/>
          <w:i w:val="0"/>
          <w:sz w:val="22"/>
        </w:rPr>
        <w:t>Assignment schedules, rubrics, evaluated samples.</w:t>
      </w:r>
    </w:p>
    <w:p>
      <w:pPr>
        <w:pStyle w:val="ListBullet"/>
        <w:spacing w:after="80"/>
        <w:jc w:val="both"/>
      </w:pPr>
      <w:r>
        <w:rPr>
          <w:rFonts w:ascii="Cambria" w:hAnsi="Cambria"/>
          <w:b w:val="0"/>
          <w:i w:val="0"/>
          <w:sz w:val="22"/>
        </w:rPr>
        <w:t>Internal exam timetables, question papers, answer scripts, mark sheets, moderation reports.</w:t>
      </w:r>
    </w:p>
    <w:p>
      <w:pPr>
        <w:pStyle w:val="ListBullet"/>
        <w:spacing w:after="80"/>
        <w:jc w:val="both"/>
      </w:pPr>
      <w:r>
        <w:rPr>
          <w:rFonts w:ascii="Cambria" w:hAnsi="Cambria"/>
          <w:b w:val="0"/>
          <w:i w:val="0"/>
          <w:sz w:val="22"/>
        </w:rPr>
        <w:t>Attendance registers (theory, labs, projects).</w:t>
      </w:r>
    </w:p>
    <w:p>
      <w:pPr>
        <w:pStyle w:val="ListBullet"/>
        <w:spacing w:after="80"/>
        <w:jc w:val="both"/>
      </w:pPr>
      <w:r>
        <w:rPr>
          <w:rFonts w:ascii="Cambria" w:hAnsi="Cambria"/>
          <w:b w:val="0"/>
          <w:i w:val="0"/>
          <w:sz w:val="22"/>
        </w:rPr>
        <w:t>Consolidated attainment reports (per course, per semester).</w:t>
      </w:r>
    </w:p>
    <w:p>
      <w:pPr>
        <w:keepNext/>
        <w:spacing w:before="280" w:after="160"/>
        <w:jc w:val="left"/>
      </w:pPr>
      <w:r>
        <w:rPr>
          <w:rFonts w:ascii="Cambria" w:hAnsi="Cambria"/>
          <w:b/>
          <w:i w:val="0"/>
          <w:color w:val="1F3A5F"/>
          <w:sz w:val="26"/>
        </w:rPr>
        <w:t>OBE Mapping (PO/PSO Links)</w:t>
      </w:r>
    </w:p>
    <w:p>
      <w:pPr>
        <w:pStyle w:val="ListBullet"/>
        <w:spacing w:after="80"/>
        <w:jc w:val="both"/>
      </w:pPr>
      <w:r>
        <w:rPr>
          <w:rFonts w:ascii="Cambria" w:hAnsi="Cambria"/>
          <w:b w:val="0"/>
          <w:i w:val="0"/>
          <w:sz w:val="22"/>
        </w:rPr>
        <w:t>PO1: Knowledge application → coursework, labs.</w:t>
      </w:r>
    </w:p>
    <w:p>
      <w:pPr>
        <w:pStyle w:val="ListBullet"/>
        <w:spacing w:after="80"/>
        <w:jc w:val="both"/>
      </w:pPr>
      <w:r>
        <w:rPr>
          <w:rFonts w:ascii="Cambria" w:hAnsi="Cambria"/>
          <w:b w:val="0"/>
          <w:i w:val="0"/>
          <w:sz w:val="22"/>
        </w:rPr>
        <w:t>PO2: Problem analysis → assignments, projects.</w:t>
      </w:r>
    </w:p>
    <w:p>
      <w:pPr>
        <w:pStyle w:val="ListBullet"/>
        <w:spacing w:after="80"/>
        <w:jc w:val="both"/>
      </w:pPr>
      <w:r>
        <w:rPr>
          <w:rFonts w:ascii="Cambria" w:hAnsi="Cambria"/>
          <w:b w:val="0"/>
          <w:i w:val="0"/>
          <w:sz w:val="22"/>
        </w:rPr>
        <w:t>PO3/PO4: Design &amp; research skills → thesis, projects.</w:t>
      </w:r>
    </w:p>
    <w:p>
      <w:pPr>
        <w:pStyle w:val="ListBullet"/>
        <w:spacing w:after="80"/>
        <w:jc w:val="both"/>
      </w:pPr>
      <w:r>
        <w:rPr>
          <w:rFonts w:ascii="Cambria" w:hAnsi="Cambria"/>
          <w:b w:val="0"/>
          <w:i w:val="0"/>
          <w:sz w:val="22"/>
        </w:rPr>
        <w:t>PO5: Modern tool usage → lab software, project ICT tools.</w:t>
      </w:r>
    </w:p>
    <w:p>
      <w:pPr>
        <w:pStyle w:val="ListBullet"/>
        <w:spacing w:after="80"/>
        <w:jc w:val="both"/>
      </w:pPr>
      <w:r>
        <w:rPr>
          <w:rFonts w:ascii="Cambria" w:hAnsi="Cambria"/>
          <w:b w:val="0"/>
          <w:i w:val="0"/>
          <w:sz w:val="22"/>
        </w:rPr>
        <w:t>PO9/PO10: Teamwork &amp; communication → project reviews, presentations.</w:t>
      </w:r>
    </w:p>
    <w:p>
      <w:pPr>
        <w:pStyle w:val="ListBullet"/>
        <w:spacing w:after="80"/>
        <w:jc w:val="both"/>
      </w:pPr>
      <w:r>
        <w:rPr>
          <w:rFonts w:ascii="Cambria" w:hAnsi="Cambria"/>
          <w:b w:val="0"/>
          <w:i w:val="0"/>
          <w:sz w:val="22"/>
        </w:rPr>
        <w:t>PO12: Lifelong learning → thesis, advanced assignments.</w:t>
      </w:r>
    </w:p>
    <w:p>
      <w:pPr>
        <w:pStyle w:val="ListBullet"/>
        <w:spacing w:after="80"/>
        <w:jc w:val="both"/>
      </w:pPr>
      <w:r>
        <w:rPr>
          <w:rFonts w:ascii="Cambria" w:hAnsi="Cambria"/>
          <w:b w:val="0"/>
          <w:i w:val="0"/>
          <w:sz w:val="22"/>
        </w:rPr>
        <w:t>PSO1/PSO2: Program-specific depth &amp; research readiness.</w:t>
      </w:r>
    </w:p>
    <w:p>
      <w:pPr>
        <w:keepNext/>
        <w:spacing w:before="280" w:after="160"/>
        <w:jc w:val="left"/>
      </w:pPr>
      <w:r>
        <w:rPr>
          <w:rFonts w:ascii="Cambria" w:hAnsi="Cambria"/>
          <w:b/>
          <w:i w:val="0"/>
          <w:color w:val="1F3A5F"/>
          <w:sz w:val="26"/>
        </w:rPr>
        <w:t>Tangible &amp; Numeric Outcomes</w:t>
      </w:r>
    </w:p>
    <w:p>
      <w:pPr>
        <w:pStyle w:val="ListBullet"/>
        <w:spacing w:after="80"/>
        <w:jc w:val="both"/>
      </w:pPr>
      <w:r>
        <w:rPr>
          <w:rFonts w:ascii="Cambria" w:hAnsi="Cambria"/>
          <w:b w:val="0"/>
          <w:i w:val="0"/>
          <w:sz w:val="22"/>
        </w:rPr>
        <w:t>100% courses had CO–PO–PSO mapped course files.</w:t>
      </w:r>
    </w:p>
    <w:p>
      <w:pPr>
        <w:pStyle w:val="ListBullet"/>
        <w:spacing w:after="80"/>
        <w:jc w:val="both"/>
      </w:pPr>
      <w:r>
        <w:rPr>
          <w:rFonts w:ascii="Cambria" w:hAnsi="Cambria"/>
          <w:b w:val="0"/>
          <w:i w:val="0"/>
          <w:sz w:val="22"/>
        </w:rPr>
        <w:t>Internal examination compliance: 100% exams conducted as per calendar.</w:t>
      </w:r>
    </w:p>
    <w:p>
      <w:pPr>
        <w:pStyle w:val="ListBullet"/>
        <w:spacing w:after="80"/>
        <w:jc w:val="both"/>
      </w:pPr>
      <w:r>
        <w:rPr>
          <w:rFonts w:ascii="Cambria" w:hAnsi="Cambria"/>
          <w:b w:val="0"/>
          <w:i w:val="0"/>
          <w:sz w:val="22"/>
        </w:rPr>
        <w:t>Lab utilization ↑ 20% YoY (with records of consumables/equipment logs).</w:t>
      </w:r>
    </w:p>
    <w:p>
      <w:pPr>
        <w:pStyle w:val="ListBullet"/>
        <w:spacing w:after="80"/>
        <w:jc w:val="both"/>
      </w:pPr>
      <w:r>
        <w:rPr>
          <w:rFonts w:ascii="Cambria" w:hAnsi="Cambria"/>
          <w:b w:val="0"/>
          <w:i w:val="0"/>
          <w:sz w:val="22"/>
        </w:rPr>
        <w:t>Project/thesis completion rate: 98% on-time submission.</w:t>
      </w:r>
    </w:p>
    <w:p>
      <w:pPr>
        <w:pStyle w:val="ListBullet"/>
        <w:spacing w:after="80"/>
        <w:jc w:val="both"/>
      </w:pPr>
      <w:r>
        <w:rPr>
          <w:rFonts w:ascii="Cambria" w:hAnsi="Cambria"/>
          <w:b w:val="0"/>
          <w:i w:val="0"/>
          <w:sz w:val="22"/>
        </w:rPr>
        <w:t>Assignment submission rate: 95%+ students submitted on time.</w:t>
      </w:r>
    </w:p>
    <w:p>
      <w:pPr>
        <w:pStyle w:val="ListBullet"/>
        <w:spacing w:after="80"/>
        <w:jc w:val="both"/>
      </w:pPr>
      <w:r>
        <w:rPr>
          <w:rFonts w:ascii="Cambria" w:hAnsi="Cambria"/>
          <w:b w:val="0"/>
          <w:i w:val="0"/>
          <w:sz w:val="22"/>
        </w:rPr>
        <w:t>Plagiarism-free thesis compliance: &gt;90% reports under acceptable similarity index.</w:t>
      </w:r>
    </w:p>
    <w:p>
      <w:pPr>
        <w:pStyle w:val="ListBullet"/>
        <w:spacing w:after="80"/>
        <w:jc w:val="both"/>
      </w:pPr>
      <w:r>
        <w:rPr>
          <w:rFonts w:ascii="Cambria" w:hAnsi="Cambria"/>
          <w:b w:val="0"/>
          <w:i w:val="0"/>
          <w:sz w:val="22"/>
        </w:rPr>
        <w:t>CO attainment improved by +6% compared to previous year.</w:t>
      </w:r>
    </w:p>
    <w:p>
      <w:pPr>
        <w:keepNext/>
        <w:spacing w:before="280" w:after="160"/>
        <w:jc w:val="left"/>
      </w:pPr>
      <w:r>
        <w:rPr>
          <w:rFonts w:ascii="Cambria" w:hAnsi="Cambria"/>
          <w:b/>
          <w:i w:val="0"/>
          <w:color w:val="1F3A5F"/>
          <w:sz w:val="26"/>
        </w:rPr>
        <w:t>Evidence/Documents for Academic Delivery &amp; Record Maintenance</w:t>
      </w:r>
    </w:p>
    <w:p>
      <w:pPr>
        <w:spacing w:after="80"/>
        <w:ind w:left="340" w:hanging="340"/>
        <w:jc w:val="both"/>
      </w:pPr>
      <w:r>
        <w:rPr>
          <w:rFonts w:ascii="Cambria" w:hAnsi="Cambria"/>
          <w:b w:val="0"/>
          <w:i w:val="0"/>
          <w:sz w:val="22"/>
        </w:rPr>
        <w:t xml:space="preserve">1. </w:t>
      </w:r>
      <w:r>
        <w:rPr>
          <w:rFonts w:ascii="Cambria" w:hAnsi="Cambria"/>
          <w:b w:val="0"/>
          <w:i w:val="0"/>
          <w:sz w:val="22"/>
        </w:rPr>
        <w:t>Course Files (per faculty, per course)</w:t>
      </w:r>
    </w:p>
    <w:p>
      <w:pPr>
        <w:pStyle w:val="ListBullet2"/>
        <w:spacing w:after="80"/>
        <w:jc w:val="both"/>
      </w:pPr>
      <w:r>
        <w:rPr>
          <w:rFonts w:ascii="Cambria" w:hAnsi="Cambria"/>
          <w:b w:val="0"/>
          <w:i w:val="0"/>
          <w:sz w:val="22"/>
        </w:rPr>
        <w:t>Lesson plans with weekly coverage.</w:t>
      </w:r>
    </w:p>
    <w:p>
      <w:pPr>
        <w:pStyle w:val="ListBullet2"/>
        <w:spacing w:after="80"/>
        <w:jc w:val="both"/>
      </w:pPr>
      <w:r>
        <w:rPr>
          <w:rFonts w:ascii="Cambria" w:hAnsi="Cambria"/>
          <w:b w:val="0"/>
          <w:i w:val="0"/>
          <w:sz w:val="22"/>
        </w:rPr>
        <w:t>CO–PO–PSO mapping sheets.</w:t>
      </w:r>
    </w:p>
    <w:p>
      <w:pPr>
        <w:pStyle w:val="ListBullet2"/>
        <w:spacing w:after="80"/>
        <w:jc w:val="both"/>
      </w:pPr>
      <w:r>
        <w:rPr>
          <w:rFonts w:ascii="Cambria" w:hAnsi="Cambria"/>
          <w:b w:val="0"/>
          <w:i w:val="0"/>
          <w:sz w:val="22"/>
        </w:rPr>
        <w:t>CO attainment calculations &amp; analysis.</w:t>
      </w:r>
    </w:p>
    <w:p>
      <w:pPr>
        <w:spacing w:after="80"/>
        <w:ind w:left="340" w:hanging="340"/>
        <w:jc w:val="both"/>
      </w:pPr>
      <w:r>
        <w:rPr>
          <w:rFonts w:ascii="Cambria" w:hAnsi="Cambria"/>
          <w:b w:val="0"/>
          <w:i w:val="0"/>
          <w:sz w:val="22"/>
        </w:rPr>
        <w:t xml:space="preserve">2. </w:t>
      </w:r>
      <w:r>
        <w:rPr>
          <w:rFonts w:ascii="Cambria" w:hAnsi="Cambria"/>
          <w:b w:val="0"/>
          <w:i w:val="0"/>
          <w:sz w:val="22"/>
        </w:rPr>
        <w:t>Laboratory Records</w:t>
      </w:r>
    </w:p>
    <w:p>
      <w:pPr>
        <w:pStyle w:val="ListBullet2"/>
        <w:spacing w:after="80"/>
        <w:jc w:val="both"/>
      </w:pPr>
      <w:r>
        <w:rPr>
          <w:rFonts w:ascii="Cambria" w:hAnsi="Cambria"/>
          <w:b w:val="0"/>
          <w:i w:val="0"/>
          <w:sz w:val="22"/>
        </w:rPr>
        <w:t>Lab manuals (updated annually).</w:t>
      </w:r>
    </w:p>
    <w:p>
      <w:pPr>
        <w:pStyle w:val="ListBullet2"/>
        <w:spacing w:after="80"/>
        <w:jc w:val="both"/>
      </w:pPr>
      <w:r>
        <w:rPr>
          <w:rFonts w:ascii="Cambria" w:hAnsi="Cambria"/>
          <w:b w:val="0"/>
          <w:i w:val="0"/>
          <w:sz w:val="22"/>
        </w:rPr>
        <w:t>Student experiment records/logbooks (signed).</w:t>
      </w:r>
    </w:p>
    <w:p>
      <w:pPr>
        <w:pStyle w:val="ListBullet2"/>
        <w:spacing w:after="80"/>
        <w:jc w:val="both"/>
      </w:pPr>
      <w:r>
        <w:rPr>
          <w:rFonts w:ascii="Cambria" w:hAnsi="Cambria"/>
          <w:b w:val="0"/>
          <w:i w:val="0"/>
          <w:sz w:val="22"/>
        </w:rPr>
        <w:t>Internal lab evaluation sheets with marks.</w:t>
      </w:r>
    </w:p>
    <w:p>
      <w:pPr>
        <w:spacing w:after="80"/>
        <w:ind w:left="340" w:hanging="340"/>
        <w:jc w:val="both"/>
      </w:pPr>
      <w:r>
        <w:rPr>
          <w:rFonts w:ascii="Cambria" w:hAnsi="Cambria"/>
          <w:b w:val="0"/>
          <w:i w:val="0"/>
          <w:sz w:val="22"/>
        </w:rPr>
        <w:t xml:space="preserve">3. </w:t>
      </w:r>
      <w:r>
        <w:rPr>
          <w:rFonts w:ascii="Cambria" w:hAnsi="Cambria"/>
          <w:b w:val="0"/>
          <w:i w:val="0"/>
          <w:sz w:val="22"/>
        </w:rPr>
        <w:t>Project/Thesis Records</w:t>
      </w:r>
    </w:p>
    <w:p>
      <w:pPr>
        <w:pStyle w:val="ListBullet2"/>
        <w:spacing w:after="80"/>
        <w:jc w:val="both"/>
      </w:pPr>
      <w:r>
        <w:rPr>
          <w:rFonts w:ascii="Cambria" w:hAnsi="Cambria"/>
          <w:b w:val="0"/>
          <w:i w:val="0"/>
          <w:sz w:val="22"/>
        </w:rPr>
        <w:t>Allocation list (student–guide mapping).</w:t>
      </w:r>
    </w:p>
    <w:p>
      <w:pPr>
        <w:pStyle w:val="ListBullet2"/>
        <w:spacing w:after="80"/>
        <w:jc w:val="both"/>
      </w:pPr>
      <w:r>
        <w:rPr>
          <w:rFonts w:ascii="Cambria" w:hAnsi="Cambria"/>
          <w:b w:val="0"/>
          <w:i w:val="0"/>
          <w:sz w:val="22"/>
        </w:rPr>
        <w:t>Review committee meeting minutes &amp; evaluation rubrics.</w:t>
      </w:r>
    </w:p>
    <w:p>
      <w:pPr>
        <w:pStyle w:val="ListBullet2"/>
        <w:spacing w:after="80"/>
        <w:jc w:val="both"/>
      </w:pPr>
      <w:r>
        <w:rPr>
          <w:rFonts w:ascii="Cambria" w:hAnsi="Cambria"/>
          <w:b w:val="0"/>
          <w:i w:val="0"/>
          <w:sz w:val="22"/>
        </w:rPr>
        <w:t>Plagiarism reports with similarity index.</w:t>
      </w:r>
    </w:p>
    <w:p>
      <w:pPr>
        <w:pStyle w:val="ListBullet2"/>
        <w:spacing w:after="80"/>
        <w:jc w:val="both"/>
      </w:pPr>
      <w:r>
        <w:rPr>
          <w:rFonts w:ascii="Cambria" w:hAnsi="Cambria"/>
          <w:b w:val="0"/>
          <w:i w:val="0"/>
          <w:sz w:val="22"/>
        </w:rPr>
        <w:t>Final evaluation &amp; viva-voce reports.</w:t>
      </w:r>
    </w:p>
    <w:p>
      <w:pPr>
        <w:spacing w:after="80"/>
        <w:ind w:left="340" w:hanging="340"/>
        <w:jc w:val="both"/>
      </w:pPr>
      <w:r>
        <w:rPr>
          <w:rFonts w:ascii="Cambria" w:hAnsi="Cambria"/>
          <w:b w:val="0"/>
          <w:i w:val="0"/>
          <w:sz w:val="22"/>
        </w:rPr>
        <w:t xml:space="preserve">4. </w:t>
      </w:r>
      <w:r>
        <w:rPr>
          <w:rFonts w:ascii="Cambria" w:hAnsi="Cambria"/>
          <w:b w:val="0"/>
          <w:i w:val="0"/>
          <w:sz w:val="22"/>
        </w:rPr>
        <w:t>Assignments</w:t>
      </w:r>
    </w:p>
    <w:p>
      <w:pPr>
        <w:pStyle w:val="ListBullet2"/>
        <w:spacing w:after="80"/>
        <w:jc w:val="both"/>
      </w:pPr>
      <w:r>
        <w:rPr>
          <w:rFonts w:ascii="Cambria" w:hAnsi="Cambria"/>
          <w:b w:val="0"/>
          <w:i w:val="0"/>
          <w:sz w:val="22"/>
        </w:rPr>
        <w:t>Assignment schedules with deadlines.</w:t>
      </w:r>
    </w:p>
    <w:p>
      <w:pPr>
        <w:pStyle w:val="ListBullet2"/>
        <w:spacing w:after="80"/>
        <w:jc w:val="both"/>
      </w:pPr>
      <w:r>
        <w:rPr>
          <w:rFonts w:ascii="Cambria" w:hAnsi="Cambria"/>
          <w:b w:val="0"/>
          <w:i w:val="0"/>
          <w:sz w:val="22"/>
        </w:rPr>
        <w:t>CO-linked rubrics for evaluation.</w:t>
      </w:r>
    </w:p>
    <w:p>
      <w:pPr>
        <w:pStyle w:val="ListBullet2"/>
        <w:spacing w:after="80"/>
        <w:jc w:val="both"/>
      </w:pPr>
      <w:r>
        <w:rPr>
          <w:rFonts w:ascii="Cambria" w:hAnsi="Cambria"/>
          <w:b w:val="0"/>
          <w:i w:val="0"/>
          <w:sz w:val="22"/>
        </w:rPr>
        <w:t>Sample evaluated assignments (for evidence).</w:t>
      </w:r>
    </w:p>
    <w:p>
      <w:pPr>
        <w:spacing w:after="80"/>
        <w:ind w:left="340" w:hanging="340"/>
        <w:jc w:val="both"/>
      </w:pPr>
      <w:r>
        <w:rPr>
          <w:rFonts w:ascii="Cambria" w:hAnsi="Cambria"/>
          <w:b w:val="0"/>
          <w:i w:val="0"/>
          <w:sz w:val="22"/>
        </w:rPr>
        <w:t xml:space="preserve">5. </w:t>
      </w:r>
      <w:r>
        <w:rPr>
          <w:rFonts w:ascii="Cambria" w:hAnsi="Cambria"/>
          <w:b w:val="0"/>
          <w:i w:val="0"/>
          <w:sz w:val="22"/>
        </w:rPr>
        <w:t>Internal Examinations</w:t>
      </w:r>
    </w:p>
    <w:p>
      <w:pPr>
        <w:pStyle w:val="ListBullet2"/>
        <w:spacing w:after="80"/>
        <w:jc w:val="both"/>
      </w:pPr>
      <w:r>
        <w:rPr>
          <w:rFonts w:ascii="Cambria" w:hAnsi="Cambria"/>
          <w:b w:val="0"/>
          <w:i w:val="0"/>
          <w:sz w:val="22"/>
        </w:rPr>
        <w:t>Exam timetable (approved by HoD).</w:t>
      </w:r>
    </w:p>
    <w:p>
      <w:pPr>
        <w:pStyle w:val="ListBullet2"/>
        <w:spacing w:after="80"/>
        <w:jc w:val="both"/>
      </w:pPr>
      <w:r>
        <w:rPr>
          <w:rFonts w:ascii="Cambria" w:hAnsi="Cambria"/>
          <w:b w:val="0"/>
          <w:i w:val="0"/>
          <w:sz w:val="22"/>
        </w:rPr>
        <w:t>Question papers (mapped to Bloom's Taxonomy levels).</w:t>
      </w:r>
    </w:p>
    <w:p>
      <w:pPr>
        <w:pStyle w:val="ListBullet2"/>
        <w:spacing w:after="80"/>
        <w:jc w:val="both"/>
      </w:pPr>
      <w:r>
        <w:rPr>
          <w:rFonts w:ascii="Cambria" w:hAnsi="Cambria"/>
          <w:b w:val="0"/>
          <w:i w:val="0"/>
          <w:sz w:val="22"/>
        </w:rPr>
        <w:t>Evaluated answer scripts &amp; mark sheets.</w:t>
      </w:r>
    </w:p>
    <w:p>
      <w:pPr>
        <w:pStyle w:val="ListBullet2"/>
        <w:spacing w:after="80"/>
        <w:jc w:val="both"/>
      </w:pPr>
      <w:r>
        <w:rPr>
          <w:rFonts w:ascii="Cambria" w:hAnsi="Cambria"/>
          <w:b w:val="0"/>
          <w:i w:val="0"/>
          <w:sz w:val="22"/>
        </w:rPr>
        <w:t>Moderation reports (where applicable).</w:t>
      </w:r>
    </w:p>
    <w:p>
      <w:pPr>
        <w:spacing w:after="80"/>
        <w:ind w:left="340" w:hanging="340"/>
        <w:jc w:val="both"/>
      </w:pPr>
      <w:r>
        <w:rPr>
          <w:rFonts w:ascii="Cambria" w:hAnsi="Cambria"/>
          <w:b w:val="0"/>
          <w:i w:val="0"/>
          <w:sz w:val="22"/>
        </w:rPr>
        <w:t xml:space="preserve">6. </w:t>
      </w:r>
      <w:r>
        <w:rPr>
          <w:rFonts w:ascii="Cambria" w:hAnsi="Cambria"/>
          <w:b w:val="0"/>
          <w:i w:val="0"/>
          <w:sz w:val="22"/>
        </w:rPr>
        <w:t>Attendance Records</w:t>
      </w:r>
    </w:p>
    <w:p>
      <w:pPr>
        <w:pStyle w:val="ListBullet2"/>
        <w:spacing w:after="80"/>
        <w:jc w:val="both"/>
      </w:pPr>
      <w:r>
        <w:rPr>
          <w:rFonts w:ascii="Cambria" w:hAnsi="Cambria"/>
          <w:b w:val="0"/>
          <w:i w:val="0"/>
          <w:sz w:val="22"/>
        </w:rPr>
        <w:t>Faculty-wise attendance registers (theory, labs, projects).</w:t>
      </w:r>
    </w:p>
    <w:p>
      <w:pPr>
        <w:pStyle w:val="ListBullet2"/>
        <w:spacing w:after="80"/>
        <w:jc w:val="both"/>
      </w:pPr>
      <w:r>
        <w:rPr>
          <w:rFonts w:ascii="Cambria" w:hAnsi="Cambria"/>
          <w:b w:val="0"/>
          <w:i w:val="0"/>
          <w:sz w:val="22"/>
        </w:rPr>
        <w:t>Digital/LMS reports (if applicable).</w:t>
      </w:r>
    </w:p>
    <w:p>
      <w:pPr>
        <w:spacing w:after="80"/>
        <w:ind w:left="340" w:hanging="340"/>
        <w:jc w:val="both"/>
      </w:pPr>
      <w:r>
        <w:rPr>
          <w:rFonts w:ascii="Cambria" w:hAnsi="Cambria"/>
          <w:b w:val="0"/>
          <w:i w:val="0"/>
          <w:sz w:val="22"/>
        </w:rPr>
        <w:t xml:space="preserve">7. </w:t>
      </w:r>
      <w:r>
        <w:rPr>
          <w:rFonts w:ascii="Cambria" w:hAnsi="Cambria"/>
          <w:b w:val="0"/>
          <w:i w:val="0"/>
          <w:sz w:val="22"/>
        </w:rPr>
        <w:t>Consolidated Attainment Reports</w:t>
      </w:r>
    </w:p>
    <w:p>
      <w:pPr>
        <w:pStyle w:val="ListBullet2"/>
        <w:spacing w:after="80"/>
        <w:jc w:val="both"/>
      </w:pPr>
      <w:r>
        <w:rPr>
          <w:rFonts w:ascii="Cambria" w:hAnsi="Cambria"/>
          <w:b w:val="0"/>
          <w:i w:val="0"/>
          <w:sz w:val="22"/>
        </w:rPr>
        <w:t>Course-wise attainment summaries.</w:t>
      </w:r>
    </w:p>
    <w:p>
      <w:pPr>
        <w:pStyle w:val="ListBullet2"/>
        <w:spacing w:after="80"/>
        <w:jc w:val="both"/>
      </w:pPr>
      <w:r>
        <w:rPr>
          <w:rFonts w:ascii="Cambria" w:hAnsi="Cambria"/>
          <w:b w:val="0"/>
          <w:i w:val="0"/>
          <w:sz w:val="22"/>
        </w:rPr>
        <w:t>Department-level consolidated CO–PO attainment reports (per semester).</w:t>
      </w:r>
    </w:p>
    <w:p>
      <w:pPr>
        <w:pStyle w:val="ListBullet2"/>
        <w:spacing w:after="80"/>
        <w:jc w:val="both"/>
      </w:pPr>
      <w:r>
        <w:rPr>
          <w:rFonts w:ascii="Cambria" w:hAnsi="Cambria"/>
          <w:b w:val="0"/>
          <w:i w:val="0"/>
          <w:sz w:val="22"/>
        </w:rPr>
        <w:t>Improvement action plans based on attainment gaps.</w:t>
      </w:r>
    </w:p>
    <w:p>
      <w:pPr>
        <w:keepNext/>
        <w:spacing w:before="280" w:after="160"/>
        <w:jc w:val="left"/>
      </w:pPr>
      <w:r>
        <w:rPr>
          <w:rFonts w:ascii="Cambria" w:hAnsi="Cambria"/>
          <w:b/>
          <w:i w:val="0"/>
          <w:color w:val="1F3A5F"/>
          <w:sz w:val="26"/>
        </w:rPr>
        <w:t>Tangible Outcomes with Evidence</w:t>
      </w:r>
    </w:p>
    <w:p>
      <w:pPr>
        <w:pStyle w:val="ListBullet"/>
        <w:spacing w:after="80"/>
        <w:jc w:val="both"/>
      </w:pPr>
      <w:r>
        <w:rPr>
          <w:rFonts w:ascii="Cambria" w:hAnsi="Cambria"/>
          <w:b w:val="0"/>
          <w:i w:val="0"/>
          <w:sz w:val="22"/>
        </w:rPr>
        <w:t>100% courses had course files with CO–PO–PSO mapping.</w:t>
      </w:r>
    </w:p>
    <w:p>
      <w:pPr>
        <w:pStyle w:val="ListBullet"/>
        <w:spacing w:after="80"/>
        <w:jc w:val="both"/>
      </w:pPr>
      <w:r>
        <w:rPr>
          <w:rFonts w:ascii="Cambria" w:hAnsi="Cambria"/>
          <w:b w:val="0"/>
          <w:i w:val="0"/>
          <w:sz w:val="22"/>
        </w:rPr>
        <w:t>Internal exam compliance: 100% exams conducted as per academic calendar.</w:t>
      </w:r>
    </w:p>
    <w:p>
      <w:pPr>
        <w:pStyle w:val="ListBullet"/>
        <w:spacing w:after="80"/>
        <w:jc w:val="both"/>
      </w:pPr>
      <w:r>
        <w:rPr>
          <w:rFonts w:ascii="Cambria" w:hAnsi="Cambria"/>
          <w:b w:val="0"/>
          <w:i w:val="0"/>
          <w:sz w:val="22"/>
        </w:rPr>
        <w:t>95% assignment submission &amp; evaluation completed on time.</w:t>
      </w:r>
    </w:p>
    <w:p>
      <w:pPr>
        <w:pStyle w:val="ListBullet"/>
        <w:spacing w:after="80"/>
        <w:jc w:val="both"/>
      </w:pPr>
      <w:r>
        <w:rPr>
          <w:rFonts w:ascii="Cambria" w:hAnsi="Cambria"/>
          <w:b w:val="0"/>
          <w:i w:val="0"/>
          <w:sz w:val="22"/>
        </w:rPr>
        <w:t>98% project/thesis submissions completed within deadlines.</w:t>
      </w:r>
    </w:p>
    <w:p>
      <w:pPr>
        <w:pStyle w:val="ListBullet"/>
        <w:spacing w:after="80"/>
        <w:jc w:val="both"/>
      </w:pPr>
      <w:r>
        <w:rPr>
          <w:rFonts w:ascii="Cambria" w:hAnsi="Cambria"/>
          <w:b w:val="0"/>
          <w:i w:val="0"/>
          <w:sz w:val="22"/>
        </w:rPr>
        <w:t>90% theses passed plagiarism checks (within acceptable similarity index).</w:t>
      </w:r>
    </w:p>
    <w:p>
      <w:pPr>
        <w:pStyle w:val="ListBullet"/>
        <w:spacing w:after="80"/>
        <w:jc w:val="both"/>
      </w:pPr>
      <w:r>
        <w:rPr>
          <w:rFonts w:ascii="Cambria" w:hAnsi="Cambria"/>
          <w:b w:val="0"/>
          <w:i w:val="0"/>
          <w:sz w:val="22"/>
        </w:rPr>
        <w:t>Lab utilization and student performance records ↑ 20% YoY.</w:t>
      </w:r>
    </w:p>
    <w:p>
      <w:pPr>
        <w:pStyle w:val="ListBullet"/>
        <w:spacing w:after="80"/>
        <w:jc w:val="both"/>
      </w:pPr>
      <w:r>
        <w:rPr>
          <w:rFonts w:ascii="Cambria" w:hAnsi="Cambria"/>
          <w:b w:val="0"/>
          <w:i w:val="0"/>
          <w:sz w:val="22"/>
        </w:rPr>
        <w:t>Consolidated attainment reports showed +6% improvement in CO attainment compared to previous cycle.</w:t>
      </w:r>
    </w:p>
    <w:p>
      <w:pPr>
        <w:keepNext/>
        <w:spacing w:before="280" w:after="160"/>
        <w:jc w:val="left"/>
      </w:pPr>
      <w:r>
        <w:rPr>
          <w:rFonts w:ascii="Cambria" w:hAnsi="Cambria"/>
          <w:b/>
          <w:i w:val="0"/>
          <w:color w:val="1F3A5F"/>
          <w:sz w:val="26"/>
        </w:rPr>
        <w:t>How Direct Traceability is Ensured</w:t>
      </w:r>
    </w:p>
    <w:p>
      <w:pPr>
        <w:spacing w:after="80"/>
        <w:ind w:left="340" w:hanging="340"/>
        <w:jc w:val="both"/>
      </w:pPr>
      <w:r>
        <w:rPr>
          <w:rFonts w:ascii="Cambria" w:hAnsi="Cambria"/>
          <w:b w:val="0"/>
          <w:i w:val="0"/>
          <w:sz w:val="22"/>
        </w:rPr>
        <w:t xml:space="preserve">1. </w:t>
      </w:r>
      <w:r>
        <w:rPr>
          <w:rFonts w:ascii="Cambria" w:hAnsi="Cambria"/>
          <w:b w:val="0"/>
          <w:i w:val="0"/>
          <w:sz w:val="22"/>
        </w:rPr>
        <w:t>Teaching (Planned &amp; Delivered)</w:t>
      </w:r>
    </w:p>
    <w:p>
      <w:pPr>
        <w:pStyle w:val="ListBullet2"/>
        <w:spacing w:after="80"/>
        <w:jc w:val="both"/>
      </w:pPr>
      <w:r>
        <w:rPr>
          <w:rFonts w:ascii="Cambria" w:hAnsi="Cambria"/>
          <w:b w:val="0"/>
          <w:i w:val="0"/>
          <w:sz w:val="22"/>
        </w:rPr>
        <w:t>Lesson Plans in Course Files → specify topics, weekly coverage, mapped COs.</w:t>
      </w:r>
    </w:p>
    <w:p>
      <w:pPr>
        <w:pStyle w:val="ListBullet2"/>
        <w:spacing w:after="80"/>
        <w:jc w:val="both"/>
      </w:pPr>
      <w:r>
        <w:rPr>
          <w:rFonts w:ascii="Cambria" w:hAnsi="Cambria"/>
          <w:b w:val="0"/>
          <w:i w:val="0"/>
          <w:sz w:val="22"/>
        </w:rPr>
        <w:t>Attendance Registers → confirm actual delivery.</w:t>
      </w:r>
    </w:p>
    <w:p>
      <w:pPr>
        <w:pStyle w:val="ListBullet2"/>
        <w:spacing w:after="80"/>
        <w:jc w:val="both"/>
      </w:pPr>
      <w:r>
        <w:rPr>
          <w:rFonts w:ascii="Cambria" w:hAnsi="Cambria"/>
          <w:b w:val="0"/>
          <w:i w:val="0"/>
          <w:sz w:val="22"/>
        </w:rPr>
        <w:t>Faculty Course Files → maintain teaching materials, lecture notes, and schedules.</w:t>
      </w:r>
    </w:p>
    <w:p>
      <w:pPr>
        <w:pStyle w:val="ListBullet2"/>
        <w:spacing w:after="80"/>
        <w:jc w:val="both"/>
      </w:pPr>
      <w:r>
        <w:rPr>
          <w:rFonts w:ascii="Cambria" w:hAnsi="Cambria"/>
          <w:b w:val="0"/>
          <w:i w:val="0"/>
          <w:sz w:val="22"/>
        </w:rPr>
        <w:t>Evidence: Course files, lesson plans, attendance registers.</w:t>
      </w:r>
    </w:p>
    <w:p>
      <w:pPr>
        <w:spacing w:after="80"/>
        <w:ind w:left="340" w:hanging="340"/>
        <w:jc w:val="both"/>
      </w:pPr>
      <w:r>
        <w:rPr>
          <w:rFonts w:ascii="Cambria" w:hAnsi="Cambria"/>
          <w:b w:val="0"/>
          <w:i w:val="0"/>
          <w:sz w:val="22"/>
        </w:rPr>
        <w:t xml:space="preserve">2. </w:t>
      </w:r>
      <w:r>
        <w:rPr>
          <w:rFonts w:ascii="Cambria" w:hAnsi="Cambria"/>
          <w:b w:val="0"/>
          <w:i w:val="0"/>
          <w:sz w:val="22"/>
        </w:rPr>
        <w:t>Evaluation (Continuous &amp; Summative Assessment)</w:t>
      </w:r>
    </w:p>
    <w:p>
      <w:pPr>
        <w:pStyle w:val="ListBullet2"/>
        <w:spacing w:after="80"/>
        <w:jc w:val="both"/>
      </w:pPr>
      <w:r>
        <w:rPr>
          <w:rFonts w:ascii="Cambria" w:hAnsi="Cambria"/>
          <w:b w:val="0"/>
          <w:i w:val="0"/>
          <w:sz w:val="22"/>
        </w:rPr>
        <w:t>Assignments, internal tests, lab evaluations → mapped to COs.</w:t>
      </w:r>
    </w:p>
    <w:p>
      <w:pPr>
        <w:pStyle w:val="ListBullet2"/>
        <w:spacing w:after="80"/>
        <w:jc w:val="both"/>
      </w:pPr>
      <w:r>
        <w:rPr>
          <w:rFonts w:ascii="Cambria" w:hAnsi="Cambria"/>
          <w:b w:val="0"/>
          <w:i w:val="0"/>
          <w:sz w:val="22"/>
        </w:rPr>
        <w:t>Internal Exams → question papers mapped to Bloom's Taxonomy and COs.</w:t>
      </w:r>
    </w:p>
    <w:p>
      <w:pPr>
        <w:pStyle w:val="ListBullet2"/>
        <w:spacing w:after="80"/>
        <w:jc w:val="both"/>
      </w:pPr>
      <w:r>
        <w:rPr>
          <w:rFonts w:ascii="Cambria" w:hAnsi="Cambria"/>
          <w:b w:val="0"/>
          <w:i w:val="0"/>
          <w:sz w:val="22"/>
        </w:rPr>
        <w:t>Project/Thesis Evaluations → rubrics for problem-solving, innovation, communication skills.</w:t>
      </w:r>
    </w:p>
    <w:p>
      <w:pPr>
        <w:pStyle w:val="ListBullet2"/>
        <w:spacing w:after="80"/>
        <w:jc w:val="both"/>
      </w:pPr>
      <w:r>
        <w:rPr>
          <w:rFonts w:ascii="Cambria" w:hAnsi="Cambria"/>
          <w:b w:val="0"/>
          <w:i w:val="0"/>
          <w:sz w:val="22"/>
        </w:rPr>
        <w:t>Evidence: Assignment rubrics, internal exam scripts, lab evaluation sheets, project review minutes.</w:t>
      </w:r>
    </w:p>
    <w:p>
      <w:pPr>
        <w:spacing w:after="80"/>
        <w:ind w:left="340" w:hanging="340"/>
        <w:jc w:val="both"/>
      </w:pPr>
      <w:r>
        <w:rPr>
          <w:rFonts w:ascii="Cambria" w:hAnsi="Cambria"/>
          <w:b w:val="0"/>
          <w:i w:val="0"/>
          <w:sz w:val="22"/>
        </w:rPr>
        <w:t xml:space="preserve">3. </w:t>
      </w:r>
      <w:r>
        <w:rPr>
          <w:rFonts w:ascii="Cambria" w:hAnsi="Cambria"/>
          <w:b w:val="0"/>
          <w:i w:val="0"/>
          <w:sz w:val="22"/>
        </w:rPr>
        <w:t>Attainment (Outcome Measurement)</w:t>
      </w:r>
    </w:p>
    <w:p>
      <w:pPr>
        <w:pStyle w:val="ListBullet2"/>
        <w:spacing w:after="80"/>
        <w:jc w:val="both"/>
      </w:pPr>
      <w:r>
        <w:rPr>
          <w:rFonts w:ascii="Cambria" w:hAnsi="Cambria"/>
          <w:b w:val="0"/>
          <w:i w:val="0"/>
          <w:sz w:val="22"/>
        </w:rPr>
        <w:t>CO attainment calculated using direct (exam/assignment/project) &amp; indirect (feedback) methods.</w:t>
      </w:r>
    </w:p>
    <w:p>
      <w:pPr>
        <w:pStyle w:val="ListBullet2"/>
        <w:spacing w:after="80"/>
        <w:jc w:val="both"/>
      </w:pPr>
      <w:r>
        <w:rPr>
          <w:rFonts w:ascii="Cambria" w:hAnsi="Cambria"/>
          <w:b w:val="0"/>
          <w:i w:val="0"/>
          <w:sz w:val="22"/>
        </w:rPr>
        <w:t>PO/PSO attainment derived via CO–PO mapping and weighted averages.</w:t>
      </w:r>
    </w:p>
    <w:p>
      <w:pPr>
        <w:pStyle w:val="ListBullet2"/>
        <w:spacing w:after="80"/>
        <w:jc w:val="both"/>
      </w:pPr>
      <w:r>
        <w:rPr>
          <w:rFonts w:ascii="Cambria" w:hAnsi="Cambria"/>
          <w:b w:val="0"/>
          <w:i w:val="0"/>
          <w:sz w:val="22"/>
        </w:rPr>
        <w:t>Consolidated attainment reports prepared at course &amp; program level.</w:t>
      </w:r>
    </w:p>
    <w:p>
      <w:pPr>
        <w:pStyle w:val="ListBullet2"/>
        <w:spacing w:after="80"/>
        <w:jc w:val="both"/>
      </w:pPr>
      <w:r>
        <w:rPr>
          <w:rFonts w:ascii="Cambria" w:hAnsi="Cambria"/>
          <w:b w:val="0"/>
          <w:i w:val="0"/>
          <w:sz w:val="22"/>
        </w:rPr>
        <w:t>Evidence: Attainment sheets, consolidated CO–PO reports, action-taken reports.</w:t>
      </w:r>
    </w:p>
    <w:p>
      <w:pPr>
        <w:keepNext/>
        <w:spacing w:before="280" w:after="160"/>
        <w:jc w:val="left"/>
      </w:pPr>
      <w:r>
        <w:rPr>
          <w:rFonts w:ascii="Cambria" w:hAnsi="Cambria"/>
          <w:b/>
          <w:i w:val="0"/>
          <w:color w:val="1F3A5F"/>
          <w:sz w:val="26"/>
        </w:rPr>
        <w:t>Tangible Outcomes (II)</w:t>
      </w:r>
    </w:p>
    <w:p>
      <w:pPr>
        <w:pStyle w:val="ListBullet"/>
        <w:spacing w:after="80"/>
        <w:jc w:val="both"/>
      </w:pPr>
      <w:r>
        <w:rPr>
          <w:rFonts w:ascii="Cambria" w:hAnsi="Cambria"/>
          <w:b w:val="0"/>
          <w:i w:val="0"/>
          <w:sz w:val="22"/>
        </w:rPr>
        <w:t>100% courses had CO-linked teaching and assessments.</w:t>
      </w:r>
    </w:p>
    <w:p>
      <w:pPr>
        <w:pStyle w:val="ListBullet"/>
        <w:spacing w:after="80"/>
        <w:jc w:val="both"/>
      </w:pPr>
      <w:r>
        <w:rPr>
          <w:rFonts w:ascii="Cambria" w:hAnsi="Cambria"/>
          <w:b w:val="0"/>
          <w:i w:val="0"/>
          <w:sz w:val="22"/>
        </w:rPr>
        <w:t>95%+ assignments and internals mapped to COs.</w:t>
      </w:r>
    </w:p>
    <w:p>
      <w:pPr>
        <w:pStyle w:val="ListBullet"/>
        <w:spacing w:after="80"/>
        <w:jc w:val="both"/>
      </w:pPr>
      <w:r>
        <w:rPr>
          <w:rFonts w:ascii="Cambria" w:hAnsi="Cambria"/>
          <w:b w:val="0"/>
          <w:i w:val="0"/>
          <w:sz w:val="22"/>
        </w:rPr>
        <w:t>98% project/thesis work evaluated with OBE-based rubrics.</w:t>
      </w:r>
    </w:p>
    <w:p>
      <w:pPr>
        <w:pStyle w:val="ListBullet"/>
        <w:spacing w:after="80"/>
        <w:jc w:val="both"/>
      </w:pPr>
      <w:r>
        <w:rPr>
          <w:rFonts w:ascii="Cambria" w:hAnsi="Cambria"/>
          <w:b w:val="0"/>
          <w:i w:val="0"/>
          <w:sz w:val="22"/>
        </w:rPr>
        <w:t>100% attainment reports prepared at course and department levels.</w:t>
      </w:r>
    </w:p>
    <w:p>
      <w:pPr>
        <w:pStyle w:val="ListBullet"/>
        <w:spacing w:after="80"/>
        <w:jc w:val="both"/>
      </w:pPr>
      <w:r>
        <w:rPr>
          <w:rFonts w:ascii="Cambria" w:hAnsi="Cambria"/>
          <w:b w:val="0"/>
          <w:i w:val="0"/>
          <w:sz w:val="22"/>
        </w:rPr>
        <w:t>Continuous improvement → CO attainment improved by +6% YoY.</w:t>
      </w:r>
    </w:p>
    <w:p>
      <w:pPr>
        <w:keepNext/>
        <w:spacing w:before="280" w:after="160"/>
        <w:jc w:val="left"/>
      </w:pPr>
      <w:r>
        <w:rPr>
          <w:rFonts w:ascii="Cambria" w:hAnsi="Cambria"/>
          <w:b/>
          <w:i w:val="0"/>
          <w:color w:val="1F3A5F"/>
          <w:sz w:val="26"/>
        </w:rPr>
        <w:t>How the Academic Audit Trail is Maintained</w:t>
      </w:r>
    </w:p>
    <w:p>
      <w:pPr>
        <w:spacing w:after="80"/>
        <w:ind w:left="340" w:hanging="340"/>
        <w:jc w:val="both"/>
      </w:pPr>
      <w:r>
        <w:rPr>
          <w:rFonts w:ascii="Cambria" w:hAnsi="Cambria"/>
          <w:b w:val="0"/>
          <w:i w:val="0"/>
          <w:sz w:val="22"/>
        </w:rPr>
        <w:t xml:space="preserve">1. </w:t>
      </w:r>
      <w:r>
        <w:rPr>
          <w:rFonts w:ascii="Cambria" w:hAnsi="Cambria"/>
          <w:b w:val="0"/>
          <w:i w:val="0"/>
          <w:sz w:val="22"/>
        </w:rPr>
        <w:t>Teaching Evidence</w:t>
      </w:r>
    </w:p>
    <w:p>
      <w:pPr>
        <w:pStyle w:val="ListBullet2"/>
        <w:spacing w:after="80"/>
        <w:jc w:val="both"/>
      </w:pPr>
      <w:r>
        <w:rPr>
          <w:rFonts w:ascii="Cambria" w:hAnsi="Cambria"/>
          <w:b w:val="0"/>
          <w:i w:val="0"/>
          <w:sz w:val="22"/>
        </w:rPr>
        <w:t>Lesson Plans linked to COs.</w:t>
      </w:r>
    </w:p>
    <w:p>
      <w:pPr>
        <w:pStyle w:val="ListBullet2"/>
        <w:spacing w:after="80"/>
        <w:jc w:val="both"/>
      </w:pPr>
      <w:r>
        <w:rPr>
          <w:rFonts w:ascii="Cambria" w:hAnsi="Cambria"/>
          <w:b w:val="0"/>
          <w:i w:val="0"/>
          <w:sz w:val="22"/>
        </w:rPr>
        <w:t>Course Files (syllabus, teaching materials, lecture notes).</w:t>
      </w:r>
    </w:p>
    <w:p>
      <w:pPr>
        <w:pStyle w:val="ListBullet2"/>
        <w:spacing w:after="80"/>
        <w:jc w:val="both"/>
      </w:pPr>
      <w:r>
        <w:rPr>
          <w:rFonts w:ascii="Cambria" w:hAnsi="Cambria"/>
          <w:b w:val="0"/>
          <w:i w:val="0"/>
          <w:sz w:val="22"/>
        </w:rPr>
        <w:t>Attendance Registers (theory, lab, project).</w:t>
      </w:r>
    </w:p>
    <w:p>
      <w:pPr>
        <w:spacing w:after="120"/>
        <w:jc w:val="both"/>
      </w:pPr>
      <w:r>
        <w:rPr>
          <w:rFonts w:ascii="Cambria" w:hAnsi="Cambria"/>
          <w:b w:val="0"/>
          <w:i w:val="0"/>
          <w:sz w:val="22"/>
        </w:rPr>
        <w:t>→ Proof of Delivery.</w:t>
      </w:r>
    </w:p>
    <w:p>
      <w:pPr>
        <w:spacing w:after="80"/>
        <w:ind w:left="340" w:hanging="340"/>
        <w:jc w:val="both"/>
      </w:pPr>
      <w:r>
        <w:rPr>
          <w:rFonts w:ascii="Cambria" w:hAnsi="Cambria"/>
          <w:b w:val="0"/>
          <w:i w:val="0"/>
          <w:sz w:val="22"/>
        </w:rPr>
        <w:t xml:space="preserve">2. </w:t>
      </w:r>
      <w:r>
        <w:rPr>
          <w:rFonts w:ascii="Cambria" w:hAnsi="Cambria"/>
          <w:b w:val="0"/>
          <w:i w:val="0"/>
          <w:sz w:val="22"/>
        </w:rPr>
        <w:t>Evaluation Evidence</w:t>
      </w:r>
    </w:p>
    <w:p>
      <w:pPr>
        <w:pStyle w:val="ListBullet2"/>
        <w:spacing w:after="80"/>
        <w:jc w:val="both"/>
      </w:pPr>
      <w:r>
        <w:rPr>
          <w:rFonts w:ascii="Cambria" w:hAnsi="Cambria"/>
          <w:b w:val="0"/>
          <w:i w:val="0"/>
          <w:sz w:val="22"/>
        </w:rPr>
        <w:t>Assignments with CO-mapped rubrics.</w:t>
      </w:r>
    </w:p>
    <w:p>
      <w:pPr>
        <w:pStyle w:val="ListBullet2"/>
        <w:spacing w:after="80"/>
        <w:jc w:val="both"/>
      </w:pPr>
      <w:r>
        <w:rPr>
          <w:rFonts w:ascii="Cambria" w:hAnsi="Cambria"/>
          <w:b w:val="0"/>
          <w:i w:val="0"/>
          <w:sz w:val="22"/>
        </w:rPr>
        <w:t>Internal Exam Papers mapped to Bloom's Taxonomy.</w:t>
      </w:r>
    </w:p>
    <w:p>
      <w:pPr>
        <w:pStyle w:val="ListBullet2"/>
        <w:spacing w:after="80"/>
        <w:jc w:val="both"/>
      </w:pPr>
      <w:r>
        <w:rPr>
          <w:rFonts w:ascii="Cambria" w:hAnsi="Cambria"/>
          <w:b w:val="0"/>
          <w:i w:val="0"/>
          <w:sz w:val="22"/>
        </w:rPr>
        <w:t>Lab evaluation sheets, project/thesis rubrics, plagiarism reports.</w:t>
      </w:r>
    </w:p>
    <w:p>
      <w:pPr>
        <w:spacing w:after="120"/>
        <w:jc w:val="both"/>
      </w:pPr>
      <w:r>
        <w:rPr>
          <w:rFonts w:ascii="Cambria" w:hAnsi="Cambria"/>
          <w:b w:val="0"/>
          <w:i w:val="0"/>
          <w:sz w:val="22"/>
        </w:rPr>
        <w:t>→ Proof of Assessment.</w:t>
      </w:r>
    </w:p>
    <w:p>
      <w:pPr>
        <w:spacing w:after="80"/>
        <w:ind w:left="340" w:hanging="340"/>
        <w:jc w:val="both"/>
      </w:pPr>
      <w:r>
        <w:rPr>
          <w:rFonts w:ascii="Cambria" w:hAnsi="Cambria"/>
          <w:b w:val="0"/>
          <w:i w:val="0"/>
          <w:sz w:val="22"/>
        </w:rPr>
        <w:t xml:space="preserve">3. </w:t>
      </w:r>
      <w:r>
        <w:rPr>
          <w:rFonts w:ascii="Cambria" w:hAnsi="Cambria"/>
          <w:b w:val="0"/>
          <w:i w:val="0"/>
          <w:sz w:val="22"/>
        </w:rPr>
        <w:t>Attainment Evidence</w:t>
      </w:r>
    </w:p>
    <w:p>
      <w:pPr>
        <w:pStyle w:val="ListBullet2"/>
        <w:spacing w:after="80"/>
        <w:jc w:val="both"/>
      </w:pPr>
      <w:r>
        <w:rPr>
          <w:rFonts w:ascii="Cambria" w:hAnsi="Cambria"/>
          <w:b w:val="0"/>
          <w:i w:val="0"/>
          <w:sz w:val="22"/>
        </w:rPr>
        <w:t>CO attainment sheets (direct + indirect methods).</w:t>
      </w:r>
    </w:p>
    <w:p>
      <w:pPr>
        <w:pStyle w:val="ListBullet2"/>
        <w:spacing w:after="80"/>
        <w:jc w:val="both"/>
      </w:pPr>
      <w:r>
        <w:rPr>
          <w:rFonts w:ascii="Cambria" w:hAnsi="Cambria"/>
          <w:b w:val="0"/>
          <w:i w:val="0"/>
          <w:sz w:val="22"/>
        </w:rPr>
        <w:t>CO–PO–PSO attainment matrices.</w:t>
      </w:r>
    </w:p>
    <w:p>
      <w:pPr>
        <w:pStyle w:val="ListBullet2"/>
        <w:spacing w:after="80"/>
        <w:jc w:val="both"/>
      </w:pPr>
      <w:r>
        <w:rPr>
          <w:rFonts w:ascii="Cambria" w:hAnsi="Cambria"/>
          <w:b w:val="0"/>
          <w:i w:val="0"/>
          <w:sz w:val="22"/>
        </w:rPr>
        <w:t>Department-level consolidated attainment reports.</w:t>
      </w:r>
    </w:p>
    <w:p>
      <w:pPr>
        <w:pStyle w:val="ListBullet2"/>
        <w:spacing w:after="80"/>
        <w:jc w:val="both"/>
      </w:pPr>
      <w:r>
        <w:rPr>
          <w:rFonts w:ascii="Cambria" w:hAnsi="Cambria"/>
          <w:b w:val="0"/>
          <w:i w:val="0"/>
          <w:sz w:val="22"/>
        </w:rPr>
        <w:t>Action-Taken Reports (ATRs) for gaps identified.</w:t>
      </w:r>
    </w:p>
    <w:p>
      <w:pPr>
        <w:spacing w:after="120"/>
        <w:jc w:val="both"/>
      </w:pPr>
      <w:r>
        <w:rPr>
          <w:rFonts w:ascii="Cambria" w:hAnsi="Cambria"/>
          <w:b w:val="0"/>
          <w:i w:val="0"/>
          <w:sz w:val="22"/>
        </w:rPr>
        <w:t>→ Proof of Learning Outcomes.</w:t>
      </w:r>
    </w:p>
    <w:p>
      <w:pPr>
        <w:keepNext/>
        <w:spacing w:before="280" w:after="160"/>
        <w:jc w:val="left"/>
      </w:pPr>
      <w:r>
        <w:rPr>
          <w:rFonts w:ascii="Cambria" w:hAnsi="Cambria"/>
          <w:b/>
          <w:i w:val="0"/>
          <w:color w:val="1F3A5F"/>
          <w:sz w:val="26"/>
        </w:rPr>
        <w:t>Tangible Outcomes (III)</w:t>
      </w:r>
    </w:p>
    <w:p>
      <w:pPr>
        <w:pStyle w:val="ListBullet"/>
        <w:spacing w:after="80"/>
        <w:jc w:val="both"/>
      </w:pPr>
      <w:r>
        <w:rPr>
          <w:rFonts w:ascii="Cambria" w:hAnsi="Cambria"/>
          <w:b w:val="0"/>
          <w:i w:val="0"/>
          <w:sz w:val="22"/>
        </w:rPr>
        <w:t>100% courses had linked evidence across all three stages.</w:t>
      </w:r>
    </w:p>
    <w:p>
      <w:pPr>
        <w:spacing w:after="120"/>
        <w:jc w:val="both"/>
      </w:pPr>
      <w:r>
        <w:rPr>
          <w:rFonts w:ascii="Cambria" w:hAnsi="Cambria"/>
          <w:b w:val="0"/>
          <w:i w:val="0"/>
          <w:sz w:val="22"/>
        </w:rPr>
        <w:t>Audit trail established: Lesson Plan → Internal Assessment → CO Attainment Report.</w:t>
      </w:r>
    </w:p>
    <w:p>
      <w:pPr>
        <w:pStyle w:val="ListBullet"/>
        <w:spacing w:after="80"/>
        <w:jc w:val="both"/>
      </w:pPr>
      <w:r>
        <w:rPr>
          <w:rFonts w:ascii="Cambria" w:hAnsi="Cambria"/>
          <w:b w:val="0"/>
          <w:i w:val="0"/>
          <w:sz w:val="22"/>
        </w:rPr>
        <w:t>CO attainment ↑ +6% YoY through structured action plans.</w:t>
      </w:r>
    </w:p>
    <w:p>
      <w:pPr>
        <w:pStyle w:val="ListBullet"/>
        <w:spacing w:after="80"/>
        <w:jc w:val="both"/>
      </w:pPr>
      <w:r>
        <w:rPr>
          <w:rFonts w:ascii="Cambria" w:hAnsi="Cambria"/>
          <w:b w:val="0"/>
          <w:i w:val="0"/>
          <w:sz w:val="22"/>
        </w:rPr>
        <w:t>98% project/thesis records complete with evaluation rubrics.</w:t>
      </w:r>
    </w:p>
    <w:p>
      <w:pPr>
        <w:pStyle w:val="ListBullet"/>
        <w:spacing w:after="80"/>
        <w:jc w:val="both"/>
      </w:pPr>
      <w:r>
        <w:rPr>
          <w:rFonts w:ascii="Cambria" w:hAnsi="Cambria"/>
          <w:b w:val="0"/>
          <w:i w:val="0"/>
          <w:sz w:val="22"/>
        </w:rPr>
        <w:t>Peer reviewers can trace student performance from teaching to attainment in one chain.</w:t>
      </w:r>
    </w:p>
    <w:p>
      <w:pPr>
        <w:keepNext/>
        <w:spacing w:before="280" w:after="160"/>
        <w:jc w:val="left"/>
      </w:pPr>
      <w:r>
        <w:rPr>
          <w:rFonts w:ascii="Cambria" w:hAnsi="Cambria"/>
          <w:b/>
          <w:i w:val="0"/>
          <w:color w:val="1F3A5F"/>
          <w:sz w:val="26"/>
        </w:rPr>
        <w:t>The Teaching–Evaluation–Attainment–Action Plan Loop</w:t>
      </w:r>
    </w:p>
    <w:p>
      <w:pPr>
        <w:spacing w:after="80"/>
        <w:ind w:left="340" w:hanging="340"/>
        <w:jc w:val="both"/>
      </w:pPr>
      <w:r>
        <w:rPr>
          <w:rFonts w:ascii="Cambria" w:hAnsi="Cambria"/>
          <w:b w:val="0"/>
          <w:i w:val="0"/>
          <w:sz w:val="22"/>
        </w:rPr>
        <w:t xml:space="preserve">1. </w:t>
      </w:r>
      <w:r>
        <w:rPr>
          <w:rFonts w:ascii="Cambria" w:hAnsi="Cambria"/>
          <w:b w:val="0"/>
          <w:i w:val="0"/>
          <w:sz w:val="22"/>
        </w:rPr>
        <w:t>Teaching (Planned &amp; Delivered)</w:t>
      </w:r>
    </w:p>
    <w:p>
      <w:pPr>
        <w:pStyle w:val="ListBullet2"/>
        <w:spacing w:after="80"/>
        <w:jc w:val="both"/>
      </w:pPr>
      <w:r>
        <w:rPr>
          <w:rFonts w:ascii="Cambria" w:hAnsi="Cambria"/>
          <w:b w:val="0"/>
          <w:i w:val="0"/>
          <w:sz w:val="22"/>
        </w:rPr>
        <w:t>Lesson plans mapped to COs.</w:t>
      </w:r>
    </w:p>
    <w:p>
      <w:pPr>
        <w:pStyle w:val="ListBullet2"/>
        <w:spacing w:after="80"/>
        <w:jc w:val="both"/>
      </w:pPr>
      <w:r>
        <w:rPr>
          <w:rFonts w:ascii="Cambria" w:hAnsi="Cambria"/>
          <w:b w:val="0"/>
          <w:i w:val="0"/>
          <w:sz w:val="22"/>
        </w:rPr>
        <w:t>Faculty course files with lecture notes, teaching diaries.</w:t>
      </w:r>
    </w:p>
    <w:p>
      <w:pPr>
        <w:pStyle w:val="ListBullet2"/>
        <w:spacing w:after="80"/>
        <w:jc w:val="both"/>
      </w:pPr>
      <w:r>
        <w:rPr>
          <w:rFonts w:ascii="Cambria" w:hAnsi="Cambria"/>
          <w:b w:val="0"/>
          <w:i w:val="0"/>
          <w:sz w:val="22"/>
        </w:rPr>
        <w:t>Attendance registers.</w:t>
      </w:r>
    </w:p>
    <w:p>
      <w:pPr>
        <w:pStyle w:val="ListBullet2"/>
        <w:spacing w:after="80"/>
        <w:jc w:val="both"/>
      </w:pPr>
      <w:r>
        <w:rPr>
          <w:rFonts w:ascii="Cambria" w:hAnsi="Cambria"/>
          <w:b w:val="0"/>
          <w:i w:val="0"/>
          <w:sz w:val="22"/>
        </w:rPr>
        <w:t>Evidence: Lesson plans, course files, attendance.</w:t>
      </w:r>
    </w:p>
    <w:p>
      <w:pPr>
        <w:spacing w:after="80"/>
        <w:ind w:left="340" w:hanging="340"/>
        <w:jc w:val="both"/>
      </w:pPr>
      <w:r>
        <w:rPr>
          <w:rFonts w:ascii="Cambria" w:hAnsi="Cambria"/>
          <w:b w:val="0"/>
          <w:i w:val="0"/>
          <w:sz w:val="22"/>
        </w:rPr>
        <w:t xml:space="preserve">2. </w:t>
      </w:r>
      <w:r>
        <w:rPr>
          <w:rFonts w:ascii="Cambria" w:hAnsi="Cambria"/>
          <w:b w:val="0"/>
          <w:i w:val="0"/>
          <w:sz w:val="22"/>
        </w:rPr>
        <w:t>Evaluation (Assessments &amp; Exams)</w:t>
      </w:r>
    </w:p>
    <w:p>
      <w:pPr>
        <w:pStyle w:val="ListBullet2"/>
        <w:spacing w:after="80"/>
        <w:jc w:val="both"/>
      </w:pPr>
      <w:r>
        <w:rPr>
          <w:rFonts w:ascii="Cambria" w:hAnsi="Cambria"/>
          <w:b w:val="0"/>
          <w:i w:val="0"/>
          <w:sz w:val="22"/>
        </w:rPr>
        <w:t>Assignments with CO-linked rubrics.</w:t>
      </w:r>
    </w:p>
    <w:p>
      <w:pPr>
        <w:pStyle w:val="ListBullet2"/>
        <w:spacing w:after="80"/>
        <w:jc w:val="both"/>
      </w:pPr>
      <w:r>
        <w:rPr>
          <w:rFonts w:ascii="Cambria" w:hAnsi="Cambria"/>
          <w:b w:val="0"/>
          <w:i w:val="0"/>
          <w:sz w:val="22"/>
        </w:rPr>
        <w:t>Internal exams mapped to Bloom's Taxonomy.</w:t>
      </w:r>
    </w:p>
    <w:p>
      <w:pPr>
        <w:pStyle w:val="ListBullet2"/>
        <w:spacing w:after="80"/>
        <w:jc w:val="both"/>
      </w:pPr>
      <w:r>
        <w:rPr>
          <w:rFonts w:ascii="Cambria" w:hAnsi="Cambria"/>
          <w:b w:val="0"/>
          <w:i w:val="0"/>
          <w:sz w:val="22"/>
        </w:rPr>
        <w:t>Lab records, project/thesis evaluations.</w:t>
      </w:r>
    </w:p>
    <w:p>
      <w:pPr>
        <w:pStyle w:val="ListBullet2"/>
        <w:spacing w:after="80"/>
        <w:jc w:val="both"/>
      </w:pPr>
      <w:r>
        <w:rPr>
          <w:rFonts w:ascii="Cambria" w:hAnsi="Cambria"/>
          <w:b w:val="0"/>
          <w:i w:val="0"/>
          <w:sz w:val="22"/>
        </w:rPr>
        <w:t>Evidence: Assignment rubrics, exam scripts, lab evaluation sheets.</w:t>
      </w:r>
    </w:p>
    <w:p>
      <w:pPr>
        <w:spacing w:after="80"/>
        <w:ind w:left="340" w:hanging="340"/>
        <w:jc w:val="both"/>
      </w:pPr>
      <w:r>
        <w:rPr>
          <w:rFonts w:ascii="Cambria" w:hAnsi="Cambria"/>
          <w:b w:val="0"/>
          <w:i w:val="0"/>
          <w:sz w:val="22"/>
        </w:rPr>
        <w:t xml:space="preserve">3. </w:t>
      </w:r>
      <w:r>
        <w:rPr>
          <w:rFonts w:ascii="Cambria" w:hAnsi="Cambria"/>
          <w:b w:val="0"/>
          <w:i w:val="0"/>
          <w:sz w:val="22"/>
        </w:rPr>
        <w:t>Attainment (Outcome Measurement)</w:t>
      </w:r>
    </w:p>
    <w:p>
      <w:pPr>
        <w:pStyle w:val="ListBullet2"/>
        <w:spacing w:after="80"/>
        <w:jc w:val="both"/>
      </w:pPr>
      <w:r>
        <w:rPr>
          <w:rFonts w:ascii="Cambria" w:hAnsi="Cambria"/>
          <w:b w:val="0"/>
          <w:i w:val="0"/>
          <w:sz w:val="22"/>
        </w:rPr>
        <w:t>CO attainment calculation → from assignments, labs, exams.</w:t>
      </w:r>
    </w:p>
    <w:p>
      <w:pPr>
        <w:pStyle w:val="ListBullet2"/>
        <w:spacing w:after="80"/>
        <w:jc w:val="both"/>
      </w:pPr>
      <w:r>
        <w:rPr>
          <w:rFonts w:ascii="Cambria" w:hAnsi="Cambria"/>
          <w:b w:val="0"/>
          <w:i w:val="0"/>
          <w:sz w:val="22"/>
        </w:rPr>
        <w:t>PO/PSO attainment via weighted CO–PO mapping.</w:t>
      </w:r>
    </w:p>
    <w:p>
      <w:pPr>
        <w:pStyle w:val="ListBullet2"/>
        <w:spacing w:after="80"/>
        <w:jc w:val="both"/>
      </w:pPr>
      <w:r>
        <w:rPr>
          <w:rFonts w:ascii="Cambria" w:hAnsi="Cambria"/>
          <w:b w:val="0"/>
          <w:i w:val="0"/>
          <w:sz w:val="22"/>
        </w:rPr>
        <w:t>Department-level consolidated reports.</w:t>
      </w:r>
    </w:p>
    <w:p>
      <w:pPr>
        <w:pStyle w:val="ListBullet2"/>
        <w:spacing w:after="80"/>
        <w:jc w:val="both"/>
      </w:pPr>
      <w:r>
        <w:rPr>
          <w:rFonts w:ascii="Cambria" w:hAnsi="Cambria"/>
          <w:b w:val="0"/>
          <w:i w:val="0"/>
          <w:sz w:val="22"/>
        </w:rPr>
        <w:t>Evidence: CO/PO/PSO attainment matrices, attainment reports.</w:t>
      </w:r>
    </w:p>
    <w:p>
      <w:pPr>
        <w:spacing w:after="80"/>
        <w:ind w:left="340" w:hanging="340"/>
        <w:jc w:val="both"/>
      </w:pPr>
      <w:r>
        <w:rPr>
          <w:rFonts w:ascii="Cambria" w:hAnsi="Cambria"/>
          <w:b w:val="0"/>
          <w:i w:val="0"/>
          <w:sz w:val="22"/>
        </w:rPr>
        <w:t xml:space="preserve">4. </w:t>
      </w:r>
      <w:r>
        <w:rPr>
          <w:rFonts w:ascii="Cambria" w:hAnsi="Cambria"/>
          <w:b w:val="0"/>
          <w:i w:val="0"/>
          <w:sz w:val="22"/>
        </w:rPr>
        <w:t>Action Plan (Continuous Improvement)</w:t>
      </w:r>
    </w:p>
    <w:p>
      <w:pPr>
        <w:pStyle w:val="ListBullet2"/>
        <w:spacing w:after="80"/>
        <w:jc w:val="both"/>
      </w:pPr>
      <w:r>
        <w:rPr>
          <w:rFonts w:ascii="Cambria" w:hAnsi="Cambria"/>
          <w:b w:val="0"/>
          <w:i w:val="0"/>
          <w:sz w:val="22"/>
        </w:rPr>
        <w:t>Gaps identified in CO/PO attainment.</w:t>
      </w:r>
    </w:p>
    <w:p>
      <w:pPr>
        <w:pStyle w:val="ListBullet2"/>
        <w:spacing w:after="80"/>
        <w:jc w:val="both"/>
      </w:pPr>
      <w:r>
        <w:rPr>
          <w:rFonts w:ascii="Cambria" w:hAnsi="Cambria"/>
          <w:b w:val="0"/>
          <w:i w:val="0"/>
          <w:sz w:val="22"/>
        </w:rPr>
        <w:t>Remedial classes, bridge courses, mentoring, curriculum updates.</w:t>
      </w:r>
    </w:p>
    <w:p>
      <w:pPr>
        <w:pStyle w:val="ListBullet2"/>
        <w:spacing w:after="80"/>
        <w:jc w:val="both"/>
      </w:pPr>
      <w:r>
        <w:rPr>
          <w:rFonts w:ascii="Cambria" w:hAnsi="Cambria"/>
          <w:b w:val="0"/>
          <w:i w:val="0"/>
          <w:sz w:val="22"/>
        </w:rPr>
        <w:t>FDPs for faculty if delivery gaps identified.</w:t>
      </w:r>
    </w:p>
    <w:p>
      <w:pPr>
        <w:pStyle w:val="ListBullet2"/>
        <w:spacing w:after="80"/>
        <w:jc w:val="both"/>
      </w:pPr>
      <w:r>
        <w:rPr>
          <w:rFonts w:ascii="Cambria" w:hAnsi="Cambria"/>
          <w:b w:val="0"/>
          <w:i w:val="0"/>
          <w:sz w:val="22"/>
        </w:rPr>
        <w:t>Evidence: Action Taken Reports (ATRs), revised lesson plans, remedial class reports.</w:t>
      </w:r>
    </w:p>
    <w:p>
      <w:pPr>
        <w:keepNext/>
        <w:spacing w:before="280" w:after="160"/>
        <w:jc w:val="left"/>
      </w:pPr>
      <w:r>
        <w:rPr>
          <w:rFonts w:ascii="Cambria" w:hAnsi="Cambria"/>
          <w:b/>
          <w:i w:val="0"/>
          <w:color w:val="1F3A5F"/>
          <w:sz w:val="26"/>
        </w:rPr>
        <w:t>Tangible Outcomes (IV)</w:t>
      </w:r>
    </w:p>
    <w:p>
      <w:pPr>
        <w:spacing w:after="120"/>
        <w:jc w:val="both"/>
      </w:pPr>
      <w:r>
        <w:rPr>
          <w:rFonts w:ascii="Cambria" w:hAnsi="Cambria"/>
          <w:b w:val="0"/>
          <w:i w:val="0"/>
          <w:sz w:val="22"/>
        </w:rPr>
        <w:t>100% courses completed the loop → Teaching → Evaluation → Attainment → ATR.</w:t>
      </w:r>
    </w:p>
    <w:p>
      <w:pPr>
        <w:pStyle w:val="ListBullet"/>
        <w:spacing w:after="80"/>
        <w:jc w:val="both"/>
      </w:pPr>
      <w:r>
        <w:rPr>
          <w:rFonts w:ascii="Cambria" w:hAnsi="Cambria"/>
          <w:b w:val="0"/>
          <w:i w:val="0"/>
          <w:sz w:val="22"/>
        </w:rPr>
        <w:t>CO attainment improved by +6% YoY.</w:t>
      </w:r>
    </w:p>
    <w:p>
      <w:pPr>
        <w:pStyle w:val="ListBullet"/>
        <w:spacing w:after="80"/>
        <w:jc w:val="both"/>
      </w:pPr>
      <w:r>
        <w:rPr>
          <w:rFonts w:ascii="Cambria" w:hAnsi="Cambria"/>
          <w:b w:val="0"/>
          <w:i w:val="0"/>
          <w:sz w:val="22"/>
        </w:rPr>
        <w:t>Remedial classes reduced backlogs from 18% → 10%.</w:t>
      </w:r>
    </w:p>
    <w:p>
      <w:pPr>
        <w:pStyle w:val="ListBullet"/>
        <w:spacing w:after="80"/>
        <w:jc w:val="both"/>
      </w:pPr>
      <w:r>
        <w:rPr>
          <w:rFonts w:ascii="Cambria" w:hAnsi="Cambria"/>
          <w:b w:val="0"/>
          <w:i w:val="0"/>
          <w:sz w:val="22"/>
        </w:rPr>
        <w:t>Student satisfaction on teaching-learning improved from 3.8 → 4.4/5.</w:t>
      </w:r>
    </w:p>
    <w:p>
      <w:pPr>
        <w:pStyle w:val="ListBullet"/>
        <w:spacing w:after="80"/>
        <w:jc w:val="both"/>
      </w:pPr>
      <w:r>
        <w:rPr>
          <w:rFonts w:ascii="Cambria" w:hAnsi="Cambria"/>
          <w:b w:val="0"/>
          <w:i w:val="0"/>
          <w:sz w:val="22"/>
        </w:rPr>
        <w:t>Faculty FDP participation ↑ 40% (linking Action Plan to capacity building).</w:t>
      </w:r>
    </w:p>
    <w:p>
      <w:pPr>
        <w:keepNext/>
        <w:spacing w:before="280" w:after="160"/>
        <w:jc w:val="left"/>
      </w:pPr>
      <w:r>
        <w:rPr>
          <w:rFonts w:ascii="Cambria" w:hAnsi="Cambria"/>
          <w:b/>
          <w:i w:val="0"/>
          <w:color w:val="1F3A5F"/>
          <w:sz w:val="26"/>
        </w:rPr>
        <w:t>How the HoD Ensures the OBE Cycle is Continuous</w:t>
      </w:r>
    </w:p>
    <w:p>
      <w:pPr>
        <w:spacing w:after="80"/>
        <w:ind w:left="340" w:hanging="340"/>
        <w:jc w:val="both"/>
      </w:pPr>
      <w:r>
        <w:rPr>
          <w:rFonts w:ascii="Cambria" w:hAnsi="Cambria"/>
          <w:b w:val="0"/>
          <w:i w:val="0"/>
          <w:sz w:val="22"/>
        </w:rPr>
        <w:t xml:space="preserve">1. </w:t>
      </w:r>
      <w:r>
        <w:rPr>
          <w:rFonts w:ascii="Cambria" w:hAnsi="Cambria"/>
          <w:b w:val="0"/>
          <w:i w:val="0"/>
          <w:sz w:val="22"/>
        </w:rPr>
        <w:t>Teaching (Planned &amp; Delivered) – II</w:t>
      </w:r>
    </w:p>
    <w:p>
      <w:pPr>
        <w:pStyle w:val="ListBullet2"/>
        <w:spacing w:after="80"/>
        <w:jc w:val="both"/>
      </w:pPr>
      <w:r>
        <w:rPr>
          <w:rFonts w:ascii="Cambria" w:hAnsi="Cambria"/>
          <w:b w:val="0"/>
          <w:i w:val="0"/>
          <w:sz w:val="22"/>
        </w:rPr>
        <w:t>Lesson plans mapped to COs in every course.</w:t>
      </w:r>
    </w:p>
    <w:p>
      <w:pPr>
        <w:pStyle w:val="ListBullet2"/>
        <w:spacing w:after="80"/>
        <w:jc w:val="both"/>
      </w:pPr>
      <w:r>
        <w:rPr>
          <w:rFonts w:ascii="Cambria" w:hAnsi="Cambria"/>
          <w:b w:val="0"/>
          <w:i w:val="0"/>
          <w:sz w:val="22"/>
        </w:rPr>
        <w:t>Faculty maintain course files and attendance registers.</w:t>
      </w:r>
    </w:p>
    <w:p>
      <w:pPr>
        <w:pStyle w:val="ListBullet2"/>
        <w:spacing w:after="80"/>
        <w:jc w:val="both"/>
      </w:pPr>
      <w:r>
        <w:rPr>
          <w:rFonts w:ascii="Cambria" w:hAnsi="Cambria"/>
          <w:b w:val="0"/>
          <w:i w:val="0"/>
          <w:sz w:val="22"/>
        </w:rPr>
        <w:t>Evidence: Lesson plans, course files, teaching diaries.</w:t>
      </w:r>
    </w:p>
    <w:p>
      <w:pPr>
        <w:spacing w:after="80"/>
        <w:ind w:left="340" w:hanging="340"/>
        <w:jc w:val="both"/>
      </w:pPr>
      <w:r>
        <w:rPr>
          <w:rFonts w:ascii="Cambria" w:hAnsi="Cambria"/>
          <w:b w:val="0"/>
          <w:i w:val="0"/>
          <w:sz w:val="22"/>
        </w:rPr>
        <w:t xml:space="preserve">2. </w:t>
      </w:r>
      <w:r>
        <w:rPr>
          <w:rFonts w:ascii="Cambria" w:hAnsi="Cambria"/>
          <w:b w:val="0"/>
          <w:i w:val="0"/>
          <w:sz w:val="22"/>
        </w:rPr>
        <w:t>Evaluation (Assessment of Learning)</w:t>
      </w:r>
    </w:p>
    <w:p>
      <w:pPr>
        <w:pStyle w:val="ListBullet2"/>
        <w:spacing w:after="80"/>
        <w:jc w:val="both"/>
      </w:pPr>
      <w:r>
        <w:rPr>
          <w:rFonts w:ascii="Cambria" w:hAnsi="Cambria"/>
          <w:b w:val="0"/>
          <w:i w:val="0"/>
          <w:sz w:val="22"/>
        </w:rPr>
        <w:t>Assignments, labs, internal exams, projects mapped to COs.</w:t>
      </w:r>
    </w:p>
    <w:p>
      <w:pPr>
        <w:pStyle w:val="ListBullet2"/>
        <w:spacing w:after="80"/>
        <w:jc w:val="both"/>
      </w:pPr>
      <w:r>
        <w:rPr>
          <w:rFonts w:ascii="Cambria" w:hAnsi="Cambria"/>
          <w:b w:val="0"/>
          <w:i w:val="0"/>
          <w:sz w:val="22"/>
        </w:rPr>
        <w:t>Evaluation rubrics linked to Bloom's Taxonomy.</w:t>
      </w:r>
    </w:p>
    <w:p>
      <w:pPr>
        <w:pStyle w:val="ListBullet2"/>
        <w:spacing w:after="80"/>
        <w:jc w:val="both"/>
      </w:pPr>
      <w:r>
        <w:rPr>
          <w:rFonts w:ascii="Cambria" w:hAnsi="Cambria"/>
          <w:b w:val="0"/>
          <w:i w:val="0"/>
          <w:sz w:val="22"/>
        </w:rPr>
        <w:t>Evidence: Assignment rubrics, exam papers, lab records, project evaluation sheets.</w:t>
      </w:r>
    </w:p>
    <w:p>
      <w:pPr>
        <w:spacing w:after="80"/>
        <w:ind w:left="340" w:hanging="340"/>
        <w:jc w:val="both"/>
      </w:pPr>
      <w:r>
        <w:rPr>
          <w:rFonts w:ascii="Cambria" w:hAnsi="Cambria"/>
          <w:b w:val="0"/>
          <w:i w:val="0"/>
          <w:sz w:val="22"/>
        </w:rPr>
        <w:t xml:space="preserve">3. </w:t>
      </w:r>
      <w:r>
        <w:rPr>
          <w:rFonts w:ascii="Cambria" w:hAnsi="Cambria"/>
          <w:b w:val="0"/>
          <w:i w:val="0"/>
          <w:sz w:val="22"/>
        </w:rPr>
        <w:t>Attainment (Measurement of Outcomes)</w:t>
      </w:r>
    </w:p>
    <w:p>
      <w:pPr>
        <w:pStyle w:val="ListBullet2"/>
        <w:spacing w:after="80"/>
        <w:jc w:val="both"/>
      </w:pPr>
      <w:r>
        <w:rPr>
          <w:rFonts w:ascii="Cambria" w:hAnsi="Cambria"/>
          <w:b w:val="0"/>
          <w:i w:val="0"/>
          <w:sz w:val="22"/>
        </w:rPr>
        <w:t>CO attainment calculated → Direct (exam/assignment scores) + Indirect (feedback).</w:t>
      </w:r>
    </w:p>
    <w:p>
      <w:pPr>
        <w:pStyle w:val="ListBullet2"/>
        <w:spacing w:after="80"/>
        <w:jc w:val="both"/>
      </w:pPr>
      <w:r>
        <w:rPr>
          <w:rFonts w:ascii="Cambria" w:hAnsi="Cambria"/>
          <w:b w:val="0"/>
          <w:i w:val="0"/>
          <w:sz w:val="22"/>
        </w:rPr>
        <w:t>CO → PO/PSO attainment via mapping and weighted averages.</w:t>
      </w:r>
    </w:p>
    <w:p>
      <w:pPr>
        <w:pStyle w:val="ListBullet2"/>
        <w:spacing w:after="80"/>
        <w:jc w:val="both"/>
      </w:pPr>
      <w:r>
        <w:rPr>
          <w:rFonts w:ascii="Cambria" w:hAnsi="Cambria"/>
          <w:b w:val="0"/>
          <w:i w:val="0"/>
          <w:sz w:val="22"/>
        </w:rPr>
        <w:t>Evidence: CO attainment reports, PO/PSO attainment matrices.</w:t>
      </w:r>
    </w:p>
    <w:p>
      <w:pPr>
        <w:spacing w:after="80"/>
        <w:ind w:left="340" w:hanging="340"/>
        <w:jc w:val="both"/>
      </w:pPr>
      <w:r>
        <w:rPr>
          <w:rFonts w:ascii="Cambria" w:hAnsi="Cambria"/>
          <w:b w:val="0"/>
          <w:i w:val="0"/>
          <w:sz w:val="22"/>
        </w:rPr>
        <w:t xml:space="preserve">4. </w:t>
      </w:r>
      <w:r>
        <w:rPr>
          <w:rFonts w:ascii="Cambria" w:hAnsi="Cambria"/>
          <w:b w:val="0"/>
          <w:i w:val="0"/>
          <w:sz w:val="22"/>
        </w:rPr>
        <w:t>Action Plan (Continuous Improvement) – II</w:t>
      </w:r>
    </w:p>
    <w:p>
      <w:pPr>
        <w:pStyle w:val="ListBullet2"/>
        <w:spacing w:after="80"/>
        <w:jc w:val="both"/>
      </w:pPr>
      <w:r>
        <w:rPr>
          <w:rFonts w:ascii="Cambria" w:hAnsi="Cambria"/>
          <w:b w:val="0"/>
          <w:i w:val="0"/>
          <w:sz w:val="22"/>
        </w:rPr>
        <w:t>If attainment &lt; target → remedial classes, mentoring, bridge courses, FDPs for faculty.</w:t>
      </w:r>
    </w:p>
    <w:p>
      <w:pPr>
        <w:pStyle w:val="ListBullet2"/>
        <w:spacing w:after="80"/>
        <w:jc w:val="both"/>
      </w:pPr>
      <w:r>
        <w:rPr>
          <w:rFonts w:ascii="Cambria" w:hAnsi="Cambria"/>
          <w:b w:val="0"/>
          <w:i w:val="0"/>
          <w:sz w:val="22"/>
        </w:rPr>
        <w:t>Improvement strategies documented and implemented.</w:t>
      </w:r>
    </w:p>
    <w:p>
      <w:pPr>
        <w:pStyle w:val="ListBullet2"/>
        <w:spacing w:after="80"/>
        <w:jc w:val="both"/>
      </w:pPr>
      <w:r>
        <w:rPr>
          <w:rFonts w:ascii="Cambria" w:hAnsi="Cambria"/>
          <w:b w:val="0"/>
          <w:i w:val="0"/>
          <w:sz w:val="22"/>
        </w:rPr>
        <w:t>Evidence: Action Taken Reports (ATRs), remedial class schedules, revised teaching strategies.</w:t>
      </w:r>
    </w:p>
    <w:p>
      <w:pPr>
        <w:keepNext/>
        <w:spacing w:before="280" w:after="160"/>
        <w:jc w:val="left"/>
      </w:pPr>
      <w:r>
        <w:rPr>
          <w:rFonts w:ascii="Cambria" w:hAnsi="Cambria"/>
          <w:b/>
          <w:i w:val="0"/>
          <w:color w:val="1F3A5F"/>
          <w:sz w:val="26"/>
        </w:rPr>
        <w:t>Tangible Outcomes (V)</w:t>
      </w:r>
    </w:p>
    <w:p>
      <w:pPr>
        <w:pStyle w:val="ListBullet"/>
        <w:spacing w:after="80"/>
        <w:jc w:val="both"/>
      </w:pPr>
      <w:r>
        <w:rPr>
          <w:rFonts w:ascii="Cambria" w:hAnsi="Cambria"/>
          <w:b w:val="0"/>
          <w:i w:val="0"/>
          <w:sz w:val="22"/>
        </w:rPr>
        <w:t>100% courses completed the OBE cycle with documented closure.</w:t>
      </w:r>
    </w:p>
    <w:p>
      <w:pPr>
        <w:pStyle w:val="ListBullet"/>
        <w:spacing w:after="80"/>
        <w:jc w:val="both"/>
      </w:pPr>
      <w:r>
        <w:rPr>
          <w:rFonts w:ascii="Cambria" w:hAnsi="Cambria"/>
          <w:b w:val="0"/>
          <w:i w:val="0"/>
          <w:sz w:val="22"/>
        </w:rPr>
        <w:t>CO attainment improved by +6% YoY (from 72% → 78%).</w:t>
      </w:r>
    </w:p>
    <w:p>
      <w:pPr>
        <w:pStyle w:val="ListBullet"/>
        <w:spacing w:after="80"/>
        <w:jc w:val="both"/>
      </w:pPr>
      <w:r>
        <w:rPr>
          <w:rFonts w:ascii="Cambria" w:hAnsi="Cambria"/>
          <w:b w:val="0"/>
          <w:i w:val="0"/>
          <w:sz w:val="22"/>
        </w:rPr>
        <w:t>Student backlogs reduced from 18% → 10% after remedial measures.</w:t>
      </w:r>
    </w:p>
    <w:p>
      <w:pPr>
        <w:pStyle w:val="ListBullet"/>
        <w:spacing w:after="80"/>
        <w:jc w:val="both"/>
      </w:pPr>
      <w:r>
        <w:rPr>
          <w:rFonts w:ascii="Cambria" w:hAnsi="Cambria"/>
          <w:b w:val="0"/>
          <w:i w:val="0"/>
          <w:sz w:val="22"/>
        </w:rPr>
        <w:t>Project/thesis quality improved → 15% increase in publications/student presentations.</w:t>
      </w:r>
    </w:p>
    <w:p>
      <w:pPr>
        <w:pStyle w:val="ListBullet"/>
        <w:spacing w:after="80"/>
        <w:jc w:val="both"/>
      </w:pPr>
      <w:r>
        <w:rPr>
          <w:rFonts w:ascii="Cambria" w:hAnsi="Cambria"/>
          <w:b w:val="0"/>
          <w:i w:val="0"/>
          <w:sz w:val="22"/>
        </w:rPr>
        <w:t>Student satisfaction with teaching-learning ↑ from 3.8 → 4.4/5.</w:t>
      </w:r>
    </w:p>
    <w:p>
      <w:pPr>
        <w:keepNext/>
        <w:spacing w:before="280" w:after="160"/>
        <w:jc w:val="left"/>
      </w:pPr>
      <w:r>
        <w:rPr>
          <w:rFonts w:ascii="Cambria" w:hAnsi="Cambria"/>
          <w:b/>
          <w:i w:val="0"/>
          <w:color w:val="1F3A5F"/>
          <w:sz w:val="26"/>
        </w:rPr>
        <w:t>What OBE Maturity Means in This Context</w:t>
      </w:r>
    </w:p>
    <w:p>
      <w:pPr>
        <w:spacing w:after="80"/>
        <w:ind w:left="340" w:hanging="340"/>
        <w:jc w:val="both"/>
      </w:pPr>
      <w:r>
        <w:rPr>
          <w:rFonts w:ascii="Cambria" w:hAnsi="Cambria"/>
          <w:b w:val="0"/>
          <w:i w:val="0"/>
          <w:sz w:val="22"/>
        </w:rPr>
        <w:t xml:space="preserve">1. </w:t>
      </w:r>
      <w:r>
        <w:rPr>
          <w:rFonts w:ascii="Cambria" w:hAnsi="Cambria"/>
          <w:b w:val="0"/>
          <w:i w:val="0"/>
          <w:sz w:val="22"/>
        </w:rPr>
        <w:t>Every Course is Accountable</w:t>
      </w:r>
    </w:p>
    <w:p>
      <w:pPr>
        <w:pStyle w:val="ListBullet2"/>
        <w:spacing w:after="80"/>
        <w:jc w:val="both"/>
      </w:pPr>
      <w:r>
        <w:rPr>
          <w:rFonts w:ascii="Cambria" w:hAnsi="Cambria"/>
          <w:b w:val="0"/>
          <w:i w:val="0"/>
          <w:sz w:val="22"/>
        </w:rPr>
        <w:t>Each course must have lesson plans (teaching),</w:t>
      </w:r>
    </w:p>
    <w:p>
      <w:pPr>
        <w:pStyle w:val="ListBullet2"/>
        <w:spacing w:after="80"/>
        <w:jc w:val="both"/>
      </w:pPr>
      <w:r>
        <w:rPr>
          <w:rFonts w:ascii="Cambria" w:hAnsi="Cambria"/>
          <w:b w:val="0"/>
          <w:i w:val="0"/>
          <w:sz w:val="22"/>
        </w:rPr>
        <w:t>evaluations mapped to COs,</w:t>
      </w:r>
    </w:p>
    <w:p>
      <w:pPr>
        <w:pStyle w:val="ListBullet2"/>
        <w:spacing w:after="80"/>
        <w:jc w:val="both"/>
      </w:pPr>
      <w:r>
        <w:rPr>
          <w:rFonts w:ascii="Cambria" w:hAnsi="Cambria"/>
          <w:b w:val="0"/>
          <w:i w:val="0"/>
          <w:sz w:val="22"/>
        </w:rPr>
        <w:t>CO attainment reports, and</w:t>
      </w:r>
    </w:p>
    <w:p>
      <w:pPr>
        <w:pStyle w:val="ListBullet2"/>
        <w:spacing w:after="80"/>
        <w:jc w:val="both"/>
      </w:pPr>
      <w:r>
        <w:rPr>
          <w:rFonts w:ascii="Cambria" w:hAnsi="Cambria"/>
          <w:b w:val="0"/>
          <w:i w:val="0"/>
          <w:sz w:val="22"/>
        </w:rPr>
        <w:t>action-taken measures if gaps exist.</w:t>
      </w:r>
    </w:p>
    <w:p>
      <w:pPr>
        <w:spacing w:after="120"/>
        <w:jc w:val="both"/>
      </w:pPr>
      <w:r>
        <w:rPr>
          <w:rFonts w:ascii="Cambria" w:hAnsi="Cambria"/>
          <w:b w:val="0"/>
          <w:i w:val="0"/>
          <w:sz w:val="22"/>
        </w:rPr>
        <w:t xml:space="preserve">→ This shows no </w:t>
      </w:r>
      <w:r>
        <w:rPr>
          <w:rFonts w:ascii="Cambria" w:hAnsi="Cambria"/>
          <w:b/>
          <w:i w:val="0"/>
          <w:sz w:val="22"/>
        </w:rPr>
        <w:t>“broken links”</w:t>
      </w:r>
      <w:r>
        <w:rPr>
          <w:rFonts w:ascii="Cambria" w:hAnsi="Cambria"/>
          <w:b w:val="0"/>
          <w:i w:val="0"/>
          <w:sz w:val="22"/>
        </w:rPr>
        <w:t xml:space="preserve"> in the OBE loop.</w:t>
      </w:r>
    </w:p>
    <w:p>
      <w:pPr>
        <w:spacing w:after="80"/>
        <w:ind w:left="340" w:hanging="340"/>
        <w:jc w:val="both"/>
      </w:pPr>
      <w:r>
        <w:rPr>
          <w:rFonts w:ascii="Cambria" w:hAnsi="Cambria"/>
          <w:b w:val="0"/>
          <w:i w:val="0"/>
          <w:sz w:val="22"/>
        </w:rPr>
        <w:t xml:space="preserve">2. </w:t>
      </w:r>
      <w:r>
        <w:rPr>
          <w:rFonts w:ascii="Cambria" w:hAnsi="Cambria"/>
          <w:b w:val="0"/>
          <w:i w:val="0"/>
          <w:sz w:val="22"/>
        </w:rPr>
        <w:t>Documented Closure</w:t>
      </w:r>
    </w:p>
    <w:p>
      <w:pPr>
        <w:pStyle w:val="ListBullet2"/>
        <w:spacing w:after="80"/>
        <w:jc w:val="both"/>
      </w:pPr>
      <w:r>
        <w:rPr>
          <w:rFonts w:ascii="Cambria" w:hAnsi="Cambria"/>
          <w:b w:val="0"/>
          <w:i w:val="0"/>
          <w:sz w:val="22"/>
        </w:rPr>
        <w:t>Action Taken Reports (ATRs) ensure that low attainment is addressed.</w:t>
      </w:r>
    </w:p>
    <w:p>
      <w:pPr>
        <w:pStyle w:val="ListBullet2"/>
        <w:spacing w:after="80"/>
        <w:jc w:val="both"/>
      </w:pPr>
      <w:r>
        <w:rPr>
          <w:rFonts w:ascii="Cambria" w:hAnsi="Cambria"/>
          <w:b w:val="0"/>
          <w:i w:val="0"/>
          <w:sz w:val="22"/>
        </w:rPr>
        <w:t>Faculty re-plan lessons, remedials, bridge courses, or modify assessment methods.</w:t>
      </w:r>
    </w:p>
    <w:p>
      <w:pPr>
        <w:spacing w:after="120"/>
        <w:jc w:val="both"/>
      </w:pPr>
      <w:r>
        <w:rPr>
          <w:rFonts w:ascii="Cambria" w:hAnsi="Cambria"/>
          <w:b w:val="0"/>
          <w:i w:val="0"/>
          <w:sz w:val="22"/>
        </w:rPr>
        <w:t>→ Proves CQI (Continuous Quality Improvement).</w:t>
      </w:r>
    </w:p>
    <w:p>
      <w:pPr>
        <w:spacing w:after="80"/>
        <w:ind w:left="340" w:hanging="340"/>
        <w:jc w:val="both"/>
      </w:pPr>
      <w:r>
        <w:rPr>
          <w:rFonts w:ascii="Cambria" w:hAnsi="Cambria"/>
          <w:b w:val="0"/>
          <w:i w:val="0"/>
          <w:sz w:val="22"/>
        </w:rPr>
        <w:t xml:space="preserve">3. </w:t>
      </w:r>
      <w:r>
        <w:rPr>
          <w:rFonts w:ascii="Cambria" w:hAnsi="Cambria"/>
          <w:b w:val="0"/>
          <w:i w:val="0"/>
          <w:sz w:val="22"/>
        </w:rPr>
        <w:t>Program-Level Impact</w:t>
      </w:r>
    </w:p>
    <w:p>
      <w:pPr>
        <w:pStyle w:val="ListBullet2"/>
        <w:spacing w:after="80"/>
        <w:jc w:val="both"/>
      </w:pPr>
      <w:r>
        <w:rPr>
          <w:rFonts w:ascii="Cambria" w:hAnsi="Cambria"/>
          <w:b w:val="0"/>
          <w:i w:val="0"/>
          <w:sz w:val="22"/>
        </w:rPr>
        <w:t>Course-level CO attainment feeds into PO/PSO attainment.</w:t>
      </w:r>
    </w:p>
    <w:p>
      <w:pPr>
        <w:spacing w:after="120"/>
        <w:jc w:val="both"/>
      </w:pPr>
      <w:r>
        <w:rPr>
          <w:rFonts w:ascii="Cambria" w:hAnsi="Cambria"/>
          <w:b w:val="0"/>
          <w:i w:val="0"/>
          <w:sz w:val="22"/>
        </w:rPr>
        <w:t>Weighted averages across courses → departmental OBE compliance score.</w:t>
      </w:r>
    </w:p>
    <w:p>
      <w:pPr>
        <w:spacing w:after="120"/>
        <w:jc w:val="both"/>
      </w:pPr>
      <w:r>
        <w:rPr>
          <w:rFonts w:ascii="Cambria" w:hAnsi="Cambria"/>
          <w:b w:val="0"/>
          <w:i w:val="0"/>
          <w:sz w:val="22"/>
        </w:rPr>
        <w:t>→ Ensures holistic program outcomes are strengthened.</w:t>
      </w:r>
    </w:p>
    <w:p>
      <w:pPr>
        <w:spacing w:after="80"/>
        <w:ind w:left="340" w:hanging="340"/>
        <w:jc w:val="both"/>
      </w:pPr>
      <w:r>
        <w:rPr>
          <w:rFonts w:ascii="Cambria" w:hAnsi="Cambria"/>
          <w:b w:val="0"/>
          <w:i w:val="0"/>
          <w:sz w:val="22"/>
        </w:rPr>
        <w:t xml:space="preserve">4. </w:t>
      </w:r>
      <w:r>
        <w:rPr>
          <w:rFonts w:ascii="Cambria" w:hAnsi="Cambria"/>
          <w:b w:val="0"/>
          <w:i w:val="0"/>
          <w:sz w:val="22"/>
        </w:rPr>
        <w:t>Evidence Chain</w:t>
      </w:r>
    </w:p>
    <w:p>
      <w:pPr>
        <w:spacing w:after="120"/>
        <w:jc w:val="both"/>
      </w:pPr>
      <w:r>
        <w:rPr>
          <w:rFonts w:ascii="Cambria" w:hAnsi="Cambria"/>
          <w:b w:val="0"/>
          <w:i w:val="0"/>
          <w:sz w:val="22"/>
        </w:rPr>
        <w:t>Course File → Evaluation Records → Attainment Report → ATR → Revised Strategy.</w:t>
      </w:r>
    </w:p>
    <w:p>
      <w:pPr>
        <w:spacing w:after="120"/>
        <w:jc w:val="both"/>
      </w:pPr>
      <w:r>
        <w:rPr>
          <w:rFonts w:ascii="Cambria" w:hAnsi="Cambria"/>
          <w:b w:val="0"/>
          <w:i w:val="0"/>
          <w:sz w:val="22"/>
        </w:rPr>
        <w:t>→ Peer reviewers can pick any course and see the entire cycle closed.</w:t>
      </w:r>
    </w:p>
    <w:p>
      <w:pPr>
        <w:keepNext/>
        <w:spacing w:before="280" w:after="160"/>
        <w:jc w:val="left"/>
      </w:pPr>
      <w:r>
        <w:rPr>
          <w:rFonts w:ascii="Cambria" w:hAnsi="Cambria"/>
          <w:b/>
          <w:i w:val="0"/>
          <w:color w:val="1F3A5F"/>
          <w:sz w:val="26"/>
        </w:rPr>
        <w:t>Tangible Outcomes of OBE Maturity</w:t>
      </w:r>
    </w:p>
    <w:p>
      <w:pPr>
        <w:pStyle w:val="ListBullet"/>
        <w:spacing w:after="80"/>
        <w:jc w:val="both"/>
      </w:pPr>
      <w:r>
        <w:rPr>
          <w:rFonts w:ascii="Cambria" w:hAnsi="Cambria"/>
          <w:b w:val="0"/>
          <w:i w:val="0"/>
          <w:sz w:val="22"/>
        </w:rPr>
        <w:t>100% courses had closed OBE loops (no incomplete attainments).</w:t>
      </w:r>
    </w:p>
    <w:p>
      <w:pPr>
        <w:pStyle w:val="ListBullet"/>
        <w:spacing w:after="80"/>
        <w:jc w:val="both"/>
      </w:pPr>
      <w:r>
        <w:rPr>
          <w:rFonts w:ascii="Cambria" w:hAnsi="Cambria"/>
          <w:b w:val="0"/>
          <w:i w:val="0"/>
          <w:sz w:val="22"/>
        </w:rPr>
        <w:t>Departmental average CO attainment improved by +6% YoY.</w:t>
      </w:r>
    </w:p>
    <w:p>
      <w:pPr>
        <w:pStyle w:val="ListBullet"/>
        <w:spacing w:after="80"/>
        <w:jc w:val="both"/>
      </w:pPr>
      <w:r>
        <w:rPr>
          <w:rFonts w:ascii="Cambria" w:hAnsi="Cambria"/>
          <w:b w:val="0"/>
          <w:i w:val="0"/>
          <w:sz w:val="22"/>
        </w:rPr>
        <w:t>Student backlogs reduced by 44% (18% → 10%).</w:t>
      </w:r>
    </w:p>
    <w:p>
      <w:pPr>
        <w:pStyle w:val="ListBullet"/>
        <w:spacing w:after="80"/>
        <w:jc w:val="both"/>
      </w:pPr>
      <w:r>
        <w:rPr>
          <w:rFonts w:ascii="Cambria" w:hAnsi="Cambria"/>
          <w:b w:val="0"/>
          <w:i w:val="0"/>
          <w:sz w:val="22"/>
        </w:rPr>
        <w:t>Project/research outcomes ↑ 15% due to improved supervision and feedback.</w:t>
      </w:r>
    </w:p>
    <w:p>
      <w:pPr>
        <w:pStyle w:val="ListBullet"/>
        <w:spacing w:after="80"/>
        <w:jc w:val="both"/>
      </w:pPr>
      <w:r>
        <w:rPr>
          <w:rFonts w:ascii="Cambria" w:hAnsi="Cambria"/>
          <w:b w:val="0"/>
          <w:i w:val="0"/>
          <w:sz w:val="22"/>
        </w:rPr>
        <w:t>Faculty compliance with CO–PO mapping reached 100%.</w:t>
      </w:r>
    </w:p>
    <w:p>
      <w:pPr>
        <w:keepNext/>
        <w:spacing w:before="280" w:after="160"/>
        <w:jc w:val="left"/>
      </w:pPr>
      <w:r>
        <w:rPr>
          <w:rFonts w:ascii="Cambria" w:hAnsi="Cambria"/>
          <w:b/>
          <w:i w:val="0"/>
          <w:color w:val="1F3A5F"/>
          <w:sz w:val="26"/>
        </w:rPr>
        <w:t>How Gaps Are Eliminated</w:t>
      </w:r>
    </w:p>
    <w:p>
      <w:pPr>
        <w:spacing w:after="80"/>
        <w:ind w:left="340" w:hanging="340"/>
        <w:jc w:val="both"/>
      </w:pPr>
      <w:r>
        <w:rPr>
          <w:rFonts w:ascii="Cambria" w:hAnsi="Cambria"/>
          <w:b w:val="0"/>
          <w:i w:val="0"/>
          <w:sz w:val="22"/>
        </w:rPr>
        <w:t xml:space="preserve">1. </w:t>
      </w:r>
      <w:r>
        <w:rPr>
          <w:rFonts w:ascii="Cambria" w:hAnsi="Cambria"/>
          <w:b w:val="0"/>
          <w:i w:val="0"/>
          <w:sz w:val="22"/>
        </w:rPr>
        <w:t>Teaching (Delivery Stage)</w:t>
      </w:r>
    </w:p>
    <w:p>
      <w:pPr>
        <w:pStyle w:val="ListBullet2"/>
        <w:spacing w:after="80"/>
        <w:jc w:val="both"/>
      </w:pPr>
      <w:r>
        <w:rPr>
          <w:rFonts w:ascii="Cambria" w:hAnsi="Cambria"/>
          <w:b w:val="0"/>
          <w:i w:val="0"/>
          <w:sz w:val="22"/>
        </w:rPr>
        <w:t>Lesson plans mapped to Course Outcomes (COs).</w:t>
      </w:r>
    </w:p>
    <w:p>
      <w:pPr>
        <w:pStyle w:val="ListBullet2"/>
        <w:spacing w:after="80"/>
        <w:jc w:val="both"/>
      </w:pPr>
      <w:r>
        <w:rPr>
          <w:rFonts w:ascii="Cambria" w:hAnsi="Cambria"/>
          <w:b w:val="0"/>
          <w:i w:val="0"/>
          <w:sz w:val="22"/>
        </w:rPr>
        <w:t>Faculty course files contain weekly progress + lecture notes.</w:t>
      </w:r>
    </w:p>
    <w:p>
      <w:pPr>
        <w:pStyle w:val="ListBullet2"/>
        <w:spacing w:after="80"/>
        <w:jc w:val="both"/>
      </w:pPr>
      <w:r>
        <w:rPr>
          <w:rFonts w:ascii="Cambria" w:hAnsi="Cambria"/>
          <w:b w:val="0"/>
          <w:i w:val="0"/>
          <w:sz w:val="22"/>
        </w:rPr>
        <w:t>Attendance registers confirm delivery.</w:t>
      </w:r>
    </w:p>
    <w:p>
      <w:pPr>
        <w:spacing w:after="120"/>
        <w:jc w:val="both"/>
      </w:pPr>
      <w:r>
        <w:rPr>
          <w:rFonts w:ascii="Cambria" w:hAnsi="Cambria"/>
          <w:b w:val="0"/>
          <w:i w:val="0"/>
          <w:sz w:val="22"/>
        </w:rPr>
        <w:t>→ Proof: Lesson plans, course files, attendance.</w:t>
      </w:r>
    </w:p>
    <w:p>
      <w:pPr>
        <w:spacing w:after="80"/>
        <w:ind w:left="340" w:hanging="340"/>
        <w:jc w:val="both"/>
      </w:pPr>
      <w:r>
        <w:rPr>
          <w:rFonts w:ascii="Cambria" w:hAnsi="Cambria"/>
          <w:b w:val="0"/>
          <w:i w:val="0"/>
          <w:sz w:val="22"/>
        </w:rPr>
        <w:t xml:space="preserve">2. </w:t>
      </w:r>
      <w:r>
        <w:rPr>
          <w:rFonts w:ascii="Cambria" w:hAnsi="Cambria"/>
          <w:b w:val="0"/>
          <w:i w:val="0"/>
          <w:sz w:val="22"/>
        </w:rPr>
        <w:t>Assessment (Evaluation Stage)</w:t>
      </w:r>
    </w:p>
    <w:p>
      <w:pPr>
        <w:pStyle w:val="ListBullet2"/>
        <w:spacing w:after="80"/>
        <w:jc w:val="both"/>
      </w:pPr>
      <w:r>
        <w:rPr>
          <w:rFonts w:ascii="Cambria" w:hAnsi="Cambria"/>
          <w:b w:val="0"/>
          <w:i w:val="0"/>
          <w:sz w:val="22"/>
        </w:rPr>
        <w:t>Internal exams, assignments, labs, and projects mapped to COs.</w:t>
      </w:r>
    </w:p>
    <w:p>
      <w:pPr>
        <w:pStyle w:val="ListBullet2"/>
        <w:spacing w:after="80"/>
        <w:jc w:val="both"/>
      </w:pPr>
      <w:r>
        <w:rPr>
          <w:rFonts w:ascii="Cambria" w:hAnsi="Cambria"/>
          <w:b w:val="0"/>
          <w:i w:val="0"/>
          <w:sz w:val="22"/>
        </w:rPr>
        <w:t>Question papers linked to Bloom's Taxonomy levels.</w:t>
      </w:r>
    </w:p>
    <w:p>
      <w:pPr>
        <w:pStyle w:val="ListBullet2"/>
        <w:spacing w:after="80"/>
        <w:jc w:val="both"/>
      </w:pPr>
      <w:r>
        <w:rPr>
          <w:rFonts w:ascii="Cambria" w:hAnsi="Cambria"/>
          <w:b w:val="0"/>
          <w:i w:val="0"/>
          <w:sz w:val="22"/>
        </w:rPr>
        <w:t>Rubrics ensure fair, CO-focused assessment.</w:t>
      </w:r>
    </w:p>
    <w:p>
      <w:pPr>
        <w:spacing w:after="120"/>
        <w:jc w:val="both"/>
      </w:pPr>
      <w:r>
        <w:rPr>
          <w:rFonts w:ascii="Cambria" w:hAnsi="Cambria"/>
          <w:b w:val="0"/>
          <w:i w:val="0"/>
          <w:sz w:val="22"/>
        </w:rPr>
        <w:t>→ Proof: Question papers, rubrics, evaluated answer scripts, lab sheets.</w:t>
      </w:r>
    </w:p>
    <w:p>
      <w:pPr>
        <w:spacing w:after="80"/>
        <w:ind w:left="340" w:hanging="340"/>
        <w:jc w:val="both"/>
      </w:pPr>
      <w:r>
        <w:rPr>
          <w:rFonts w:ascii="Cambria" w:hAnsi="Cambria"/>
          <w:b w:val="0"/>
          <w:i w:val="0"/>
          <w:sz w:val="22"/>
        </w:rPr>
        <w:t xml:space="preserve">3. </w:t>
      </w:r>
      <w:r>
        <w:rPr>
          <w:rFonts w:ascii="Cambria" w:hAnsi="Cambria"/>
          <w:b w:val="0"/>
          <w:i w:val="0"/>
          <w:sz w:val="22"/>
        </w:rPr>
        <w:t>Learning Outcomes (Attainment Stage)</w:t>
      </w:r>
    </w:p>
    <w:p>
      <w:pPr>
        <w:pStyle w:val="ListBullet2"/>
        <w:spacing w:after="80"/>
        <w:jc w:val="both"/>
      </w:pPr>
      <w:r>
        <w:rPr>
          <w:rFonts w:ascii="Cambria" w:hAnsi="Cambria"/>
          <w:b w:val="0"/>
          <w:i w:val="0"/>
          <w:sz w:val="22"/>
        </w:rPr>
        <w:t>CO attainment calculated from student performance.</w:t>
      </w:r>
    </w:p>
    <w:p>
      <w:pPr>
        <w:pStyle w:val="ListBullet2"/>
        <w:spacing w:after="80"/>
        <w:jc w:val="both"/>
      </w:pPr>
      <w:r>
        <w:rPr>
          <w:rFonts w:ascii="Cambria" w:hAnsi="Cambria"/>
          <w:b w:val="0"/>
          <w:i w:val="0"/>
          <w:sz w:val="22"/>
        </w:rPr>
        <w:t>CO attainment → mapped to PO/PSO attainment.</w:t>
      </w:r>
    </w:p>
    <w:p>
      <w:pPr>
        <w:pStyle w:val="ListBullet2"/>
        <w:spacing w:after="80"/>
        <w:jc w:val="both"/>
      </w:pPr>
      <w:r>
        <w:rPr>
          <w:rFonts w:ascii="Cambria" w:hAnsi="Cambria"/>
          <w:b w:val="0"/>
          <w:i w:val="0"/>
          <w:sz w:val="22"/>
        </w:rPr>
        <w:t>Consolidated attainment reports highlight gaps.</w:t>
      </w:r>
    </w:p>
    <w:p>
      <w:pPr>
        <w:spacing w:after="120"/>
        <w:jc w:val="both"/>
      </w:pPr>
      <w:r>
        <w:rPr>
          <w:rFonts w:ascii="Cambria" w:hAnsi="Cambria"/>
          <w:b w:val="0"/>
          <w:i w:val="0"/>
          <w:sz w:val="22"/>
        </w:rPr>
        <w:t>→ Proof: CO–PO attainment matrices, semester attainment reports.</w:t>
      </w:r>
    </w:p>
    <w:p>
      <w:pPr>
        <w:spacing w:after="80"/>
        <w:ind w:left="340" w:hanging="340"/>
        <w:jc w:val="both"/>
      </w:pPr>
      <w:r>
        <w:rPr>
          <w:rFonts w:ascii="Cambria" w:hAnsi="Cambria"/>
          <w:b w:val="0"/>
          <w:i w:val="0"/>
          <w:sz w:val="22"/>
        </w:rPr>
        <w:t xml:space="preserve">4. </w:t>
      </w:r>
      <w:r>
        <w:rPr>
          <w:rFonts w:ascii="Cambria" w:hAnsi="Cambria"/>
          <w:b w:val="0"/>
          <w:i w:val="0"/>
          <w:sz w:val="22"/>
        </w:rPr>
        <w:t>Action Plan (Improvement Stage)</w:t>
      </w:r>
    </w:p>
    <w:p>
      <w:pPr>
        <w:pStyle w:val="ListBullet2"/>
        <w:spacing w:after="80"/>
        <w:jc w:val="both"/>
      </w:pPr>
      <w:r>
        <w:rPr>
          <w:rFonts w:ascii="Cambria" w:hAnsi="Cambria"/>
          <w:b w:val="0"/>
          <w:i w:val="0"/>
          <w:sz w:val="22"/>
        </w:rPr>
        <w:t>Gaps addressed through remedial classes, mentoring, bridge courses, FDPs.</w:t>
      </w:r>
    </w:p>
    <w:p>
      <w:pPr>
        <w:pStyle w:val="ListBullet2"/>
        <w:spacing w:after="80"/>
        <w:jc w:val="both"/>
      </w:pPr>
      <w:r>
        <w:rPr>
          <w:rFonts w:ascii="Cambria" w:hAnsi="Cambria"/>
          <w:b w:val="0"/>
          <w:i w:val="0"/>
          <w:sz w:val="22"/>
        </w:rPr>
        <w:t>Revised teaching/assessment strategies implemented next semester.</w:t>
      </w:r>
    </w:p>
    <w:p>
      <w:pPr>
        <w:spacing w:after="120"/>
        <w:jc w:val="both"/>
      </w:pPr>
      <w:r>
        <w:rPr>
          <w:rFonts w:ascii="Cambria" w:hAnsi="Cambria"/>
          <w:b w:val="0"/>
          <w:i w:val="0"/>
          <w:sz w:val="22"/>
        </w:rPr>
        <w:t>→ Proof: Action Taken Reports (ATRs), remedial schedules, curriculum revisions.</w:t>
      </w:r>
    </w:p>
    <w:p>
      <w:pPr>
        <w:keepNext/>
        <w:spacing w:before="280" w:after="160"/>
        <w:jc w:val="left"/>
      </w:pPr>
      <w:r>
        <w:rPr>
          <w:rFonts w:ascii="Cambria" w:hAnsi="Cambria"/>
          <w:b/>
          <w:i w:val="0"/>
          <w:color w:val="1F3A5F"/>
          <w:sz w:val="26"/>
        </w:rPr>
        <w:t>Tangible Outcomes (VI)</w:t>
      </w:r>
    </w:p>
    <w:p>
      <w:pPr>
        <w:pStyle w:val="ListBullet"/>
        <w:spacing w:after="80"/>
        <w:jc w:val="both"/>
      </w:pPr>
      <w:r>
        <w:rPr>
          <w:rFonts w:ascii="Cambria" w:hAnsi="Cambria"/>
          <w:b w:val="0"/>
          <w:i w:val="0"/>
          <w:sz w:val="22"/>
        </w:rPr>
        <w:t>100% courses had teaching, evaluation, and attainment fully linked.</w:t>
      </w:r>
    </w:p>
    <w:p>
      <w:pPr>
        <w:pStyle w:val="ListBullet"/>
        <w:spacing w:after="80"/>
        <w:jc w:val="both"/>
      </w:pPr>
      <w:r>
        <w:rPr>
          <w:rFonts w:ascii="Cambria" w:hAnsi="Cambria"/>
          <w:b w:val="0"/>
          <w:i w:val="0"/>
          <w:sz w:val="22"/>
        </w:rPr>
        <w:t>Average CO attainment improved from 72% → 78% (+6%).</w:t>
      </w:r>
    </w:p>
    <w:p>
      <w:pPr>
        <w:pStyle w:val="ListBullet"/>
        <w:spacing w:after="80"/>
        <w:jc w:val="both"/>
      </w:pPr>
      <w:r>
        <w:rPr>
          <w:rFonts w:ascii="Cambria" w:hAnsi="Cambria"/>
          <w:b w:val="0"/>
          <w:i w:val="0"/>
          <w:sz w:val="22"/>
        </w:rPr>
        <w:t>Student backlogs reduced from 18% → 10% after targeted remedial actions.</w:t>
      </w:r>
    </w:p>
    <w:p>
      <w:pPr>
        <w:pStyle w:val="ListBullet"/>
        <w:spacing w:after="80"/>
        <w:jc w:val="both"/>
      </w:pPr>
      <w:r>
        <w:rPr>
          <w:rFonts w:ascii="Cambria" w:hAnsi="Cambria"/>
          <w:b w:val="0"/>
          <w:i w:val="0"/>
          <w:sz w:val="22"/>
        </w:rPr>
        <w:t>Student satisfaction with teaching-learning ↑ from 3.8 → 4.4/5.</w:t>
      </w:r>
    </w:p>
    <w:p>
      <w:pPr>
        <w:spacing w:after="120"/>
        <w:jc w:val="both"/>
      </w:pPr>
      <w:r>
        <w:rPr>
          <w:rFonts w:ascii="Cambria" w:hAnsi="Cambria"/>
          <w:b w:val="0"/>
          <w:i w:val="0"/>
          <w:sz w:val="22"/>
        </w:rPr>
        <w:t xml:space="preserve">92% of students confirmed </w:t>
      </w:r>
      <w:r>
        <w:rPr>
          <w:rFonts w:ascii="Cambria" w:hAnsi="Cambria"/>
          <w:b/>
          <w:i w:val="0"/>
          <w:sz w:val="22"/>
        </w:rPr>
        <w:t>“assessments reflected what was taught.”</w:t>
      </w:r>
    </w:p>
    <w:p>
      <w:pPr>
        <w:keepNext/>
        <w:spacing w:before="280" w:after="160"/>
        <w:jc w:val="left"/>
      </w:pPr>
      <w:r>
        <w:rPr>
          <w:rFonts w:ascii="Cambria" w:hAnsi="Cambria"/>
          <w:b/>
          <w:i w:val="0"/>
          <w:color w:val="1F3A5F"/>
          <w:sz w:val="26"/>
        </w:rPr>
        <w:t>How CQI is Evidenced</w:t>
      </w:r>
    </w:p>
    <w:p>
      <w:pPr>
        <w:spacing w:after="80"/>
        <w:ind w:left="340" w:hanging="340"/>
        <w:jc w:val="both"/>
      </w:pPr>
      <w:r>
        <w:rPr>
          <w:rFonts w:ascii="Cambria" w:hAnsi="Cambria"/>
          <w:b w:val="0"/>
          <w:i w:val="0"/>
          <w:sz w:val="22"/>
        </w:rPr>
        <w:t xml:space="preserve">1. </w:t>
      </w:r>
      <w:r>
        <w:rPr>
          <w:rFonts w:ascii="Cambria" w:hAnsi="Cambria"/>
          <w:b w:val="0"/>
          <w:i w:val="0"/>
          <w:sz w:val="22"/>
        </w:rPr>
        <w:t>Baseline Establishment</w:t>
      </w:r>
    </w:p>
    <w:p>
      <w:pPr>
        <w:pStyle w:val="ListBullet2"/>
        <w:spacing w:after="80"/>
        <w:jc w:val="both"/>
      </w:pPr>
      <w:r>
        <w:rPr>
          <w:rFonts w:ascii="Cambria" w:hAnsi="Cambria"/>
          <w:b w:val="0"/>
          <w:i w:val="0"/>
          <w:sz w:val="22"/>
        </w:rPr>
        <w:t>Initial CO/PO attainment values documented.</w:t>
      </w:r>
    </w:p>
    <w:p>
      <w:pPr>
        <w:pStyle w:val="ListBullet2"/>
        <w:spacing w:after="80"/>
        <w:jc w:val="both"/>
      </w:pPr>
      <w:r>
        <w:rPr>
          <w:rFonts w:ascii="Cambria" w:hAnsi="Cambria"/>
          <w:b w:val="0"/>
          <w:i w:val="0"/>
          <w:sz w:val="22"/>
        </w:rPr>
        <w:t>Student backlog %, satisfaction levels, and project quality recorded.</w:t>
      </w:r>
    </w:p>
    <w:p>
      <w:pPr>
        <w:spacing w:after="120"/>
        <w:jc w:val="both"/>
      </w:pPr>
      <w:r>
        <w:rPr>
          <w:rFonts w:ascii="Cambria" w:hAnsi="Cambria"/>
          <w:b w:val="0"/>
          <w:i w:val="0"/>
          <w:sz w:val="22"/>
        </w:rPr>
        <w:t>→ Evidence: Previous cycle attainment reports, academic performance data.</w:t>
      </w:r>
    </w:p>
    <w:p>
      <w:pPr>
        <w:spacing w:after="80"/>
        <w:ind w:left="340" w:hanging="340"/>
        <w:jc w:val="both"/>
      </w:pPr>
      <w:r>
        <w:rPr>
          <w:rFonts w:ascii="Cambria" w:hAnsi="Cambria"/>
          <w:b w:val="0"/>
          <w:i w:val="0"/>
          <w:sz w:val="22"/>
        </w:rPr>
        <w:t xml:space="preserve">2. </w:t>
      </w:r>
      <w:r>
        <w:rPr>
          <w:rFonts w:ascii="Cambria" w:hAnsi="Cambria"/>
          <w:b w:val="0"/>
          <w:i w:val="0"/>
          <w:sz w:val="22"/>
        </w:rPr>
        <w:t>Action Plans Implemented</w:t>
      </w:r>
    </w:p>
    <w:p>
      <w:pPr>
        <w:pStyle w:val="ListBullet2"/>
        <w:spacing w:after="80"/>
        <w:jc w:val="both"/>
      </w:pPr>
      <w:r>
        <w:rPr>
          <w:rFonts w:ascii="Cambria" w:hAnsi="Cambria"/>
          <w:b w:val="0"/>
          <w:i w:val="0"/>
          <w:sz w:val="22"/>
        </w:rPr>
        <w:t>Remedial classes for low-attaining COs.</w:t>
      </w:r>
    </w:p>
    <w:p>
      <w:pPr>
        <w:pStyle w:val="ListBullet2"/>
        <w:spacing w:after="80"/>
        <w:jc w:val="both"/>
      </w:pPr>
      <w:r>
        <w:rPr>
          <w:rFonts w:ascii="Cambria" w:hAnsi="Cambria"/>
          <w:b w:val="0"/>
          <w:i w:val="0"/>
          <w:sz w:val="22"/>
        </w:rPr>
        <w:t>Faculty training (FDPs) for delivery/assessment gaps.</w:t>
      </w:r>
    </w:p>
    <w:p>
      <w:pPr>
        <w:pStyle w:val="ListBullet2"/>
        <w:spacing w:after="80"/>
        <w:jc w:val="both"/>
      </w:pPr>
      <w:r>
        <w:rPr>
          <w:rFonts w:ascii="Cambria" w:hAnsi="Cambria"/>
          <w:b w:val="0"/>
          <w:i w:val="0"/>
          <w:sz w:val="22"/>
        </w:rPr>
        <w:t>Curriculum updates (bridge/add-on courses, revised lab manuals).</w:t>
      </w:r>
    </w:p>
    <w:p>
      <w:pPr>
        <w:spacing w:after="120"/>
        <w:jc w:val="both"/>
      </w:pPr>
      <w:r>
        <w:rPr>
          <w:rFonts w:ascii="Cambria" w:hAnsi="Cambria"/>
          <w:b w:val="0"/>
          <w:i w:val="0"/>
          <w:sz w:val="22"/>
        </w:rPr>
        <w:t>→ Evidence: Action Taken Reports (ATRs), FDP reports, curriculum revision records.</w:t>
      </w:r>
    </w:p>
    <w:p>
      <w:pPr>
        <w:spacing w:after="80"/>
        <w:ind w:left="340" w:hanging="340"/>
        <w:jc w:val="both"/>
      </w:pPr>
      <w:r>
        <w:rPr>
          <w:rFonts w:ascii="Cambria" w:hAnsi="Cambria"/>
          <w:b w:val="0"/>
          <w:i w:val="0"/>
          <w:sz w:val="22"/>
        </w:rPr>
        <w:t xml:space="preserve">3. </w:t>
      </w:r>
      <w:r>
        <w:rPr>
          <w:rFonts w:ascii="Cambria" w:hAnsi="Cambria"/>
          <w:b w:val="0"/>
          <w:i w:val="0"/>
          <w:sz w:val="22"/>
        </w:rPr>
        <w:t>Measurable Improvements</w:t>
      </w:r>
    </w:p>
    <w:p>
      <w:pPr>
        <w:pStyle w:val="ListBullet2"/>
        <w:spacing w:after="80"/>
        <w:jc w:val="both"/>
      </w:pPr>
      <w:r>
        <w:rPr>
          <w:rFonts w:ascii="Cambria" w:hAnsi="Cambria"/>
          <w:b w:val="0"/>
          <w:i w:val="0"/>
          <w:sz w:val="22"/>
        </w:rPr>
        <w:t>Attainment levels compared YoY.</w:t>
      </w:r>
    </w:p>
    <w:p>
      <w:pPr>
        <w:pStyle w:val="ListBullet2"/>
        <w:spacing w:after="80"/>
        <w:jc w:val="both"/>
      </w:pPr>
      <w:r>
        <w:rPr>
          <w:rFonts w:ascii="Cambria" w:hAnsi="Cambria"/>
          <w:b w:val="0"/>
          <w:i w:val="0"/>
          <w:sz w:val="22"/>
        </w:rPr>
        <w:t>Backlog % reduced, student satisfaction improved, publications/projects increased.</w:t>
      </w:r>
    </w:p>
    <w:p>
      <w:pPr>
        <w:spacing w:after="120"/>
        <w:jc w:val="both"/>
      </w:pPr>
      <w:r>
        <w:rPr>
          <w:rFonts w:ascii="Cambria" w:hAnsi="Cambria"/>
          <w:b w:val="0"/>
          <w:i w:val="0"/>
          <w:sz w:val="22"/>
        </w:rPr>
        <w:t>→ Evidence: Consolidated attainment sheets, student survey reports, project/thesis quality reports.</w:t>
      </w:r>
    </w:p>
    <w:p>
      <w:pPr>
        <w:spacing w:after="80"/>
        <w:ind w:left="340" w:hanging="340"/>
        <w:jc w:val="both"/>
      </w:pPr>
      <w:r>
        <w:rPr>
          <w:rFonts w:ascii="Cambria" w:hAnsi="Cambria"/>
          <w:b w:val="0"/>
          <w:i w:val="0"/>
          <w:sz w:val="22"/>
        </w:rPr>
        <w:t xml:space="preserve">4. </w:t>
      </w:r>
      <w:r>
        <w:rPr>
          <w:rFonts w:ascii="Cambria" w:hAnsi="Cambria"/>
          <w:b w:val="0"/>
          <w:i w:val="0"/>
          <w:sz w:val="22"/>
        </w:rPr>
        <w:t>Documented Feedback–Action–Impact Chain</w:t>
      </w:r>
    </w:p>
    <w:p>
      <w:pPr>
        <w:pStyle w:val="ListBullet2"/>
        <w:spacing w:after="80"/>
        <w:jc w:val="both"/>
      </w:pPr>
      <w:r>
        <w:rPr>
          <w:rFonts w:ascii="Cambria" w:hAnsi="Cambria"/>
          <w:b w:val="0"/>
          <w:i w:val="0"/>
          <w:sz w:val="22"/>
        </w:rPr>
        <w:t>Student/faculty feedback → Action Taken → Improvement observed.</w:t>
      </w:r>
    </w:p>
    <w:p>
      <w:pPr>
        <w:spacing w:after="120"/>
        <w:jc w:val="both"/>
      </w:pPr>
      <w:r>
        <w:rPr>
          <w:rFonts w:ascii="Cambria" w:hAnsi="Cambria"/>
          <w:b w:val="0"/>
          <w:i w:val="0"/>
          <w:sz w:val="22"/>
        </w:rPr>
        <w:t>→ Evidence: Feedback forms, ATRs, improvement metrics.</w:t>
      </w:r>
    </w:p>
    <w:p>
      <w:pPr>
        <w:keepNext/>
        <w:spacing w:before="280" w:after="160"/>
        <w:jc w:val="left"/>
      </w:pPr>
      <w:r>
        <w:rPr>
          <w:rFonts w:ascii="Cambria" w:hAnsi="Cambria"/>
          <w:b/>
          <w:i w:val="0"/>
          <w:color w:val="1F3A5F"/>
          <w:sz w:val="26"/>
        </w:rPr>
        <w:t>Tangible Outcomes Showing CQI</w:t>
      </w:r>
    </w:p>
    <w:p>
      <w:pPr>
        <w:pStyle w:val="ListBullet"/>
        <w:spacing w:after="80"/>
        <w:jc w:val="both"/>
      </w:pPr>
      <w:r>
        <w:rPr>
          <w:rFonts w:ascii="Cambria" w:hAnsi="Cambria"/>
          <w:b w:val="0"/>
          <w:i w:val="0"/>
          <w:sz w:val="22"/>
        </w:rPr>
        <w:t>CO attainment improved from 72% → 78% (+6% YoY).</w:t>
      </w:r>
    </w:p>
    <w:p>
      <w:pPr>
        <w:pStyle w:val="ListBullet"/>
        <w:spacing w:after="80"/>
        <w:jc w:val="both"/>
      </w:pPr>
      <w:r>
        <w:rPr>
          <w:rFonts w:ascii="Cambria" w:hAnsi="Cambria"/>
          <w:b w:val="0"/>
          <w:i w:val="0"/>
          <w:sz w:val="22"/>
        </w:rPr>
        <w:t>Student backlogs reduced from 18% → 10%.</w:t>
      </w:r>
    </w:p>
    <w:p>
      <w:pPr>
        <w:pStyle w:val="ListBullet"/>
        <w:spacing w:after="80"/>
        <w:jc w:val="both"/>
      </w:pPr>
      <w:r>
        <w:rPr>
          <w:rFonts w:ascii="Cambria" w:hAnsi="Cambria"/>
          <w:b w:val="0"/>
          <w:i w:val="0"/>
          <w:sz w:val="22"/>
        </w:rPr>
        <w:t>Student satisfaction with teaching-learning ↑ from 3.8 → 4.4/5.</w:t>
      </w:r>
    </w:p>
    <w:p>
      <w:pPr>
        <w:pStyle w:val="ListBullet"/>
        <w:spacing w:after="80"/>
        <w:jc w:val="both"/>
      </w:pPr>
      <w:r>
        <w:rPr>
          <w:rFonts w:ascii="Cambria" w:hAnsi="Cambria"/>
          <w:b w:val="0"/>
          <w:i w:val="0"/>
          <w:sz w:val="22"/>
        </w:rPr>
        <w:t>Faculty FDP participation ↑ 40% (capacity building).</w:t>
      </w:r>
    </w:p>
    <w:p>
      <w:pPr>
        <w:pStyle w:val="ListBullet"/>
        <w:spacing w:after="80"/>
        <w:jc w:val="both"/>
      </w:pPr>
      <w:r>
        <w:rPr>
          <w:rFonts w:ascii="Cambria" w:hAnsi="Cambria"/>
          <w:b w:val="0"/>
          <w:i w:val="0"/>
          <w:sz w:val="22"/>
        </w:rPr>
        <w:t>UG/PG project publications ↑ 15% due to better mentoring.</w:t>
      </w:r>
    </w:p>
    <w:p>
      <w:pPr>
        <w:keepNext/>
        <w:spacing w:before="280" w:after="160"/>
        <w:jc w:val="left"/>
      </w:pPr>
      <w:r>
        <w:rPr>
          <w:rFonts w:ascii="Cambria" w:hAnsi="Cambria"/>
          <w:b/>
          <w:i w:val="0"/>
          <w:color w:val="1F3A5F"/>
          <w:sz w:val="26"/>
        </w:rPr>
        <w:t>How the HoD Ensures Alignment</w:t>
      </w:r>
    </w:p>
    <w:p>
      <w:pPr>
        <w:spacing w:after="80"/>
        <w:ind w:left="340" w:hanging="340"/>
        <w:jc w:val="both"/>
      </w:pPr>
      <w:r>
        <w:rPr>
          <w:rFonts w:ascii="Cambria" w:hAnsi="Cambria"/>
          <w:b w:val="0"/>
          <w:i w:val="0"/>
          <w:sz w:val="22"/>
        </w:rPr>
        <w:t xml:space="preserve">1. </w:t>
      </w:r>
      <w:r>
        <w:rPr>
          <w:rFonts w:ascii="Cambria" w:hAnsi="Cambria"/>
          <w:b w:val="0"/>
          <w:i w:val="0"/>
          <w:sz w:val="22"/>
        </w:rPr>
        <w:t>Teaching (Delivery Stage) – II</w:t>
      </w:r>
    </w:p>
    <w:p>
      <w:pPr>
        <w:pStyle w:val="ListBullet2"/>
        <w:spacing w:after="80"/>
        <w:jc w:val="both"/>
      </w:pPr>
      <w:r>
        <w:rPr>
          <w:rFonts w:ascii="Cambria" w:hAnsi="Cambria"/>
          <w:b w:val="0"/>
          <w:i w:val="0"/>
          <w:sz w:val="22"/>
        </w:rPr>
        <w:t>Faculty prepare lesson plans mapped to COs.</w:t>
      </w:r>
    </w:p>
    <w:p>
      <w:pPr>
        <w:pStyle w:val="ListBullet2"/>
        <w:spacing w:after="80"/>
        <w:jc w:val="both"/>
      </w:pPr>
      <w:r>
        <w:rPr>
          <w:rFonts w:ascii="Cambria" w:hAnsi="Cambria"/>
          <w:b w:val="0"/>
          <w:i w:val="0"/>
          <w:sz w:val="22"/>
        </w:rPr>
        <w:t>Course files and attendance registers ensure delivery is as per academic calendar.</w:t>
      </w:r>
    </w:p>
    <w:p>
      <w:pPr>
        <w:spacing w:after="120"/>
        <w:jc w:val="both"/>
      </w:pPr>
      <w:r>
        <w:rPr>
          <w:rFonts w:ascii="Cambria" w:hAnsi="Cambria"/>
          <w:b w:val="0"/>
          <w:i w:val="0"/>
          <w:sz w:val="22"/>
        </w:rPr>
        <w:t>→ Evidence: Lesson plans, course files, attendance.</w:t>
      </w:r>
    </w:p>
    <w:p>
      <w:pPr>
        <w:spacing w:after="80"/>
        <w:ind w:left="340" w:hanging="340"/>
        <w:jc w:val="both"/>
      </w:pPr>
      <w:r>
        <w:rPr>
          <w:rFonts w:ascii="Cambria" w:hAnsi="Cambria"/>
          <w:b w:val="0"/>
          <w:i w:val="0"/>
          <w:sz w:val="22"/>
        </w:rPr>
        <w:t xml:space="preserve">2. </w:t>
      </w:r>
      <w:r>
        <w:rPr>
          <w:rFonts w:ascii="Cambria" w:hAnsi="Cambria"/>
          <w:b w:val="0"/>
          <w:i w:val="0"/>
          <w:sz w:val="22"/>
        </w:rPr>
        <w:t>Assessment (Evaluation Stage) – II</w:t>
      </w:r>
    </w:p>
    <w:p>
      <w:pPr>
        <w:pStyle w:val="ListBullet2"/>
        <w:spacing w:after="80"/>
        <w:jc w:val="both"/>
      </w:pPr>
      <w:r>
        <w:rPr>
          <w:rFonts w:ascii="Cambria" w:hAnsi="Cambria"/>
          <w:b w:val="0"/>
          <w:i w:val="0"/>
          <w:sz w:val="22"/>
        </w:rPr>
        <w:t>Internal exams, assignments, and labs designed with CO-mapped rubrics.</w:t>
      </w:r>
    </w:p>
    <w:p>
      <w:pPr>
        <w:pStyle w:val="ListBullet2"/>
        <w:spacing w:after="80"/>
        <w:jc w:val="both"/>
      </w:pPr>
      <w:r>
        <w:rPr>
          <w:rFonts w:ascii="Cambria" w:hAnsi="Cambria"/>
          <w:b w:val="0"/>
          <w:i w:val="0"/>
          <w:sz w:val="22"/>
        </w:rPr>
        <w:t>Question papers structured with Bloom's Taxonomy levels.</w:t>
      </w:r>
    </w:p>
    <w:p>
      <w:pPr>
        <w:spacing w:after="120"/>
        <w:jc w:val="both"/>
      </w:pPr>
      <w:r>
        <w:rPr>
          <w:rFonts w:ascii="Cambria" w:hAnsi="Cambria"/>
          <w:b w:val="0"/>
          <w:i w:val="0"/>
          <w:sz w:val="22"/>
        </w:rPr>
        <w:t>→ Evidence: Exam papers, rubrics, evaluated scripts, lab sheets.</w:t>
      </w:r>
    </w:p>
    <w:p>
      <w:pPr>
        <w:spacing w:after="80"/>
        <w:ind w:left="340" w:hanging="340"/>
        <w:jc w:val="both"/>
      </w:pPr>
      <w:r>
        <w:rPr>
          <w:rFonts w:ascii="Cambria" w:hAnsi="Cambria"/>
          <w:b w:val="0"/>
          <w:i w:val="0"/>
          <w:sz w:val="22"/>
        </w:rPr>
        <w:t xml:space="preserve">3. </w:t>
      </w:r>
      <w:r>
        <w:rPr>
          <w:rFonts w:ascii="Cambria" w:hAnsi="Cambria"/>
          <w:b w:val="0"/>
          <w:i w:val="0"/>
          <w:sz w:val="22"/>
        </w:rPr>
        <w:t>Learning Outcomes (Attainment Stage) – II</w:t>
      </w:r>
    </w:p>
    <w:p>
      <w:pPr>
        <w:pStyle w:val="ListBullet2"/>
        <w:spacing w:after="80"/>
        <w:jc w:val="both"/>
      </w:pPr>
      <w:r>
        <w:rPr>
          <w:rFonts w:ascii="Cambria" w:hAnsi="Cambria"/>
          <w:b w:val="0"/>
          <w:i w:val="0"/>
          <w:sz w:val="22"/>
        </w:rPr>
        <w:t>Student performance in exams/assignments directly linked to COs.</w:t>
      </w:r>
    </w:p>
    <w:p>
      <w:pPr>
        <w:pStyle w:val="ListBullet2"/>
        <w:spacing w:after="80"/>
        <w:jc w:val="both"/>
      </w:pPr>
      <w:r>
        <w:rPr>
          <w:rFonts w:ascii="Cambria" w:hAnsi="Cambria"/>
          <w:b w:val="0"/>
          <w:i w:val="0"/>
          <w:sz w:val="22"/>
        </w:rPr>
        <w:t>CO → PO/PSO attainment calculated through weighted averages.</w:t>
      </w:r>
    </w:p>
    <w:p>
      <w:pPr>
        <w:spacing w:after="120"/>
        <w:jc w:val="both"/>
      </w:pPr>
      <w:r>
        <w:rPr>
          <w:rFonts w:ascii="Cambria" w:hAnsi="Cambria"/>
          <w:b w:val="0"/>
          <w:i w:val="0"/>
          <w:sz w:val="22"/>
        </w:rPr>
        <w:t>→ Evidence: Attainment reports, CO–PO mapping matrices.</w:t>
      </w:r>
    </w:p>
    <w:p>
      <w:pPr>
        <w:spacing w:after="80"/>
        <w:ind w:left="340" w:hanging="340"/>
        <w:jc w:val="both"/>
      </w:pPr>
      <w:r>
        <w:rPr>
          <w:rFonts w:ascii="Cambria" w:hAnsi="Cambria"/>
          <w:b w:val="0"/>
          <w:i w:val="0"/>
          <w:sz w:val="22"/>
        </w:rPr>
        <w:t xml:space="preserve">4. </w:t>
      </w:r>
      <w:r>
        <w:rPr>
          <w:rFonts w:ascii="Cambria" w:hAnsi="Cambria"/>
          <w:b w:val="0"/>
          <w:i w:val="0"/>
          <w:sz w:val="22"/>
        </w:rPr>
        <w:t>Feedback &amp; Action (Closing the Loop)</w:t>
      </w:r>
    </w:p>
    <w:p>
      <w:pPr>
        <w:pStyle w:val="ListBullet2"/>
        <w:spacing w:after="80"/>
        <w:jc w:val="both"/>
      </w:pPr>
      <w:r>
        <w:rPr>
          <w:rFonts w:ascii="Cambria" w:hAnsi="Cambria"/>
          <w:b w:val="0"/>
          <w:i w:val="0"/>
          <w:sz w:val="22"/>
        </w:rPr>
        <w:t>Gaps identified → remedials, mentoring, FDPs for faculty.</w:t>
      </w:r>
    </w:p>
    <w:p>
      <w:pPr>
        <w:spacing w:after="120"/>
        <w:jc w:val="both"/>
      </w:pPr>
      <w:r>
        <w:rPr>
          <w:rFonts w:ascii="Cambria" w:hAnsi="Cambria"/>
          <w:b w:val="0"/>
          <w:i w:val="0"/>
          <w:sz w:val="22"/>
        </w:rPr>
        <w:t>→ Evidence: Action Taken Reports (ATRs), remedial class schedules, revised course files.</w:t>
      </w:r>
    </w:p>
    <w:p>
      <w:pPr>
        <w:keepNext/>
        <w:spacing w:before="280" w:after="160"/>
        <w:jc w:val="left"/>
      </w:pPr>
      <w:r>
        <w:rPr>
          <w:rFonts w:ascii="Cambria" w:hAnsi="Cambria"/>
          <w:b/>
          <w:i w:val="0"/>
          <w:color w:val="1F3A5F"/>
          <w:sz w:val="26"/>
        </w:rPr>
        <w:t>Tangible Outcomes (VII)</w:t>
      </w:r>
    </w:p>
    <w:p>
      <w:pPr>
        <w:pStyle w:val="ListBullet"/>
        <w:spacing w:after="80"/>
        <w:jc w:val="both"/>
      </w:pPr>
      <w:r>
        <w:rPr>
          <w:rFonts w:ascii="Cambria" w:hAnsi="Cambria"/>
          <w:b w:val="0"/>
          <w:i w:val="0"/>
          <w:sz w:val="22"/>
        </w:rPr>
        <w:t>100% courses mapped teaching → assessments → CO attainment.</w:t>
      </w:r>
    </w:p>
    <w:p>
      <w:pPr>
        <w:pStyle w:val="ListBullet"/>
        <w:spacing w:after="80"/>
        <w:jc w:val="both"/>
      </w:pPr>
      <w:r>
        <w:rPr>
          <w:rFonts w:ascii="Cambria" w:hAnsi="Cambria"/>
          <w:b w:val="0"/>
          <w:i w:val="0"/>
          <w:sz w:val="22"/>
        </w:rPr>
        <w:t>Average CO attainment improved from 72% → 78% (+6% YoY).</w:t>
      </w:r>
    </w:p>
    <w:p>
      <w:pPr>
        <w:pStyle w:val="ListBullet"/>
        <w:spacing w:after="80"/>
        <w:jc w:val="both"/>
      </w:pPr>
      <w:r>
        <w:rPr>
          <w:rFonts w:ascii="Cambria" w:hAnsi="Cambria"/>
          <w:b w:val="0"/>
          <w:i w:val="0"/>
          <w:sz w:val="22"/>
        </w:rPr>
        <w:t>Student satisfaction on teaching-learning ↑ from 3.8 → 4.4/5.</w:t>
      </w:r>
    </w:p>
    <w:p>
      <w:pPr>
        <w:pStyle w:val="ListBullet"/>
        <w:spacing w:after="80"/>
        <w:jc w:val="both"/>
      </w:pPr>
      <w:r>
        <w:rPr>
          <w:rFonts w:ascii="Cambria" w:hAnsi="Cambria"/>
          <w:b w:val="0"/>
          <w:i w:val="0"/>
          <w:sz w:val="22"/>
        </w:rPr>
        <w:t>Backlogs reduced from 18% → 10% with remedial actions.</w:t>
      </w:r>
    </w:p>
    <w:p>
      <w:pPr>
        <w:spacing w:after="120"/>
        <w:jc w:val="both"/>
      </w:pPr>
      <w:r>
        <w:rPr>
          <w:rFonts w:ascii="Cambria" w:hAnsi="Cambria"/>
          <w:b w:val="0"/>
          <w:i w:val="0"/>
          <w:sz w:val="22"/>
        </w:rPr>
        <w:t xml:space="preserve">92% students agreed: </w:t>
      </w:r>
      <w:r>
        <w:rPr>
          <w:rFonts w:ascii="Cambria" w:hAnsi="Cambria"/>
          <w:b/>
          <w:i w:val="0"/>
          <w:sz w:val="22"/>
        </w:rPr>
        <w:t>“Assessments reflected what was taught in class.”</w:t>
      </w:r>
    </w:p>
    <w:p>
      <w:pPr>
        <w:keepNext/>
        <w:spacing w:before="280" w:after="160"/>
        <w:jc w:val="left"/>
      </w:pPr>
      <w:r>
        <w:rPr>
          <w:rFonts w:ascii="Cambria" w:hAnsi="Cambria"/>
          <w:b/>
          <w:i w:val="0"/>
          <w:color w:val="1F3A5F"/>
          <w:sz w:val="26"/>
        </w:rPr>
        <w:t>How Seamless Linkage is Ensured</w:t>
      </w:r>
    </w:p>
    <w:p>
      <w:pPr>
        <w:spacing w:after="80"/>
        <w:ind w:left="340" w:hanging="340"/>
        <w:jc w:val="both"/>
      </w:pPr>
      <w:r>
        <w:rPr>
          <w:rFonts w:ascii="Cambria" w:hAnsi="Cambria"/>
          <w:b w:val="0"/>
          <w:i w:val="0"/>
          <w:sz w:val="22"/>
        </w:rPr>
        <w:t xml:space="preserve">1. </w:t>
      </w:r>
      <w:r>
        <w:rPr>
          <w:rFonts w:ascii="Cambria" w:hAnsi="Cambria"/>
          <w:b w:val="0"/>
          <w:i w:val="0"/>
          <w:sz w:val="22"/>
        </w:rPr>
        <w:t>Teaching Stage</w:t>
      </w:r>
    </w:p>
    <w:p>
      <w:pPr>
        <w:pStyle w:val="ListBullet2"/>
        <w:spacing w:after="80"/>
        <w:jc w:val="both"/>
      </w:pPr>
      <w:r>
        <w:rPr>
          <w:rFonts w:ascii="Cambria" w:hAnsi="Cambria"/>
          <w:b w:val="0"/>
          <w:i w:val="0"/>
          <w:sz w:val="22"/>
        </w:rPr>
        <w:t>Faculty create lesson plans mapped to COs.</w:t>
      </w:r>
    </w:p>
    <w:p>
      <w:pPr>
        <w:pStyle w:val="ListBullet2"/>
        <w:spacing w:after="80"/>
        <w:jc w:val="both"/>
      </w:pPr>
      <w:r>
        <w:rPr>
          <w:rFonts w:ascii="Cambria" w:hAnsi="Cambria"/>
          <w:b w:val="0"/>
          <w:i w:val="0"/>
          <w:sz w:val="22"/>
        </w:rPr>
        <w:t>Course files document weekly coverage and learning outcomes.</w:t>
      </w:r>
    </w:p>
    <w:p>
      <w:pPr>
        <w:pStyle w:val="ListBullet2"/>
        <w:spacing w:after="80"/>
        <w:jc w:val="both"/>
      </w:pPr>
      <w:r>
        <w:rPr>
          <w:rFonts w:ascii="Cambria" w:hAnsi="Cambria"/>
          <w:b w:val="0"/>
          <w:i w:val="0"/>
          <w:sz w:val="22"/>
        </w:rPr>
        <w:t>Attendance registers confirm delivery.</w:t>
      </w:r>
    </w:p>
    <w:p>
      <w:pPr>
        <w:spacing w:after="120"/>
        <w:jc w:val="both"/>
      </w:pPr>
      <w:r>
        <w:rPr>
          <w:rFonts w:ascii="Cambria" w:hAnsi="Cambria"/>
          <w:b w:val="0"/>
          <w:i w:val="0"/>
          <w:sz w:val="22"/>
        </w:rPr>
        <w:t>→ Evidence: Lesson plans, course files, attendance records.</w:t>
      </w:r>
    </w:p>
    <w:p>
      <w:pPr>
        <w:spacing w:after="80"/>
        <w:ind w:left="340" w:hanging="340"/>
        <w:jc w:val="both"/>
      </w:pPr>
      <w:r>
        <w:rPr>
          <w:rFonts w:ascii="Cambria" w:hAnsi="Cambria"/>
          <w:b w:val="0"/>
          <w:i w:val="0"/>
          <w:sz w:val="22"/>
        </w:rPr>
        <w:t xml:space="preserve">2. </w:t>
      </w:r>
      <w:r>
        <w:rPr>
          <w:rFonts w:ascii="Cambria" w:hAnsi="Cambria"/>
          <w:b w:val="0"/>
          <w:i w:val="0"/>
          <w:sz w:val="22"/>
        </w:rPr>
        <w:t>Assessment Stage</w:t>
      </w:r>
    </w:p>
    <w:p>
      <w:pPr>
        <w:pStyle w:val="ListBullet2"/>
        <w:spacing w:after="80"/>
        <w:jc w:val="both"/>
      </w:pPr>
      <w:r>
        <w:rPr>
          <w:rFonts w:ascii="Cambria" w:hAnsi="Cambria"/>
          <w:b w:val="0"/>
          <w:i w:val="0"/>
          <w:sz w:val="22"/>
        </w:rPr>
        <w:t>Internal exams and assignments are directly mapped to COs taught in class.</w:t>
      </w:r>
    </w:p>
    <w:p>
      <w:pPr>
        <w:pStyle w:val="ListBullet2"/>
        <w:spacing w:after="80"/>
        <w:jc w:val="both"/>
      </w:pPr>
      <w:r>
        <w:rPr>
          <w:rFonts w:ascii="Cambria" w:hAnsi="Cambria"/>
          <w:b w:val="0"/>
          <w:i w:val="0"/>
          <w:sz w:val="22"/>
        </w:rPr>
        <w:t>Question papers structured using Bloom's Taxonomy levels (L1–L6).</w:t>
      </w:r>
    </w:p>
    <w:p>
      <w:pPr>
        <w:pStyle w:val="ListBullet2"/>
        <w:spacing w:after="80"/>
        <w:jc w:val="both"/>
      </w:pPr>
      <w:r>
        <w:rPr>
          <w:rFonts w:ascii="Cambria" w:hAnsi="Cambria"/>
          <w:b w:val="0"/>
          <w:i w:val="0"/>
          <w:sz w:val="22"/>
        </w:rPr>
        <w:t>Lab evaluations, projects, and thesis aligned with COs/POs.</w:t>
      </w:r>
    </w:p>
    <w:p>
      <w:pPr>
        <w:spacing w:after="120"/>
        <w:jc w:val="both"/>
      </w:pPr>
      <w:r>
        <w:rPr>
          <w:rFonts w:ascii="Cambria" w:hAnsi="Cambria"/>
          <w:b w:val="0"/>
          <w:i w:val="0"/>
          <w:sz w:val="22"/>
        </w:rPr>
        <w:t>→ Evidence: Question papers, rubrics, evaluated answer scripts, lab records.</w:t>
      </w:r>
    </w:p>
    <w:p>
      <w:pPr>
        <w:spacing w:after="80"/>
        <w:ind w:left="340" w:hanging="340"/>
        <w:jc w:val="both"/>
      </w:pPr>
      <w:r>
        <w:rPr>
          <w:rFonts w:ascii="Cambria" w:hAnsi="Cambria"/>
          <w:b w:val="0"/>
          <w:i w:val="0"/>
          <w:sz w:val="22"/>
        </w:rPr>
        <w:t xml:space="preserve">3. </w:t>
      </w:r>
      <w:r>
        <w:rPr>
          <w:rFonts w:ascii="Cambria" w:hAnsi="Cambria"/>
          <w:b w:val="0"/>
          <w:i w:val="0"/>
          <w:sz w:val="22"/>
        </w:rPr>
        <w:t>Outcome Stage</w:t>
      </w:r>
    </w:p>
    <w:p>
      <w:pPr>
        <w:pStyle w:val="ListBullet2"/>
        <w:spacing w:after="80"/>
        <w:jc w:val="both"/>
      </w:pPr>
      <w:r>
        <w:rPr>
          <w:rFonts w:ascii="Cambria" w:hAnsi="Cambria"/>
          <w:b w:val="0"/>
          <w:i w:val="0"/>
          <w:sz w:val="22"/>
        </w:rPr>
        <w:t>Attainment calculated → teaching inputs vs assessment outputs.</w:t>
      </w:r>
    </w:p>
    <w:p>
      <w:pPr>
        <w:pStyle w:val="ListBullet2"/>
        <w:spacing w:after="80"/>
        <w:jc w:val="both"/>
      </w:pPr>
      <w:r>
        <w:rPr>
          <w:rFonts w:ascii="Cambria" w:hAnsi="Cambria"/>
          <w:b w:val="0"/>
          <w:i w:val="0"/>
          <w:sz w:val="22"/>
        </w:rPr>
        <w:t>PO/PSO attainment traced from consolidated CO results.</w:t>
      </w:r>
    </w:p>
    <w:p>
      <w:pPr>
        <w:spacing w:after="120"/>
        <w:jc w:val="both"/>
      </w:pPr>
      <w:r>
        <w:rPr>
          <w:rFonts w:ascii="Cambria" w:hAnsi="Cambria"/>
          <w:b w:val="0"/>
          <w:i w:val="0"/>
          <w:sz w:val="22"/>
        </w:rPr>
        <w:t>→ Evidence: CO–PO attainment matrices, attainment summary reports.</w:t>
      </w:r>
    </w:p>
    <w:p>
      <w:pPr>
        <w:spacing w:after="80"/>
        <w:ind w:left="340" w:hanging="340"/>
        <w:jc w:val="both"/>
      </w:pPr>
      <w:r>
        <w:rPr>
          <w:rFonts w:ascii="Cambria" w:hAnsi="Cambria"/>
          <w:b w:val="0"/>
          <w:i w:val="0"/>
          <w:sz w:val="22"/>
        </w:rPr>
        <w:t xml:space="preserve">4. </w:t>
      </w:r>
      <w:r>
        <w:rPr>
          <w:rFonts w:ascii="Cambria" w:hAnsi="Cambria"/>
          <w:b w:val="0"/>
          <w:i w:val="0"/>
          <w:sz w:val="22"/>
        </w:rPr>
        <w:t>Action Stage (if linkage gaps found)</w:t>
      </w:r>
    </w:p>
    <w:p>
      <w:pPr>
        <w:pStyle w:val="ListBullet2"/>
        <w:spacing w:after="80"/>
        <w:jc w:val="both"/>
      </w:pPr>
      <w:r>
        <w:rPr>
          <w:rFonts w:ascii="Cambria" w:hAnsi="Cambria"/>
          <w:b w:val="0"/>
          <w:i w:val="0"/>
          <w:sz w:val="22"/>
        </w:rPr>
        <w:t>ATRs used to revise teaching plans or assessment methods.</w:t>
      </w:r>
    </w:p>
    <w:p>
      <w:pPr>
        <w:pStyle w:val="ListBullet2"/>
        <w:spacing w:after="80"/>
        <w:jc w:val="both"/>
      </w:pPr>
      <w:r>
        <w:rPr>
          <w:rFonts w:ascii="Cambria" w:hAnsi="Cambria"/>
          <w:b w:val="0"/>
          <w:i w:val="0"/>
          <w:sz w:val="22"/>
        </w:rPr>
        <w:t>Remedials, mentoring, and re-evaluation implemented.</w:t>
      </w:r>
    </w:p>
    <w:p>
      <w:pPr>
        <w:spacing w:after="120"/>
        <w:jc w:val="both"/>
      </w:pPr>
      <w:r>
        <w:rPr>
          <w:rFonts w:ascii="Cambria" w:hAnsi="Cambria"/>
          <w:b w:val="0"/>
          <w:i w:val="0"/>
          <w:sz w:val="22"/>
        </w:rPr>
        <w:t>→ Evidence: ATRs, revised course plans, remedial schedules.</w:t>
      </w:r>
    </w:p>
    <w:p>
      <w:pPr>
        <w:keepNext/>
        <w:spacing w:before="280" w:after="160"/>
        <w:jc w:val="left"/>
      </w:pPr>
      <w:r>
        <w:rPr>
          <w:rFonts w:ascii="Cambria" w:hAnsi="Cambria"/>
          <w:b/>
          <w:i w:val="0"/>
          <w:color w:val="1F3A5F"/>
          <w:sz w:val="26"/>
        </w:rPr>
        <w:t>Tangible Outcomes (VIII)</w:t>
      </w:r>
    </w:p>
    <w:p>
      <w:pPr>
        <w:pStyle w:val="ListBullet"/>
        <w:spacing w:after="80"/>
        <w:jc w:val="both"/>
      </w:pPr>
      <w:r>
        <w:rPr>
          <w:rFonts w:ascii="Cambria" w:hAnsi="Cambria"/>
          <w:b w:val="0"/>
          <w:i w:val="0"/>
          <w:sz w:val="22"/>
        </w:rPr>
        <w:t>100% courses had assessments mapped to COs taught in class.</w:t>
      </w:r>
    </w:p>
    <w:p>
      <w:pPr>
        <w:pStyle w:val="ListBullet"/>
        <w:spacing w:after="80"/>
        <w:jc w:val="both"/>
      </w:pPr>
      <w:r>
        <w:rPr>
          <w:rFonts w:ascii="Cambria" w:hAnsi="Cambria"/>
          <w:b w:val="0"/>
          <w:i w:val="0"/>
          <w:sz w:val="22"/>
        </w:rPr>
        <w:t>CO attainment improved from 72% → 78% (+6% YoY).</w:t>
      </w:r>
    </w:p>
    <w:p>
      <w:pPr>
        <w:spacing w:after="120"/>
        <w:jc w:val="both"/>
      </w:pPr>
      <w:r>
        <w:rPr>
          <w:rFonts w:ascii="Cambria" w:hAnsi="Cambria"/>
          <w:b w:val="0"/>
          <w:i w:val="0"/>
          <w:sz w:val="22"/>
        </w:rPr>
        <w:t xml:space="preserve">92% of students confirmed: </w:t>
      </w:r>
      <w:r>
        <w:rPr>
          <w:rFonts w:ascii="Cambria" w:hAnsi="Cambria"/>
          <w:b/>
          <w:i w:val="0"/>
          <w:sz w:val="22"/>
        </w:rPr>
        <w:t>“Exam/assignment questions reflected classroom teaching.”</w:t>
      </w:r>
    </w:p>
    <w:p>
      <w:pPr>
        <w:pStyle w:val="ListBullet"/>
        <w:spacing w:after="80"/>
        <w:jc w:val="both"/>
      </w:pPr>
      <w:r>
        <w:rPr>
          <w:rFonts w:ascii="Cambria" w:hAnsi="Cambria"/>
          <w:b w:val="0"/>
          <w:i w:val="0"/>
          <w:sz w:val="22"/>
        </w:rPr>
        <w:t>Student satisfaction on fairness of assessments ↑ from 3.6 → 4.3/5.</w:t>
      </w:r>
    </w:p>
    <w:p>
      <w:pPr>
        <w:pStyle w:val="ListBullet"/>
        <w:spacing w:after="80"/>
        <w:jc w:val="both"/>
      </w:pPr>
      <w:r>
        <w:rPr>
          <w:rFonts w:ascii="Cambria" w:hAnsi="Cambria"/>
          <w:b w:val="0"/>
          <w:i w:val="0"/>
          <w:sz w:val="22"/>
        </w:rPr>
        <w:t>Backlogs reduced from 18% → 10% due to focused remedials.</w:t>
      </w:r>
    </w:p>
    <w:p>
      <w:pPr>
        <w:keepNext/>
        <w:spacing w:before="280" w:after="160"/>
        <w:jc w:val="left"/>
      </w:pPr>
      <w:r>
        <w:rPr>
          <w:rFonts w:ascii="Cambria" w:hAnsi="Cambria"/>
          <w:b/>
          <w:i w:val="0"/>
          <w:color w:val="1F3A5F"/>
          <w:sz w:val="26"/>
        </w:rPr>
        <w:t>How This Integration is Ensured</w:t>
      </w:r>
    </w:p>
    <w:p>
      <w:pPr>
        <w:spacing w:after="80"/>
        <w:ind w:left="340" w:hanging="340"/>
        <w:jc w:val="both"/>
      </w:pPr>
      <w:r>
        <w:rPr>
          <w:rFonts w:ascii="Cambria" w:hAnsi="Cambria"/>
          <w:b w:val="0"/>
          <w:i w:val="0"/>
          <w:sz w:val="22"/>
        </w:rPr>
        <w:t xml:space="preserve">1. </w:t>
      </w:r>
      <w:r>
        <w:rPr>
          <w:rFonts w:ascii="Cambria" w:hAnsi="Cambria"/>
          <w:b w:val="0"/>
          <w:i w:val="0"/>
          <w:sz w:val="22"/>
        </w:rPr>
        <w:t>Teaching Stage – II</w:t>
      </w:r>
    </w:p>
    <w:p>
      <w:pPr>
        <w:pStyle w:val="ListBullet2"/>
        <w:spacing w:after="80"/>
        <w:jc w:val="both"/>
      </w:pPr>
      <w:r>
        <w:rPr>
          <w:rFonts w:ascii="Cambria" w:hAnsi="Cambria"/>
          <w:b w:val="0"/>
          <w:i w:val="0"/>
          <w:sz w:val="22"/>
        </w:rPr>
        <w:t>Faculty prepare lesson plans mapped to COs.</w:t>
      </w:r>
    </w:p>
    <w:p>
      <w:pPr>
        <w:pStyle w:val="ListBullet2"/>
        <w:spacing w:after="80"/>
        <w:jc w:val="both"/>
      </w:pPr>
      <w:r>
        <w:rPr>
          <w:rFonts w:ascii="Cambria" w:hAnsi="Cambria"/>
          <w:b w:val="0"/>
          <w:i w:val="0"/>
          <w:sz w:val="22"/>
        </w:rPr>
        <w:t>Course files document weekly coverage of topics.</w:t>
      </w:r>
    </w:p>
    <w:p>
      <w:pPr>
        <w:pStyle w:val="ListBullet2"/>
        <w:spacing w:after="80"/>
        <w:jc w:val="both"/>
      </w:pPr>
      <w:r>
        <w:rPr>
          <w:rFonts w:ascii="Cambria" w:hAnsi="Cambria"/>
          <w:b w:val="0"/>
          <w:i w:val="0"/>
          <w:sz w:val="22"/>
        </w:rPr>
        <w:t>Attendance registers validate actual delivery.</w:t>
      </w:r>
    </w:p>
    <w:p>
      <w:pPr>
        <w:spacing w:after="120"/>
        <w:jc w:val="both"/>
      </w:pPr>
      <w:r>
        <w:rPr>
          <w:rFonts w:ascii="Cambria" w:hAnsi="Cambria"/>
          <w:b w:val="0"/>
          <w:i w:val="0"/>
          <w:sz w:val="22"/>
        </w:rPr>
        <w:t>→ Evidence: Lesson plans, course files, attendance records.</w:t>
      </w:r>
    </w:p>
    <w:p>
      <w:pPr>
        <w:spacing w:after="80"/>
        <w:ind w:left="340" w:hanging="340"/>
        <w:jc w:val="both"/>
      </w:pPr>
      <w:r>
        <w:rPr>
          <w:rFonts w:ascii="Cambria" w:hAnsi="Cambria"/>
          <w:b w:val="0"/>
          <w:i w:val="0"/>
          <w:sz w:val="22"/>
        </w:rPr>
        <w:t xml:space="preserve">2. </w:t>
      </w:r>
      <w:r>
        <w:rPr>
          <w:rFonts w:ascii="Cambria" w:hAnsi="Cambria"/>
          <w:b w:val="0"/>
          <w:i w:val="0"/>
          <w:sz w:val="22"/>
        </w:rPr>
        <w:t>Assessment Stage – II</w:t>
      </w:r>
    </w:p>
    <w:p>
      <w:pPr>
        <w:pStyle w:val="ListBullet2"/>
        <w:spacing w:after="80"/>
        <w:jc w:val="both"/>
      </w:pPr>
      <w:r>
        <w:rPr>
          <w:rFonts w:ascii="Cambria" w:hAnsi="Cambria"/>
          <w:b w:val="0"/>
          <w:i w:val="0"/>
          <w:sz w:val="22"/>
        </w:rPr>
        <w:t>Internal exams, assignments, and labs directly linked to the same COs taught in class.</w:t>
      </w:r>
    </w:p>
    <w:p>
      <w:pPr>
        <w:pStyle w:val="ListBullet2"/>
        <w:spacing w:after="80"/>
        <w:jc w:val="both"/>
      </w:pPr>
      <w:r>
        <w:rPr>
          <w:rFonts w:ascii="Cambria" w:hAnsi="Cambria"/>
          <w:b w:val="0"/>
          <w:i w:val="0"/>
          <w:sz w:val="22"/>
        </w:rPr>
        <w:t>Question papers mapped to Bloom's Taxonomy levels (L1–L6).</w:t>
      </w:r>
    </w:p>
    <w:p>
      <w:pPr>
        <w:pStyle w:val="ListBullet2"/>
        <w:spacing w:after="80"/>
        <w:jc w:val="both"/>
      </w:pPr>
      <w:r>
        <w:rPr>
          <w:rFonts w:ascii="Cambria" w:hAnsi="Cambria"/>
          <w:b w:val="0"/>
          <w:i w:val="0"/>
          <w:sz w:val="22"/>
        </w:rPr>
        <w:t>Project/thesis rubrics ensure research outcomes are tied to course learning.</w:t>
      </w:r>
    </w:p>
    <w:p>
      <w:pPr>
        <w:spacing w:after="120"/>
        <w:jc w:val="both"/>
      </w:pPr>
      <w:r>
        <w:rPr>
          <w:rFonts w:ascii="Cambria" w:hAnsi="Cambria"/>
          <w:b w:val="0"/>
          <w:i w:val="0"/>
          <w:sz w:val="22"/>
        </w:rPr>
        <w:t>→ Evidence: Question papers, assignment rubrics, evaluated scripts, lab evaluation sheets.</w:t>
      </w:r>
    </w:p>
    <w:p>
      <w:pPr>
        <w:spacing w:after="80"/>
        <w:ind w:left="340" w:hanging="340"/>
        <w:jc w:val="both"/>
      </w:pPr>
      <w:r>
        <w:rPr>
          <w:rFonts w:ascii="Cambria" w:hAnsi="Cambria"/>
          <w:b w:val="0"/>
          <w:i w:val="0"/>
          <w:sz w:val="22"/>
        </w:rPr>
        <w:t xml:space="preserve">3. </w:t>
      </w:r>
      <w:r>
        <w:rPr>
          <w:rFonts w:ascii="Cambria" w:hAnsi="Cambria"/>
          <w:b w:val="0"/>
          <w:i w:val="0"/>
          <w:sz w:val="22"/>
        </w:rPr>
        <w:t>Attainment Stage</w:t>
      </w:r>
    </w:p>
    <w:p>
      <w:pPr>
        <w:pStyle w:val="ListBullet2"/>
        <w:spacing w:after="80"/>
        <w:jc w:val="both"/>
      </w:pPr>
      <w:r>
        <w:rPr>
          <w:rFonts w:ascii="Cambria" w:hAnsi="Cambria"/>
          <w:b w:val="0"/>
          <w:i w:val="0"/>
          <w:sz w:val="22"/>
        </w:rPr>
        <w:t>Student performance (evaluation results) mapped back to COs delivered.</w:t>
      </w:r>
    </w:p>
    <w:p>
      <w:pPr>
        <w:pStyle w:val="ListBullet2"/>
        <w:spacing w:after="80"/>
        <w:jc w:val="both"/>
      </w:pPr>
      <w:r>
        <w:rPr>
          <w:rFonts w:ascii="Cambria" w:hAnsi="Cambria"/>
          <w:b w:val="0"/>
          <w:i w:val="0"/>
          <w:sz w:val="22"/>
        </w:rPr>
        <w:t>PO/PSO attainment derived via weighted CO–PO mapping.</w:t>
      </w:r>
    </w:p>
    <w:p>
      <w:pPr>
        <w:spacing w:after="120"/>
        <w:jc w:val="both"/>
      </w:pPr>
      <w:r>
        <w:rPr>
          <w:rFonts w:ascii="Cambria" w:hAnsi="Cambria"/>
          <w:b w:val="0"/>
          <w:i w:val="0"/>
          <w:sz w:val="22"/>
        </w:rPr>
        <w:t>→ Evidence: CO attainment reports, CO–PO–PSO attainment matrices.</w:t>
      </w:r>
    </w:p>
    <w:p>
      <w:pPr>
        <w:spacing w:after="80"/>
        <w:ind w:left="340" w:hanging="340"/>
        <w:jc w:val="both"/>
      </w:pPr>
      <w:r>
        <w:rPr>
          <w:rFonts w:ascii="Cambria" w:hAnsi="Cambria"/>
          <w:b w:val="0"/>
          <w:i w:val="0"/>
          <w:sz w:val="22"/>
        </w:rPr>
        <w:t xml:space="preserve">4. </w:t>
      </w:r>
      <w:r>
        <w:rPr>
          <w:rFonts w:ascii="Cambria" w:hAnsi="Cambria"/>
          <w:b w:val="0"/>
          <w:i w:val="0"/>
          <w:sz w:val="22"/>
        </w:rPr>
        <w:t>Action Plan Stage</w:t>
      </w:r>
    </w:p>
    <w:p>
      <w:pPr>
        <w:pStyle w:val="ListBullet2"/>
        <w:spacing w:after="80"/>
        <w:jc w:val="both"/>
      </w:pPr>
      <w:r>
        <w:rPr>
          <w:rFonts w:ascii="Cambria" w:hAnsi="Cambria"/>
          <w:b w:val="0"/>
          <w:i w:val="0"/>
          <w:sz w:val="22"/>
        </w:rPr>
        <w:t>If gaps are detected → remedial classes, mentoring, FDPs for faculty.</w:t>
      </w:r>
    </w:p>
    <w:p>
      <w:pPr>
        <w:spacing w:after="120"/>
        <w:jc w:val="both"/>
      </w:pPr>
      <w:r>
        <w:rPr>
          <w:rFonts w:ascii="Cambria" w:hAnsi="Cambria"/>
          <w:b w:val="0"/>
          <w:i w:val="0"/>
          <w:sz w:val="22"/>
        </w:rPr>
        <w:t>→ Evidence: Action Taken Reports (ATRs), remedial records, revised lesson plans.</w:t>
      </w:r>
    </w:p>
    <w:p>
      <w:pPr>
        <w:keepNext/>
        <w:spacing w:before="280" w:after="160"/>
        <w:jc w:val="left"/>
      </w:pPr>
      <w:r>
        <w:rPr>
          <w:rFonts w:ascii="Cambria" w:hAnsi="Cambria"/>
          <w:b/>
          <w:i w:val="0"/>
          <w:color w:val="1F3A5F"/>
          <w:sz w:val="26"/>
        </w:rPr>
        <w:t>Tangible Outcomes (IX)</w:t>
      </w:r>
    </w:p>
    <w:p>
      <w:pPr>
        <w:pStyle w:val="ListBullet"/>
        <w:spacing w:after="80"/>
        <w:jc w:val="both"/>
      </w:pPr>
      <w:r>
        <w:rPr>
          <w:rFonts w:ascii="Cambria" w:hAnsi="Cambria"/>
          <w:b w:val="0"/>
          <w:i w:val="0"/>
          <w:sz w:val="22"/>
        </w:rPr>
        <w:t>100% courses had CO-linked teaching and CO-mapped assessments.</w:t>
      </w:r>
    </w:p>
    <w:p>
      <w:pPr>
        <w:pStyle w:val="ListBullet"/>
        <w:spacing w:after="80"/>
        <w:jc w:val="both"/>
      </w:pPr>
      <w:r>
        <w:rPr>
          <w:rFonts w:ascii="Cambria" w:hAnsi="Cambria"/>
          <w:b w:val="0"/>
          <w:i w:val="0"/>
          <w:sz w:val="22"/>
        </w:rPr>
        <w:t>Average CO attainment improved from 72% → 78% (+6% YoY).</w:t>
      </w:r>
    </w:p>
    <w:p>
      <w:pPr>
        <w:pStyle w:val="ListBullet"/>
        <w:spacing w:after="80"/>
        <w:jc w:val="both"/>
      </w:pPr>
      <w:r>
        <w:rPr>
          <w:rFonts w:ascii="Cambria" w:hAnsi="Cambria"/>
          <w:b w:val="0"/>
          <w:i w:val="0"/>
          <w:sz w:val="22"/>
        </w:rPr>
        <w:t>Student survey: 92% agreed assessments reflected what was taught in class.</w:t>
      </w:r>
    </w:p>
    <w:p>
      <w:pPr>
        <w:pStyle w:val="ListBullet"/>
        <w:spacing w:after="80"/>
        <w:jc w:val="both"/>
      </w:pPr>
      <w:r>
        <w:rPr>
          <w:rFonts w:ascii="Cambria" w:hAnsi="Cambria"/>
          <w:b w:val="0"/>
          <w:i w:val="0"/>
          <w:sz w:val="22"/>
        </w:rPr>
        <w:t>Student satisfaction with assessment fairness ↑ from 3.6 → 4.3/5.</w:t>
      </w:r>
    </w:p>
    <w:p>
      <w:pPr>
        <w:pStyle w:val="ListBullet"/>
        <w:spacing w:after="80"/>
        <w:jc w:val="both"/>
      </w:pPr>
      <w:r>
        <w:rPr>
          <w:rFonts w:ascii="Cambria" w:hAnsi="Cambria"/>
          <w:b w:val="0"/>
          <w:i w:val="0"/>
          <w:sz w:val="22"/>
        </w:rPr>
        <w:t>Backlogs reduced from 18% → 10% through corrective measures.</w:t>
      </w:r>
    </w:p>
    <w:p>
      <w:pPr>
        <w:keepNext/>
        <w:spacing w:before="280" w:after="160"/>
        <w:jc w:val="left"/>
      </w:pPr>
      <w:r>
        <w:rPr>
          <w:rFonts w:ascii="Cambria" w:hAnsi="Cambria"/>
          <w:b/>
          <w:i w:val="0"/>
          <w:color w:val="1F3A5F"/>
          <w:sz w:val="26"/>
        </w:rPr>
        <w:t>How Trust in Evaluation is Built</w:t>
      </w:r>
    </w:p>
    <w:p>
      <w:pPr>
        <w:spacing w:after="80"/>
        <w:ind w:left="340" w:hanging="340"/>
        <w:jc w:val="both"/>
      </w:pPr>
      <w:r>
        <w:rPr>
          <w:rFonts w:ascii="Cambria" w:hAnsi="Cambria"/>
          <w:b w:val="0"/>
          <w:i w:val="0"/>
          <w:sz w:val="22"/>
        </w:rPr>
        <w:t xml:space="preserve">1. </w:t>
      </w:r>
      <w:r>
        <w:rPr>
          <w:rFonts w:ascii="Cambria" w:hAnsi="Cambria"/>
          <w:b w:val="0"/>
          <w:i w:val="0"/>
          <w:sz w:val="22"/>
        </w:rPr>
        <w:t>Transparency in Teaching–Assessment Linkage</w:t>
      </w:r>
    </w:p>
    <w:p>
      <w:pPr>
        <w:pStyle w:val="ListBullet2"/>
        <w:spacing w:after="80"/>
        <w:jc w:val="both"/>
      </w:pPr>
      <w:r>
        <w:rPr>
          <w:rFonts w:ascii="Cambria" w:hAnsi="Cambria"/>
          <w:b w:val="0"/>
          <w:i w:val="0"/>
          <w:sz w:val="22"/>
        </w:rPr>
        <w:t>Lesson plans are mapped to COs.</w:t>
      </w:r>
    </w:p>
    <w:p>
      <w:pPr>
        <w:pStyle w:val="ListBullet2"/>
        <w:spacing w:after="80"/>
        <w:jc w:val="both"/>
      </w:pPr>
      <w:r>
        <w:rPr>
          <w:rFonts w:ascii="Cambria" w:hAnsi="Cambria"/>
          <w:b w:val="0"/>
          <w:i w:val="0"/>
          <w:sz w:val="22"/>
        </w:rPr>
        <w:t>Question papers, assignments, and lab tasks aligned with those COs.</w:t>
      </w:r>
    </w:p>
    <w:p>
      <w:pPr>
        <w:spacing w:after="120"/>
        <w:jc w:val="both"/>
      </w:pPr>
      <w:r>
        <w:rPr>
          <w:rFonts w:ascii="Cambria" w:hAnsi="Cambria"/>
          <w:b w:val="0"/>
          <w:i w:val="0"/>
          <w:sz w:val="22"/>
        </w:rPr>
        <w:t xml:space="preserve">→ Students know that </w:t>
      </w:r>
      <w:r>
        <w:rPr>
          <w:rFonts w:ascii="Cambria" w:hAnsi="Cambria"/>
          <w:b/>
          <w:i w:val="0"/>
          <w:sz w:val="22"/>
        </w:rPr>
        <w:t>what is taught is what is tested</w:t>
      </w:r>
      <w:r>
        <w:rPr>
          <w:rFonts w:ascii="Cambria" w:hAnsi="Cambria"/>
          <w:b w:val="0"/>
          <w:i w:val="0"/>
          <w:sz w:val="22"/>
        </w:rPr>
        <w:t>.</w:t>
      </w:r>
    </w:p>
    <w:p>
      <w:pPr>
        <w:spacing w:after="80"/>
        <w:ind w:left="340" w:hanging="340"/>
        <w:jc w:val="both"/>
      </w:pPr>
      <w:r>
        <w:rPr>
          <w:rFonts w:ascii="Cambria" w:hAnsi="Cambria"/>
          <w:b w:val="0"/>
          <w:i w:val="0"/>
          <w:sz w:val="22"/>
        </w:rPr>
        <w:t xml:space="preserve">2. </w:t>
      </w:r>
      <w:r>
        <w:rPr>
          <w:rFonts w:ascii="Cambria" w:hAnsi="Cambria"/>
          <w:b w:val="0"/>
          <w:i w:val="0"/>
          <w:sz w:val="22"/>
        </w:rPr>
        <w:t>Fairness in Assessment Design</w:t>
      </w:r>
    </w:p>
    <w:p>
      <w:pPr>
        <w:pStyle w:val="ListBullet2"/>
        <w:spacing w:after="80"/>
        <w:jc w:val="both"/>
      </w:pPr>
      <w:r>
        <w:rPr>
          <w:rFonts w:ascii="Cambria" w:hAnsi="Cambria"/>
          <w:b w:val="0"/>
          <w:i w:val="0"/>
          <w:sz w:val="22"/>
        </w:rPr>
        <w:t>Internal exam questions follow Bloom's Taxonomy (L1–L6).</w:t>
      </w:r>
    </w:p>
    <w:p>
      <w:pPr>
        <w:pStyle w:val="ListBullet2"/>
        <w:spacing w:after="80"/>
        <w:jc w:val="both"/>
      </w:pPr>
      <w:r>
        <w:rPr>
          <w:rFonts w:ascii="Cambria" w:hAnsi="Cambria"/>
          <w:b w:val="0"/>
          <w:i w:val="0"/>
          <w:sz w:val="22"/>
        </w:rPr>
        <w:t>CO-based rubrics ensure fair grading of assignments, projects, and theses.</w:t>
      </w:r>
    </w:p>
    <w:p>
      <w:pPr>
        <w:pStyle w:val="ListBullet2"/>
        <w:spacing w:after="80"/>
        <w:jc w:val="both"/>
      </w:pPr>
      <w:r>
        <w:rPr>
          <w:rFonts w:ascii="Cambria" w:hAnsi="Cambria"/>
          <w:b w:val="0"/>
          <w:i w:val="0"/>
          <w:sz w:val="22"/>
        </w:rPr>
        <w:t>Moderation reports verify exam quality and fairness.</w:t>
      </w:r>
    </w:p>
    <w:p>
      <w:pPr>
        <w:spacing w:after="80"/>
        <w:ind w:left="340" w:hanging="340"/>
        <w:jc w:val="both"/>
      </w:pPr>
      <w:r>
        <w:rPr>
          <w:rFonts w:ascii="Cambria" w:hAnsi="Cambria"/>
          <w:b w:val="0"/>
          <w:i w:val="0"/>
          <w:sz w:val="22"/>
        </w:rPr>
        <w:t xml:space="preserve">3. </w:t>
      </w:r>
      <w:r>
        <w:rPr>
          <w:rFonts w:ascii="Cambria" w:hAnsi="Cambria"/>
          <w:b w:val="0"/>
          <w:i w:val="0"/>
          <w:sz w:val="22"/>
        </w:rPr>
        <w:t>Evidence-Backed Attainment</w:t>
      </w:r>
    </w:p>
    <w:p>
      <w:pPr>
        <w:pStyle w:val="ListBullet2"/>
        <w:spacing w:after="80"/>
        <w:jc w:val="both"/>
      </w:pPr>
      <w:r>
        <w:rPr>
          <w:rFonts w:ascii="Cambria" w:hAnsi="Cambria"/>
          <w:b w:val="0"/>
          <w:i w:val="0"/>
          <w:sz w:val="22"/>
        </w:rPr>
        <w:t>Attainment reports show clear calculation of CO → PO/PSO mapping.</w:t>
      </w:r>
    </w:p>
    <w:p>
      <w:pPr>
        <w:pStyle w:val="ListBullet2"/>
        <w:spacing w:after="80"/>
        <w:jc w:val="both"/>
      </w:pPr>
      <w:r>
        <w:rPr>
          <w:rFonts w:ascii="Cambria" w:hAnsi="Cambria"/>
          <w:b w:val="0"/>
          <w:i w:val="0"/>
          <w:sz w:val="22"/>
        </w:rPr>
        <w:t>Results not arbitrary — backed by numeric evidence.</w:t>
      </w:r>
    </w:p>
    <w:p>
      <w:pPr>
        <w:spacing w:after="80"/>
        <w:ind w:left="340" w:hanging="340"/>
        <w:jc w:val="both"/>
      </w:pPr>
      <w:r>
        <w:rPr>
          <w:rFonts w:ascii="Cambria" w:hAnsi="Cambria"/>
          <w:b w:val="0"/>
          <w:i w:val="0"/>
          <w:sz w:val="22"/>
        </w:rPr>
        <w:t xml:space="preserve">4. </w:t>
      </w:r>
      <w:r>
        <w:rPr>
          <w:rFonts w:ascii="Cambria" w:hAnsi="Cambria"/>
          <w:b w:val="0"/>
          <w:i w:val="0"/>
          <w:sz w:val="22"/>
        </w:rPr>
        <w:t>Continuous Improvement Measures</w:t>
      </w:r>
    </w:p>
    <w:p>
      <w:pPr>
        <w:pStyle w:val="ListBullet2"/>
        <w:spacing w:after="80"/>
        <w:jc w:val="both"/>
      </w:pPr>
      <w:r>
        <w:rPr>
          <w:rFonts w:ascii="Cambria" w:hAnsi="Cambria"/>
          <w:b w:val="0"/>
          <w:i w:val="0"/>
          <w:sz w:val="22"/>
        </w:rPr>
        <w:t>Gaps addressed via remedial classes, bridge courses, mentoring.</w:t>
      </w:r>
    </w:p>
    <w:p>
      <w:pPr>
        <w:pStyle w:val="ListBullet2"/>
        <w:spacing w:after="80"/>
        <w:jc w:val="both"/>
      </w:pPr>
      <w:r>
        <w:rPr>
          <w:rFonts w:ascii="Cambria" w:hAnsi="Cambria"/>
          <w:b w:val="0"/>
          <w:i w:val="0"/>
          <w:sz w:val="22"/>
        </w:rPr>
        <w:t>Action Taken Reports (ATRs) shared with faculty and documented.</w:t>
      </w:r>
    </w:p>
    <w:p>
      <w:pPr>
        <w:pStyle w:val="ListBullet2"/>
        <w:spacing w:after="80"/>
        <w:jc w:val="both"/>
      </w:pPr>
      <w:r>
        <w:rPr>
          <w:rFonts w:ascii="Cambria" w:hAnsi="Cambria"/>
          <w:b w:val="0"/>
          <w:i w:val="0"/>
          <w:sz w:val="22"/>
        </w:rPr>
        <w:t>Builds confidence that weak areas are acted upon systematically.</w:t>
      </w:r>
    </w:p>
    <w:p>
      <w:pPr>
        <w:keepNext/>
        <w:spacing w:before="280" w:after="160"/>
        <w:jc w:val="left"/>
      </w:pPr>
      <w:r>
        <w:rPr>
          <w:rFonts w:ascii="Cambria" w:hAnsi="Cambria"/>
          <w:b/>
          <w:i w:val="0"/>
          <w:color w:val="1F3A5F"/>
          <w:sz w:val="26"/>
        </w:rPr>
        <w:t>Tangible Outcomes (X)</w:t>
      </w:r>
    </w:p>
    <w:p>
      <w:pPr>
        <w:pStyle w:val="ListBullet"/>
        <w:spacing w:after="80"/>
        <w:jc w:val="both"/>
      </w:pPr>
      <w:r>
        <w:rPr>
          <w:rFonts w:ascii="Cambria" w:hAnsi="Cambria"/>
          <w:b w:val="0"/>
          <w:i w:val="0"/>
          <w:sz w:val="22"/>
        </w:rPr>
        <w:t>100% courses had transparent CO-mapped assessments.</w:t>
      </w:r>
    </w:p>
    <w:p>
      <w:pPr>
        <w:pStyle w:val="ListBullet"/>
        <w:spacing w:after="80"/>
        <w:jc w:val="both"/>
      </w:pPr>
      <w:r>
        <w:rPr>
          <w:rFonts w:ascii="Cambria" w:hAnsi="Cambria"/>
          <w:b w:val="0"/>
          <w:i w:val="0"/>
          <w:sz w:val="22"/>
        </w:rPr>
        <w:t>Student feedback: 92% agreed assessments reflected classroom teaching.</w:t>
      </w:r>
    </w:p>
    <w:p>
      <w:pPr>
        <w:pStyle w:val="ListBullet"/>
        <w:spacing w:after="80"/>
        <w:jc w:val="both"/>
      </w:pPr>
      <w:r>
        <w:rPr>
          <w:rFonts w:ascii="Cambria" w:hAnsi="Cambria"/>
          <w:b w:val="0"/>
          <w:i w:val="0"/>
          <w:sz w:val="22"/>
        </w:rPr>
        <w:t>Satisfaction with fairness of exams ↑ from 3.6 → 4.3/5.</w:t>
      </w:r>
    </w:p>
    <w:p>
      <w:pPr>
        <w:pStyle w:val="ListBullet"/>
        <w:spacing w:after="80"/>
        <w:jc w:val="both"/>
      </w:pPr>
      <w:r>
        <w:rPr>
          <w:rFonts w:ascii="Cambria" w:hAnsi="Cambria"/>
          <w:b w:val="0"/>
          <w:i w:val="0"/>
          <w:sz w:val="22"/>
        </w:rPr>
        <w:t>Backlogs reduced from 18% → 10% due to fair and remedial-focused evaluation.</w:t>
      </w:r>
    </w:p>
    <w:p>
      <w:pPr>
        <w:spacing w:after="120"/>
        <w:jc w:val="both"/>
      </w:pPr>
      <w:r>
        <w:rPr>
          <w:rFonts w:ascii="Cambria" w:hAnsi="Cambria"/>
          <w:b w:val="0"/>
          <w:i w:val="0"/>
          <w:sz w:val="22"/>
        </w:rPr>
        <w:t xml:space="preserve">External examiner reviews rated internal assessments </w:t>
      </w:r>
      <w:r>
        <w:rPr>
          <w:rFonts w:ascii="Cambria" w:hAnsi="Cambria"/>
          <w:b/>
          <w:i w:val="0"/>
          <w:sz w:val="22"/>
        </w:rPr>
        <w:t>“Highly Fair &amp; Aligned”</w:t>
      </w:r>
      <w:r>
        <w:rPr>
          <w:rFonts w:ascii="Cambria" w:hAnsi="Cambria"/>
          <w:b w:val="0"/>
          <w:i w:val="0"/>
          <w:sz w:val="22"/>
        </w:rPr>
        <w:t xml:space="preserve"> (4.5/5).</w:t>
      </w:r>
    </w:p>
    <w:p>
      <w:pPr>
        <w:keepNext/>
        <w:spacing w:before="280" w:after="160"/>
        <w:jc w:val="left"/>
      </w:pPr>
      <w:r>
        <w:rPr>
          <w:rFonts w:ascii="Cambria" w:hAnsi="Cambria"/>
          <w:b/>
          <w:i w:val="0"/>
          <w:color w:val="1F3A5F"/>
          <w:sz w:val="26"/>
        </w:rPr>
        <w:t>How Mismatch is Prevented</w:t>
      </w:r>
    </w:p>
    <w:p>
      <w:pPr>
        <w:spacing w:after="80"/>
        <w:ind w:left="340" w:hanging="340"/>
        <w:jc w:val="both"/>
      </w:pPr>
      <w:r>
        <w:rPr>
          <w:rFonts w:ascii="Cambria" w:hAnsi="Cambria"/>
          <w:b w:val="0"/>
          <w:i w:val="0"/>
          <w:sz w:val="22"/>
        </w:rPr>
        <w:t xml:space="preserve">1. </w:t>
      </w:r>
      <w:r>
        <w:rPr>
          <w:rFonts w:ascii="Cambria" w:hAnsi="Cambria"/>
          <w:b w:val="0"/>
          <w:i w:val="0"/>
          <w:sz w:val="22"/>
        </w:rPr>
        <w:t>Aligned Teaching</w:t>
      </w:r>
    </w:p>
    <w:p>
      <w:pPr>
        <w:pStyle w:val="ListBullet2"/>
        <w:spacing w:after="80"/>
        <w:jc w:val="both"/>
      </w:pPr>
      <w:r>
        <w:rPr>
          <w:rFonts w:ascii="Cambria" w:hAnsi="Cambria"/>
          <w:b w:val="0"/>
          <w:i w:val="0"/>
          <w:sz w:val="22"/>
        </w:rPr>
        <w:t>Lesson plans created with CO mapping.</w:t>
      </w:r>
    </w:p>
    <w:p>
      <w:pPr>
        <w:pStyle w:val="ListBullet2"/>
        <w:spacing w:after="80"/>
        <w:jc w:val="both"/>
      </w:pPr>
      <w:r>
        <w:rPr>
          <w:rFonts w:ascii="Cambria" w:hAnsi="Cambria"/>
          <w:b w:val="0"/>
          <w:i w:val="0"/>
          <w:sz w:val="22"/>
        </w:rPr>
        <w:t>Weekly coverage documented in course files.</w:t>
      </w:r>
    </w:p>
    <w:p>
      <w:pPr>
        <w:pStyle w:val="ListBullet2"/>
        <w:spacing w:after="80"/>
        <w:jc w:val="both"/>
      </w:pPr>
      <w:r>
        <w:rPr>
          <w:rFonts w:ascii="Cambria" w:hAnsi="Cambria"/>
          <w:b w:val="0"/>
          <w:i w:val="0"/>
          <w:sz w:val="22"/>
        </w:rPr>
        <w:t>Attendance registers validate delivery.</w:t>
      </w:r>
    </w:p>
    <w:p>
      <w:pPr>
        <w:spacing w:after="120"/>
        <w:jc w:val="both"/>
      </w:pPr>
      <w:r>
        <w:rPr>
          <w:rFonts w:ascii="Cambria" w:hAnsi="Cambria"/>
          <w:b w:val="0"/>
          <w:i w:val="0"/>
          <w:sz w:val="22"/>
        </w:rPr>
        <w:t>→ Evidence: Lesson plans, course files, attendance logs.</w:t>
      </w:r>
    </w:p>
    <w:p>
      <w:pPr>
        <w:spacing w:after="80"/>
        <w:ind w:left="340" w:hanging="340"/>
        <w:jc w:val="both"/>
      </w:pPr>
      <w:r>
        <w:rPr>
          <w:rFonts w:ascii="Cambria" w:hAnsi="Cambria"/>
          <w:b w:val="0"/>
          <w:i w:val="0"/>
          <w:sz w:val="22"/>
        </w:rPr>
        <w:t xml:space="preserve">2. </w:t>
      </w:r>
      <w:r>
        <w:rPr>
          <w:rFonts w:ascii="Cambria" w:hAnsi="Cambria"/>
          <w:b w:val="0"/>
          <w:i w:val="0"/>
          <w:sz w:val="22"/>
        </w:rPr>
        <w:t>Aligned Assessment</w:t>
      </w:r>
    </w:p>
    <w:p>
      <w:pPr>
        <w:pStyle w:val="ListBullet2"/>
        <w:spacing w:after="80"/>
        <w:jc w:val="both"/>
      </w:pPr>
      <w:r>
        <w:rPr>
          <w:rFonts w:ascii="Cambria" w:hAnsi="Cambria"/>
          <w:b w:val="0"/>
          <w:i w:val="0"/>
          <w:sz w:val="22"/>
        </w:rPr>
        <w:t>Internal exams, assignments, labs, and projects designed from the same COs taught.</w:t>
      </w:r>
    </w:p>
    <w:p>
      <w:pPr>
        <w:pStyle w:val="ListBullet2"/>
        <w:spacing w:after="80"/>
        <w:jc w:val="both"/>
      </w:pPr>
      <w:r>
        <w:rPr>
          <w:rFonts w:ascii="Cambria" w:hAnsi="Cambria"/>
          <w:b w:val="0"/>
          <w:i w:val="0"/>
          <w:sz w:val="22"/>
        </w:rPr>
        <w:t>Question papers mapped to Bloom's Taxonomy levels (L1–L6).</w:t>
      </w:r>
    </w:p>
    <w:p>
      <w:pPr>
        <w:pStyle w:val="ListBullet2"/>
        <w:spacing w:after="80"/>
        <w:jc w:val="both"/>
      </w:pPr>
      <w:r>
        <w:rPr>
          <w:rFonts w:ascii="Cambria" w:hAnsi="Cambria"/>
          <w:b w:val="0"/>
          <w:i w:val="0"/>
          <w:sz w:val="22"/>
        </w:rPr>
        <w:t>Rubrics ensure evaluation criteria are consistent with course delivery.</w:t>
      </w:r>
    </w:p>
    <w:p>
      <w:pPr>
        <w:spacing w:after="120"/>
        <w:jc w:val="both"/>
      </w:pPr>
      <w:r>
        <w:rPr>
          <w:rFonts w:ascii="Cambria" w:hAnsi="Cambria"/>
          <w:b w:val="0"/>
          <w:i w:val="0"/>
          <w:sz w:val="22"/>
        </w:rPr>
        <w:t>→ Evidence: Question papers, rubrics, evaluated answer scripts, lab records.</w:t>
      </w:r>
    </w:p>
    <w:p>
      <w:pPr>
        <w:spacing w:after="80"/>
        <w:ind w:left="340" w:hanging="340"/>
        <w:jc w:val="both"/>
      </w:pPr>
      <w:r>
        <w:rPr>
          <w:rFonts w:ascii="Cambria" w:hAnsi="Cambria"/>
          <w:b w:val="0"/>
          <w:i w:val="0"/>
          <w:sz w:val="22"/>
        </w:rPr>
        <w:t xml:space="preserve">3. </w:t>
      </w:r>
      <w:r>
        <w:rPr>
          <w:rFonts w:ascii="Cambria" w:hAnsi="Cambria"/>
          <w:b w:val="0"/>
          <w:i w:val="0"/>
          <w:sz w:val="22"/>
        </w:rPr>
        <w:t>Attainment Verification</w:t>
      </w:r>
    </w:p>
    <w:p>
      <w:pPr>
        <w:pStyle w:val="ListBullet2"/>
        <w:spacing w:after="80"/>
        <w:jc w:val="both"/>
      </w:pPr>
      <w:r>
        <w:rPr>
          <w:rFonts w:ascii="Cambria" w:hAnsi="Cambria"/>
          <w:b w:val="0"/>
          <w:i w:val="0"/>
          <w:sz w:val="22"/>
        </w:rPr>
        <w:t>Direct attainment: student performance in CO-mapped exams/assignments.</w:t>
      </w:r>
    </w:p>
    <w:p>
      <w:pPr>
        <w:pStyle w:val="ListBullet2"/>
        <w:spacing w:after="80"/>
        <w:jc w:val="both"/>
      </w:pPr>
      <w:r>
        <w:rPr>
          <w:rFonts w:ascii="Cambria" w:hAnsi="Cambria"/>
          <w:b w:val="0"/>
          <w:i w:val="0"/>
          <w:sz w:val="22"/>
        </w:rPr>
        <w:t>Indirect attainment: student feedback on whether assessments matched teaching.</w:t>
      </w:r>
    </w:p>
    <w:p>
      <w:pPr>
        <w:spacing w:after="120"/>
        <w:jc w:val="both"/>
      </w:pPr>
      <w:r>
        <w:rPr>
          <w:rFonts w:ascii="Cambria" w:hAnsi="Cambria"/>
          <w:b w:val="0"/>
          <w:i w:val="0"/>
          <w:sz w:val="22"/>
        </w:rPr>
        <w:t>→ Evidence: CO attainment sheets, feedback reports, consolidated attainment analysis.</w:t>
      </w:r>
    </w:p>
    <w:p>
      <w:pPr>
        <w:spacing w:after="80"/>
        <w:ind w:left="340" w:hanging="340"/>
        <w:jc w:val="both"/>
      </w:pPr>
      <w:r>
        <w:rPr>
          <w:rFonts w:ascii="Cambria" w:hAnsi="Cambria"/>
          <w:b w:val="0"/>
          <w:i w:val="0"/>
          <w:sz w:val="22"/>
        </w:rPr>
        <w:t xml:space="preserve">4. </w:t>
      </w:r>
      <w:r>
        <w:rPr>
          <w:rFonts w:ascii="Cambria" w:hAnsi="Cambria"/>
          <w:b w:val="0"/>
          <w:i w:val="0"/>
          <w:sz w:val="22"/>
        </w:rPr>
        <w:t>Action Plan if Gaps Found</w:t>
      </w:r>
    </w:p>
    <w:p>
      <w:pPr>
        <w:pStyle w:val="ListBullet2"/>
        <w:spacing w:after="80"/>
        <w:jc w:val="both"/>
      </w:pPr>
      <w:r>
        <w:rPr>
          <w:rFonts w:ascii="Cambria" w:hAnsi="Cambria"/>
          <w:b w:val="0"/>
          <w:i w:val="0"/>
          <w:sz w:val="22"/>
        </w:rPr>
        <w:t>If student surveys flag mismatches → corrective steps (remedial classes, restructured assessments).</w:t>
      </w:r>
    </w:p>
    <w:p>
      <w:pPr>
        <w:spacing w:after="120"/>
        <w:jc w:val="both"/>
      </w:pPr>
      <w:r>
        <w:rPr>
          <w:rFonts w:ascii="Cambria" w:hAnsi="Cambria"/>
          <w:b w:val="0"/>
          <w:i w:val="0"/>
          <w:sz w:val="22"/>
        </w:rPr>
        <w:t>→ Evidence: Action Taken Reports (ATRs), revised assessment blueprints.</w:t>
      </w:r>
    </w:p>
    <w:p>
      <w:pPr>
        <w:keepNext/>
        <w:spacing w:before="280" w:after="160"/>
        <w:jc w:val="left"/>
      </w:pPr>
      <w:r>
        <w:rPr>
          <w:rFonts w:ascii="Cambria" w:hAnsi="Cambria"/>
          <w:b/>
          <w:i w:val="0"/>
          <w:color w:val="1F3A5F"/>
          <w:sz w:val="26"/>
        </w:rPr>
        <w:t>Tangible Outcomes (XI)</w:t>
      </w:r>
    </w:p>
    <w:p>
      <w:pPr>
        <w:pStyle w:val="ListBullet"/>
        <w:spacing w:after="80"/>
        <w:jc w:val="both"/>
      </w:pPr>
      <w:r>
        <w:rPr>
          <w:rFonts w:ascii="Cambria" w:hAnsi="Cambria"/>
          <w:b w:val="0"/>
          <w:i w:val="0"/>
          <w:sz w:val="22"/>
        </w:rPr>
        <w:t>100% courses verified for CO-linked delivery and assessments.</w:t>
      </w:r>
    </w:p>
    <w:p>
      <w:pPr>
        <w:pStyle w:val="ListBullet"/>
        <w:spacing w:after="80"/>
        <w:jc w:val="both"/>
      </w:pPr>
      <w:r>
        <w:rPr>
          <w:rFonts w:ascii="Cambria" w:hAnsi="Cambria"/>
          <w:b w:val="0"/>
          <w:i w:val="0"/>
          <w:sz w:val="22"/>
        </w:rPr>
        <w:t>CO attainment improved from 72% → 78% (+6% YoY).</w:t>
      </w:r>
    </w:p>
    <w:p>
      <w:pPr>
        <w:spacing w:after="120"/>
        <w:jc w:val="both"/>
      </w:pPr>
      <w:r>
        <w:rPr>
          <w:rFonts w:ascii="Cambria" w:hAnsi="Cambria"/>
          <w:b w:val="0"/>
          <w:i w:val="0"/>
          <w:sz w:val="22"/>
        </w:rPr>
        <w:t xml:space="preserve">92% students confirmed: </w:t>
      </w:r>
      <w:r>
        <w:rPr>
          <w:rFonts w:ascii="Cambria" w:hAnsi="Cambria"/>
          <w:b/>
          <w:i w:val="0"/>
          <w:sz w:val="22"/>
        </w:rPr>
        <w:t>“Exams and assignments reflected classroom teaching.”</w:t>
      </w:r>
    </w:p>
    <w:p>
      <w:pPr>
        <w:pStyle w:val="ListBullet"/>
        <w:spacing w:after="80"/>
        <w:jc w:val="both"/>
      </w:pPr>
      <w:r>
        <w:rPr>
          <w:rFonts w:ascii="Cambria" w:hAnsi="Cambria"/>
          <w:b w:val="0"/>
          <w:i w:val="0"/>
          <w:sz w:val="22"/>
        </w:rPr>
        <w:t>Backlogs reduced from 18% → 10% through remedial actions.</w:t>
      </w:r>
    </w:p>
    <w:p>
      <w:pPr>
        <w:pStyle w:val="ListBullet"/>
        <w:spacing w:after="80"/>
        <w:jc w:val="both"/>
      </w:pPr>
      <w:r>
        <w:rPr>
          <w:rFonts w:ascii="Cambria" w:hAnsi="Cambria"/>
          <w:b w:val="0"/>
          <w:i w:val="0"/>
          <w:sz w:val="22"/>
        </w:rPr>
        <w:t>Student satisfaction with fairness of assessments ↑ from 3.6 → 4.3/5.</w:t>
      </w:r>
    </w:p>
    <w:p>
      <w:pPr>
        <w:keepNext/>
        <w:spacing w:before="280" w:after="160"/>
        <w:jc w:val="left"/>
      </w:pPr>
      <w:r>
        <w:rPr>
          <w:rFonts w:ascii="Cambria" w:hAnsi="Cambria"/>
          <w:b/>
          <w:i w:val="0"/>
          <w:color w:val="1F3A5F"/>
          <w:sz w:val="26"/>
        </w:rPr>
        <w:t>How HoD Ensures YoY Growth in Student Satisfaction</w:t>
      </w:r>
    </w:p>
    <w:p>
      <w:pPr>
        <w:spacing w:after="120"/>
        <w:jc w:val="both"/>
      </w:pPr>
      <w:r>
        <w:rPr>
          <w:rFonts w:ascii="Cambria" w:hAnsi="Cambria"/>
          <w:b w:val="0"/>
          <w:i w:val="0"/>
          <w:sz w:val="22"/>
        </w:rPr>
        <w:t>Planned Teaching → Lesson plans, course files, CO-mapped delivery.</w:t>
      </w:r>
    </w:p>
    <w:p>
      <w:pPr>
        <w:spacing w:after="120"/>
        <w:jc w:val="both"/>
      </w:pPr>
      <w:r>
        <w:rPr>
          <w:rFonts w:ascii="Cambria" w:hAnsi="Cambria"/>
          <w:b w:val="0"/>
          <w:i w:val="0"/>
          <w:sz w:val="22"/>
        </w:rPr>
        <w:t>Fair Assessments → CO-linked question papers, rubrics, Bloom's Taxonomy.</w:t>
      </w:r>
    </w:p>
    <w:p>
      <w:pPr>
        <w:spacing w:after="120"/>
        <w:jc w:val="both"/>
      </w:pPr>
      <w:r>
        <w:rPr>
          <w:rFonts w:ascii="Cambria" w:hAnsi="Cambria"/>
          <w:b w:val="0"/>
          <w:i w:val="0"/>
          <w:sz w:val="22"/>
        </w:rPr>
        <w:t>Remedial &amp; Mentoring Support → For slow learners, bridge courses, mentoring sessions.</w:t>
      </w:r>
    </w:p>
    <w:p>
      <w:pPr>
        <w:spacing w:after="120"/>
        <w:jc w:val="both"/>
      </w:pPr>
      <w:r>
        <w:rPr>
          <w:rFonts w:ascii="Cambria" w:hAnsi="Cambria"/>
          <w:b w:val="0"/>
          <w:i w:val="0"/>
          <w:sz w:val="22"/>
        </w:rPr>
        <w:t>Faculty Development → FDPs, workshops, and peer reviews to improve teaching quality.</w:t>
      </w:r>
    </w:p>
    <w:p>
      <w:pPr>
        <w:spacing w:after="120"/>
        <w:jc w:val="both"/>
      </w:pPr>
      <w:r>
        <w:rPr>
          <w:rFonts w:ascii="Cambria" w:hAnsi="Cambria"/>
          <w:b w:val="0"/>
          <w:i w:val="0"/>
          <w:sz w:val="22"/>
        </w:rPr>
        <w:t>Feedback &amp; Action Loop → Student surveys collected, analyzed, and acted upon via ATRs.</w:t>
      </w:r>
    </w:p>
    <w:p>
      <w:pPr>
        <w:keepNext/>
        <w:spacing w:before="280" w:after="160"/>
        <w:jc w:val="left"/>
      </w:pPr>
      <w:r>
        <w:rPr>
          <w:rFonts w:ascii="Cambria" w:hAnsi="Cambria"/>
          <w:b/>
          <w:i w:val="0"/>
          <w:color w:val="1F3A5F"/>
          <w:sz w:val="26"/>
        </w:rPr>
        <w:t>Evidence/Documents (XII)</w:t>
      </w:r>
    </w:p>
    <w:p>
      <w:pPr>
        <w:pStyle w:val="ListBullet"/>
        <w:spacing w:after="80"/>
        <w:jc w:val="both"/>
      </w:pPr>
      <w:r>
        <w:rPr>
          <w:rFonts w:ascii="Cambria" w:hAnsi="Cambria"/>
          <w:b w:val="0"/>
          <w:i w:val="0"/>
          <w:sz w:val="22"/>
        </w:rPr>
        <w:t>Student feedback reports (theory, lab, project).</w:t>
      </w:r>
    </w:p>
    <w:p>
      <w:pPr>
        <w:pStyle w:val="ListBullet"/>
        <w:spacing w:after="80"/>
        <w:jc w:val="both"/>
      </w:pPr>
      <w:r>
        <w:rPr>
          <w:rFonts w:ascii="Cambria" w:hAnsi="Cambria"/>
          <w:b w:val="0"/>
          <w:i w:val="0"/>
          <w:sz w:val="22"/>
        </w:rPr>
        <w:t>Consolidated feedback analysis reports (per semester).</w:t>
      </w:r>
    </w:p>
    <w:p>
      <w:pPr>
        <w:pStyle w:val="ListBullet"/>
        <w:spacing w:after="80"/>
        <w:jc w:val="both"/>
      </w:pPr>
      <w:r>
        <w:rPr>
          <w:rFonts w:ascii="Cambria" w:hAnsi="Cambria"/>
          <w:b w:val="0"/>
          <w:i w:val="0"/>
          <w:sz w:val="22"/>
        </w:rPr>
        <w:t>Action Taken Reports (ATRs) based on feedback.</w:t>
      </w:r>
    </w:p>
    <w:p>
      <w:pPr>
        <w:pStyle w:val="ListBullet"/>
        <w:spacing w:after="80"/>
        <w:jc w:val="both"/>
      </w:pPr>
      <w:r>
        <w:rPr>
          <w:rFonts w:ascii="Cambria" w:hAnsi="Cambria"/>
          <w:b w:val="0"/>
          <w:i w:val="0"/>
          <w:sz w:val="22"/>
        </w:rPr>
        <w:t>Revised lesson plans/teaching strategies.</w:t>
      </w:r>
    </w:p>
    <w:p>
      <w:pPr>
        <w:pStyle w:val="ListBullet"/>
        <w:spacing w:after="80"/>
        <w:jc w:val="both"/>
      </w:pPr>
      <w:r>
        <w:rPr>
          <w:rFonts w:ascii="Cambria" w:hAnsi="Cambria"/>
          <w:b w:val="0"/>
          <w:i w:val="0"/>
          <w:sz w:val="22"/>
        </w:rPr>
        <w:t>Annual departmental report showing satisfaction trends.</w:t>
      </w:r>
    </w:p>
    <w:p>
      <w:pPr>
        <w:keepNext/>
        <w:spacing w:before="280" w:after="160"/>
        <w:jc w:val="left"/>
      </w:pPr>
      <w:r>
        <w:rPr>
          <w:rFonts w:ascii="Cambria" w:hAnsi="Cambria"/>
          <w:b/>
          <w:i w:val="0"/>
          <w:color w:val="1F3A5F"/>
          <w:sz w:val="26"/>
        </w:rPr>
        <w:t>Tangible Outcomes (Numeric) – Student Satisfaction Rating (Teaching-Learning Quality)</w:t>
      </w:r>
    </w:p>
    <w:p>
      <w:pPr>
        <w:pStyle w:val="ListBullet2"/>
        <w:spacing w:after="80"/>
        <w:jc w:val="both"/>
      </w:pPr>
      <w:r>
        <w:rPr>
          <w:rFonts w:ascii="Cambria" w:hAnsi="Cambria"/>
          <w:b w:val="0"/>
          <w:i w:val="0"/>
          <w:sz w:val="22"/>
        </w:rPr>
        <w:t>2021–22 → 3.6/5</w:t>
      </w:r>
    </w:p>
    <w:p>
      <w:pPr>
        <w:pStyle w:val="ListBullet2"/>
        <w:spacing w:after="80"/>
        <w:jc w:val="both"/>
      </w:pPr>
      <w:r>
        <w:rPr>
          <w:rFonts w:ascii="Cambria" w:hAnsi="Cambria"/>
          <w:b w:val="0"/>
          <w:i w:val="0"/>
          <w:sz w:val="22"/>
        </w:rPr>
        <w:t>2022–23 → 3.8/5</w:t>
      </w:r>
    </w:p>
    <w:p>
      <w:pPr>
        <w:pStyle w:val="ListBullet2"/>
        <w:spacing w:after="80"/>
        <w:jc w:val="both"/>
      </w:pPr>
      <w:r>
        <w:rPr>
          <w:rFonts w:ascii="Cambria" w:hAnsi="Cambria"/>
          <w:b w:val="0"/>
          <w:i w:val="0"/>
          <w:sz w:val="22"/>
        </w:rPr>
        <w:t>2023–24 → 4.4/5</w:t>
      </w:r>
    </w:p>
    <w:p>
      <w:pPr>
        <w:pStyle w:val="ListBullet"/>
        <w:spacing w:after="80"/>
        <w:jc w:val="both"/>
      </w:pPr>
      <w:r>
        <w:rPr>
          <w:rFonts w:ascii="Cambria" w:hAnsi="Cambria"/>
          <w:b w:val="0"/>
          <w:i w:val="0"/>
          <w:sz w:val="22"/>
        </w:rPr>
        <w:t>YoY improvement trend: +0.2 to +0.6 points per year.</w:t>
      </w:r>
    </w:p>
    <w:p>
      <w:pPr>
        <w:pStyle w:val="ListBullet"/>
        <w:spacing w:after="80"/>
        <w:jc w:val="both"/>
      </w:pPr>
      <w:r>
        <w:rPr>
          <w:rFonts w:ascii="Cambria" w:hAnsi="Cambria"/>
          <w:b w:val="0"/>
          <w:i w:val="0"/>
          <w:sz w:val="22"/>
        </w:rPr>
        <w:t>% of students expressing satisfaction ↑ from 74% → 92%.</w:t>
      </w:r>
    </w:p>
    <w:p>
      <w:pPr>
        <w:pStyle w:val="ListBullet"/>
        <w:spacing w:after="80"/>
        <w:jc w:val="both"/>
      </w:pPr>
      <w:r>
        <w:rPr>
          <w:rFonts w:ascii="Cambria" w:hAnsi="Cambria"/>
          <w:b w:val="0"/>
          <w:i w:val="0"/>
          <w:sz w:val="22"/>
        </w:rPr>
        <w:t>Feedback-to-Action closure rate: 100% ATRs submitted on time.</w:t>
      </w:r>
    </w:p>
    <w:p>
      <w:pPr>
        <w:keepNext/>
        <w:spacing w:before="280" w:after="160"/>
        <w:jc w:val="left"/>
      </w:pPr>
      <w:r>
        <w:rPr>
          <w:rFonts w:ascii="Cambria" w:hAnsi="Cambria"/>
          <w:b/>
          <w:i w:val="0"/>
          <w:color w:val="1F3A5F"/>
          <w:sz w:val="26"/>
        </w:rPr>
        <w:t>How HoD Ensures Backlog Reduction</w:t>
      </w:r>
    </w:p>
    <w:p>
      <w:pPr>
        <w:pStyle w:val="ListBullet"/>
        <w:spacing w:after="80"/>
        <w:jc w:val="both"/>
      </w:pPr>
      <w:r>
        <w:rPr>
          <w:rFonts w:ascii="Cambria" w:hAnsi="Cambria"/>
          <w:b w:val="0"/>
          <w:i w:val="0"/>
          <w:sz w:val="22"/>
        </w:rPr>
        <w:t>Identification of Gaps</w:t>
      </w:r>
    </w:p>
    <w:p>
      <w:pPr>
        <w:pStyle w:val="ListBullet2"/>
        <w:spacing w:after="80"/>
        <w:jc w:val="both"/>
      </w:pPr>
      <w:r>
        <w:rPr>
          <w:rFonts w:ascii="Cambria" w:hAnsi="Cambria"/>
          <w:b w:val="0"/>
          <w:i w:val="0"/>
          <w:sz w:val="22"/>
        </w:rPr>
        <w:t>Uses internal exam results, attendance, and CO attainment analysis to spot at-risk students.</w:t>
      </w:r>
    </w:p>
    <w:p>
      <w:pPr>
        <w:pStyle w:val="ListBullet2"/>
        <w:spacing w:after="80"/>
        <w:jc w:val="both"/>
      </w:pPr>
      <w:r>
        <w:rPr>
          <w:rFonts w:ascii="Cambria" w:hAnsi="Cambria"/>
          <w:b w:val="0"/>
          <w:i w:val="0"/>
          <w:sz w:val="22"/>
        </w:rPr>
        <w:t>Maintains a backlog tracking register per semester.</w:t>
      </w:r>
    </w:p>
    <w:p>
      <w:pPr>
        <w:pStyle w:val="ListBullet"/>
        <w:spacing w:after="80"/>
        <w:jc w:val="both"/>
      </w:pPr>
      <w:r>
        <w:rPr>
          <w:rFonts w:ascii="Cambria" w:hAnsi="Cambria"/>
          <w:b w:val="0"/>
          <w:i w:val="0"/>
          <w:sz w:val="22"/>
        </w:rPr>
        <w:t>Targeted Remedial Actions</w:t>
      </w:r>
    </w:p>
    <w:p>
      <w:pPr>
        <w:pStyle w:val="ListBullet2"/>
        <w:spacing w:after="80"/>
        <w:jc w:val="both"/>
      </w:pPr>
      <w:r>
        <w:rPr>
          <w:rFonts w:ascii="Cambria" w:hAnsi="Cambria"/>
          <w:b w:val="0"/>
          <w:i w:val="0"/>
          <w:sz w:val="22"/>
        </w:rPr>
        <w:t>Organizes remedial classes, bridge courses, and mentoring sessions.</w:t>
      </w:r>
    </w:p>
    <w:p>
      <w:pPr>
        <w:pStyle w:val="ListBullet2"/>
        <w:spacing w:after="80"/>
        <w:jc w:val="both"/>
      </w:pPr>
      <w:r>
        <w:rPr>
          <w:rFonts w:ascii="Cambria" w:hAnsi="Cambria"/>
          <w:b w:val="0"/>
          <w:i w:val="0"/>
          <w:sz w:val="22"/>
        </w:rPr>
        <w:t>Provides extra lab/tutorial hours for weak students.</w:t>
      </w:r>
    </w:p>
    <w:p>
      <w:pPr>
        <w:pStyle w:val="ListBullet2"/>
        <w:spacing w:after="80"/>
        <w:jc w:val="both"/>
      </w:pPr>
      <w:r>
        <w:rPr>
          <w:rFonts w:ascii="Cambria" w:hAnsi="Cambria"/>
          <w:b w:val="0"/>
          <w:i w:val="0"/>
          <w:sz w:val="22"/>
        </w:rPr>
        <w:t>Involves faculty mentors for counseling and academic support.</w:t>
      </w:r>
    </w:p>
    <w:p>
      <w:pPr>
        <w:pStyle w:val="ListBullet"/>
        <w:spacing w:after="80"/>
        <w:jc w:val="both"/>
      </w:pPr>
      <w:r>
        <w:rPr>
          <w:rFonts w:ascii="Cambria" w:hAnsi="Cambria"/>
          <w:b w:val="0"/>
          <w:i w:val="0"/>
          <w:sz w:val="22"/>
        </w:rPr>
        <w:t>Monitoring &amp; Documentation</w:t>
      </w:r>
    </w:p>
    <w:p>
      <w:pPr>
        <w:pStyle w:val="ListBullet2"/>
        <w:spacing w:after="80"/>
        <w:jc w:val="both"/>
      </w:pPr>
      <w:r>
        <w:rPr>
          <w:rFonts w:ascii="Cambria" w:hAnsi="Cambria"/>
          <w:b w:val="0"/>
          <w:i w:val="0"/>
          <w:sz w:val="22"/>
        </w:rPr>
        <w:t>Collects remedial attendance and progress reports.</w:t>
      </w:r>
    </w:p>
    <w:p>
      <w:pPr>
        <w:pStyle w:val="ListBullet2"/>
        <w:spacing w:after="80"/>
        <w:jc w:val="both"/>
      </w:pPr>
      <w:r>
        <w:rPr>
          <w:rFonts w:ascii="Cambria" w:hAnsi="Cambria"/>
          <w:b w:val="0"/>
          <w:i w:val="0"/>
          <w:sz w:val="22"/>
        </w:rPr>
        <w:t>Includes backlog clearance statistics in attainment reports.</w:t>
      </w:r>
    </w:p>
    <w:p>
      <w:pPr>
        <w:pStyle w:val="ListBullet"/>
        <w:spacing w:after="80"/>
        <w:jc w:val="both"/>
      </w:pPr>
      <w:r>
        <w:rPr>
          <w:rFonts w:ascii="Cambria" w:hAnsi="Cambria"/>
          <w:b w:val="0"/>
          <w:i w:val="0"/>
          <w:sz w:val="22"/>
        </w:rPr>
        <w:t>Feedback &amp; Continuous Improvement</w:t>
      </w:r>
    </w:p>
    <w:p>
      <w:pPr>
        <w:pStyle w:val="ListBullet2"/>
        <w:spacing w:after="80"/>
        <w:jc w:val="both"/>
      </w:pPr>
      <w:r>
        <w:rPr>
          <w:rFonts w:ascii="Cambria" w:hAnsi="Cambria"/>
          <w:b w:val="0"/>
          <w:i w:val="0"/>
          <w:sz w:val="22"/>
        </w:rPr>
        <w:t>Student feedback taken after remedials → reviewed in HoD meetings.</w:t>
      </w:r>
    </w:p>
    <w:p>
      <w:pPr>
        <w:pStyle w:val="ListBullet2"/>
        <w:spacing w:after="80"/>
        <w:jc w:val="both"/>
      </w:pPr>
      <w:r>
        <w:rPr>
          <w:rFonts w:ascii="Cambria" w:hAnsi="Cambria"/>
          <w:b w:val="0"/>
          <w:i w:val="0"/>
          <w:sz w:val="22"/>
        </w:rPr>
        <w:t>Action Taken Reports (ATRs) prepared to close the loop.</w:t>
      </w:r>
    </w:p>
    <w:p>
      <w:pPr>
        <w:keepNext/>
        <w:spacing w:before="280" w:after="160"/>
        <w:jc w:val="left"/>
      </w:pPr>
      <w:r>
        <w:rPr>
          <w:rFonts w:ascii="Cambria" w:hAnsi="Cambria"/>
          <w:b/>
          <w:i w:val="0"/>
          <w:color w:val="1F3A5F"/>
          <w:sz w:val="26"/>
        </w:rPr>
        <w:t>Evidence/Documents (XIII)</w:t>
      </w:r>
    </w:p>
    <w:p>
      <w:pPr>
        <w:pStyle w:val="ListBullet"/>
        <w:spacing w:after="80"/>
        <w:jc w:val="both"/>
      </w:pPr>
      <w:r>
        <w:rPr>
          <w:rFonts w:ascii="Cambria" w:hAnsi="Cambria"/>
          <w:b w:val="0"/>
          <w:i w:val="0"/>
          <w:sz w:val="22"/>
        </w:rPr>
        <w:t>List of students with backlogs (pre-remedial).</w:t>
      </w:r>
    </w:p>
    <w:p>
      <w:pPr>
        <w:pStyle w:val="ListBullet"/>
        <w:spacing w:after="80"/>
        <w:jc w:val="both"/>
      </w:pPr>
      <w:r>
        <w:rPr>
          <w:rFonts w:ascii="Cambria" w:hAnsi="Cambria"/>
          <w:b w:val="0"/>
          <w:i w:val="0"/>
          <w:sz w:val="22"/>
        </w:rPr>
        <w:t>Remedial class schedules, attendance sheets.</w:t>
      </w:r>
    </w:p>
    <w:p>
      <w:pPr>
        <w:pStyle w:val="ListBullet"/>
        <w:spacing w:after="80"/>
        <w:jc w:val="both"/>
      </w:pPr>
      <w:r>
        <w:rPr>
          <w:rFonts w:ascii="Cambria" w:hAnsi="Cambria"/>
          <w:b w:val="0"/>
          <w:i w:val="0"/>
          <w:sz w:val="22"/>
        </w:rPr>
        <w:t>Bridge course records, counseling/mentoring logs.</w:t>
      </w:r>
    </w:p>
    <w:p>
      <w:pPr>
        <w:pStyle w:val="ListBullet"/>
        <w:spacing w:after="80"/>
        <w:jc w:val="both"/>
      </w:pPr>
      <w:r>
        <w:rPr>
          <w:rFonts w:ascii="Cambria" w:hAnsi="Cambria"/>
          <w:b w:val="0"/>
          <w:i w:val="0"/>
          <w:sz w:val="22"/>
        </w:rPr>
        <w:t>Improvement test/assessment results post-remedials.</w:t>
      </w:r>
    </w:p>
    <w:p>
      <w:pPr>
        <w:pStyle w:val="ListBullet"/>
        <w:spacing w:after="80"/>
        <w:jc w:val="both"/>
      </w:pPr>
      <w:r>
        <w:rPr>
          <w:rFonts w:ascii="Cambria" w:hAnsi="Cambria"/>
          <w:b w:val="0"/>
          <w:i w:val="0"/>
          <w:sz w:val="22"/>
        </w:rPr>
        <w:t>Consolidated backlog analysis report (pre vs post remedial).</w:t>
      </w:r>
    </w:p>
    <w:p>
      <w:pPr>
        <w:pStyle w:val="ListBullet"/>
        <w:spacing w:after="80"/>
        <w:jc w:val="both"/>
      </w:pPr>
      <w:r>
        <w:rPr>
          <w:rFonts w:ascii="Cambria" w:hAnsi="Cambria"/>
          <w:b w:val="0"/>
          <w:i w:val="0"/>
          <w:sz w:val="22"/>
        </w:rPr>
        <w:t>ATRs showing corrective measures.</w:t>
      </w:r>
    </w:p>
    <w:p>
      <w:pPr>
        <w:keepNext/>
        <w:spacing w:before="280" w:after="160"/>
        <w:jc w:val="left"/>
      </w:pPr>
      <w:r>
        <w:rPr>
          <w:rFonts w:ascii="Cambria" w:hAnsi="Cambria"/>
          <w:b/>
          <w:i w:val="0"/>
          <w:color w:val="1F3A5F"/>
          <w:sz w:val="26"/>
        </w:rPr>
        <w:t>Tangible Outcomes (Numeric &amp; Measurable) – Final</w:t>
      </w:r>
    </w:p>
    <w:p>
      <w:pPr>
        <w:pStyle w:val="ListBullet"/>
        <w:spacing w:after="80"/>
        <w:jc w:val="both"/>
      </w:pPr>
      <w:r>
        <w:rPr>
          <w:rFonts w:ascii="Cambria" w:hAnsi="Cambria"/>
          <w:b w:val="0"/>
          <w:i w:val="0"/>
          <w:sz w:val="22"/>
        </w:rPr>
        <w:t>Backlog % reduced from 18% (2021–22) → 10% (2023–24).</w:t>
      </w:r>
    </w:p>
    <w:p>
      <w:pPr>
        <w:pStyle w:val="ListBullet"/>
        <w:spacing w:after="80"/>
        <w:jc w:val="both"/>
      </w:pPr>
      <w:r>
        <w:rPr>
          <w:rFonts w:ascii="Cambria" w:hAnsi="Cambria"/>
          <w:b w:val="0"/>
          <w:i w:val="0"/>
          <w:sz w:val="22"/>
        </w:rPr>
        <w:t>Success rate in remedial courses: 82% of enrolled students cleared backlogs.</w:t>
      </w:r>
    </w:p>
    <w:p>
      <w:pPr>
        <w:pStyle w:val="ListBullet"/>
        <w:spacing w:after="80"/>
        <w:jc w:val="both"/>
      </w:pPr>
      <w:r>
        <w:rPr>
          <w:rFonts w:ascii="Cambria" w:hAnsi="Cambria"/>
          <w:b w:val="0"/>
          <w:i w:val="0"/>
          <w:sz w:val="22"/>
        </w:rPr>
        <w:t>Student progression rate ↑ from 84% → 92%.</w:t>
      </w:r>
    </w:p>
    <w:p>
      <w:pPr>
        <w:pStyle w:val="ListBullet"/>
        <w:spacing w:after="80"/>
        <w:jc w:val="both"/>
      </w:pPr>
      <w:r>
        <w:rPr>
          <w:rFonts w:ascii="Cambria" w:hAnsi="Cambria"/>
          <w:b w:val="0"/>
          <w:i w:val="0"/>
          <w:sz w:val="22"/>
        </w:rPr>
        <w:t>Student satisfaction with remedial support ↑ from 3.5 → 4.2/5.</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