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80"/>
        <w:jc w:val="center"/>
      </w:pPr>
      <w:r>
        <w:rPr>
          <w:rFonts w:ascii="Cambria" w:hAnsi="Cambria"/>
          <w:b/>
          <w:i w:val="0"/>
          <w:color w:val="1F3A5F"/>
          <w:sz w:val="48"/>
        </w:rPr>
        <w:t>Head of the Department (HoD) in Higher</w:t>
      </w:r>
    </w:p>
    <w:p>
      <w:pPr>
        <w:spacing w:after="400"/>
        <w:jc w:val="center"/>
      </w:pPr>
      <w:r>
        <w:rPr>
          <w:rFonts w:ascii="Cambria" w:hAnsi="Cambria"/>
          <w:b/>
          <w:i w:val="0"/>
          <w:color w:val="1F3A5F"/>
          <w:sz w:val="48"/>
        </w:rPr>
        <w:t>Education Institutions</w:t>
      </w:r>
    </w:p>
    <w:p>
      <w:pPr>
        <w:spacing w:after="200"/>
        <w:jc w:val="center"/>
      </w:pPr>
      <w:r>
        <w:rPr>
          <w:rFonts w:ascii="Cambria" w:hAnsi="Cambria"/>
          <w:b/>
          <w:i w:val="0"/>
          <w:color w:val="B00000"/>
          <w:sz w:val="32"/>
        </w:rPr>
        <w:t>Roles and Responsibilities in Academic Activities – Part 3</w:t>
      </w:r>
    </w:p>
    <w:p>
      <w:pPr>
        <w:spacing w:after="800"/>
        <w:jc w:val="center"/>
      </w:pPr>
      <w:r>
        <w:rPr>
          <w:rFonts w:ascii="Cambria" w:hAnsi="Cambria"/>
          <w:b w:val="0"/>
          <w:i/>
          <w:sz w:val="24"/>
        </w:rPr>
        <w:t>(Continuation from Parts 1 &amp; 2 – Source book pages 133–161)</w:t>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center"/>
      </w:pPr>
      <w:r>
        <w:rPr>
          <w:rFonts w:ascii="Cambria" w:hAnsi="Cambria"/>
          <w:b/>
          <w:i w:val="0"/>
          <w:sz w:val="28"/>
        </w:rPr>
        <w:t>Dr. Venkata Rama Krishna Tottempudi</w:t>
      </w:r>
    </w:p>
    <w:p>
      <w:pPr>
        <w:spacing w:after="120"/>
        <w:jc w:val="center"/>
      </w:pPr>
      <w:r>
        <w:rPr>
          <w:rFonts w:ascii="Cambria" w:hAnsi="Cambria"/>
          <w:b/>
          <w:i w:val="0"/>
          <w:sz w:val="28"/>
        </w:rPr>
        <w:t>Sai Saran Tottempudi</w:t>
      </w:r>
    </w:p>
    <w:p>
      <w:r>
        <w:br w:type="page"/>
      </w:r>
    </w:p>
    <w:p>
      <w:pPr>
        <w:keepNext/>
        <w:spacing w:before="280" w:after="160"/>
        <w:jc w:val="left"/>
      </w:pPr>
      <w:r>
        <w:rPr>
          <w:rFonts w:ascii="Cambria" w:hAnsi="Cambria"/>
          <w:b/>
          <w:i w:val="0"/>
          <w:color w:val="1F3A5F"/>
          <w:sz w:val="30"/>
        </w:rPr>
        <w:t>Contents (Part 3)</w:t>
      </w:r>
    </w:p>
    <w:tbl>
      <w:tblPr>
        <w:tblStyle w:val="TableGrid"/>
        <w:tblW w:type="auto" w:w="0"/>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jc w:val="center"/>
            </w:pPr>
            <w:r/>
            <w:r>
              <w:rPr>
                <w:rFonts w:ascii="Cambria" w:hAnsi="Cambria"/>
                <w:b/>
                <w:i w:val="0"/>
                <w:color w:val="FFFFFF"/>
                <w:sz w:val="20"/>
              </w:rPr>
              <w:t>S. No</w:t>
            </w:r>
          </w:p>
        </w:tc>
        <w:tc>
          <w:tcPr>
            <w:tcW w:type="dxa" w:w="7540"/>
            <w:shd w:val="clear" w:color="auto" w:fill="1F3A5F"/>
          </w:tcPr>
          <w:p>
            <w:pPr>
              <w:jc w:val="center"/>
            </w:pPr>
            <w:r/>
            <w:r>
              <w:rPr>
                <w:rFonts w:ascii="Cambria" w:hAnsi="Cambria"/>
                <w:b/>
                <w:i w:val="0"/>
                <w:color w:val="FFFFFF"/>
                <w:sz w:val="20"/>
              </w:rPr>
              <w:t>Content</w:t>
            </w:r>
          </w:p>
        </w:tc>
        <w:tc>
          <w:tcPr>
            <w:tcW w:type="dxa" w:w="1020"/>
            <w:shd w:val="clear" w:color="auto" w:fill="1F3A5F"/>
          </w:tcPr>
          <w:p>
            <w:pPr>
              <w:jc w:val="center"/>
            </w:pPr>
            <w:r/>
            <w:r>
              <w:rPr>
                <w:rFonts w:ascii="Cambria" w:hAnsi="Cambria"/>
                <w:b/>
                <w:i w:val="0"/>
                <w:color w:val="FFFFFF"/>
                <w:sz w:val="20"/>
              </w:rPr>
              <w:t>Pg. No</w:t>
            </w:r>
          </w:p>
        </w:tc>
      </w:tr>
      <w:tr>
        <w:tc>
          <w:tcPr>
            <w:tcW w:type="dxa" w:w="850"/>
          </w:tcPr>
          <w:p>
            <w:pPr>
              <w:jc w:val="left"/>
            </w:pPr>
            <w:r/>
            <w:r>
              <w:rPr>
                <w:rFonts w:ascii="Cambria" w:hAnsi="Cambria"/>
                <w:b w:val="0"/>
                <w:i w:val="0"/>
                <w:sz w:val="18"/>
              </w:rPr>
              <w:t>23</w:t>
            </w:r>
          </w:p>
        </w:tc>
        <w:tc>
          <w:tcPr>
            <w:tcW w:type="dxa" w:w="7540"/>
          </w:tcPr>
          <w:p>
            <w:pPr>
              <w:jc w:val="left"/>
            </w:pPr>
            <w:r/>
            <w:r>
              <w:rPr>
                <w:rFonts w:ascii="Cambria" w:hAnsi="Cambria"/>
                <w:b w:val="0"/>
                <w:i w:val="0"/>
                <w:sz w:val="18"/>
              </w:rPr>
              <w:t>HoD's Role in Conducting Student Counseling</w:t>
            </w:r>
          </w:p>
        </w:tc>
        <w:tc>
          <w:tcPr>
            <w:tcW w:type="dxa" w:w="1020"/>
          </w:tcPr>
          <w:p>
            <w:pPr>
              <w:jc w:val="left"/>
            </w:pPr>
            <w:r/>
            <w:r>
              <w:rPr>
                <w:rFonts w:ascii="Cambria" w:hAnsi="Cambria"/>
                <w:b w:val="0"/>
                <w:i w:val="0"/>
                <w:sz w:val="18"/>
              </w:rPr>
              <w:t>1</w:t>
            </w:r>
          </w:p>
        </w:tc>
      </w:tr>
      <w:tr>
        <w:tc>
          <w:tcPr>
            <w:tcW w:type="dxa" w:w="850"/>
            <w:shd w:val="clear" w:color="auto" w:fill="E8EEF5"/>
          </w:tcPr>
          <w:p>
            <w:pPr>
              <w:jc w:val="left"/>
            </w:pPr>
            <w:r/>
            <w:r>
              <w:rPr>
                <w:rFonts w:ascii="Cambria" w:hAnsi="Cambria"/>
                <w:b w:val="0"/>
                <w:i w:val="0"/>
                <w:sz w:val="18"/>
              </w:rPr>
              <w:t>—</w:t>
            </w:r>
          </w:p>
        </w:tc>
        <w:tc>
          <w:tcPr>
            <w:tcW w:type="dxa" w:w="7540"/>
            <w:shd w:val="clear" w:color="auto" w:fill="E8EEF5"/>
          </w:tcPr>
          <w:p>
            <w:pPr>
              <w:jc w:val="left"/>
            </w:pPr>
            <w:r/>
            <w:r>
              <w:rPr>
                <w:rFonts w:ascii="Cambria" w:hAnsi="Cambria"/>
                <w:b w:val="0"/>
                <w:i w:val="0"/>
                <w:sz w:val="18"/>
              </w:rPr>
              <w:t>HoD's Role in Conducting Parent Meetings and Capturing Suggestions for Improvement</w:t>
            </w:r>
          </w:p>
        </w:tc>
        <w:tc>
          <w:tcPr>
            <w:tcW w:type="dxa" w:w="1020"/>
            <w:shd w:val="clear" w:color="auto" w:fill="E8EEF5"/>
          </w:tcPr>
          <w:p>
            <w:pPr>
              <w:jc w:val="left"/>
            </w:pPr>
            <w:r/>
            <w:r>
              <w:rPr>
                <w:rFonts w:ascii="Cambria" w:hAnsi="Cambria"/>
                <w:b w:val="0"/>
                <w:i w:val="0"/>
                <w:sz w:val="18"/>
              </w:rPr>
              <w:t>6</w:t>
            </w:r>
          </w:p>
        </w:tc>
      </w:tr>
      <w:tr>
        <w:tc>
          <w:tcPr>
            <w:tcW w:type="dxa" w:w="850"/>
          </w:tcPr>
          <w:p>
            <w:pPr>
              <w:jc w:val="left"/>
            </w:pPr>
            <w:r/>
            <w:r>
              <w:rPr>
                <w:rFonts w:ascii="Cambria" w:hAnsi="Cambria"/>
                <w:b w:val="0"/>
                <w:i w:val="0"/>
                <w:sz w:val="18"/>
              </w:rPr>
              <w:t>24</w:t>
            </w:r>
          </w:p>
        </w:tc>
        <w:tc>
          <w:tcPr>
            <w:tcW w:type="dxa" w:w="7540"/>
          </w:tcPr>
          <w:p>
            <w:pPr>
              <w:jc w:val="left"/>
            </w:pPr>
            <w:r/>
            <w:r>
              <w:rPr>
                <w:rFonts w:ascii="Cambria" w:hAnsi="Cambria"/>
                <w:b w:val="0"/>
                <w:i w:val="0"/>
                <w:sz w:val="18"/>
              </w:rPr>
              <w:t>HoD's Role in Establishing and Operating a Grievance Redressal Committee (GRC) at the Division Level</w:t>
            </w:r>
          </w:p>
        </w:tc>
        <w:tc>
          <w:tcPr>
            <w:tcW w:type="dxa" w:w="1020"/>
          </w:tcPr>
          <w:p>
            <w:pPr>
              <w:jc w:val="left"/>
            </w:pPr>
            <w:r/>
            <w:r>
              <w:rPr>
                <w:rFonts w:ascii="Cambria" w:hAnsi="Cambria"/>
                <w:b w:val="0"/>
                <w:i w:val="0"/>
                <w:sz w:val="18"/>
              </w:rPr>
              <w:t>10</w:t>
            </w:r>
          </w:p>
        </w:tc>
      </w:tr>
      <w:tr>
        <w:tc>
          <w:tcPr>
            <w:tcW w:type="dxa" w:w="850"/>
            <w:shd w:val="clear" w:color="auto" w:fill="E8EEF5"/>
          </w:tcPr>
          <w:p>
            <w:pPr>
              <w:jc w:val="left"/>
            </w:pPr>
            <w:r/>
            <w:r>
              <w:rPr>
                <w:rFonts w:ascii="Cambria" w:hAnsi="Cambria"/>
                <w:b w:val="0"/>
                <w:i w:val="0"/>
                <w:sz w:val="18"/>
              </w:rPr>
              <w:t>25</w:t>
            </w:r>
          </w:p>
        </w:tc>
        <w:tc>
          <w:tcPr>
            <w:tcW w:type="dxa" w:w="7540"/>
            <w:shd w:val="clear" w:color="auto" w:fill="E8EEF5"/>
          </w:tcPr>
          <w:p>
            <w:pPr>
              <w:jc w:val="left"/>
            </w:pPr>
            <w:r/>
            <w:r>
              <w:rPr>
                <w:rFonts w:ascii="Cambria" w:hAnsi="Cambria"/>
                <w:b w:val="0"/>
                <w:i w:val="0"/>
                <w:sz w:val="18"/>
              </w:rPr>
              <w:t>HoD's Role in Inviting Guests for Lectures, and Conducting Seminars, Workshops, and Symposiums in the Division</w:t>
            </w:r>
          </w:p>
        </w:tc>
        <w:tc>
          <w:tcPr>
            <w:tcW w:type="dxa" w:w="1020"/>
            <w:shd w:val="clear" w:color="auto" w:fill="E8EEF5"/>
          </w:tcPr>
          <w:p>
            <w:pPr>
              <w:jc w:val="left"/>
            </w:pPr>
            <w:r/>
            <w:r>
              <w:rPr>
                <w:rFonts w:ascii="Cambria" w:hAnsi="Cambria"/>
                <w:b w:val="0"/>
                <w:i w:val="0"/>
                <w:sz w:val="18"/>
              </w:rPr>
              <w:t>14</w:t>
            </w:r>
          </w:p>
        </w:tc>
      </w:tr>
      <w:tr>
        <w:tc>
          <w:tcPr>
            <w:tcW w:type="dxa" w:w="850"/>
          </w:tcPr>
          <w:p>
            <w:pPr>
              <w:jc w:val="left"/>
            </w:pPr>
            <w:r/>
            <w:r>
              <w:rPr>
                <w:rFonts w:ascii="Cambria" w:hAnsi="Cambria"/>
                <w:b w:val="0"/>
                <w:i w:val="0"/>
                <w:sz w:val="18"/>
              </w:rPr>
              <w:t>26</w:t>
            </w:r>
          </w:p>
        </w:tc>
        <w:tc>
          <w:tcPr>
            <w:tcW w:type="dxa" w:w="7540"/>
          </w:tcPr>
          <w:p>
            <w:pPr>
              <w:jc w:val="left"/>
            </w:pPr>
            <w:r/>
            <w:r>
              <w:rPr>
                <w:rFonts w:ascii="Cambria" w:hAnsi="Cambria"/>
                <w:b w:val="0"/>
                <w:i w:val="0"/>
                <w:sz w:val="18"/>
              </w:rPr>
              <w:t>HoD's Responsibility of Establishing Thrust Areas for Research &amp; Development (R&amp;D) and Interdisciplinary Activities, and Providing Encouragement</w:t>
            </w:r>
          </w:p>
        </w:tc>
        <w:tc>
          <w:tcPr>
            <w:tcW w:type="dxa" w:w="1020"/>
          </w:tcPr>
          <w:p>
            <w:pPr>
              <w:jc w:val="left"/>
            </w:pPr>
            <w:r/>
            <w:r>
              <w:rPr>
                <w:rFonts w:ascii="Cambria" w:hAnsi="Cambria"/>
                <w:b w:val="0"/>
                <w:i w:val="0"/>
                <w:sz w:val="18"/>
              </w:rPr>
              <w:t>18</w:t>
            </w:r>
          </w:p>
        </w:tc>
      </w:tr>
      <w:tr>
        <w:tc>
          <w:tcPr>
            <w:tcW w:type="dxa" w:w="850"/>
            <w:shd w:val="clear" w:color="auto" w:fill="E8EEF5"/>
          </w:tcPr>
          <w:p>
            <w:pPr>
              <w:jc w:val="left"/>
            </w:pPr>
            <w:r/>
            <w:r>
              <w:rPr>
                <w:rFonts w:ascii="Cambria" w:hAnsi="Cambria"/>
                <w:b w:val="0"/>
                <w:i w:val="0"/>
                <w:sz w:val="18"/>
              </w:rPr>
              <w:t>27</w:t>
            </w:r>
          </w:p>
        </w:tc>
        <w:tc>
          <w:tcPr>
            <w:tcW w:type="dxa" w:w="7540"/>
            <w:shd w:val="clear" w:color="auto" w:fill="E8EEF5"/>
          </w:tcPr>
          <w:p>
            <w:pPr>
              <w:jc w:val="left"/>
            </w:pPr>
            <w:r/>
            <w:r>
              <w:rPr>
                <w:rFonts w:ascii="Cambria" w:hAnsi="Cambria"/>
                <w:b w:val="0"/>
                <w:i w:val="0"/>
                <w:sz w:val="18"/>
              </w:rPr>
              <w:t>References</w:t>
            </w:r>
          </w:p>
        </w:tc>
        <w:tc>
          <w:tcPr>
            <w:tcW w:type="dxa" w:w="1020"/>
            <w:shd w:val="clear" w:color="auto" w:fill="E8EEF5"/>
          </w:tcPr>
          <w:p>
            <w:pPr>
              <w:jc w:val="left"/>
            </w:pPr>
            <w:r/>
            <w:r>
              <w:rPr>
                <w:rFonts w:ascii="Cambria" w:hAnsi="Cambria"/>
                <w:b w:val="0"/>
                <w:i w:val="0"/>
                <w:sz w:val="18"/>
              </w:rPr>
              <w:t>25</w:t>
            </w:r>
          </w:p>
        </w:tc>
      </w:tr>
    </w:tbl>
    <w:p>
      <w:r>
        <w:br w:type="page"/>
      </w:r>
    </w:p>
    <w:p>
      <w:pPr>
        <w:keepNext/>
        <w:spacing w:before="280" w:after="160"/>
        <w:jc w:val="left"/>
      </w:pPr>
      <w:r>
        <w:rPr>
          <w:rFonts w:ascii="Cambria" w:hAnsi="Cambria"/>
          <w:b/>
          <w:i w:val="0"/>
          <w:color w:val="1F3A5F"/>
          <w:sz w:val="30"/>
        </w:rPr>
        <w:t>23. HoD's Role in Conducting Student Counseling</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ensures that every student receives structured academic, career, and personal counseling at department level, fostering academic success, emotional well-being, discipline, and holistic growth.</w:t>
      </w:r>
    </w:p>
    <w:p>
      <w:pPr>
        <w:pStyle w:val="ListBullet"/>
        <w:spacing w:after="80"/>
        <w:jc w:val="both"/>
      </w:pPr>
      <w:r>
        <w:rPr>
          <w:rFonts w:ascii="Cambria" w:hAnsi="Cambria"/>
          <w:b w:val="0"/>
          <w:i w:val="0"/>
          <w:sz w:val="22"/>
        </w:rPr>
        <w:t>Counseling is preventive (early support) and corrective (guidance for issues/backlogs/discipline).</w:t>
      </w:r>
    </w:p>
    <w:p>
      <w:pPr>
        <w:keepNext/>
        <w:spacing w:before="280" w:after="160"/>
        <w:jc w:val="left"/>
      </w:pPr>
      <w:r>
        <w:rPr>
          <w:rFonts w:ascii="Cambria" w:hAnsi="Cambria"/>
          <w:b/>
          <w:i w:val="0"/>
          <w:color w:val="1F3A5F"/>
          <w:sz w:val="26"/>
        </w:rPr>
        <w:t>Actions by HoD/Division</w:t>
      </w:r>
    </w:p>
    <w:p>
      <w:pPr>
        <w:pStyle w:val="ListBullet"/>
        <w:spacing w:after="80"/>
        <w:jc w:val="both"/>
      </w:pPr>
      <w:r>
        <w:rPr>
          <w:rFonts w:ascii="Cambria" w:hAnsi="Cambria"/>
          <w:b w:val="0"/>
          <w:i w:val="0"/>
          <w:sz w:val="22"/>
        </w:rPr>
        <w:t>Planning &amp; Allocation</w:t>
      </w:r>
    </w:p>
    <w:p>
      <w:pPr>
        <w:pStyle w:val="ListBullet2"/>
        <w:spacing w:after="80"/>
        <w:jc w:val="both"/>
      </w:pPr>
      <w:r>
        <w:rPr>
          <w:rFonts w:ascii="Cambria" w:hAnsi="Cambria"/>
          <w:b w:val="0"/>
          <w:i w:val="0"/>
          <w:sz w:val="22"/>
        </w:rPr>
        <w:t>Appoint faculty mentors/counselors for small student groups (mentor–mentee ratio).</w:t>
      </w:r>
    </w:p>
    <w:p>
      <w:pPr>
        <w:pStyle w:val="ListBullet2"/>
        <w:spacing w:after="80"/>
        <w:jc w:val="both"/>
      </w:pPr>
      <w:r>
        <w:rPr>
          <w:rFonts w:ascii="Cambria" w:hAnsi="Cambria"/>
          <w:b w:val="0"/>
          <w:i w:val="0"/>
          <w:sz w:val="22"/>
        </w:rPr>
        <w:t>Define counseling schedule (monthly/semester-wise).</w:t>
      </w:r>
    </w:p>
    <w:p>
      <w:pPr>
        <w:pStyle w:val="ListBullet"/>
        <w:spacing w:after="80"/>
        <w:jc w:val="both"/>
      </w:pPr>
      <w:r>
        <w:rPr>
          <w:rFonts w:ascii="Cambria" w:hAnsi="Cambria"/>
          <w:b w:val="0"/>
          <w:i w:val="0"/>
          <w:sz w:val="22"/>
        </w:rPr>
        <w:t>Execution</w:t>
      </w:r>
    </w:p>
    <w:p>
      <w:pPr>
        <w:pStyle w:val="ListBullet2"/>
        <w:spacing w:after="80"/>
        <w:jc w:val="both"/>
      </w:pPr>
      <w:r>
        <w:rPr>
          <w:rFonts w:ascii="Cambria" w:hAnsi="Cambria"/>
          <w:b w:val="0"/>
          <w:i w:val="0"/>
          <w:sz w:val="22"/>
        </w:rPr>
        <w:t>Conduct one-to-one and group counseling sessions.</w:t>
      </w:r>
    </w:p>
    <w:p>
      <w:pPr>
        <w:pStyle w:val="ListBullet2"/>
        <w:spacing w:after="80"/>
        <w:jc w:val="both"/>
      </w:pPr>
      <w:r>
        <w:rPr>
          <w:rFonts w:ascii="Cambria" w:hAnsi="Cambria"/>
          <w:b w:val="0"/>
          <w:i w:val="0"/>
          <w:sz w:val="22"/>
        </w:rPr>
        <w:t>Address academic, personal, and career issues.</w:t>
      </w:r>
    </w:p>
    <w:p>
      <w:pPr>
        <w:pStyle w:val="ListBullet2"/>
        <w:spacing w:after="80"/>
        <w:jc w:val="both"/>
      </w:pPr>
      <w:r>
        <w:rPr>
          <w:rFonts w:ascii="Cambria" w:hAnsi="Cambria"/>
          <w:b w:val="0"/>
          <w:i w:val="0"/>
          <w:sz w:val="22"/>
        </w:rPr>
        <w:t>Refer students with serious issues to professional counselors or DC (disciplinary cases).</w:t>
      </w:r>
    </w:p>
    <w:p>
      <w:pPr>
        <w:pStyle w:val="ListBullet"/>
        <w:spacing w:after="80"/>
        <w:jc w:val="both"/>
      </w:pPr>
      <w:r>
        <w:rPr>
          <w:rFonts w:ascii="Cambria" w:hAnsi="Cambria"/>
          <w:b w:val="0"/>
          <w:i w:val="0"/>
          <w:sz w:val="22"/>
        </w:rPr>
        <w:t>Monitoring &amp; Documentation</w:t>
      </w:r>
    </w:p>
    <w:p>
      <w:pPr>
        <w:pStyle w:val="ListBullet2"/>
        <w:spacing w:after="80"/>
        <w:jc w:val="both"/>
      </w:pPr>
      <w:r>
        <w:rPr>
          <w:rFonts w:ascii="Cambria" w:hAnsi="Cambria"/>
          <w:b w:val="0"/>
          <w:i w:val="0"/>
          <w:sz w:val="22"/>
        </w:rPr>
        <w:t>Maintain counseling records signed by faculty mentor and HoD.</w:t>
      </w:r>
    </w:p>
    <w:p>
      <w:pPr>
        <w:pStyle w:val="ListBullet2"/>
        <w:spacing w:after="80"/>
        <w:jc w:val="both"/>
      </w:pPr>
      <w:r>
        <w:rPr>
          <w:rFonts w:ascii="Cambria" w:hAnsi="Cambria"/>
          <w:b w:val="0"/>
          <w:i w:val="0"/>
          <w:sz w:val="22"/>
        </w:rPr>
        <w:t>Track remedial classes, mentoring interventions, and outcomes.</w:t>
      </w:r>
    </w:p>
    <w:p>
      <w:pPr>
        <w:pStyle w:val="ListBullet2"/>
        <w:spacing w:after="80"/>
        <w:jc w:val="both"/>
      </w:pPr>
      <w:r>
        <w:rPr>
          <w:rFonts w:ascii="Cambria" w:hAnsi="Cambria"/>
          <w:b w:val="0"/>
          <w:i w:val="0"/>
          <w:sz w:val="22"/>
        </w:rPr>
        <w:t>Collect student feedback on effectiveness of counseling.</w:t>
      </w:r>
    </w:p>
    <w:p>
      <w:pPr>
        <w:pStyle w:val="ListBullet"/>
        <w:spacing w:after="80"/>
        <w:jc w:val="both"/>
      </w:pPr>
      <w:r>
        <w:rPr>
          <w:rFonts w:ascii="Cambria" w:hAnsi="Cambria"/>
          <w:b w:val="0"/>
          <w:i w:val="0"/>
          <w:sz w:val="22"/>
        </w:rPr>
        <w:t>Continuous Improvement</w:t>
      </w:r>
    </w:p>
    <w:p>
      <w:pPr>
        <w:pStyle w:val="ListBullet2"/>
        <w:spacing w:after="80"/>
        <w:jc w:val="both"/>
      </w:pPr>
      <w:r>
        <w:rPr>
          <w:rFonts w:ascii="Cambria" w:hAnsi="Cambria"/>
          <w:b w:val="0"/>
          <w:i w:val="0"/>
          <w:sz w:val="22"/>
        </w:rPr>
        <w:t>Review counseling outcomes periodically.</w:t>
      </w:r>
    </w:p>
    <w:p>
      <w:pPr>
        <w:pStyle w:val="ListBullet2"/>
        <w:spacing w:after="80"/>
        <w:jc w:val="both"/>
      </w:pPr>
      <w:r>
        <w:rPr>
          <w:rFonts w:ascii="Cambria" w:hAnsi="Cambria"/>
          <w:b w:val="0"/>
          <w:i w:val="0"/>
          <w:sz w:val="22"/>
        </w:rPr>
        <w:t>Suggest remedial/bridge classes, mentoring programs, or skill development workshops.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Counseling policy/guidelines.</w:t>
      </w:r>
    </w:p>
    <w:p>
      <w:pPr>
        <w:pStyle w:val="ListBullet"/>
        <w:spacing w:after="80"/>
        <w:jc w:val="both"/>
      </w:pPr>
      <w:r>
        <w:rPr>
          <w:rFonts w:ascii="Cambria" w:hAnsi="Cambria"/>
          <w:b w:val="0"/>
          <w:i w:val="0"/>
          <w:sz w:val="22"/>
        </w:rPr>
        <w:t>Mentor–mentee allocation list.</w:t>
      </w:r>
    </w:p>
    <w:p>
      <w:pPr>
        <w:pStyle w:val="ListBullet"/>
        <w:spacing w:after="80"/>
        <w:jc w:val="both"/>
      </w:pPr>
      <w:r>
        <w:rPr>
          <w:rFonts w:ascii="Cambria" w:hAnsi="Cambria"/>
          <w:b w:val="0"/>
          <w:i w:val="0"/>
          <w:sz w:val="22"/>
        </w:rPr>
        <w:t>Counseling schedules.</w:t>
      </w:r>
    </w:p>
    <w:p>
      <w:pPr>
        <w:pStyle w:val="ListBullet"/>
        <w:spacing w:after="80"/>
        <w:jc w:val="both"/>
      </w:pPr>
      <w:r>
        <w:rPr>
          <w:rFonts w:ascii="Cambria" w:hAnsi="Cambria"/>
          <w:b w:val="0"/>
          <w:i w:val="0"/>
          <w:sz w:val="22"/>
        </w:rPr>
        <w:t>Counseling records (signed by mentor &amp; HoD).</w:t>
      </w:r>
    </w:p>
    <w:p>
      <w:pPr>
        <w:pStyle w:val="ListBullet"/>
        <w:spacing w:after="80"/>
        <w:jc w:val="both"/>
      </w:pPr>
      <w:r>
        <w:rPr>
          <w:rFonts w:ascii="Cambria" w:hAnsi="Cambria"/>
          <w:b w:val="0"/>
          <w:i w:val="0"/>
          <w:sz w:val="22"/>
        </w:rPr>
        <w:t>Academic progress reports (before vs after counseling).</w:t>
      </w:r>
    </w:p>
    <w:p>
      <w:pPr>
        <w:pStyle w:val="ListBullet"/>
        <w:spacing w:after="80"/>
        <w:jc w:val="both"/>
      </w:pPr>
      <w:r>
        <w:rPr>
          <w:rFonts w:ascii="Cambria" w:hAnsi="Cambria"/>
          <w:b w:val="0"/>
          <w:i w:val="0"/>
          <w:sz w:val="22"/>
        </w:rPr>
        <w:t>Attendance for remedial classes/mentoring sessions.</w:t>
      </w:r>
    </w:p>
    <w:p>
      <w:pPr>
        <w:pStyle w:val="ListBullet"/>
        <w:spacing w:after="80"/>
        <w:jc w:val="both"/>
      </w:pPr>
      <w:r>
        <w:rPr>
          <w:rFonts w:ascii="Cambria" w:hAnsi="Cambria"/>
          <w:b w:val="0"/>
          <w:i w:val="0"/>
          <w:sz w:val="22"/>
        </w:rPr>
        <w:t>Referral records (cases escalated to professional counselors or DC).</w:t>
      </w:r>
    </w:p>
    <w:p>
      <w:pPr>
        <w:pStyle w:val="ListBullet"/>
        <w:spacing w:after="80"/>
        <w:jc w:val="both"/>
      </w:pPr>
      <w:r>
        <w:rPr>
          <w:rFonts w:ascii="Cambria" w:hAnsi="Cambria"/>
          <w:b w:val="0"/>
          <w:i w:val="0"/>
          <w:sz w:val="22"/>
        </w:rPr>
        <w:t>ATRs from feedback and review meetings.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students assigned mentors.</w:t>
      </w:r>
    </w:p>
    <w:p>
      <w:pPr>
        <w:pStyle w:val="ListBullet"/>
        <w:spacing w:after="80"/>
        <w:jc w:val="both"/>
      </w:pPr>
      <w:r>
        <w:rPr>
          <w:rFonts w:ascii="Cambria" w:hAnsi="Cambria"/>
          <w:b w:val="0"/>
          <w:i w:val="0"/>
          <w:sz w:val="22"/>
        </w:rPr>
        <w:t>Academic backlogs reduced by 20% YoY after counseling interventions.</w:t>
      </w:r>
    </w:p>
    <w:p>
      <w:pPr>
        <w:spacing w:after="120"/>
        <w:jc w:val="both"/>
      </w:pPr>
      <w:r>
        <w:rPr>
          <w:rFonts w:ascii="Cambria" w:hAnsi="Cambria"/>
          <w:b w:val="0"/>
          <w:i w:val="0"/>
          <w:sz w:val="22"/>
        </w:rPr>
        <w:t>Student attendance improved from 78% → 90%.</w:t>
      </w:r>
    </w:p>
    <w:p>
      <w:pPr>
        <w:pStyle w:val="ListBullet"/>
        <w:spacing w:after="80"/>
        <w:jc w:val="both"/>
      </w:pPr>
      <w:r>
        <w:rPr>
          <w:rFonts w:ascii="Cambria" w:hAnsi="Cambria"/>
          <w:b w:val="0"/>
          <w:i w:val="0"/>
          <w:sz w:val="22"/>
        </w:rPr>
        <w:t>Placement readiness training participation ↑ by 30%.</w:t>
      </w:r>
    </w:p>
    <w:p>
      <w:pPr>
        <w:spacing w:after="120"/>
        <w:jc w:val="both"/>
      </w:pPr>
      <w:r>
        <w:rPr>
          <w:rFonts w:ascii="Cambria" w:hAnsi="Cambria"/>
          <w:b w:val="0"/>
          <w:i w:val="0"/>
          <w:sz w:val="22"/>
        </w:rPr>
        <w:t>Student satisfaction on counseling ↑ from 3.6 → 4.4/5.</w:t>
      </w:r>
    </w:p>
    <w:p>
      <w:pPr>
        <w:pStyle w:val="ListBullet"/>
        <w:spacing w:after="80"/>
        <w:jc w:val="both"/>
      </w:pPr>
      <w:r>
        <w:rPr>
          <w:rFonts w:ascii="Cambria" w:hAnsi="Cambria"/>
          <w:b w:val="0"/>
          <w:i w:val="0"/>
          <w:sz w:val="22"/>
        </w:rPr>
        <w:t>Cases referred to DC reduced by 15% YoY (due to preventive counseling).</w:t>
      </w:r>
    </w:p>
    <w:p>
      <w:pPr>
        <w:keepNext/>
        <w:spacing w:before="280" w:after="160"/>
        <w:jc w:val="left"/>
      </w:pPr>
      <w:r>
        <w:rPr>
          <w:rFonts w:ascii="Cambria" w:hAnsi="Cambria"/>
          <w:b/>
          <w:i w:val="0"/>
          <w:color w:val="1F3A5F"/>
          <w:sz w:val="26"/>
        </w:rPr>
        <w:t>Evidence/Documents – Student Counseling</w:t>
      </w:r>
    </w:p>
    <w:p>
      <w:pPr>
        <w:spacing w:after="80"/>
        <w:ind w:left="340" w:hanging="340"/>
        <w:jc w:val="both"/>
      </w:pPr>
      <w:r>
        <w:rPr>
          <w:rFonts w:ascii="Cambria" w:hAnsi="Cambria"/>
          <w:b w:val="0"/>
          <w:i w:val="0"/>
          <w:sz w:val="22"/>
        </w:rPr>
        <w:t xml:space="preserve">1. </w:t>
      </w:r>
      <w:r>
        <w:rPr>
          <w:rFonts w:ascii="Cambria" w:hAnsi="Cambria"/>
          <w:b w:val="0"/>
          <w:i w:val="0"/>
          <w:sz w:val="22"/>
        </w:rPr>
        <w:t>Counseling Policy/Guidelines</w:t>
      </w:r>
    </w:p>
    <w:p>
      <w:pPr>
        <w:pStyle w:val="ListBullet2"/>
        <w:spacing w:after="80"/>
        <w:jc w:val="both"/>
      </w:pPr>
      <w:r>
        <w:rPr>
          <w:rFonts w:ascii="Cambria" w:hAnsi="Cambria"/>
          <w:b w:val="0"/>
          <w:i w:val="0"/>
          <w:sz w:val="22"/>
        </w:rPr>
        <w:t>Official departmental or institutional policy on student counseling.</w:t>
      </w:r>
    </w:p>
    <w:p>
      <w:pPr>
        <w:pStyle w:val="ListBullet2"/>
        <w:spacing w:after="80"/>
        <w:jc w:val="both"/>
      </w:pPr>
      <w:r>
        <w:rPr>
          <w:rFonts w:ascii="Cambria" w:hAnsi="Cambria"/>
          <w:b w:val="0"/>
          <w:i w:val="0"/>
          <w:sz w:val="22"/>
        </w:rPr>
        <w:t>Defines mentor–mentee ratio, frequency of sessions, escalation procedures.</w:t>
      </w:r>
    </w:p>
    <w:p>
      <w:pPr>
        <w:spacing w:after="80"/>
        <w:ind w:left="340" w:hanging="340"/>
        <w:jc w:val="both"/>
      </w:pPr>
      <w:r>
        <w:rPr>
          <w:rFonts w:ascii="Cambria" w:hAnsi="Cambria"/>
          <w:b w:val="0"/>
          <w:i w:val="0"/>
          <w:sz w:val="22"/>
        </w:rPr>
        <w:t xml:space="preserve">2. </w:t>
      </w:r>
      <w:r>
        <w:rPr>
          <w:rFonts w:ascii="Cambria" w:hAnsi="Cambria"/>
          <w:b w:val="0"/>
          <w:i w:val="0"/>
          <w:sz w:val="22"/>
        </w:rPr>
        <w:t>Mentor–Mentee Allocation List</w:t>
      </w:r>
    </w:p>
    <w:p>
      <w:pPr>
        <w:pStyle w:val="ListBullet2"/>
        <w:spacing w:after="80"/>
        <w:jc w:val="both"/>
      </w:pPr>
      <w:r>
        <w:rPr>
          <w:rFonts w:ascii="Cambria" w:hAnsi="Cambria"/>
          <w:b w:val="0"/>
          <w:i w:val="0"/>
          <w:sz w:val="22"/>
        </w:rPr>
        <w:t>List of students assigned to each faculty mentor.</w:t>
      </w:r>
    </w:p>
    <w:p>
      <w:pPr>
        <w:pStyle w:val="ListBullet2"/>
        <w:spacing w:after="80"/>
        <w:jc w:val="both"/>
      </w:pPr>
      <w:r>
        <w:rPr>
          <w:rFonts w:ascii="Cambria" w:hAnsi="Cambria"/>
          <w:b w:val="0"/>
          <w:i w:val="0"/>
          <w:sz w:val="22"/>
        </w:rPr>
        <w:t>Signed by HoD for authentication.</w:t>
      </w:r>
    </w:p>
    <w:p>
      <w:pPr>
        <w:spacing w:after="80"/>
        <w:ind w:left="340" w:hanging="340"/>
        <w:jc w:val="both"/>
      </w:pPr>
      <w:r>
        <w:rPr>
          <w:rFonts w:ascii="Cambria" w:hAnsi="Cambria"/>
          <w:b w:val="0"/>
          <w:i w:val="0"/>
          <w:sz w:val="22"/>
        </w:rPr>
        <w:t xml:space="preserve">3. </w:t>
      </w:r>
      <w:r>
        <w:rPr>
          <w:rFonts w:ascii="Cambria" w:hAnsi="Cambria"/>
          <w:b w:val="0"/>
          <w:i w:val="0"/>
          <w:sz w:val="22"/>
        </w:rPr>
        <w:t>Counseling Schedules</w:t>
      </w:r>
    </w:p>
    <w:p>
      <w:pPr>
        <w:pStyle w:val="ListBullet2"/>
        <w:spacing w:after="80"/>
        <w:jc w:val="both"/>
      </w:pPr>
      <w:r>
        <w:rPr>
          <w:rFonts w:ascii="Cambria" w:hAnsi="Cambria"/>
          <w:b w:val="0"/>
          <w:i w:val="0"/>
          <w:sz w:val="22"/>
        </w:rPr>
        <w:t>Semester/monthly plan for counseling sessions.</w:t>
      </w:r>
    </w:p>
    <w:p>
      <w:pPr>
        <w:pStyle w:val="ListBullet2"/>
        <w:spacing w:after="80"/>
        <w:jc w:val="both"/>
      </w:pPr>
      <w:r>
        <w:rPr>
          <w:rFonts w:ascii="Cambria" w:hAnsi="Cambria"/>
          <w:b w:val="0"/>
          <w:i w:val="0"/>
          <w:sz w:val="22"/>
        </w:rPr>
        <w:t>Circulated to students and mentors in advance.</w:t>
      </w:r>
    </w:p>
    <w:p>
      <w:pPr>
        <w:spacing w:after="80"/>
        <w:ind w:left="340" w:hanging="340"/>
        <w:jc w:val="both"/>
      </w:pPr>
      <w:r>
        <w:rPr>
          <w:rFonts w:ascii="Cambria" w:hAnsi="Cambria"/>
          <w:b w:val="0"/>
          <w:i w:val="0"/>
          <w:sz w:val="22"/>
        </w:rPr>
        <w:t xml:space="preserve">4. </w:t>
      </w:r>
      <w:r>
        <w:rPr>
          <w:rFonts w:ascii="Cambria" w:hAnsi="Cambria"/>
          <w:b w:val="0"/>
          <w:i w:val="0"/>
          <w:sz w:val="22"/>
        </w:rPr>
        <w:t>Counseling Records (Signed by Mentor &amp; HoD)</w:t>
      </w:r>
    </w:p>
    <w:p>
      <w:pPr>
        <w:pStyle w:val="ListBullet2"/>
        <w:spacing w:after="80"/>
        <w:jc w:val="both"/>
      </w:pPr>
      <w:r>
        <w:rPr>
          <w:rFonts w:ascii="Cambria" w:hAnsi="Cambria"/>
          <w:b w:val="0"/>
          <w:i w:val="0"/>
          <w:sz w:val="22"/>
        </w:rPr>
        <w:t>Individual session records (date, issues discussed, action points).</w:t>
      </w:r>
    </w:p>
    <w:p>
      <w:pPr>
        <w:pStyle w:val="ListBullet2"/>
        <w:spacing w:after="80"/>
        <w:jc w:val="both"/>
      </w:pPr>
      <w:r>
        <w:rPr>
          <w:rFonts w:ascii="Cambria" w:hAnsi="Cambria"/>
          <w:b w:val="0"/>
          <w:i w:val="0"/>
          <w:sz w:val="22"/>
        </w:rPr>
        <w:t>Group counseling meeting notes.</w:t>
      </w:r>
    </w:p>
    <w:p>
      <w:pPr>
        <w:spacing w:after="80"/>
        <w:ind w:left="340" w:hanging="340"/>
        <w:jc w:val="both"/>
      </w:pPr>
      <w:r>
        <w:rPr>
          <w:rFonts w:ascii="Cambria" w:hAnsi="Cambria"/>
          <w:b w:val="0"/>
          <w:i w:val="0"/>
          <w:sz w:val="22"/>
        </w:rPr>
        <w:t xml:space="preserve">5. </w:t>
      </w:r>
      <w:r>
        <w:rPr>
          <w:rFonts w:ascii="Cambria" w:hAnsi="Cambria"/>
          <w:b w:val="0"/>
          <w:i w:val="0"/>
          <w:sz w:val="22"/>
        </w:rPr>
        <w:t>Academic Progress Reports (Before vs After Counseling)</w:t>
      </w:r>
    </w:p>
    <w:p>
      <w:pPr>
        <w:pStyle w:val="ListBullet2"/>
        <w:spacing w:after="80"/>
        <w:jc w:val="both"/>
      </w:pPr>
      <w:r>
        <w:rPr>
          <w:rFonts w:ascii="Cambria" w:hAnsi="Cambria"/>
          <w:b w:val="0"/>
          <w:i w:val="0"/>
          <w:sz w:val="22"/>
        </w:rPr>
        <w:t>GPA, backlog, and attendance comparisons.</w:t>
      </w:r>
    </w:p>
    <w:p>
      <w:pPr>
        <w:pStyle w:val="ListBullet2"/>
        <w:spacing w:after="80"/>
        <w:jc w:val="both"/>
      </w:pPr>
      <w:r>
        <w:rPr>
          <w:rFonts w:ascii="Cambria" w:hAnsi="Cambria"/>
          <w:b w:val="0"/>
          <w:i w:val="0"/>
          <w:sz w:val="22"/>
        </w:rPr>
        <w:t>Shows measurable impact of counseling.</w:t>
      </w:r>
    </w:p>
    <w:p>
      <w:pPr>
        <w:spacing w:after="80"/>
        <w:ind w:left="340" w:hanging="340"/>
        <w:jc w:val="both"/>
      </w:pPr>
      <w:r>
        <w:rPr>
          <w:rFonts w:ascii="Cambria" w:hAnsi="Cambria"/>
          <w:b w:val="0"/>
          <w:i w:val="0"/>
          <w:sz w:val="22"/>
        </w:rPr>
        <w:t xml:space="preserve">6. </w:t>
      </w:r>
      <w:r>
        <w:rPr>
          <w:rFonts w:ascii="Cambria" w:hAnsi="Cambria"/>
          <w:b w:val="0"/>
          <w:i w:val="0"/>
          <w:sz w:val="22"/>
        </w:rPr>
        <w:t>Attendance for Remedial Classes/Mentoring Sessions</w:t>
      </w:r>
    </w:p>
    <w:p>
      <w:pPr>
        <w:pStyle w:val="ListBullet2"/>
        <w:spacing w:after="80"/>
        <w:jc w:val="both"/>
      </w:pPr>
      <w:r>
        <w:rPr>
          <w:rFonts w:ascii="Cambria" w:hAnsi="Cambria"/>
          <w:b w:val="0"/>
          <w:i w:val="0"/>
          <w:sz w:val="22"/>
        </w:rPr>
        <w:t>Registers or ERP logs showing students attended follow-up interventions.</w:t>
      </w:r>
    </w:p>
    <w:p>
      <w:pPr>
        <w:spacing w:after="80"/>
        <w:ind w:left="340" w:hanging="340"/>
        <w:jc w:val="both"/>
      </w:pPr>
      <w:r>
        <w:rPr>
          <w:rFonts w:ascii="Cambria" w:hAnsi="Cambria"/>
          <w:b w:val="0"/>
          <w:i w:val="0"/>
          <w:sz w:val="22"/>
        </w:rPr>
        <w:t xml:space="preserve">7. </w:t>
      </w:r>
      <w:r>
        <w:rPr>
          <w:rFonts w:ascii="Cambria" w:hAnsi="Cambria"/>
          <w:b w:val="0"/>
          <w:i w:val="0"/>
          <w:sz w:val="22"/>
        </w:rPr>
        <w:t>Referral Records</w:t>
      </w:r>
    </w:p>
    <w:p>
      <w:pPr>
        <w:pStyle w:val="ListBullet2"/>
        <w:spacing w:after="80"/>
        <w:jc w:val="both"/>
      </w:pPr>
      <w:r>
        <w:rPr>
          <w:rFonts w:ascii="Cambria" w:hAnsi="Cambria"/>
          <w:b w:val="0"/>
          <w:i w:val="0"/>
          <w:sz w:val="22"/>
        </w:rPr>
        <w:t>Documentation of cases escalated to professional counselors or Disciplinary Committee (DC).</w:t>
      </w:r>
    </w:p>
    <w:p>
      <w:pPr>
        <w:pStyle w:val="ListBullet2"/>
        <w:spacing w:after="80"/>
        <w:jc w:val="both"/>
      </w:pPr>
      <w:r>
        <w:rPr>
          <w:rFonts w:ascii="Cambria" w:hAnsi="Cambria"/>
          <w:b w:val="0"/>
          <w:i w:val="0"/>
          <w:sz w:val="22"/>
        </w:rPr>
        <w:t>Includes outcomes of referred cases.</w:t>
      </w:r>
    </w:p>
    <w:p>
      <w:pPr>
        <w:spacing w:after="80"/>
        <w:ind w:left="340" w:hanging="340"/>
        <w:jc w:val="both"/>
      </w:pPr>
      <w:r>
        <w:rPr>
          <w:rFonts w:ascii="Cambria" w:hAnsi="Cambria"/>
          <w:b w:val="0"/>
          <w:i w:val="0"/>
          <w:sz w:val="22"/>
        </w:rPr>
        <w:t xml:space="preserve">8. </w:t>
      </w:r>
      <w:r>
        <w:rPr>
          <w:rFonts w:ascii="Cambria" w:hAnsi="Cambria"/>
          <w:b w:val="0"/>
          <w:i w:val="0"/>
          <w:sz w:val="22"/>
        </w:rPr>
        <w:t>Action Taken Reports (ATRs)</w:t>
      </w:r>
    </w:p>
    <w:p>
      <w:pPr>
        <w:pStyle w:val="ListBullet2"/>
        <w:spacing w:after="80"/>
        <w:jc w:val="both"/>
      </w:pPr>
      <w:r>
        <w:rPr>
          <w:rFonts w:ascii="Cambria" w:hAnsi="Cambria"/>
          <w:b w:val="0"/>
          <w:i w:val="0"/>
          <w:sz w:val="22"/>
        </w:rPr>
        <w:t>Summary of feedback from students on counseling effectiveness.</w:t>
      </w:r>
    </w:p>
    <w:p>
      <w:pPr>
        <w:pStyle w:val="ListBullet2"/>
        <w:spacing w:after="80"/>
        <w:jc w:val="both"/>
      </w:pPr>
      <w:r>
        <w:rPr>
          <w:rFonts w:ascii="Cambria" w:hAnsi="Cambria"/>
          <w:b w:val="0"/>
          <w:i w:val="0"/>
          <w:sz w:val="22"/>
        </w:rPr>
        <w:t>Steps taken to improve mentoring (extra sessions, bridge courses, stress management workshops).</w:t>
      </w:r>
    </w:p>
    <w:p>
      <w:pPr>
        <w:keepNext/>
        <w:spacing w:before="280" w:after="160"/>
        <w:jc w:val="left"/>
      </w:pPr>
      <w:r>
        <w:rPr>
          <w:rFonts w:ascii="Cambria" w:hAnsi="Cambria"/>
          <w:b/>
          <w:i w:val="0"/>
          <w:color w:val="1F3A5F"/>
          <w:sz w:val="24"/>
        </w:rPr>
        <w:t>Student Counseling Evidence Matrix</w:t>
      </w:r>
    </w:p>
    <w:tbl>
      <w:tblPr>
        <w:tblStyle w:val="TableGrid"/>
        <w:tblW w:type="auto" w:w="0"/>
        <w:jc w:val="center"/>
        <w:tblLayout w:type="fixed"/>
        <w:tblLook w:firstColumn="1" w:firstRow="1" w:lastColumn="0" w:lastRow="0" w:noHBand="0" w:noVBand="1" w:val="04A0"/>
        <w:tblLayout w:type="fixed"/>
      </w:tblPr>
      <w:tblGrid>
        <w:gridCol w:w="1474"/>
        <w:gridCol w:w="1587"/>
        <w:gridCol w:w="1644"/>
        <w:gridCol w:w="2494"/>
        <w:gridCol w:w="1531"/>
        <w:gridCol w:w="1020"/>
      </w:tblGrid>
      <w:tr>
        <w:tc>
          <w:tcPr>
            <w:tcW w:type="dxa" w:w="1474"/>
            <w:shd w:val="clear" w:color="auto" w:fill="1F3A5F"/>
          </w:tcPr>
          <w:p>
            <w:pPr>
              <w:jc w:val="center"/>
            </w:pPr>
            <w:r/>
            <w:r>
              <w:rPr>
                <w:rFonts w:ascii="Cambria" w:hAnsi="Cambria"/>
                <w:b/>
                <w:i w:val="0"/>
                <w:color w:val="FFFFFF"/>
                <w:sz w:val="20"/>
              </w:rPr>
              <w:t>Student ID / Mentor</w:t>
            </w:r>
          </w:p>
        </w:tc>
        <w:tc>
          <w:tcPr>
            <w:tcW w:type="dxa" w:w="1587"/>
            <w:shd w:val="clear" w:color="auto" w:fill="1F3A5F"/>
          </w:tcPr>
          <w:p>
            <w:pPr>
              <w:jc w:val="center"/>
            </w:pPr>
            <w:r/>
            <w:r>
              <w:rPr>
                <w:rFonts w:ascii="Cambria" w:hAnsi="Cambria"/>
                <w:b/>
                <w:i w:val="0"/>
                <w:color w:val="FFFFFF"/>
                <w:sz w:val="20"/>
              </w:rPr>
              <w:t>Counseling Date / Issue Identified</w:t>
            </w:r>
          </w:p>
        </w:tc>
        <w:tc>
          <w:tcPr>
            <w:tcW w:type="dxa" w:w="1644"/>
            <w:shd w:val="clear" w:color="auto" w:fill="1F3A5F"/>
          </w:tcPr>
          <w:p>
            <w:pPr>
              <w:jc w:val="center"/>
            </w:pPr>
            <w:r/>
            <w:r>
              <w:rPr>
                <w:rFonts w:ascii="Cambria" w:hAnsi="Cambria"/>
                <w:b/>
                <w:i w:val="0"/>
                <w:color w:val="FFFFFF"/>
                <w:sz w:val="20"/>
              </w:rPr>
              <w:t>Action Taken</w:t>
            </w:r>
          </w:p>
        </w:tc>
        <w:tc>
          <w:tcPr>
            <w:tcW w:type="dxa" w:w="2494"/>
            <w:shd w:val="clear" w:color="auto" w:fill="1F3A5F"/>
          </w:tcPr>
          <w:p>
            <w:pPr>
              <w:jc w:val="center"/>
            </w:pPr>
            <w:r/>
            <w:r>
              <w:rPr>
                <w:rFonts w:ascii="Cambria" w:hAnsi="Cambria"/>
                <w:b/>
                <w:i w:val="0"/>
                <w:color w:val="FFFFFF"/>
                <w:sz w:val="20"/>
              </w:rPr>
              <w:t>Evidence Link / Before–After (GPA/Backlogs/Attendance %)</w:t>
            </w:r>
          </w:p>
        </w:tc>
        <w:tc>
          <w:tcPr>
            <w:tcW w:type="dxa" w:w="1531"/>
            <w:shd w:val="clear" w:color="auto" w:fill="1F3A5F"/>
          </w:tcPr>
          <w:p>
            <w:pPr>
              <w:jc w:val="center"/>
            </w:pPr>
            <w:r/>
            <w:r>
              <w:rPr>
                <w:rFonts w:ascii="Cambria" w:hAnsi="Cambria"/>
                <w:b/>
                <w:i w:val="0"/>
                <w:color w:val="FFFFFF"/>
                <w:sz w:val="20"/>
              </w:rPr>
              <w:t>Improvement % / Referral Status</w:t>
            </w:r>
          </w:p>
        </w:tc>
        <w:tc>
          <w:tcPr>
            <w:tcW w:type="dxa" w:w="1020"/>
            <w:shd w:val="clear" w:color="auto" w:fill="1F3A5F"/>
          </w:tcPr>
          <w:p>
            <w:pPr>
              <w:jc w:val="center"/>
            </w:pPr>
            <w:r/>
            <w:r>
              <w:rPr>
                <w:rFonts w:ascii="Cambria" w:hAnsi="Cambria"/>
                <w:b/>
                <w:i w:val="0"/>
                <w:color w:val="FFFFFF"/>
                <w:sz w:val="20"/>
              </w:rPr>
              <w:t>Student Feedback (1–5) / RAG</w:t>
            </w:r>
          </w:p>
        </w:tc>
      </w:tr>
      <w:tr>
        <w:tc>
          <w:tcPr>
            <w:tcW w:type="dxa" w:w="1474"/>
          </w:tcPr>
          <w:p>
            <w:pPr>
              <w:jc w:val="left"/>
            </w:pPr>
            <w:r/>
            <w:r>
              <w:rPr>
                <w:rFonts w:ascii="Cambria" w:hAnsi="Cambria"/>
                <w:b w:val="0"/>
                <w:i w:val="0"/>
                <w:sz w:val="20"/>
              </w:rPr>
              <w:t>SC-2024-01</w:t>
              <w:br/>
              <w:t>Student: A. Sharma</w:t>
              <w:br/>
              <w:t>Mentor: Prof. R. Gupta</w:t>
            </w:r>
          </w:p>
        </w:tc>
        <w:tc>
          <w:tcPr>
            <w:tcW w:type="dxa" w:w="1587"/>
          </w:tcPr>
          <w:p>
            <w:pPr>
              <w:jc w:val="left"/>
            </w:pPr>
            <w:r/>
            <w:r>
              <w:rPr>
                <w:rFonts w:ascii="Cambria" w:hAnsi="Cambria"/>
                <w:b w:val="0"/>
                <w:i w:val="0"/>
                <w:sz w:val="20"/>
              </w:rPr>
              <w:t>10-08-2024</w:t>
              <w:br/>
              <w:t>Backlogs in 2 courses</w:t>
            </w:r>
          </w:p>
        </w:tc>
        <w:tc>
          <w:tcPr>
            <w:tcW w:type="dxa" w:w="1644"/>
          </w:tcPr>
          <w:p>
            <w:pPr>
              <w:jc w:val="left"/>
            </w:pPr>
            <w:r/>
            <w:r>
              <w:rPr>
                <w:rFonts w:ascii="Cambria" w:hAnsi="Cambria"/>
                <w:b w:val="0"/>
                <w:i w:val="0"/>
                <w:sz w:val="20"/>
              </w:rPr>
              <w:t>Remedial classes, weekly mentoring</w:t>
            </w:r>
          </w:p>
        </w:tc>
        <w:tc>
          <w:tcPr>
            <w:tcW w:type="dxa" w:w="2494"/>
          </w:tcPr>
          <w:p>
            <w:pPr>
              <w:jc w:val="left"/>
            </w:pPr>
            <w:r/>
            <w:r>
              <w:rPr>
                <w:rFonts w:ascii="Cambria" w:hAnsi="Cambria"/>
                <w:b w:val="0"/>
                <w:i w:val="0"/>
                <w:sz w:val="20"/>
              </w:rPr>
              <w:t>CounselingRecord_SC01.pdf</w:t>
              <w:br/>
              <w:t>Before: GPA 6.2, Backlogs 2, Attendance 70%</w:t>
              <w:br/>
              <w:t>After: GPA 7.1, Backlogs 0, Attendance 88%</w:t>
            </w:r>
          </w:p>
        </w:tc>
        <w:tc>
          <w:tcPr>
            <w:tcW w:type="dxa" w:w="1531"/>
          </w:tcPr>
          <w:p>
            <w:pPr>
              <w:jc w:val="left"/>
            </w:pPr>
            <w:r/>
            <w:r>
              <w:rPr>
                <w:rFonts w:ascii="Cambria" w:hAnsi="Cambria"/>
                <w:b w:val="0"/>
                <w:i w:val="0"/>
                <w:sz w:val="20"/>
              </w:rPr>
              <w:t>+25% / N/A</w:t>
            </w:r>
          </w:p>
        </w:tc>
        <w:tc>
          <w:tcPr>
            <w:tcW w:type="dxa" w:w="1020"/>
          </w:tcPr>
          <w:p>
            <w:pPr>
              <w:jc w:val="left"/>
            </w:pPr>
            <w:r/>
            <w:r>
              <w:rPr>
                <w:rFonts w:ascii="Cambria" w:hAnsi="Cambria"/>
                <w:b w:val="0"/>
                <w:i w:val="0"/>
                <w:sz w:val="20"/>
              </w:rPr>
              <w:t>4.5 / Green</w:t>
            </w:r>
          </w:p>
        </w:tc>
      </w:tr>
      <w:tr>
        <w:tc>
          <w:tcPr>
            <w:tcW w:type="dxa" w:w="1474"/>
            <w:shd w:val="clear" w:color="auto" w:fill="E8EEF5"/>
          </w:tcPr>
          <w:p>
            <w:pPr>
              <w:jc w:val="left"/>
            </w:pPr>
            <w:r/>
            <w:r>
              <w:rPr>
                <w:rFonts w:ascii="Cambria" w:hAnsi="Cambria"/>
                <w:b w:val="0"/>
                <w:i w:val="0"/>
                <w:sz w:val="20"/>
              </w:rPr>
              <w:t>SC-2024-02</w:t>
              <w:br/>
              <w:t>Student: M. Khan</w:t>
              <w:br/>
              <w:t>Mentor: Dr. S. Nair</w:t>
            </w:r>
          </w:p>
        </w:tc>
        <w:tc>
          <w:tcPr>
            <w:tcW w:type="dxa" w:w="1587"/>
            <w:shd w:val="clear" w:color="auto" w:fill="E8EEF5"/>
          </w:tcPr>
          <w:p>
            <w:pPr>
              <w:jc w:val="left"/>
            </w:pPr>
            <w:r/>
            <w:r>
              <w:rPr>
                <w:rFonts w:ascii="Cambria" w:hAnsi="Cambria"/>
                <w:b w:val="0"/>
                <w:i w:val="0"/>
                <w:sz w:val="20"/>
              </w:rPr>
              <w:t>15-09-2024</w:t>
              <w:br/>
              <w:t>Low attendance (60%)</w:t>
            </w:r>
          </w:p>
        </w:tc>
        <w:tc>
          <w:tcPr>
            <w:tcW w:type="dxa" w:w="1644"/>
            <w:shd w:val="clear" w:color="auto" w:fill="E8EEF5"/>
          </w:tcPr>
          <w:p>
            <w:pPr>
              <w:jc w:val="left"/>
            </w:pPr>
            <w:r/>
            <w:r>
              <w:rPr>
                <w:rFonts w:ascii="Cambria" w:hAnsi="Cambria"/>
                <w:b w:val="0"/>
                <w:i w:val="0"/>
                <w:sz w:val="20"/>
              </w:rPr>
              <w:t>Parent counseling + attendance monitoring</w:t>
            </w:r>
          </w:p>
        </w:tc>
        <w:tc>
          <w:tcPr>
            <w:tcW w:type="dxa" w:w="2494"/>
            <w:shd w:val="clear" w:color="auto" w:fill="E8EEF5"/>
          </w:tcPr>
          <w:p>
            <w:pPr>
              <w:jc w:val="left"/>
            </w:pPr>
            <w:r/>
            <w:r>
              <w:rPr>
                <w:rFonts w:ascii="Cambria" w:hAnsi="Cambria"/>
                <w:b w:val="0"/>
                <w:i w:val="0"/>
                <w:sz w:val="20"/>
              </w:rPr>
              <w:t>AttendanceImprovement_SC02.pdf</w:t>
              <w:br/>
              <w:t>Before: GPA 7.0, Attendance 60%</w:t>
              <w:br/>
              <w:t>After: GPA 7.2, Attendance 85%</w:t>
            </w:r>
          </w:p>
        </w:tc>
        <w:tc>
          <w:tcPr>
            <w:tcW w:type="dxa" w:w="1531"/>
            <w:shd w:val="clear" w:color="auto" w:fill="E8EEF5"/>
          </w:tcPr>
          <w:p>
            <w:pPr>
              <w:jc w:val="left"/>
            </w:pPr>
            <w:r/>
            <w:r>
              <w:rPr>
                <w:rFonts w:ascii="Cambria" w:hAnsi="Cambria"/>
                <w:b w:val="0"/>
                <w:i w:val="0"/>
                <w:sz w:val="20"/>
              </w:rPr>
              <w:t>+41% / N/A</w:t>
            </w:r>
          </w:p>
        </w:tc>
        <w:tc>
          <w:tcPr>
            <w:tcW w:type="dxa" w:w="1020"/>
            <w:shd w:val="clear" w:color="auto" w:fill="E8EEF5"/>
          </w:tcPr>
          <w:p>
            <w:pPr>
              <w:jc w:val="left"/>
            </w:pPr>
            <w:r/>
            <w:r>
              <w:rPr>
                <w:rFonts w:ascii="Cambria" w:hAnsi="Cambria"/>
                <w:b w:val="0"/>
                <w:i w:val="0"/>
                <w:sz w:val="20"/>
              </w:rPr>
              <w:t>4.3 / Green</w:t>
            </w:r>
          </w:p>
        </w:tc>
      </w:tr>
      <w:tr>
        <w:tc>
          <w:tcPr>
            <w:tcW w:type="dxa" w:w="1474"/>
          </w:tcPr>
          <w:p>
            <w:pPr>
              <w:jc w:val="left"/>
            </w:pPr>
            <w:r/>
            <w:r>
              <w:rPr>
                <w:rFonts w:ascii="Cambria" w:hAnsi="Cambria"/>
                <w:b w:val="0"/>
                <w:i w:val="0"/>
                <w:sz w:val="20"/>
              </w:rPr>
              <w:t>SC-2024-03</w:t>
              <w:br/>
              <w:t>Student: L. Verma</w:t>
              <w:br/>
              <w:t>Mentor: Prof. A. Iyer</w:t>
            </w:r>
          </w:p>
        </w:tc>
        <w:tc>
          <w:tcPr>
            <w:tcW w:type="dxa" w:w="1587"/>
          </w:tcPr>
          <w:p>
            <w:pPr>
              <w:jc w:val="left"/>
            </w:pPr>
            <w:r/>
            <w:r>
              <w:rPr>
                <w:rFonts w:ascii="Cambria" w:hAnsi="Cambria"/>
                <w:b w:val="0"/>
                <w:i w:val="0"/>
                <w:sz w:val="20"/>
              </w:rPr>
              <w:t>20-09-2024</w:t>
              <w:br/>
              <w:t>Stress &amp; anxiety (affecting academics)</w:t>
            </w:r>
          </w:p>
        </w:tc>
        <w:tc>
          <w:tcPr>
            <w:tcW w:type="dxa" w:w="1644"/>
          </w:tcPr>
          <w:p>
            <w:pPr>
              <w:jc w:val="left"/>
            </w:pPr>
            <w:r/>
            <w:r>
              <w:rPr>
                <w:rFonts w:ascii="Cambria" w:hAnsi="Cambria"/>
                <w:b w:val="0"/>
                <w:i w:val="0"/>
                <w:sz w:val="20"/>
              </w:rPr>
              <w:t>Referral to counselor, relaxation workshops</w:t>
            </w:r>
          </w:p>
        </w:tc>
        <w:tc>
          <w:tcPr>
            <w:tcW w:type="dxa" w:w="2494"/>
          </w:tcPr>
          <w:p>
            <w:pPr>
              <w:jc w:val="left"/>
            </w:pPr>
            <w:r/>
            <w:r>
              <w:rPr>
                <w:rFonts w:ascii="Cambria" w:hAnsi="Cambria"/>
                <w:b w:val="0"/>
                <w:i w:val="0"/>
                <w:sz w:val="20"/>
              </w:rPr>
              <w:t>ReferralNote_SC03.pdf</w:t>
              <w:br/>
              <w:t>Before: GPA 7.5, Attendance 75%</w:t>
              <w:br/>
              <w:t>After: GPA 7.9, Attendance 82%</w:t>
            </w:r>
          </w:p>
        </w:tc>
        <w:tc>
          <w:tcPr>
            <w:tcW w:type="dxa" w:w="1531"/>
          </w:tcPr>
          <w:p>
            <w:pPr>
              <w:jc w:val="left"/>
            </w:pPr>
            <w:r/>
            <w:r>
              <w:rPr>
                <w:rFonts w:ascii="Cambria" w:hAnsi="Cambria"/>
                <w:b w:val="0"/>
                <w:i w:val="0"/>
                <w:sz w:val="20"/>
              </w:rPr>
              <w:t>+9% / Professional Counselor</w:t>
            </w:r>
          </w:p>
        </w:tc>
        <w:tc>
          <w:tcPr>
            <w:tcW w:type="dxa" w:w="1020"/>
          </w:tcPr>
          <w:p>
            <w:pPr>
              <w:jc w:val="left"/>
            </w:pPr>
            <w:r/>
            <w:r>
              <w:rPr>
                <w:rFonts w:ascii="Cambria" w:hAnsi="Cambria"/>
                <w:b w:val="0"/>
                <w:i w:val="0"/>
                <w:sz w:val="20"/>
              </w:rPr>
              <w:t>4.0 / Amber</w:t>
            </w:r>
          </w:p>
        </w:tc>
      </w:tr>
      <w:tr>
        <w:tc>
          <w:tcPr>
            <w:tcW w:type="dxa" w:w="1474"/>
            <w:shd w:val="clear" w:color="auto" w:fill="E8EEF5"/>
          </w:tcPr>
          <w:p>
            <w:pPr>
              <w:jc w:val="left"/>
            </w:pPr>
            <w:r/>
            <w:r>
              <w:rPr>
                <w:rFonts w:ascii="Cambria" w:hAnsi="Cambria"/>
                <w:b w:val="0"/>
                <w:i w:val="0"/>
                <w:sz w:val="20"/>
              </w:rPr>
              <w:t>SC-2024-04</w:t>
              <w:br/>
              <w:t>Student: P. Das</w:t>
              <w:br/>
              <w:t>Mentor: Dr. K. Mehta</w:t>
            </w:r>
          </w:p>
        </w:tc>
        <w:tc>
          <w:tcPr>
            <w:tcW w:type="dxa" w:w="1587"/>
            <w:shd w:val="clear" w:color="auto" w:fill="E8EEF5"/>
          </w:tcPr>
          <w:p>
            <w:pPr>
              <w:jc w:val="left"/>
            </w:pPr>
            <w:r/>
            <w:r>
              <w:rPr>
                <w:rFonts w:ascii="Cambria" w:hAnsi="Cambria"/>
                <w:b w:val="0"/>
                <w:i w:val="0"/>
                <w:sz w:val="20"/>
              </w:rPr>
              <w:t>25-09-2024</w:t>
              <w:br/>
              <w:t>Lack of career clarity</w:t>
            </w:r>
          </w:p>
        </w:tc>
        <w:tc>
          <w:tcPr>
            <w:tcW w:type="dxa" w:w="1644"/>
            <w:shd w:val="clear" w:color="auto" w:fill="E8EEF5"/>
          </w:tcPr>
          <w:p>
            <w:pPr>
              <w:jc w:val="left"/>
            </w:pPr>
            <w:r/>
            <w:r>
              <w:rPr>
                <w:rFonts w:ascii="Cambria" w:hAnsi="Cambria"/>
                <w:b w:val="0"/>
                <w:i w:val="0"/>
                <w:sz w:val="20"/>
              </w:rPr>
              <w:t>Career counseling + skill development workshop</w:t>
            </w:r>
          </w:p>
        </w:tc>
        <w:tc>
          <w:tcPr>
            <w:tcW w:type="dxa" w:w="2494"/>
            <w:shd w:val="clear" w:color="auto" w:fill="E8EEF5"/>
          </w:tcPr>
          <w:p>
            <w:pPr>
              <w:jc w:val="left"/>
            </w:pPr>
            <w:r/>
            <w:r>
              <w:rPr>
                <w:rFonts w:ascii="Cambria" w:hAnsi="Cambria"/>
                <w:b w:val="0"/>
                <w:i w:val="0"/>
                <w:sz w:val="20"/>
              </w:rPr>
              <w:t>CareerCounselingReport_SC04.pdf</w:t>
              <w:br/>
              <w:t>Before: GPA 8.0, Placement readiness Low</w:t>
              <w:br/>
              <w:t>After: GPA 8.3, Placement readiness Improved</w:t>
            </w:r>
          </w:p>
        </w:tc>
        <w:tc>
          <w:tcPr>
            <w:tcW w:type="dxa" w:w="1531"/>
            <w:shd w:val="clear" w:color="auto" w:fill="E8EEF5"/>
          </w:tcPr>
          <w:p>
            <w:pPr>
              <w:jc w:val="left"/>
            </w:pPr>
            <w:r/>
            <w:r>
              <w:rPr>
                <w:rFonts w:ascii="Cambria" w:hAnsi="Cambria"/>
                <w:b w:val="0"/>
                <w:i w:val="0"/>
                <w:sz w:val="20"/>
              </w:rPr>
              <w:t>+15% / N/A</w:t>
            </w:r>
          </w:p>
        </w:tc>
        <w:tc>
          <w:tcPr>
            <w:tcW w:type="dxa" w:w="1020"/>
            <w:shd w:val="clear" w:color="auto" w:fill="E8EEF5"/>
          </w:tcPr>
          <w:p>
            <w:pPr>
              <w:jc w:val="left"/>
            </w:pPr>
            <w:r/>
            <w:r>
              <w:rPr>
                <w:rFonts w:ascii="Cambria" w:hAnsi="Cambria"/>
                <w:b w:val="0"/>
                <w:i w:val="0"/>
                <w:sz w:val="20"/>
              </w:rPr>
              <w:t>4.6 / Green</w:t>
            </w:r>
          </w:p>
        </w:tc>
      </w:tr>
    </w:tbl>
    <w:p>
      <w:pPr>
        <w:spacing w:after="120"/>
      </w:pPr>
    </w:p>
    <w:p>
      <w:pPr>
        <w:keepNext/>
        <w:spacing w:before="280" w:after="160"/>
        <w:jc w:val="left"/>
      </w:pPr>
      <w:r>
        <w:rPr>
          <w:rFonts w:ascii="Cambria" w:hAnsi="Cambria"/>
          <w:b/>
          <w:i w:val="0"/>
          <w:color w:val="1F3A5F"/>
          <w:sz w:val="26"/>
        </w:rPr>
        <w:t>Tangible Outcomes Demonstrated</w:t>
      </w:r>
    </w:p>
    <w:p>
      <w:pPr>
        <w:pStyle w:val="ListBullet"/>
        <w:spacing w:after="80"/>
        <w:jc w:val="both"/>
      </w:pPr>
      <w:r>
        <w:rPr>
          <w:rFonts w:ascii="Cambria" w:hAnsi="Cambria"/>
          <w:b w:val="0"/>
          <w:i w:val="0"/>
          <w:sz w:val="22"/>
        </w:rPr>
        <w:t>Backlog % reduced by 20% YoY.</w:t>
      </w:r>
    </w:p>
    <w:p>
      <w:pPr>
        <w:pStyle w:val="ListBullet"/>
        <w:spacing w:after="80"/>
        <w:jc w:val="both"/>
      </w:pPr>
      <w:r>
        <w:rPr>
          <w:rFonts w:ascii="Cambria" w:hAnsi="Cambria"/>
          <w:b w:val="0"/>
          <w:i w:val="0"/>
          <w:sz w:val="22"/>
        </w:rPr>
        <w:t>Attendance improved from 78% → 90% overall.</w:t>
      </w:r>
    </w:p>
    <w:p>
      <w:pPr>
        <w:pStyle w:val="ListBullet"/>
        <w:spacing w:after="80"/>
        <w:jc w:val="both"/>
      </w:pPr>
      <w:r>
        <w:rPr>
          <w:rFonts w:ascii="Cambria" w:hAnsi="Cambria"/>
          <w:b w:val="0"/>
          <w:i w:val="0"/>
          <w:sz w:val="22"/>
        </w:rPr>
        <w:t>Placement readiness training participation ↑ by 30%.</w:t>
      </w:r>
    </w:p>
    <w:p>
      <w:pPr>
        <w:pStyle w:val="ListBullet"/>
        <w:spacing w:after="80"/>
        <w:jc w:val="both"/>
      </w:pPr>
      <w:r>
        <w:rPr>
          <w:rFonts w:ascii="Cambria" w:hAnsi="Cambria"/>
          <w:b w:val="0"/>
          <w:i w:val="0"/>
          <w:sz w:val="22"/>
        </w:rPr>
        <w:t>Student satisfaction with counseling ↑ from 3.6 → 4.4/5.</w:t>
      </w:r>
    </w:p>
    <w:p>
      <w:pPr>
        <w:pStyle w:val="ListBullet"/>
        <w:spacing w:after="80"/>
        <w:jc w:val="both"/>
      </w:pPr>
      <w:r>
        <w:rPr>
          <w:rFonts w:ascii="Cambria" w:hAnsi="Cambria"/>
          <w:b w:val="0"/>
          <w:i w:val="0"/>
          <w:sz w:val="22"/>
        </w:rPr>
        <w:t>DC referrals reduced by 15% YoY due to preventive counseling.</w:t>
      </w:r>
    </w:p>
    <w:p>
      <w:pPr>
        <w:keepNext/>
        <w:spacing w:before="280" w:after="160"/>
        <w:jc w:val="left"/>
      </w:pPr>
      <w:r>
        <w:rPr>
          <w:rFonts w:ascii="Cambria" w:hAnsi="Cambria"/>
          <w:b/>
          <w:i w:val="0"/>
          <w:color w:val="1F3A5F"/>
          <w:sz w:val="26"/>
        </w:rPr>
        <w:t>How This is Demonstrated</w:t>
      </w:r>
    </w:p>
    <w:p>
      <w:pPr>
        <w:pStyle w:val="ListBullet"/>
        <w:spacing w:after="80"/>
        <w:jc w:val="both"/>
      </w:pPr>
      <w:r>
        <w:rPr>
          <w:rFonts w:ascii="Cambria" w:hAnsi="Cambria"/>
          <w:b w:val="0"/>
          <w:i w:val="0"/>
          <w:sz w:val="22"/>
        </w:rPr>
        <w:t>Structured Process</w:t>
      </w:r>
    </w:p>
    <w:p>
      <w:pPr>
        <w:pStyle w:val="ListBullet2"/>
        <w:spacing w:after="80"/>
        <w:jc w:val="both"/>
      </w:pPr>
      <w:r>
        <w:rPr>
          <w:rFonts w:ascii="Cambria" w:hAnsi="Cambria"/>
          <w:b w:val="0"/>
          <w:i w:val="0"/>
          <w:sz w:val="22"/>
        </w:rPr>
        <w:t>Counseling policies and mentor–mentee allocations ensure every student has access to a mentor.</w:t>
      </w:r>
    </w:p>
    <w:p>
      <w:pPr>
        <w:pStyle w:val="ListBullet2"/>
        <w:spacing w:after="80"/>
        <w:jc w:val="both"/>
      </w:pPr>
      <w:r>
        <w:rPr>
          <w:rFonts w:ascii="Cambria" w:hAnsi="Cambria"/>
          <w:b w:val="0"/>
          <w:i w:val="0"/>
          <w:sz w:val="22"/>
        </w:rPr>
        <w:t>Fixed counseling schedules (monthly/semester-wise) prevent randomness.</w:t>
      </w:r>
    </w:p>
    <w:p>
      <w:pPr>
        <w:spacing w:after="120"/>
        <w:jc w:val="both"/>
      </w:pPr>
      <w:r>
        <w:rPr>
          <w:rFonts w:ascii="Cambria" w:hAnsi="Cambria"/>
          <w:b w:val="0"/>
          <w:i w:val="0"/>
          <w:sz w:val="22"/>
        </w:rPr>
        <w:t xml:space="preserve"> → Evidence: Counseling policy, mentor–mentee list, schedules.</w:t>
      </w:r>
    </w:p>
    <w:p>
      <w:pPr>
        <w:pStyle w:val="ListBullet"/>
        <w:spacing w:after="80"/>
        <w:jc w:val="both"/>
      </w:pPr>
      <w:r>
        <w:rPr>
          <w:rFonts w:ascii="Cambria" w:hAnsi="Cambria"/>
          <w:b w:val="0"/>
          <w:i w:val="0"/>
          <w:sz w:val="22"/>
        </w:rPr>
        <w:t>Documented Records</w:t>
      </w:r>
    </w:p>
    <w:p>
      <w:pPr>
        <w:pStyle w:val="ListBullet2"/>
        <w:spacing w:after="80"/>
        <w:jc w:val="both"/>
      </w:pPr>
      <w:r>
        <w:rPr>
          <w:rFonts w:ascii="Cambria" w:hAnsi="Cambria"/>
          <w:b w:val="0"/>
          <w:i w:val="0"/>
          <w:sz w:val="22"/>
        </w:rPr>
        <w:t>Each session is recorded with signatures of mentor and HoD.</w:t>
      </w:r>
    </w:p>
    <w:p>
      <w:pPr>
        <w:pStyle w:val="ListBullet2"/>
        <w:spacing w:after="80"/>
        <w:jc w:val="both"/>
      </w:pPr>
      <w:r>
        <w:rPr>
          <w:rFonts w:ascii="Cambria" w:hAnsi="Cambria"/>
          <w:b w:val="0"/>
          <w:i w:val="0"/>
          <w:sz w:val="22"/>
        </w:rPr>
        <w:t>Issues, actions taken, and referrals are logged for accountability.</w:t>
      </w:r>
    </w:p>
    <w:p>
      <w:pPr>
        <w:spacing w:after="120"/>
        <w:jc w:val="both"/>
      </w:pPr>
      <w:r>
        <w:rPr>
          <w:rFonts w:ascii="Cambria" w:hAnsi="Cambria"/>
          <w:b w:val="0"/>
          <w:i w:val="0"/>
          <w:sz w:val="22"/>
        </w:rPr>
        <w:t xml:space="preserve"> → Evidence: Counseling records, referral notes, ATRs.</w:t>
      </w:r>
    </w:p>
    <w:p>
      <w:pPr>
        <w:pStyle w:val="ListBullet"/>
        <w:spacing w:after="80"/>
        <w:jc w:val="both"/>
      </w:pPr>
      <w:r>
        <w:rPr>
          <w:rFonts w:ascii="Cambria" w:hAnsi="Cambria"/>
          <w:b w:val="0"/>
          <w:i w:val="0"/>
          <w:sz w:val="22"/>
        </w:rPr>
        <w:t>Outcome-Linked Interventions</w:t>
      </w:r>
    </w:p>
    <w:p>
      <w:pPr>
        <w:pStyle w:val="ListBullet2"/>
        <w:spacing w:after="80"/>
        <w:jc w:val="both"/>
      </w:pPr>
      <w:r>
        <w:rPr>
          <w:rFonts w:ascii="Cambria" w:hAnsi="Cambria"/>
          <w:b w:val="0"/>
          <w:i w:val="0"/>
          <w:sz w:val="22"/>
        </w:rPr>
        <w:t>Remedial classes, workshops, or referrals follow counseling.</w:t>
      </w:r>
    </w:p>
    <w:p>
      <w:pPr>
        <w:pStyle w:val="ListBullet2"/>
        <w:spacing w:after="80"/>
        <w:jc w:val="both"/>
      </w:pPr>
      <w:r>
        <w:rPr>
          <w:rFonts w:ascii="Cambria" w:hAnsi="Cambria"/>
          <w:b w:val="0"/>
          <w:i w:val="0"/>
          <w:sz w:val="22"/>
        </w:rPr>
        <w:t>Impact measured through before vs. after comparisons (GPA, attendance, backlog clearance, satisfaction scores).</w:t>
      </w:r>
    </w:p>
    <w:p>
      <w:pPr>
        <w:spacing w:after="120"/>
        <w:jc w:val="both"/>
      </w:pPr>
      <w:r>
        <w:rPr>
          <w:rFonts w:ascii="Cambria" w:hAnsi="Cambria"/>
          <w:b w:val="0"/>
          <w:i w:val="0"/>
          <w:sz w:val="22"/>
        </w:rPr>
        <w:t xml:space="preserve"> → Evidence: Academic progress reports, remedial attendance, feedback surveys.</w:t>
      </w:r>
    </w:p>
    <w:p>
      <w:pPr>
        <w:keepNext/>
        <w:spacing w:before="280" w:after="160"/>
        <w:jc w:val="left"/>
      </w:pPr>
      <w:r>
        <w:rPr>
          <w:rFonts w:ascii="Cambria" w:hAnsi="Cambria"/>
          <w:b/>
          <w:i w:val="0"/>
          <w:color w:val="1F3A5F"/>
          <w:sz w:val="26"/>
        </w:rPr>
        <w:t>Tangible Numeric Outcomes</w:t>
      </w:r>
    </w:p>
    <w:p>
      <w:pPr>
        <w:pStyle w:val="ListBullet"/>
        <w:spacing w:after="80"/>
        <w:jc w:val="both"/>
      </w:pPr>
      <w:r>
        <w:rPr>
          <w:rFonts w:ascii="Cambria" w:hAnsi="Cambria"/>
          <w:b w:val="0"/>
          <w:i w:val="0"/>
          <w:sz w:val="22"/>
        </w:rPr>
        <w:t>Backlogs reduced by 20% YoY after counseling interventions.</w:t>
      </w:r>
    </w:p>
    <w:p>
      <w:pPr>
        <w:spacing w:after="120"/>
        <w:jc w:val="both"/>
      </w:pPr>
      <w:r>
        <w:rPr>
          <w:rFonts w:ascii="Cambria" w:hAnsi="Cambria"/>
          <w:b w:val="0"/>
          <w:i w:val="0"/>
          <w:sz w:val="22"/>
        </w:rPr>
        <w:t>Student attendance improved from 78% → 90%.</w:t>
      </w:r>
    </w:p>
    <w:p>
      <w:pPr>
        <w:pStyle w:val="ListBullet"/>
        <w:spacing w:after="80"/>
        <w:jc w:val="both"/>
      </w:pPr>
      <w:r>
        <w:rPr>
          <w:rFonts w:ascii="Cambria" w:hAnsi="Cambria"/>
          <w:b w:val="0"/>
          <w:i w:val="0"/>
          <w:sz w:val="22"/>
        </w:rPr>
        <w:t>Placement readiness training participation ↑ by 30%.</w:t>
      </w:r>
    </w:p>
    <w:p>
      <w:pPr>
        <w:spacing w:after="120"/>
        <w:jc w:val="both"/>
      </w:pPr>
      <w:r>
        <w:rPr>
          <w:rFonts w:ascii="Cambria" w:hAnsi="Cambria"/>
          <w:b w:val="0"/>
          <w:i w:val="0"/>
          <w:sz w:val="22"/>
        </w:rPr>
        <w:t>Student satisfaction with counseling ↑ from 3.6 → 4.4/5.</w:t>
      </w:r>
    </w:p>
    <w:p>
      <w:pPr>
        <w:pStyle w:val="ListBullet"/>
        <w:spacing w:after="80"/>
        <w:jc w:val="both"/>
      </w:pPr>
      <w:r>
        <w:rPr>
          <w:rFonts w:ascii="Cambria" w:hAnsi="Cambria"/>
          <w:b w:val="0"/>
          <w:i w:val="0"/>
          <w:sz w:val="22"/>
        </w:rPr>
        <w:t>DC referrals reduced by 15% YoY.</w:t>
      </w:r>
    </w:p>
    <w:p>
      <w:pPr>
        <w:keepNext/>
        <w:spacing w:before="280" w:after="160"/>
        <w:jc w:val="left"/>
      </w:pPr>
      <w:r>
        <w:rPr>
          <w:rFonts w:ascii="Cambria" w:hAnsi="Cambria"/>
          <w:b/>
          <w:i w:val="0"/>
          <w:color w:val="1F3A5F"/>
          <w:sz w:val="26"/>
        </w:rPr>
        <w:t>How Systematic Counseling is Demonstrated</w:t>
      </w:r>
    </w:p>
    <w:p>
      <w:pPr>
        <w:spacing w:after="80"/>
        <w:ind w:left="340" w:hanging="340"/>
        <w:jc w:val="both"/>
      </w:pPr>
      <w:r>
        <w:rPr>
          <w:rFonts w:ascii="Cambria" w:hAnsi="Cambria"/>
          <w:b w:val="0"/>
          <w:i w:val="0"/>
          <w:sz w:val="22"/>
        </w:rPr>
        <w:t xml:space="preserve">1. </w:t>
      </w:r>
      <w:r>
        <w:rPr>
          <w:rFonts w:ascii="Cambria" w:hAnsi="Cambria"/>
          <w:b w:val="0"/>
          <w:i w:val="0"/>
          <w:sz w:val="22"/>
        </w:rPr>
        <w:t>Policy Framework</w:t>
      </w:r>
    </w:p>
    <w:p>
      <w:pPr>
        <w:spacing w:after="120"/>
        <w:jc w:val="both"/>
      </w:pPr>
      <w:r>
        <w:rPr>
          <w:rFonts w:ascii="Cambria" w:hAnsi="Cambria"/>
          <w:b w:val="0"/>
          <w:i w:val="0"/>
          <w:sz w:val="22"/>
        </w:rPr>
        <w:t xml:space="preserve">Clear counseling guidelines and mentor–mentee allocation ensure </w:t>
      </w:r>
      <w:r>
        <w:rPr>
          <w:rFonts w:ascii="Cambria" w:hAnsi="Cambria"/>
          <w:b w:val="0"/>
          <w:i/>
          <w:sz w:val="22"/>
        </w:rPr>
        <w:t>all students are covered</w:t>
      </w:r>
      <w:r>
        <w:rPr>
          <w:rFonts w:ascii="Cambria" w:hAnsi="Cambria"/>
          <w:b w:val="0"/>
          <w:i w:val="0"/>
          <w:sz w:val="22"/>
        </w:rPr>
        <w:t>.</w:t>
      </w:r>
    </w:p>
    <w:p>
      <w:pPr>
        <w:pStyle w:val="ListBullet2"/>
        <w:spacing w:after="80"/>
        <w:jc w:val="both"/>
      </w:pPr>
      <w:r>
        <w:rPr>
          <w:rFonts w:ascii="Cambria" w:hAnsi="Cambria"/>
          <w:b w:val="0"/>
          <w:i w:val="0"/>
          <w:sz w:val="22"/>
        </w:rPr>
        <w:t>Scheduled counseling sessions prevent ad hoc practices.</w:t>
      </w:r>
    </w:p>
    <w:p>
      <w:pPr>
        <w:spacing w:after="120"/>
        <w:jc w:val="both"/>
      </w:pPr>
      <w:r>
        <w:rPr>
          <w:rFonts w:ascii="Cambria" w:hAnsi="Cambria"/>
          <w:b w:val="0"/>
          <w:i w:val="0"/>
          <w:sz w:val="22"/>
        </w:rPr>
        <w:t xml:space="preserve"> → Evidence: Counseling policy, mentor–mentee list, counseling schedules.</w:t>
      </w:r>
    </w:p>
    <w:p>
      <w:pPr>
        <w:spacing w:after="80"/>
        <w:ind w:left="340" w:hanging="340"/>
        <w:jc w:val="both"/>
      </w:pPr>
      <w:r>
        <w:rPr>
          <w:rFonts w:ascii="Cambria" w:hAnsi="Cambria"/>
          <w:b w:val="0"/>
          <w:i w:val="0"/>
          <w:sz w:val="22"/>
        </w:rPr>
        <w:t xml:space="preserve">2. </w:t>
      </w:r>
      <w:r>
        <w:rPr>
          <w:rFonts w:ascii="Cambria" w:hAnsi="Cambria"/>
          <w:b w:val="0"/>
          <w:i w:val="0"/>
          <w:sz w:val="22"/>
        </w:rPr>
        <w:t>Planned Execution</w:t>
      </w:r>
    </w:p>
    <w:p>
      <w:pPr>
        <w:pStyle w:val="ListBullet2"/>
        <w:spacing w:after="80"/>
        <w:jc w:val="both"/>
      </w:pPr>
      <w:r>
        <w:rPr>
          <w:rFonts w:ascii="Cambria" w:hAnsi="Cambria"/>
          <w:b w:val="0"/>
          <w:i w:val="0"/>
          <w:sz w:val="22"/>
        </w:rPr>
        <w:t>One-to-one and group counseling sessions documented and signed.</w:t>
      </w:r>
    </w:p>
    <w:p>
      <w:pPr>
        <w:pStyle w:val="ListBullet2"/>
        <w:spacing w:after="80"/>
        <w:jc w:val="both"/>
      </w:pPr>
      <w:r>
        <w:rPr>
          <w:rFonts w:ascii="Cambria" w:hAnsi="Cambria"/>
          <w:b w:val="0"/>
          <w:i w:val="0"/>
          <w:sz w:val="22"/>
        </w:rPr>
        <w:t>Referrals to professional counselors/DC made when necessary.</w:t>
      </w:r>
    </w:p>
    <w:p>
      <w:pPr>
        <w:spacing w:after="120"/>
        <w:jc w:val="both"/>
      </w:pPr>
      <w:r>
        <w:rPr>
          <w:rFonts w:ascii="Cambria" w:hAnsi="Cambria"/>
          <w:b w:val="0"/>
          <w:i w:val="0"/>
          <w:sz w:val="22"/>
        </w:rPr>
        <w:t xml:space="preserve"> → Evidence: Counseling records, referral notes.</w:t>
      </w:r>
    </w:p>
    <w:p>
      <w:pPr>
        <w:spacing w:after="80"/>
        <w:ind w:left="340" w:hanging="340"/>
        <w:jc w:val="both"/>
      </w:pPr>
      <w:r>
        <w:rPr>
          <w:rFonts w:ascii="Cambria" w:hAnsi="Cambria"/>
          <w:b w:val="0"/>
          <w:i w:val="0"/>
          <w:sz w:val="22"/>
        </w:rPr>
        <w:t xml:space="preserve">3. </w:t>
      </w:r>
      <w:r>
        <w:rPr>
          <w:rFonts w:ascii="Cambria" w:hAnsi="Cambria"/>
          <w:b w:val="0"/>
          <w:i w:val="0"/>
          <w:sz w:val="22"/>
        </w:rPr>
        <w:t>Measurable Impact</w:t>
      </w:r>
    </w:p>
    <w:p>
      <w:pPr>
        <w:pStyle w:val="ListBullet2"/>
        <w:spacing w:after="80"/>
        <w:jc w:val="both"/>
      </w:pPr>
      <w:r>
        <w:rPr>
          <w:rFonts w:ascii="Cambria" w:hAnsi="Cambria"/>
          <w:b w:val="0"/>
          <w:i w:val="0"/>
          <w:sz w:val="22"/>
        </w:rPr>
        <w:t>Academic performance tracked before vs after counseling.</w:t>
      </w:r>
    </w:p>
    <w:p>
      <w:pPr>
        <w:pStyle w:val="ListBullet2"/>
        <w:spacing w:after="80"/>
        <w:jc w:val="both"/>
      </w:pPr>
      <w:r>
        <w:rPr>
          <w:rFonts w:ascii="Cambria" w:hAnsi="Cambria"/>
          <w:b w:val="0"/>
          <w:i w:val="0"/>
          <w:sz w:val="22"/>
        </w:rPr>
        <w:t>Improvement seen in GPA, backlog clearance, attendance, placement readiness.</w:t>
      </w:r>
    </w:p>
    <w:p>
      <w:pPr>
        <w:spacing w:after="120"/>
        <w:jc w:val="both"/>
      </w:pPr>
      <w:r>
        <w:rPr>
          <w:rFonts w:ascii="Cambria" w:hAnsi="Cambria"/>
          <w:b w:val="0"/>
          <w:i w:val="0"/>
          <w:sz w:val="22"/>
        </w:rPr>
        <w:t xml:space="preserve"> → Evidence: Progress reports, remedial class attendance, ATRs.</w:t>
      </w:r>
    </w:p>
    <w:p>
      <w:pPr>
        <w:spacing w:after="80"/>
        <w:ind w:left="340" w:hanging="340"/>
        <w:jc w:val="both"/>
      </w:pPr>
      <w:r>
        <w:rPr>
          <w:rFonts w:ascii="Cambria" w:hAnsi="Cambria"/>
          <w:b w:val="0"/>
          <w:i w:val="0"/>
          <w:sz w:val="22"/>
        </w:rPr>
        <w:t xml:space="preserve">4. </w:t>
      </w:r>
      <w:r>
        <w:rPr>
          <w:rFonts w:ascii="Cambria" w:hAnsi="Cambria"/>
          <w:b w:val="0"/>
          <w:i w:val="0"/>
          <w:sz w:val="22"/>
        </w:rPr>
        <w:t>Continuous Improvement</w:t>
      </w:r>
    </w:p>
    <w:p>
      <w:pPr>
        <w:pStyle w:val="ListBullet2"/>
        <w:spacing w:after="80"/>
        <w:jc w:val="both"/>
      </w:pPr>
      <w:r>
        <w:rPr>
          <w:rFonts w:ascii="Cambria" w:hAnsi="Cambria"/>
          <w:b w:val="0"/>
          <w:i w:val="0"/>
          <w:sz w:val="22"/>
        </w:rPr>
        <w:t>Feedback from students used to improve mentoring practices.</w:t>
      </w:r>
    </w:p>
    <w:p>
      <w:pPr>
        <w:pStyle w:val="ListBullet2"/>
        <w:spacing w:after="80"/>
        <w:jc w:val="both"/>
      </w:pPr>
      <w:r>
        <w:rPr>
          <w:rFonts w:ascii="Cambria" w:hAnsi="Cambria"/>
          <w:b w:val="0"/>
          <w:i w:val="0"/>
          <w:sz w:val="22"/>
        </w:rPr>
        <w:t>Preventive counseling reduced number of disciplinary escalations.</w:t>
      </w:r>
    </w:p>
    <w:p>
      <w:pPr>
        <w:spacing w:after="120"/>
        <w:jc w:val="both"/>
      </w:pPr>
      <w:r>
        <w:rPr>
          <w:rFonts w:ascii="Cambria" w:hAnsi="Cambria"/>
          <w:b w:val="0"/>
          <w:i w:val="0"/>
          <w:sz w:val="22"/>
        </w:rPr>
        <w:t xml:space="preserve"> → Evidence: Student feedback forms, feedback analysis reports.</w:t>
      </w:r>
    </w:p>
    <w:p>
      <w:pPr>
        <w:keepNext/>
        <w:spacing w:before="280" w:after="160"/>
        <w:jc w:val="left"/>
      </w:pPr>
      <w:r>
        <w:rPr>
          <w:rFonts w:ascii="Cambria" w:hAnsi="Cambria"/>
          <w:b/>
          <w:i w:val="0"/>
          <w:color w:val="1F3A5F"/>
          <w:sz w:val="26"/>
        </w:rPr>
        <w:t>Tangible Outcomes</w:t>
      </w:r>
    </w:p>
    <w:p>
      <w:pPr>
        <w:pStyle w:val="ListBullet"/>
        <w:spacing w:after="80"/>
        <w:jc w:val="both"/>
      </w:pPr>
      <w:r>
        <w:rPr>
          <w:rFonts w:ascii="Cambria" w:hAnsi="Cambria"/>
          <w:b w:val="0"/>
          <w:i w:val="0"/>
          <w:sz w:val="22"/>
        </w:rPr>
        <w:t>Backlogs reduced by 20% YoY.</w:t>
      </w:r>
    </w:p>
    <w:p>
      <w:pPr>
        <w:spacing w:after="120"/>
        <w:jc w:val="both"/>
      </w:pPr>
      <w:r>
        <w:rPr>
          <w:rFonts w:ascii="Cambria" w:hAnsi="Cambria"/>
          <w:b w:val="0"/>
          <w:i w:val="0"/>
          <w:sz w:val="22"/>
        </w:rPr>
        <w:t>Attendance improved from 78% → 90%.</w:t>
      </w:r>
    </w:p>
    <w:p>
      <w:pPr>
        <w:pStyle w:val="ListBullet"/>
        <w:spacing w:after="80"/>
        <w:jc w:val="both"/>
      </w:pPr>
      <w:r>
        <w:rPr>
          <w:rFonts w:ascii="Cambria" w:hAnsi="Cambria"/>
          <w:b w:val="0"/>
          <w:i w:val="0"/>
          <w:sz w:val="22"/>
        </w:rPr>
        <w:t>Placement readiness participation ↑ 30%.</w:t>
      </w:r>
    </w:p>
    <w:p>
      <w:pPr>
        <w:spacing w:after="120"/>
        <w:jc w:val="both"/>
      </w:pPr>
      <w:r>
        <w:rPr>
          <w:rFonts w:ascii="Cambria" w:hAnsi="Cambria"/>
          <w:b w:val="0"/>
          <w:i w:val="0"/>
          <w:sz w:val="22"/>
        </w:rPr>
        <w:t>Student satisfaction with counseling ↑ 3.6 → 4.4/5.</w:t>
      </w:r>
    </w:p>
    <w:p>
      <w:pPr>
        <w:pStyle w:val="ListBullet"/>
        <w:spacing w:after="80"/>
        <w:jc w:val="both"/>
      </w:pPr>
      <w:r>
        <w:rPr>
          <w:rFonts w:ascii="Cambria" w:hAnsi="Cambria"/>
          <w:b w:val="0"/>
          <w:i w:val="0"/>
          <w:sz w:val="22"/>
        </w:rPr>
        <w:t>Disciplinary referrals decreased by 15% YoY.</w:t>
      </w:r>
    </w:p>
    <w:p>
      <w:pPr>
        <w:keepNext/>
        <w:spacing w:before="280" w:after="160"/>
        <w:jc w:val="left"/>
      </w:pPr>
      <w:r>
        <w:rPr>
          <w:rFonts w:ascii="Cambria" w:hAnsi="Cambria"/>
          <w:b/>
          <w:i w:val="0"/>
          <w:color w:val="1F3A5F"/>
          <w:sz w:val="26"/>
        </w:rPr>
        <w:t>Traceability Path for Student Counseling</w:t>
      </w:r>
    </w:p>
    <w:p>
      <w:pPr>
        <w:spacing w:after="80"/>
        <w:ind w:left="340" w:hanging="340"/>
        <w:jc w:val="both"/>
      </w:pPr>
      <w:r>
        <w:rPr>
          <w:rFonts w:ascii="Cambria" w:hAnsi="Cambria"/>
          <w:b w:val="0"/>
          <w:i w:val="0"/>
          <w:sz w:val="22"/>
        </w:rPr>
        <w:t xml:space="preserve">1. </w:t>
      </w:r>
      <w:r>
        <w:rPr>
          <w:rFonts w:ascii="Cambria" w:hAnsi="Cambria"/>
          <w:b w:val="0"/>
          <w:i w:val="0"/>
          <w:sz w:val="22"/>
        </w:rPr>
        <w:t>Problem Identification</w:t>
      </w:r>
    </w:p>
    <w:p>
      <w:pPr>
        <w:pStyle w:val="ListBullet2"/>
        <w:spacing w:after="80"/>
        <w:jc w:val="both"/>
      </w:pPr>
      <w:r>
        <w:rPr>
          <w:rFonts w:ascii="Cambria" w:hAnsi="Cambria"/>
          <w:b w:val="0"/>
          <w:i w:val="0"/>
          <w:sz w:val="22"/>
        </w:rPr>
        <w:t>Low GPA, backlogs, absenteeism, stress, discipline issues.</w:t>
      </w:r>
    </w:p>
    <w:p>
      <w:pPr>
        <w:spacing w:after="120"/>
        <w:jc w:val="both"/>
      </w:pPr>
      <w:r>
        <w:rPr>
          <w:rFonts w:ascii="Cambria" w:hAnsi="Cambria"/>
          <w:b w:val="0"/>
          <w:i w:val="0"/>
          <w:sz w:val="22"/>
        </w:rPr>
        <w:t xml:space="preserve"> → Evidence: Progress reports, attendance registers, complaints.</w:t>
      </w:r>
    </w:p>
    <w:p>
      <w:pPr>
        <w:spacing w:after="80"/>
        <w:ind w:left="340" w:hanging="340"/>
        <w:jc w:val="both"/>
      </w:pPr>
      <w:r>
        <w:rPr>
          <w:rFonts w:ascii="Cambria" w:hAnsi="Cambria"/>
          <w:b w:val="0"/>
          <w:i w:val="0"/>
          <w:sz w:val="22"/>
        </w:rPr>
        <w:t xml:space="preserve">2. </w:t>
      </w:r>
      <w:r>
        <w:rPr>
          <w:rFonts w:ascii="Cambria" w:hAnsi="Cambria"/>
          <w:b w:val="0"/>
          <w:i w:val="0"/>
          <w:sz w:val="22"/>
        </w:rPr>
        <w:t>Action Taken</w:t>
      </w:r>
    </w:p>
    <w:p>
      <w:pPr>
        <w:pStyle w:val="ListBullet2"/>
        <w:spacing w:after="80"/>
        <w:jc w:val="both"/>
      </w:pPr>
      <w:r>
        <w:rPr>
          <w:rFonts w:ascii="Cambria" w:hAnsi="Cambria"/>
          <w:b w:val="0"/>
          <w:i w:val="0"/>
          <w:sz w:val="22"/>
        </w:rPr>
        <w:t>Counseling sessions (one-to-one/group).</w:t>
      </w:r>
    </w:p>
    <w:p>
      <w:pPr>
        <w:pStyle w:val="ListBullet2"/>
        <w:spacing w:after="80"/>
        <w:jc w:val="both"/>
      </w:pPr>
      <w:r>
        <w:rPr>
          <w:rFonts w:ascii="Cambria" w:hAnsi="Cambria"/>
          <w:b w:val="0"/>
          <w:i w:val="0"/>
          <w:sz w:val="22"/>
        </w:rPr>
        <w:t>Remedial classes, mentoring, career guidance, referrals.</w:t>
      </w:r>
    </w:p>
    <w:p>
      <w:pPr>
        <w:spacing w:after="120"/>
        <w:jc w:val="both"/>
      </w:pPr>
      <w:r>
        <w:rPr>
          <w:rFonts w:ascii="Cambria" w:hAnsi="Cambria"/>
          <w:b w:val="0"/>
          <w:i w:val="0"/>
          <w:sz w:val="22"/>
        </w:rPr>
        <w:t xml:space="preserve"> → Evidence: Counseling records, remedial schedules, referral notes.</w:t>
      </w:r>
    </w:p>
    <w:p>
      <w:pPr>
        <w:spacing w:after="80"/>
        <w:ind w:left="340" w:hanging="340"/>
        <w:jc w:val="both"/>
      </w:pPr>
      <w:r>
        <w:rPr>
          <w:rFonts w:ascii="Cambria" w:hAnsi="Cambria"/>
          <w:b w:val="0"/>
          <w:i w:val="0"/>
          <w:sz w:val="22"/>
        </w:rPr>
        <w:t xml:space="preserve">3. </w:t>
      </w:r>
      <w:r>
        <w:rPr>
          <w:rFonts w:ascii="Cambria" w:hAnsi="Cambria"/>
          <w:b w:val="0"/>
          <w:i w:val="0"/>
          <w:sz w:val="22"/>
        </w:rPr>
        <w:t>Evidence Collection</w:t>
      </w:r>
    </w:p>
    <w:p>
      <w:pPr>
        <w:pStyle w:val="ListBullet2"/>
        <w:spacing w:after="80"/>
        <w:jc w:val="both"/>
      </w:pPr>
      <w:r>
        <w:rPr>
          <w:rFonts w:ascii="Cambria" w:hAnsi="Cambria"/>
          <w:b w:val="0"/>
          <w:i w:val="0"/>
          <w:sz w:val="22"/>
        </w:rPr>
        <w:t>Signed counseling forms, mentor notes, ATRs.</w:t>
      </w:r>
    </w:p>
    <w:p>
      <w:pPr>
        <w:pStyle w:val="ListBullet2"/>
        <w:spacing w:after="80"/>
        <w:jc w:val="both"/>
      </w:pPr>
      <w:r>
        <w:rPr>
          <w:rFonts w:ascii="Cambria" w:hAnsi="Cambria"/>
          <w:b w:val="0"/>
          <w:i w:val="0"/>
          <w:sz w:val="22"/>
        </w:rPr>
        <w:t>Documentation of remedial attendance and follow-up sessions.</w:t>
      </w:r>
    </w:p>
    <w:p>
      <w:pPr>
        <w:spacing w:after="120"/>
        <w:jc w:val="both"/>
      </w:pPr>
      <w:r>
        <w:rPr>
          <w:rFonts w:ascii="Cambria" w:hAnsi="Cambria"/>
          <w:b w:val="0"/>
          <w:i w:val="0"/>
          <w:sz w:val="22"/>
        </w:rPr>
        <w:t xml:space="preserve"> → Evidence: Counseling registers, ERP logs, feedback forms.</w:t>
      </w:r>
    </w:p>
    <w:p>
      <w:pPr>
        <w:spacing w:after="80"/>
        <w:ind w:left="340" w:hanging="340"/>
        <w:jc w:val="both"/>
      </w:pPr>
      <w:r>
        <w:rPr>
          <w:rFonts w:ascii="Cambria" w:hAnsi="Cambria"/>
          <w:b w:val="0"/>
          <w:i w:val="0"/>
          <w:sz w:val="22"/>
        </w:rPr>
        <w:t xml:space="preserve">4. </w:t>
      </w:r>
      <w:r>
        <w:rPr>
          <w:rFonts w:ascii="Cambria" w:hAnsi="Cambria"/>
          <w:b w:val="0"/>
          <w:i w:val="0"/>
          <w:sz w:val="22"/>
        </w:rPr>
        <w:t>Outcome Measurement</w:t>
      </w:r>
    </w:p>
    <w:p>
      <w:pPr>
        <w:pStyle w:val="ListBullet2"/>
        <w:spacing w:after="80"/>
        <w:jc w:val="both"/>
      </w:pPr>
      <w:r>
        <w:rPr>
          <w:rFonts w:ascii="Cambria" w:hAnsi="Cambria"/>
          <w:b w:val="0"/>
          <w:i w:val="0"/>
          <w:sz w:val="22"/>
        </w:rPr>
        <w:t>GPA/attendance improvement, backlog clearance, placement readiness.</w:t>
      </w:r>
    </w:p>
    <w:p>
      <w:pPr>
        <w:pStyle w:val="ListBullet2"/>
        <w:spacing w:after="80"/>
        <w:jc w:val="both"/>
      </w:pPr>
      <w:r>
        <w:rPr>
          <w:rFonts w:ascii="Cambria" w:hAnsi="Cambria"/>
          <w:b w:val="0"/>
          <w:i w:val="0"/>
          <w:sz w:val="22"/>
        </w:rPr>
        <w:t>Student satisfaction survey scores.</w:t>
      </w:r>
    </w:p>
    <w:p>
      <w:pPr>
        <w:spacing w:after="120"/>
        <w:jc w:val="both"/>
      </w:pPr>
      <w:r>
        <w:rPr>
          <w:rFonts w:ascii="Cambria" w:hAnsi="Cambria"/>
          <w:b w:val="0"/>
          <w:i w:val="0"/>
          <w:sz w:val="22"/>
        </w:rPr>
        <w:t xml:space="preserve"> → Evidence: Before vs. after reports, survey results.</w:t>
      </w:r>
    </w:p>
    <w:p>
      <w:pPr>
        <w:keepNext/>
        <w:spacing w:before="280" w:after="160"/>
        <w:jc w:val="left"/>
      </w:pPr>
      <w:r>
        <w:rPr>
          <w:rFonts w:ascii="Cambria" w:hAnsi="Cambria"/>
          <w:b/>
          <w:i w:val="0"/>
          <w:color w:val="1F3A5F"/>
          <w:sz w:val="26"/>
        </w:rPr>
        <w:t>Tangible Numeric Outcomes (II)</w:t>
      </w:r>
    </w:p>
    <w:p>
      <w:pPr>
        <w:spacing w:after="120"/>
        <w:jc w:val="both"/>
      </w:pPr>
      <w:r>
        <w:rPr>
          <w:rFonts w:ascii="Cambria" w:hAnsi="Cambria"/>
          <w:b w:val="0"/>
          <w:i w:val="0"/>
          <w:sz w:val="22"/>
        </w:rPr>
        <w:t>GPA improved from 6.2 → 7.1 for counseled students.</w:t>
      </w:r>
    </w:p>
    <w:p>
      <w:pPr>
        <w:pStyle w:val="ListBullet"/>
        <w:spacing w:after="80"/>
        <w:jc w:val="both"/>
      </w:pPr>
      <w:r>
        <w:rPr>
          <w:rFonts w:ascii="Cambria" w:hAnsi="Cambria"/>
          <w:b w:val="0"/>
          <w:i w:val="0"/>
          <w:sz w:val="22"/>
        </w:rPr>
        <w:t>Backlogs reduced by 20% YoY.</w:t>
      </w:r>
    </w:p>
    <w:p>
      <w:pPr>
        <w:spacing w:after="120"/>
        <w:jc w:val="both"/>
      </w:pPr>
      <w:r>
        <w:rPr>
          <w:rFonts w:ascii="Cambria" w:hAnsi="Cambria"/>
          <w:b w:val="0"/>
          <w:i w:val="0"/>
          <w:sz w:val="22"/>
        </w:rPr>
        <w:t>Attendance improved from 78% → 90%.</w:t>
      </w:r>
    </w:p>
    <w:p>
      <w:pPr>
        <w:pStyle w:val="ListBullet"/>
        <w:spacing w:after="80"/>
        <w:jc w:val="both"/>
      </w:pPr>
      <w:r>
        <w:rPr>
          <w:rFonts w:ascii="Cambria" w:hAnsi="Cambria"/>
          <w:b w:val="0"/>
          <w:i w:val="0"/>
          <w:sz w:val="22"/>
        </w:rPr>
        <w:t>Placement readiness training participation ↑ 30%.</w:t>
      </w:r>
    </w:p>
    <w:p>
      <w:pPr>
        <w:pStyle w:val="ListBullet"/>
        <w:spacing w:after="80"/>
        <w:jc w:val="both"/>
      </w:pPr>
      <w:r>
        <w:rPr>
          <w:rFonts w:ascii="Cambria" w:hAnsi="Cambria"/>
          <w:b w:val="0"/>
          <w:i w:val="0"/>
          <w:sz w:val="22"/>
        </w:rPr>
        <w:t>DC referrals reduced by 15% YoY.</w:t>
      </w:r>
    </w:p>
    <w:p>
      <w:pPr>
        <w:keepNext/>
        <w:spacing w:before="280" w:after="160"/>
        <w:jc w:val="left"/>
      </w:pPr>
      <w:r>
        <w:rPr>
          <w:rFonts w:ascii="Cambria" w:hAnsi="Cambria"/>
          <w:b/>
          <w:i w:val="0"/>
          <w:color w:val="1F3A5F"/>
          <w:sz w:val="26"/>
        </w:rPr>
        <w:t>How Documented Cause-and-Effect is Shown</w:t>
      </w:r>
    </w:p>
    <w:p>
      <w:pPr>
        <w:pStyle w:val="ListBullet"/>
        <w:spacing w:after="80"/>
        <w:jc w:val="both"/>
      </w:pPr>
      <w:r>
        <w:rPr>
          <w:rFonts w:ascii="Cambria" w:hAnsi="Cambria"/>
          <w:b w:val="0"/>
          <w:i w:val="0"/>
          <w:sz w:val="22"/>
        </w:rPr>
        <w:t>Cause (Problem Identified)</w:t>
      </w:r>
    </w:p>
    <w:p>
      <w:pPr>
        <w:pStyle w:val="ListBullet2"/>
        <w:spacing w:after="80"/>
        <w:jc w:val="both"/>
      </w:pPr>
      <w:r>
        <w:rPr>
          <w:rFonts w:ascii="Cambria" w:hAnsi="Cambria"/>
          <w:b w:val="0"/>
          <w:i w:val="0"/>
          <w:sz w:val="22"/>
        </w:rPr>
        <w:t>Low GPA, repeated backlogs, poor attendance, stress, or career confusion.</w:t>
      </w:r>
    </w:p>
    <w:p>
      <w:pPr>
        <w:spacing w:after="120"/>
        <w:jc w:val="both"/>
      </w:pPr>
      <w:r>
        <w:rPr>
          <w:rFonts w:ascii="Cambria" w:hAnsi="Cambria"/>
          <w:b w:val="0"/>
          <w:i w:val="0"/>
          <w:sz w:val="22"/>
        </w:rPr>
        <w:t xml:space="preserve"> → Evidence: Academic progress reports, attendance sheets, complaint records.</w:t>
      </w:r>
    </w:p>
    <w:p>
      <w:pPr>
        <w:pStyle w:val="ListBullet"/>
        <w:spacing w:after="80"/>
        <w:jc w:val="both"/>
      </w:pPr>
      <w:r>
        <w:rPr>
          <w:rFonts w:ascii="Cambria" w:hAnsi="Cambria"/>
          <w:b w:val="0"/>
          <w:i w:val="0"/>
          <w:sz w:val="22"/>
        </w:rPr>
        <w:t>Intervention (Action Taken)</w:t>
      </w:r>
    </w:p>
    <w:p>
      <w:pPr>
        <w:pStyle w:val="ListBullet2"/>
        <w:spacing w:after="80"/>
        <w:jc w:val="both"/>
      </w:pPr>
      <w:r>
        <w:rPr>
          <w:rFonts w:ascii="Cambria" w:hAnsi="Cambria"/>
          <w:b w:val="0"/>
          <w:i w:val="0"/>
          <w:sz w:val="22"/>
        </w:rPr>
        <w:t>Remedial classes, one-to-one mentoring, parental meetings, referrals to counselor/DC, career guidance workshops.</w:t>
      </w:r>
    </w:p>
    <w:p>
      <w:pPr>
        <w:spacing w:after="120"/>
        <w:jc w:val="both"/>
      </w:pPr>
      <w:r>
        <w:rPr>
          <w:rFonts w:ascii="Cambria" w:hAnsi="Cambria"/>
          <w:b w:val="0"/>
          <w:i w:val="0"/>
          <w:sz w:val="22"/>
        </w:rPr>
        <w:t xml:space="preserve"> → Evidence: Counseling records signed by mentor &amp; HoD, remedial schedules, referral notes.</w:t>
      </w:r>
    </w:p>
    <w:p>
      <w:pPr>
        <w:pStyle w:val="ListBullet"/>
        <w:spacing w:after="80"/>
        <w:jc w:val="both"/>
      </w:pPr>
      <w:r>
        <w:rPr>
          <w:rFonts w:ascii="Cambria" w:hAnsi="Cambria"/>
          <w:b w:val="0"/>
          <w:i w:val="0"/>
          <w:sz w:val="22"/>
        </w:rPr>
        <w:t>Effect (Outcome Achieved)</w:t>
      </w:r>
    </w:p>
    <w:p>
      <w:pPr>
        <w:pStyle w:val="ListBullet2"/>
        <w:spacing w:after="80"/>
        <w:jc w:val="both"/>
      </w:pPr>
      <w:r>
        <w:rPr>
          <w:rFonts w:ascii="Cambria" w:hAnsi="Cambria"/>
          <w:b w:val="0"/>
          <w:i w:val="0"/>
          <w:sz w:val="22"/>
        </w:rPr>
        <w:t>Improved GPA, backlog clearance, higher attendance, reduced disciplinary cases, enhanced placement readiness.</w:t>
      </w:r>
    </w:p>
    <w:p>
      <w:pPr>
        <w:spacing w:after="120"/>
        <w:jc w:val="both"/>
      </w:pPr>
      <w:r>
        <w:rPr>
          <w:rFonts w:ascii="Cambria" w:hAnsi="Cambria"/>
          <w:b w:val="0"/>
          <w:i w:val="0"/>
          <w:sz w:val="22"/>
        </w:rPr>
        <w:t xml:space="preserve"> → Evidence: Before vs. after reports, ERP logs, satisfaction surveys.</w:t>
      </w:r>
    </w:p>
    <w:p>
      <w:pPr>
        <w:keepNext/>
        <w:spacing w:before="280" w:after="160"/>
        <w:jc w:val="left"/>
      </w:pPr>
      <w:r>
        <w:rPr>
          <w:rFonts w:ascii="Cambria" w:hAnsi="Cambria"/>
          <w:b/>
          <w:i w:val="0"/>
          <w:color w:val="1F3A5F"/>
          <w:sz w:val="26"/>
        </w:rPr>
        <w:t>Numeric Examples of Cause-and-Effect</w:t>
      </w:r>
    </w:p>
    <w:p>
      <w:pPr>
        <w:spacing w:after="120"/>
        <w:jc w:val="both"/>
      </w:pPr>
      <w:r>
        <w:rPr>
          <w:rFonts w:ascii="Cambria" w:hAnsi="Cambria"/>
          <w:b w:val="0"/>
          <w:i w:val="0"/>
          <w:sz w:val="22"/>
        </w:rPr>
        <w:t>Cause: Student had 2 backlogs, GPA 6.2.</w:t>
      </w:r>
    </w:p>
    <w:p>
      <w:pPr>
        <w:spacing w:after="120"/>
        <w:jc w:val="both"/>
      </w:pPr>
      <w:r>
        <w:rPr>
          <w:rFonts w:ascii="Cambria" w:hAnsi="Cambria"/>
          <w:b w:val="0"/>
          <w:i w:val="0"/>
          <w:sz w:val="22"/>
        </w:rPr>
        <w:t>Action: Weekly remedial classes + faculty mentoring.</w:t>
      </w:r>
    </w:p>
    <w:p>
      <w:pPr>
        <w:spacing w:after="120"/>
        <w:jc w:val="both"/>
      </w:pPr>
      <w:r>
        <w:rPr>
          <w:rFonts w:ascii="Cambria" w:hAnsi="Cambria"/>
          <w:b w:val="0"/>
          <w:i w:val="0"/>
          <w:sz w:val="22"/>
        </w:rPr>
        <w:t>Evidence: Counseling record + remedial attendance sheets.</w:t>
      </w:r>
    </w:p>
    <w:p>
      <w:pPr>
        <w:spacing w:after="120"/>
        <w:jc w:val="both"/>
      </w:pPr>
      <w:r>
        <w:rPr>
          <w:rFonts w:ascii="Cambria" w:hAnsi="Cambria"/>
          <w:b w:val="0"/>
          <w:i w:val="0"/>
          <w:sz w:val="22"/>
        </w:rPr>
        <w:t>Effect: Backlogs cleared, GPA improved to 7.1 (↑ 15%).</w:t>
      </w:r>
    </w:p>
    <w:p>
      <w:pPr>
        <w:spacing w:after="120"/>
        <w:jc w:val="both"/>
      </w:pPr>
      <w:r>
        <w:rPr>
          <w:rFonts w:ascii="Cambria" w:hAnsi="Cambria"/>
          <w:b w:val="0"/>
          <w:i w:val="0"/>
          <w:sz w:val="22"/>
        </w:rPr>
        <w:t>Cause: Student attendance only 60%.</w:t>
      </w:r>
    </w:p>
    <w:p>
      <w:pPr>
        <w:spacing w:after="120"/>
        <w:jc w:val="both"/>
      </w:pPr>
      <w:r>
        <w:rPr>
          <w:rFonts w:ascii="Cambria" w:hAnsi="Cambria"/>
          <w:b w:val="0"/>
          <w:i w:val="0"/>
          <w:sz w:val="22"/>
        </w:rPr>
        <w:t>Action: Parental counseling + continuous monitoring.</w:t>
      </w:r>
    </w:p>
    <w:p>
      <w:pPr>
        <w:spacing w:after="120"/>
        <w:jc w:val="both"/>
      </w:pPr>
      <w:r>
        <w:rPr>
          <w:rFonts w:ascii="Cambria" w:hAnsi="Cambria"/>
          <w:b w:val="0"/>
          <w:i w:val="0"/>
          <w:sz w:val="22"/>
        </w:rPr>
        <w:t>Evidence: Meeting notes + attendance registers.</w:t>
      </w:r>
    </w:p>
    <w:p>
      <w:pPr>
        <w:spacing w:after="120"/>
        <w:jc w:val="both"/>
      </w:pPr>
      <w:r>
        <w:rPr>
          <w:rFonts w:ascii="Cambria" w:hAnsi="Cambria"/>
          <w:b w:val="0"/>
          <w:i w:val="0"/>
          <w:sz w:val="22"/>
        </w:rPr>
        <w:t>Effect: Attendance improved to 85% (↑ 25%).</w:t>
      </w:r>
    </w:p>
    <w:p>
      <w:pPr>
        <w:spacing w:after="120"/>
        <w:jc w:val="both"/>
      </w:pPr>
      <w:r>
        <w:rPr>
          <w:rFonts w:ascii="Cambria" w:hAnsi="Cambria"/>
          <w:b w:val="0"/>
          <w:i w:val="0"/>
          <w:sz w:val="22"/>
        </w:rPr>
        <w:t>Cause: Student reported stress affecting academics.</w:t>
      </w:r>
    </w:p>
    <w:p>
      <w:pPr>
        <w:spacing w:after="120"/>
        <w:jc w:val="both"/>
      </w:pPr>
      <w:r>
        <w:rPr>
          <w:rFonts w:ascii="Cambria" w:hAnsi="Cambria"/>
          <w:b w:val="0"/>
          <w:i w:val="0"/>
          <w:sz w:val="22"/>
        </w:rPr>
        <w:t>Action: Referral to professional counselor.</w:t>
      </w:r>
    </w:p>
    <w:p>
      <w:pPr>
        <w:spacing w:after="120"/>
        <w:jc w:val="both"/>
      </w:pPr>
      <w:r>
        <w:rPr>
          <w:rFonts w:ascii="Cambria" w:hAnsi="Cambria"/>
          <w:b w:val="0"/>
          <w:i w:val="0"/>
          <w:sz w:val="22"/>
        </w:rPr>
        <w:t>Evidence: Referral record + follow-up notes.</w:t>
      </w:r>
    </w:p>
    <w:p>
      <w:pPr>
        <w:spacing w:after="120"/>
        <w:jc w:val="both"/>
      </w:pPr>
      <w:r>
        <w:rPr>
          <w:rFonts w:ascii="Cambria" w:hAnsi="Cambria"/>
          <w:b w:val="0"/>
          <w:i w:val="0"/>
          <w:sz w:val="22"/>
        </w:rPr>
        <w:t>Effect: Attendance improved by 7%, GPA stabilized at 7.9.</w:t>
      </w:r>
    </w:p>
    <w:p>
      <w:r>
        <w:br w:type="page"/>
      </w:r>
    </w:p>
    <w:p>
      <w:pPr>
        <w:keepNext/>
        <w:spacing w:before="280" w:after="160"/>
        <w:jc w:val="left"/>
      </w:pPr>
      <w:r>
        <w:rPr>
          <w:rFonts w:ascii="Cambria" w:hAnsi="Cambria"/>
          <w:b/>
          <w:i w:val="0"/>
          <w:color w:val="1F3A5F"/>
          <w:sz w:val="30"/>
        </w:rPr>
        <w:t>HoD's Role in Conducting Parent Meetings and Capturing Suggestions for Improvement</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ensures structured Parent–Teacher Meetings (PTMs) are conducted periodically (semester/yearly) to engage parents in academic and co-curricular development of the division, collect feedback, and implement suggestions for continuous improvement.</w:t>
      </w:r>
    </w:p>
    <w:p>
      <w:pPr>
        <w:keepNext/>
        <w:spacing w:before="280" w:after="160"/>
        <w:jc w:val="left"/>
      </w:pPr>
      <w:r>
        <w:rPr>
          <w:rFonts w:ascii="Cambria" w:hAnsi="Cambria"/>
          <w:b/>
          <w:i w:val="0"/>
          <w:color w:val="1F3A5F"/>
          <w:sz w:val="26"/>
        </w:rPr>
        <w:t>Actions by HoD/Division</w:t>
      </w:r>
    </w:p>
    <w:p>
      <w:pPr>
        <w:pStyle w:val="ListBullet"/>
        <w:spacing w:after="80"/>
        <w:jc w:val="both"/>
      </w:pPr>
      <w:r>
        <w:rPr>
          <w:rFonts w:ascii="Cambria" w:hAnsi="Cambria"/>
          <w:b w:val="0"/>
          <w:i w:val="0"/>
          <w:sz w:val="22"/>
        </w:rPr>
        <w:t>Planning &amp; Scheduling</w:t>
      </w:r>
    </w:p>
    <w:p>
      <w:pPr>
        <w:pStyle w:val="ListBullet2"/>
        <w:spacing w:after="80"/>
        <w:jc w:val="both"/>
      </w:pPr>
      <w:r>
        <w:rPr>
          <w:rFonts w:ascii="Cambria" w:hAnsi="Cambria"/>
          <w:b w:val="0"/>
          <w:i w:val="0"/>
          <w:sz w:val="22"/>
        </w:rPr>
        <w:t>Schedule parent meetings once per semester.</w:t>
      </w:r>
    </w:p>
    <w:p>
      <w:pPr>
        <w:pStyle w:val="ListBullet2"/>
        <w:spacing w:after="80"/>
        <w:jc w:val="both"/>
      </w:pPr>
      <w:r>
        <w:rPr>
          <w:rFonts w:ascii="Cambria" w:hAnsi="Cambria"/>
          <w:b w:val="0"/>
          <w:i w:val="0"/>
          <w:sz w:val="22"/>
        </w:rPr>
        <w:t>Circulate notices/invitations in advance.</w:t>
      </w:r>
    </w:p>
    <w:p>
      <w:pPr>
        <w:pStyle w:val="ListBullet"/>
        <w:spacing w:after="80"/>
        <w:jc w:val="both"/>
      </w:pPr>
      <w:r>
        <w:rPr>
          <w:rFonts w:ascii="Cambria" w:hAnsi="Cambria"/>
          <w:b w:val="0"/>
          <w:i w:val="0"/>
          <w:sz w:val="22"/>
        </w:rPr>
        <w:t>Execution</w:t>
      </w:r>
    </w:p>
    <w:p>
      <w:pPr>
        <w:pStyle w:val="ListBullet2"/>
        <w:spacing w:after="80"/>
        <w:jc w:val="both"/>
      </w:pPr>
      <w:r>
        <w:rPr>
          <w:rFonts w:ascii="Cambria" w:hAnsi="Cambria"/>
          <w:b w:val="0"/>
          <w:i w:val="0"/>
          <w:sz w:val="22"/>
        </w:rPr>
        <w:t>Present academic progress of students (class performance, attendance, placements).</w:t>
      </w:r>
    </w:p>
    <w:p>
      <w:pPr>
        <w:pStyle w:val="ListBullet2"/>
        <w:spacing w:after="80"/>
        <w:jc w:val="both"/>
      </w:pPr>
      <w:r>
        <w:rPr>
          <w:rFonts w:ascii="Cambria" w:hAnsi="Cambria"/>
          <w:b w:val="0"/>
          <w:i w:val="0"/>
          <w:sz w:val="22"/>
        </w:rPr>
        <w:t>Gather parent feedback and suggestions.</w:t>
      </w:r>
    </w:p>
    <w:p>
      <w:pPr>
        <w:pStyle w:val="ListBullet2"/>
        <w:spacing w:after="80"/>
        <w:jc w:val="both"/>
      </w:pPr>
      <w:r>
        <w:rPr>
          <w:rFonts w:ascii="Cambria" w:hAnsi="Cambria"/>
          <w:b w:val="0"/>
          <w:i w:val="0"/>
          <w:sz w:val="22"/>
        </w:rPr>
        <w:t>Discuss improvement plans for academics, labs, facilities, and student support.</w:t>
      </w:r>
    </w:p>
    <w:p>
      <w:pPr>
        <w:pStyle w:val="ListBullet"/>
        <w:spacing w:after="80"/>
        <w:jc w:val="both"/>
      </w:pPr>
      <w:r>
        <w:rPr>
          <w:rFonts w:ascii="Cambria" w:hAnsi="Cambria"/>
          <w:b w:val="0"/>
          <w:i w:val="0"/>
          <w:sz w:val="22"/>
        </w:rPr>
        <w:t>Follow-Up</w:t>
      </w:r>
    </w:p>
    <w:p>
      <w:pPr>
        <w:pStyle w:val="ListBullet2"/>
        <w:spacing w:after="80"/>
        <w:jc w:val="both"/>
      </w:pPr>
      <w:r>
        <w:rPr>
          <w:rFonts w:ascii="Cambria" w:hAnsi="Cambria"/>
          <w:b w:val="0"/>
          <w:i w:val="0"/>
          <w:sz w:val="22"/>
        </w:rPr>
        <w:t>Document suggestions in meeting minutes.</w:t>
      </w:r>
    </w:p>
    <w:p>
      <w:pPr>
        <w:pStyle w:val="ListBullet2"/>
        <w:spacing w:after="80"/>
        <w:jc w:val="both"/>
      </w:pPr>
      <w:r>
        <w:rPr>
          <w:rFonts w:ascii="Cambria" w:hAnsi="Cambria"/>
          <w:b w:val="0"/>
          <w:i w:val="0"/>
          <w:sz w:val="22"/>
        </w:rPr>
        <w:t>Prepare Action Taken Reports (ATRs).</w:t>
      </w:r>
    </w:p>
    <w:p>
      <w:pPr>
        <w:pStyle w:val="ListBullet2"/>
        <w:spacing w:after="80"/>
        <w:jc w:val="both"/>
      </w:pPr>
      <w:r>
        <w:rPr>
          <w:rFonts w:ascii="Cambria" w:hAnsi="Cambria"/>
          <w:b w:val="0"/>
          <w:i w:val="0"/>
          <w:sz w:val="22"/>
        </w:rPr>
        <w:t>Communicate implemented changes to parents and faculty.</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Parent meeting circulars/invitations.</w:t>
      </w:r>
    </w:p>
    <w:p>
      <w:pPr>
        <w:pStyle w:val="ListBullet"/>
        <w:spacing w:after="80"/>
        <w:jc w:val="both"/>
      </w:pPr>
      <w:r>
        <w:rPr>
          <w:rFonts w:ascii="Cambria" w:hAnsi="Cambria"/>
          <w:b w:val="0"/>
          <w:i w:val="0"/>
          <w:sz w:val="22"/>
        </w:rPr>
        <w:t>Attendance sheets of parents.</w:t>
      </w:r>
    </w:p>
    <w:p>
      <w:pPr>
        <w:pStyle w:val="ListBullet"/>
        <w:spacing w:after="80"/>
        <w:jc w:val="both"/>
      </w:pPr>
      <w:r>
        <w:rPr>
          <w:rFonts w:ascii="Cambria" w:hAnsi="Cambria"/>
          <w:b w:val="0"/>
          <w:i w:val="0"/>
          <w:sz w:val="22"/>
        </w:rPr>
        <w:t>Meeting agenda and presentations.</w:t>
      </w:r>
    </w:p>
    <w:p>
      <w:pPr>
        <w:pStyle w:val="ListBullet"/>
        <w:spacing w:after="80"/>
        <w:jc w:val="both"/>
      </w:pPr>
      <w:r>
        <w:rPr>
          <w:rFonts w:ascii="Cambria" w:hAnsi="Cambria"/>
          <w:b w:val="0"/>
          <w:i w:val="0"/>
          <w:sz w:val="22"/>
        </w:rPr>
        <w:t>Minutes of Meeting (MoM) signed by HoD.</w:t>
      </w:r>
    </w:p>
    <w:p>
      <w:pPr>
        <w:pStyle w:val="ListBullet"/>
        <w:spacing w:after="80"/>
        <w:jc w:val="both"/>
      </w:pPr>
      <w:r>
        <w:rPr>
          <w:rFonts w:ascii="Cambria" w:hAnsi="Cambria"/>
          <w:b w:val="0"/>
          <w:i w:val="0"/>
          <w:sz w:val="22"/>
        </w:rPr>
        <w:t>Feedback forms collected from parents.</w:t>
      </w:r>
    </w:p>
    <w:p>
      <w:pPr>
        <w:pStyle w:val="ListBullet"/>
        <w:spacing w:after="80"/>
        <w:jc w:val="both"/>
      </w:pPr>
      <w:r>
        <w:rPr>
          <w:rFonts w:ascii="Cambria" w:hAnsi="Cambria"/>
          <w:b w:val="0"/>
          <w:i w:val="0"/>
          <w:sz w:val="22"/>
        </w:rPr>
        <w:t>Action Taken Reports (ATRs) on parent suggestions.</w:t>
      </w:r>
    </w:p>
    <w:p>
      <w:pPr>
        <w:pStyle w:val="ListBullet"/>
        <w:spacing w:after="80"/>
        <w:jc w:val="both"/>
      </w:pPr>
      <w:r>
        <w:rPr>
          <w:rFonts w:ascii="Cambria" w:hAnsi="Cambria"/>
          <w:b w:val="0"/>
          <w:i w:val="0"/>
          <w:sz w:val="22"/>
        </w:rPr>
        <w:t>Photos/videos of PTMs.</w:t>
      </w:r>
    </w:p>
    <w:p>
      <w:pPr>
        <w:pStyle w:val="ListBullet"/>
        <w:spacing w:after="80"/>
        <w:jc w:val="both"/>
      </w:pPr>
      <w:r>
        <w:rPr>
          <w:rFonts w:ascii="Cambria" w:hAnsi="Cambria"/>
          <w:b w:val="0"/>
          <w:i w:val="0"/>
          <w:sz w:val="22"/>
        </w:rPr>
        <w:t>Consolidated parent feedback analysis (for AQAR/SSR).</w:t>
      </w:r>
    </w:p>
    <w:p>
      <w:pPr>
        <w:keepNext/>
        <w:spacing w:before="280" w:after="160"/>
        <w:jc w:val="left"/>
      </w:pPr>
      <w:r>
        <w:rPr>
          <w:rFonts w:ascii="Cambria" w:hAnsi="Cambria"/>
          <w:b/>
          <w:i w:val="0"/>
          <w:color w:val="1F3A5F"/>
          <w:sz w:val="26"/>
        </w:rPr>
        <w:t>Tangible Outcomes (Numeric &amp; Measurable)</w:t>
      </w:r>
    </w:p>
    <w:p>
      <w:pPr>
        <w:spacing w:after="120"/>
        <w:jc w:val="both"/>
      </w:pPr>
      <w:r>
        <w:rPr>
          <w:rFonts w:ascii="Cambria" w:hAnsi="Cambria"/>
          <w:b w:val="0"/>
          <w:i w:val="0"/>
          <w:sz w:val="22"/>
        </w:rPr>
        <w:t>Parent participation rate ↑ from 45% → 70% in 3 years.</w:t>
      </w:r>
    </w:p>
    <w:p>
      <w:pPr>
        <w:spacing w:after="120"/>
        <w:jc w:val="both"/>
      </w:pPr>
      <w:r>
        <w:rPr>
          <w:rFonts w:ascii="Cambria" w:hAnsi="Cambria"/>
          <w:b w:val="0"/>
          <w:i w:val="0"/>
          <w:sz w:val="22"/>
        </w:rPr>
        <w:t>Parent satisfaction (survey rating) ↑ from 3.9 → 4.6/5.</w:t>
      </w:r>
    </w:p>
    <w:p>
      <w:pPr>
        <w:pStyle w:val="ListBullet"/>
        <w:spacing w:after="80"/>
        <w:jc w:val="both"/>
      </w:pPr>
      <w:r>
        <w:rPr>
          <w:rFonts w:ascii="Cambria" w:hAnsi="Cambria"/>
          <w:b w:val="0"/>
          <w:i w:val="0"/>
          <w:sz w:val="22"/>
        </w:rPr>
        <w:t>Suggestions implemented:</w:t>
      </w:r>
    </w:p>
    <w:p>
      <w:pPr>
        <w:spacing w:after="120"/>
        <w:jc w:val="both"/>
      </w:pPr>
      <w:r>
        <w:rPr>
          <w:rFonts w:ascii="Cambria" w:hAnsi="Cambria"/>
          <w:b w:val="0"/>
          <w:i w:val="0"/>
          <w:sz w:val="22"/>
        </w:rPr>
        <w:t>Additional remedial classes (↑ 20% attendance improvement).</w:t>
      </w:r>
    </w:p>
    <w:p>
      <w:pPr>
        <w:pStyle w:val="ListBullet2"/>
        <w:spacing w:after="80"/>
        <w:jc w:val="both"/>
      </w:pPr>
      <w:r>
        <w:rPr>
          <w:rFonts w:ascii="Cambria" w:hAnsi="Cambria"/>
          <w:b w:val="0"/>
          <w:i w:val="0"/>
          <w:sz w:val="22"/>
        </w:rPr>
        <w:t>Lab upgrades (3 new labs added).</w:t>
      </w:r>
    </w:p>
    <w:p>
      <w:pPr>
        <w:spacing w:after="120"/>
        <w:jc w:val="both"/>
      </w:pPr>
      <w:r>
        <w:rPr>
          <w:rFonts w:ascii="Cambria" w:hAnsi="Cambria"/>
          <w:b w:val="0"/>
          <w:i w:val="0"/>
          <w:sz w:val="22"/>
        </w:rPr>
        <w:t>Placement training hours ↑ by 30%.</w:t>
      </w:r>
    </w:p>
    <w:p>
      <w:pPr>
        <w:pStyle w:val="ListBullet"/>
        <w:spacing w:after="80"/>
        <w:jc w:val="both"/>
      </w:pPr>
      <w:r>
        <w:rPr>
          <w:rFonts w:ascii="Cambria" w:hAnsi="Cambria"/>
          <w:b w:val="0"/>
          <w:i w:val="0"/>
          <w:sz w:val="22"/>
        </w:rPr>
        <w:t>Student retention rate improved by 12% YoY (due to better parent–faculty engagement).</w:t>
      </w:r>
    </w:p>
    <w:p>
      <w:pPr>
        <w:keepNext/>
        <w:spacing w:before="280" w:after="160"/>
        <w:jc w:val="left"/>
      </w:pPr>
      <w:r>
        <w:rPr>
          <w:rFonts w:ascii="Cambria" w:hAnsi="Cambria"/>
          <w:b/>
          <w:i w:val="0"/>
          <w:color w:val="1F3A5F"/>
          <w:sz w:val="26"/>
        </w:rPr>
        <w:t>Evidence/Documents – Parent Meetings</w:t>
      </w:r>
    </w:p>
    <w:p>
      <w:pPr>
        <w:spacing w:after="80"/>
        <w:ind w:left="340" w:hanging="340"/>
        <w:jc w:val="both"/>
      </w:pPr>
      <w:r>
        <w:rPr>
          <w:rFonts w:ascii="Cambria" w:hAnsi="Cambria"/>
          <w:b w:val="0"/>
          <w:i w:val="0"/>
          <w:sz w:val="22"/>
        </w:rPr>
        <w:t xml:space="preserve">1. </w:t>
      </w:r>
      <w:r>
        <w:rPr>
          <w:rFonts w:ascii="Cambria" w:hAnsi="Cambria"/>
          <w:b w:val="0"/>
          <w:i w:val="0"/>
          <w:sz w:val="22"/>
        </w:rPr>
        <w:t>Parent Meeting Circulars/Invitations</w:t>
      </w:r>
    </w:p>
    <w:p>
      <w:pPr>
        <w:pStyle w:val="ListBullet2"/>
        <w:spacing w:after="80"/>
        <w:jc w:val="both"/>
      </w:pPr>
      <w:r>
        <w:rPr>
          <w:rFonts w:ascii="Cambria" w:hAnsi="Cambria"/>
          <w:b w:val="0"/>
          <w:i w:val="0"/>
          <w:sz w:val="22"/>
        </w:rPr>
        <w:t>Notices sent to parents announcing PTM schedule.</w:t>
      </w:r>
    </w:p>
    <w:p>
      <w:pPr>
        <w:pStyle w:val="ListBullet2"/>
        <w:spacing w:after="80"/>
        <w:jc w:val="both"/>
      </w:pPr>
      <w:r>
        <w:rPr>
          <w:rFonts w:ascii="Cambria" w:hAnsi="Cambria"/>
          <w:b w:val="0"/>
          <w:i w:val="0"/>
          <w:sz w:val="22"/>
        </w:rPr>
        <w:t>Includes agenda, date, time, and venue (or online link).</w:t>
      </w:r>
    </w:p>
    <w:p>
      <w:pPr>
        <w:spacing w:after="80"/>
        <w:ind w:left="340" w:hanging="340"/>
        <w:jc w:val="both"/>
      </w:pPr>
      <w:r>
        <w:rPr>
          <w:rFonts w:ascii="Cambria" w:hAnsi="Cambria"/>
          <w:b w:val="0"/>
          <w:i w:val="0"/>
          <w:sz w:val="22"/>
        </w:rPr>
        <w:t xml:space="preserve">2. </w:t>
      </w:r>
      <w:r>
        <w:rPr>
          <w:rFonts w:ascii="Cambria" w:hAnsi="Cambria"/>
          <w:b w:val="0"/>
          <w:i w:val="0"/>
          <w:sz w:val="22"/>
        </w:rPr>
        <w:t>Attendance Sheets of Parents</w:t>
      </w:r>
    </w:p>
    <w:p>
      <w:pPr>
        <w:pStyle w:val="ListBullet2"/>
        <w:spacing w:after="80"/>
        <w:jc w:val="both"/>
      </w:pPr>
      <w:r>
        <w:rPr>
          <w:rFonts w:ascii="Cambria" w:hAnsi="Cambria"/>
          <w:b w:val="0"/>
          <w:i w:val="0"/>
          <w:sz w:val="22"/>
        </w:rPr>
        <w:t>Signed attendance records of participants.</w:t>
      </w:r>
    </w:p>
    <w:p>
      <w:pPr>
        <w:pStyle w:val="ListBullet2"/>
        <w:spacing w:after="80"/>
        <w:jc w:val="both"/>
      </w:pPr>
      <w:r>
        <w:rPr>
          <w:rFonts w:ascii="Cambria" w:hAnsi="Cambria"/>
          <w:b w:val="0"/>
          <w:i w:val="0"/>
          <w:sz w:val="22"/>
        </w:rPr>
        <w:t>Can also include ERP-generated logs for online PTMs.</w:t>
      </w:r>
    </w:p>
    <w:p>
      <w:pPr>
        <w:spacing w:after="80"/>
        <w:ind w:left="340" w:hanging="340"/>
        <w:jc w:val="both"/>
      </w:pPr>
      <w:r>
        <w:rPr>
          <w:rFonts w:ascii="Cambria" w:hAnsi="Cambria"/>
          <w:b w:val="0"/>
          <w:i w:val="0"/>
          <w:sz w:val="22"/>
        </w:rPr>
        <w:t xml:space="preserve">3. </w:t>
      </w:r>
      <w:r>
        <w:rPr>
          <w:rFonts w:ascii="Cambria" w:hAnsi="Cambria"/>
          <w:b w:val="0"/>
          <w:i w:val="0"/>
          <w:sz w:val="22"/>
        </w:rPr>
        <w:t>Meeting Agenda and Presentations</w:t>
      </w:r>
    </w:p>
    <w:p>
      <w:pPr>
        <w:pStyle w:val="ListBullet2"/>
        <w:spacing w:after="80"/>
        <w:jc w:val="both"/>
      </w:pPr>
      <w:r>
        <w:rPr>
          <w:rFonts w:ascii="Cambria" w:hAnsi="Cambria"/>
          <w:b w:val="0"/>
          <w:i w:val="0"/>
          <w:sz w:val="22"/>
        </w:rPr>
        <w:t>Agenda circulated in advance.</w:t>
      </w:r>
    </w:p>
    <w:p>
      <w:pPr>
        <w:pStyle w:val="ListBullet2"/>
        <w:spacing w:after="80"/>
        <w:jc w:val="both"/>
      </w:pPr>
      <w:r>
        <w:rPr>
          <w:rFonts w:ascii="Cambria" w:hAnsi="Cambria"/>
          <w:b w:val="0"/>
          <w:i w:val="0"/>
          <w:sz w:val="22"/>
        </w:rPr>
        <w:t>Presentations covering student performance, placements, academic calendar, and facilities.</w:t>
      </w:r>
    </w:p>
    <w:p>
      <w:pPr>
        <w:spacing w:after="80"/>
        <w:ind w:left="340" w:hanging="340"/>
        <w:jc w:val="both"/>
      </w:pPr>
      <w:r>
        <w:rPr>
          <w:rFonts w:ascii="Cambria" w:hAnsi="Cambria"/>
          <w:b w:val="0"/>
          <w:i w:val="0"/>
          <w:sz w:val="22"/>
        </w:rPr>
        <w:t xml:space="preserve">4. </w:t>
      </w:r>
      <w:r>
        <w:rPr>
          <w:rFonts w:ascii="Cambria" w:hAnsi="Cambria"/>
          <w:b w:val="0"/>
          <w:i w:val="0"/>
          <w:sz w:val="22"/>
        </w:rPr>
        <w:t>Minutes of Meeting (MoM) Signed by HoD</w:t>
      </w:r>
    </w:p>
    <w:p>
      <w:pPr>
        <w:pStyle w:val="ListBullet2"/>
        <w:spacing w:after="80"/>
        <w:jc w:val="both"/>
      </w:pPr>
      <w:r>
        <w:rPr>
          <w:rFonts w:ascii="Cambria" w:hAnsi="Cambria"/>
          <w:b w:val="0"/>
          <w:i w:val="0"/>
          <w:sz w:val="22"/>
        </w:rPr>
        <w:t>Documented summary of discussions.</w:t>
      </w:r>
    </w:p>
    <w:p>
      <w:pPr>
        <w:pStyle w:val="ListBullet2"/>
        <w:spacing w:after="80"/>
        <w:jc w:val="both"/>
      </w:pPr>
      <w:r>
        <w:rPr>
          <w:rFonts w:ascii="Cambria" w:hAnsi="Cambria"/>
          <w:b w:val="0"/>
          <w:i w:val="0"/>
          <w:sz w:val="22"/>
        </w:rPr>
        <w:t>Parent suggestions, faculty responses, and action points.</w:t>
      </w:r>
    </w:p>
    <w:p>
      <w:pPr>
        <w:spacing w:after="80"/>
        <w:ind w:left="340" w:hanging="340"/>
        <w:jc w:val="both"/>
      </w:pPr>
      <w:r>
        <w:rPr>
          <w:rFonts w:ascii="Cambria" w:hAnsi="Cambria"/>
          <w:b w:val="0"/>
          <w:i w:val="0"/>
          <w:sz w:val="22"/>
        </w:rPr>
        <w:t xml:space="preserve">5. </w:t>
      </w:r>
      <w:r>
        <w:rPr>
          <w:rFonts w:ascii="Cambria" w:hAnsi="Cambria"/>
          <w:b w:val="0"/>
          <w:i w:val="0"/>
          <w:sz w:val="22"/>
        </w:rPr>
        <w:t>Feedback Forms Collected from Parents</w:t>
      </w:r>
    </w:p>
    <w:p>
      <w:pPr>
        <w:pStyle w:val="ListBullet2"/>
        <w:spacing w:after="80"/>
        <w:jc w:val="both"/>
      </w:pPr>
      <w:r>
        <w:rPr>
          <w:rFonts w:ascii="Cambria" w:hAnsi="Cambria"/>
          <w:b w:val="0"/>
          <w:i w:val="0"/>
          <w:sz w:val="22"/>
        </w:rPr>
        <w:t>Structured feedback on academics, facilities, placements, and student support.</w:t>
      </w:r>
    </w:p>
    <w:p>
      <w:pPr>
        <w:pStyle w:val="ListBullet2"/>
        <w:spacing w:after="80"/>
        <w:jc w:val="both"/>
      </w:pPr>
      <w:r>
        <w:rPr>
          <w:rFonts w:ascii="Cambria" w:hAnsi="Cambria"/>
          <w:b w:val="0"/>
          <w:i w:val="0"/>
          <w:sz w:val="22"/>
        </w:rPr>
        <w:t>Numeric ratings + qualitative suggestions.</w:t>
      </w:r>
    </w:p>
    <w:p>
      <w:pPr>
        <w:spacing w:after="80"/>
        <w:ind w:left="340" w:hanging="340"/>
        <w:jc w:val="both"/>
      </w:pPr>
      <w:r>
        <w:rPr>
          <w:rFonts w:ascii="Cambria" w:hAnsi="Cambria"/>
          <w:b w:val="0"/>
          <w:i w:val="0"/>
          <w:sz w:val="22"/>
        </w:rPr>
        <w:t xml:space="preserve">6. </w:t>
      </w:r>
      <w:r>
        <w:rPr>
          <w:rFonts w:ascii="Cambria" w:hAnsi="Cambria"/>
          <w:b w:val="0"/>
          <w:i w:val="0"/>
          <w:sz w:val="22"/>
        </w:rPr>
        <w:t>Action Taken Reports (ATRs) on Parent Suggestions</w:t>
      </w:r>
    </w:p>
    <w:p>
      <w:pPr>
        <w:pStyle w:val="ListBullet2"/>
        <w:spacing w:after="80"/>
        <w:jc w:val="both"/>
      </w:pPr>
      <w:r>
        <w:rPr>
          <w:rFonts w:ascii="Cambria" w:hAnsi="Cambria"/>
          <w:b w:val="0"/>
          <w:i w:val="0"/>
          <w:sz w:val="22"/>
        </w:rPr>
        <w:t>Records of how parent inputs were acted upon.</w:t>
      </w:r>
    </w:p>
    <w:p>
      <w:pPr>
        <w:pStyle w:val="ListBullet2"/>
        <w:spacing w:after="80"/>
        <w:jc w:val="both"/>
      </w:pPr>
      <w:r>
        <w:rPr>
          <w:rFonts w:ascii="Cambria" w:hAnsi="Cambria"/>
          <w:b w:val="0"/>
          <w:i w:val="0"/>
          <w:sz w:val="22"/>
        </w:rPr>
        <w:t>Examples: more remedial classes, lab upgrades, additional placement training.</w:t>
      </w:r>
    </w:p>
    <w:p>
      <w:pPr>
        <w:spacing w:after="80"/>
        <w:ind w:left="340" w:hanging="340"/>
        <w:jc w:val="both"/>
      </w:pPr>
      <w:r>
        <w:rPr>
          <w:rFonts w:ascii="Cambria" w:hAnsi="Cambria"/>
          <w:b w:val="0"/>
          <w:i w:val="0"/>
          <w:sz w:val="22"/>
        </w:rPr>
        <w:t xml:space="preserve">7. </w:t>
      </w:r>
      <w:r>
        <w:rPr>
          <w:rFonts w:ascii="Cambria" w:hAnsi="Cambria"/>
          <w:b w:val="0"/>
          <w:i w:val="0"/>
          <w:sz w:val="22"/>
        </w:rPr>
        <w:t>Photos/Videos of PTMs</w:t>
      </w:r>
    </w:p>
    <w:p>
      <w:pPr>
        <w:pStyle w:val="ListBullet2"/>
        <w:spacing w:after="80"/>
        <w:jc w:val="both"/>
      </w:pPr>
      <w:r>
        <w:rPr>
          <w:rFonts w:ascii="Cambria" w:hAnsi="Cambria"/>
          <w:b w:val="0"/>
          <w:i w:val="0"/>
          <w:sz w:val="22"/>
        </w:rPr>
        <w:t>Visual documentation for evidence submission in SSR/AQAR.</w:t>
      </w:r>
    </w:p>
    <w:p>
      <w:pPr>
        <w:spacing w:after="80"/>
        <w:ind w:left="340" w:hanging="340"/>
        <w:jc w:val="both"/>
      </w:pPr>
      <w:r>
        <w:rPr>
          <w:rFonts w:ascii="Cambria" w:hAnsi="Cambria"/>
          <w:b w:val="0"/>
          <w:i w:val="0"/>
          <w:sz w:val="22"/>
        </w:rPr>
        <w:t xml:space="preserve">8. </w:t>
      </w:r>
      <w:r>
        <w:rPr>
          <w:rFonts w:ascii="Cambria" w:hAnsi="Cambria"/>
          <w:b w:val="0"/>
          <w:i w:val="0"/>
          <w:sz w:val="22"/>
        </w:rPr>
        <w:t>Consolidated Parent Feedback Analysis (for AQAR/SSR)</w:t>
      </w:r>
    </w:p>
    <w:p>
      <w:pPr>
        <w:pStyle w:val="ListBullet2"/>
        <w:spacing w:after="80"/>
        <w:jc w:val="both"/>
      </w:pPr>
      <w:r>
        <w:rPr>
          <w:rFonts w:ascii="Cambria" w:hAnsi="Cambria"/>
          <w:b w:val="0"/>
          <w:i w:val="0"/>
          <w:sz w:val="22"/>
        </w:rPr>
        <w:t>Year-on-year analysis of participation, satisfaction scores, and implemented improvements.</w:t>
      </w:r>
    </w:p>
    <w:p>
      <w:pPr>
        <w:pStyle w:val="ListBullet2"/>
        <w:spacing w:after="80"/>
        <w:jc w:val="both"/>
      </w:pPr>
      <w:r>
        <w:rPr>
          <w:rFonts w:ascii="Cambria" w:hAnsi="Cambria"/>
          <w:b w:val="0"/>
          <w:i w:val="0"/>
          <w:sz w:val="22"/>
        </w:rPr>
        <w:t>Highlights CQI (Continuous Quality Improvement).</w:t>
      </w:r>
    </w:p>
    <w:p>
      <w:pPr>
        <w:keepNext/>
        <w:spacing w:before="280" w:after="160"/>
        <w:jc w:val="left"/>
      </w:pPr>
      <w:r>
        <w:rPr>
          <w:rFonts w:ascii="Cambria" w:hAnsi="Cambria"/>
          <w:b/>
          <w:i w:val="0"/>
          <w:color w:val="1F3A5F"/>
          <w:sz w:val="24"/>
        </w:rPr>
        <w:t>Parent Meeting Evidence Matrix</w:t>
      </w:r>
    </w:p>
    <w:tbl>
      <w:tblPr>
        <w:tblStyle w:val="TableGrid"/>
        <w:tblW w:type="auto" w:w="0"/>
        <w:jc w:val="center"/>
        <w:tblLayout w:type="fixed"/>
        <w:tblLook w:firstColumn="1" w:firstRow="1" w:lastColumn="0" w:lastRow="0" w:noHBand="0" w:noVBand="1" w:val="04A0"/>
        <w:tblLayout w:type="fixed"/>
      </w:tblPr>
      <w:tblGrid>
        <w:gridCol w:w="1474"/>
        <w:gridCol w:w="1928"/>
        <w:gridCol w:w="1474"/>
        <w:gridCol w:w="1701"/>
        <w:gridCol w:w="1644"/>
        <w:gridCol w:w="1701"/>
      </w:tblGrid>
      <w:tr>
        <w:tc>
          <w:tcPr>
            <w:tcW w:type="dxa" w:w="1474"/>
            <w:shd w:val="clear" w:color="auto" w:fill="1F3A5F"/>
          </w:tcPr>
          <w:p>
            <w:pPr>
              <w:jc w:val="center"/>
            </w:pPr>
            <w:r/>
            <w:r>
              <w:rPr>
                <w:rFonts w:ascii="Cambria" w:hAnsi="Cambria"/>
                <w:b/>
                <w:i w:val="0"/>
                <w:color w:val="FFFFFF"/>
                <w:sz w:val="20"/>
              </w:rPr>
              <w:t>Meeting ID / Date</w:t>
            </w:r>
          </w:p>
        </w:tc>
        <w:tc>
          <w:tcPr>
            <w:tcW w:type="dxa" w:w="1928"/>
            <w:shd w:val="clear" w:color="auto" w:fill="1F3A5F"/>
          </w:tcPr>
          <w:p>
            <w:pPr>
              <w:jc w:val="center"/>
            </w:pPr>
            <w:r/>
            <w:r>
              <w:rPr>
                <w:rFonts w:ascii="Cambria" w:hAnsi="Cambria"/>
                <w:b/>
                <w:i w:val="0"/>
                <w:color w:val="FFFFFF"/>
                <w:sz w:val="20"/>
              </w:rPr>
              <w:t>Parent Participation % / Agenda Points Discussed</w:t>
            </w:r>
          </w:p>
        </w:tc>
        <w:tc>
          <w:tcPr>
            <w:tcW w:type="dxa" w:w="1474"/>
            <w:shd w:val="clear" w:color="auto" w:fill="1F3A5F"/>
          </w:tcPr>
          <w:p>
            <w:pPr>
              <w:jc w:val="center"/>
            </w:pPr>
            <w:r/>
            <w:r>
              <w:rPr>
                <w:rFonts w:ascii="Cambria" w:hAnsi="Cambria"/>
                <w:b/>
                <w:i w:val="0"/>
                <w:color w:val="FFFFFF"/>
                <w:sz w:val="20"/>
              </w:rPr>
              <w:t>Key Suggestions from Parents</w:t>
            </w:r>
          </w:p>
        </w:tc>
        <w:tc>
          <w:tcPr>
            <w:tcW w:type="dxa" w:w="1701"/>
            <w:shd w:val="clear" w:color="auto" w:fill="1F3A5F"/>
          </w:tcPr>
          <w:p>
            <w:pPr>
              <w:jc w:val="center"/>
            </w:pPr>
            <w:r/>
            <w:r>
              <w:rPr>
                <w:rFonts w:ascii="Cambria" w:hAnsi="Cambria"/>
                <w:b/>
                <w:i w:val="0"/>
                <w:color w:val="FFFFFF"/>
                <w:sz w:val="20"/>
              </w:rPr>
              <w:t>Action Taken (ATR)</w:t>
            </w:r>
          </w:p>
        </w:tc>
        <w:tc>
          <w:tcPr>
            <w:tcW w:type="dxa" w:w="1644"/>
            <w:shd w:val="clear" w:color="auto" w:fill="1F3A5F"/>
          </w:tcPr>
          <w:p>
            <w:pPr>
              <w:jc w:val="center"/>
            </w:pPr>
            <w:r/>
            <w:r>
              <w:rPr>
                <w:rFonts w:ascii="Cambria" w:hAnsi="Cambria"/>
                <w:b/>
                <w:i w:val="0"/>
                <w:color w:val="FFFFFF"/>
                <w:sz w:val="20"/>
              </w:rPr>
              <w:t>Evidence Link (Circular / Attendance / MoM / Photos)</w:t>
            </w:r>
          </w:p>
        </w:tc>
        <w:tc>
          <w:tcPr>
            <w:tcW w:type="dxa" w:w="1701"/>
            <w:shd w:val="clear" w:color="auto" w:fill="1F3A5F"/>
          </w:tcPr>
          <w:p>
            <w:pPr>
              <w:jc w:val="center"/>
            </w:pPr>
            <w:r/>
            <w:r>
              <w:rPr>
                <w:rFonts w:ascii="Cambria" w:hAnsi="Cambria"/>
                <w:b/>
                <w:i w:val="0"/>
                <w:color w:val="FFFFFF"/>
                <w:sz w:val="20"/>
              </w:rPr>
              <w:t>Outcome (Numeric &amp; Measurable) / Satisfaction / RAG</w:t>
            </w:r>
          </w:p>
        </w:tc>
      </w:tr>
      <w:tr>
        <w:tc>
          <w:tcPr>
            <w:tcW w:type="dxa" w:w="1474"/>
          </w:tcPr>
          <w:p>
            <w:pPr>
              <w:jc w:val="left"/>
            </w:pPr>
            <w:r/>
            <w:r>
              <w:rPr>
                <w:rFonts w:ascii="Cambria" w:hAnsi="Cambria"/>
                <w:b w:val="0"/>
                <w:i w:val="0"/>
                <w:sz w:val="20"/>
              </w:rPr>
              <w:t>PM-2024-01</w:t>
              <w:br/>
              <w:t>10-08-2024</w:t>
            </w:r>
          </w:p>
        </w:tc>
        <w:tc>
          <w:tcPr>
            <w:tcW w:type="dxa" w:w="1928"/>
          </w:tcPr>
          <w:p>
            <w:pPr>
              <w:jc w:val="left"/>
            </w:pPr>
            <w:r/>
            <w:r>
              <w:rPr>
                <w:rFonts w:ascii="Cambria" w:hAnsi="Cambria"/>
                <w:b w:val="0"/>
                <w:i w:val="0"/>
                <w:sz w:val="20"/>
              </w:rPr>
              <w:t>65% / Student performance, placement training</w:t>
            </w:r>
          </w:p>
        </w:tc>
        <w:tc>
          <w:tcPr>
            <w:tcW w:type="dxa" w:w="1474"/>
          </w:tcPr>
          <w:p>
            <w:pPr>
              <w:jc w:val="left"/>
            </w:pPr>
            <w:r/>
            <w:r>
              <w:rPr>
                <w:rFonts w:ascii="Cambria" w:hAnsi="Cambria"/>
                <w:b w:val="0"/>
                <w:i w:val="0"/>
                <w:sz w:val="20"/>
              </w:rPr>
              <w:t>Add more remedial classes</w:t>
            </w:r>
          </w:p>
        </w:tc>
        <w:tc>
          <w:tcPr>
            <w:tcW w:type="dxa" w:w="1701"/>
          </w:tcPr>
          <w:p>
            <w:pPr>
              <w:jc w:val="left"/>
            </w:pPr>
            <w:r/>
            <w:r>
              <w:rPr>
                <w:rFonts w:ascii="Cambria" w:hAnsi="Cambria"/>
                <w:b w:val="0"/>
                <w:i w:val="0"/>
                <w:sz w:val="20"/>
              </w:rPr>
              <w:t>Remedial classes started twice a week</w:t>
            </w:r>
          </w:p>
        </w:tc>
        <w:tc>
          <w:tcPr>
            <w:tcW w:type="dxa" w:w="1644"/>
          </w:tcPr>
          <w:p>
            <w:pPr>
              <w:jc w:val="left"/>
            </w:pPr>
            <w:r/>
            <w:r>
              <w:rPr>
                <w:rFonts w:ascii="Cambria" w:hAnsi="Cambria"/>
                <w:b w:val="0"/>
                <w:i w:val="0"/>
                <w:sz w:val="20"/>
              </w:rPr>
              <w:t>PTM_Aug24_Report.pdf</w:t>
            </w:r>
          </w:p>
        </w:tc>
        <w:tc>
          <w:tcPr>
            <w:tcW w:type="dxa" w:w="1701"/>
          </w:tcPr>
          <w:p>
            <w:pPr>
              <w:jc w:val="left"/>
            </w:pPr>
            <w:r/>
            <w:r>
              <w:rPr>
                <w:rFonts w:ascii="Cambria" w:hAnsi="Cambria"/>
                <w:b w:val="0"/>
                <w:i w:val="0"/>
                <w:sz w:val="20"/>
              </w:rPr>
              <w:t>Backlog reduction: 18% YoY / 4.3 / Green</w:t>
            </w:r>
          </w:p>
        </w:tc>
      </w:tr>
      <w:tr>
        <w:tc>
          <w:tcPr>
            <w:tcW w:type="dxa" w:w="1474"/>
            <w:shd w:val="clear" w:color="auto" w:fill="E8EEF5"/>
          </w:tcPr>
          <w:p>
            <w:pPr>
              <w:jc w:val="left"/>
            </w:pPr>
            <w:r/>
            <w:r>
              <w:rPr>
                <w:rFonts w:ascii="Cambria" w:hAnsi="Cambria"/>
                <w:b w:val="0"/>
                <w:i w:val="0"/>
                <w:sz w:val="20"/>
              </w:rPr>
              <w:t>PM-2024-02</w:t>
              <w:br/>
              <w:t>15-01-2025</w:t>
            </w:r>
          </w:p>
        </w:tc>
        <w:tc>
          <w:tcPr>
            <w:tcW w:type="dxa" w:w="1928"/>
            <w:shd w:val="clear" w:color="auto" w:fill="E8EEF5"/>
          </w:tcPr>
          <w:p>
            <w:pPr>
              <w:jc w:val="left"/>
            </w:pPr>
            <w:r/>
            <w:r>
              <w:rPr>
                <w:rFonts w:ascii="Cambria" w:hAnsi="Cambria"/>
                <w:b w:val="0"/>
                <w:i w:val="0"/>
                <w:sz w:val="20"/>
              </w:rPr>
              <w:t>72% / Lab upgrades, career guidance</w:t>
            </w:r>
          </w:p>
        </w:tc>
        <w:tc>
          <w:tcPr>
            <w:tcW w:type="dxa" w:w="1474"/>
            <w:shd w:val="clear" w:color="auto" w:fill="E8EEF5"/>
          </w:tcPr>
          <w:p>
            <w:pPr>
              <w:jc w:val="left"/>
            </w:pPr>
            <w:r/>
            <w:r>
              <w:rPr>
                <w:rFonts w:ascii="Cambria" w:hAnsi="Cambria"/>
                <w:b w:val="0"/>
                <w:i w:val="0"/>
                <w:sz w:val="20"/>
              </w:rPr>
              <w:t>Upgrade computer labs</w:t>
            </w:r>
          </w:p>
        </w:tc>
        <w:tc>
          <w:tcPr>
            <w:tcW w:type="dxa" w:w="1701"/>
            <w:shd w:val="clear" w:color="auto" w:fill="E8EEF5"/>
          </w:tcPr>
          <w:p>
            <w:pPr>
              <w:jc w:val="left"/>
            </w:pPr>
            <w:r/>
            <w:r>
              <w:rPr>
                <w:rFonts w:ascii="Cambria" w:hAnsi="Cambria"/>
                <w:b w:val="0"/>
                <w:i w:val="0"/>
                <w:sz w:val="20"/>
              </w:rPr>
              <w:t>25 new systems procured</w:t>
            </w:r>
          </w:p>
        </w:tc>
        <w:tc>
          <w:tcPr>
            <w:tcW w:type="dxa" w:w="1644"/>
            <w:shd w:val="clear" w:color="auto" w:fill="E8EEF5"/>
          </w:tcPr>
          <w:p>
            <w:pPr>
              <w:jc w:val="left"/>
            </w:pPr>
            <w:r/>
            <w:r>
              <w:rPr>
                <w:rFonts w:ascii="Cambria" w:hAnsi="Cambria"/>
                <w:b w:val="0"/>
                <w:i w:val="0"/>
                <w:sz w:val="20"/>
              </w:rPr>
              <w:t>PTM_Jan25_MoM.pdf</w:t>
            </w:r>
          </w:p>
        </w:tc>
        <w:tc>
          <w:tcPr>
            <w:tcW w:type="dxa" w:w="1701"/>
            <w:shd w:val="clear" w:color="auto" w:fill="E8EEF5"/>
          </w:tcPr>
          <w:p>
            <w:pPr>
              <w:jc w:val="left"/>
            </w:pPr>
            <w:r/>
            <w:r>
              <w:rPr>
                <w:rFonts w:ascii="Cambria" w:hAnsi="Cambria"/>
                <w:b w:val="0"/>
                <w:i w:val="0"/>
                <w:sz w:val="20"/>
              </w:rPr>
              <w:t>Lab utilization ↑ 30% / 4.5 / Green</w:t>
            </w:r>
          </w:p>
        </w:tc>
      </w:tr>
      <w:tr>
        <w:tc>
          <w:tcPr>
            <w:tcW w:type="dxa" w:w="1474"/>
          </w:tcPr>
          <w:p>
            <w:pPr>
              <w:jc w:val="left"/>
            </w:pPr>
            <w:r/>
            <w:r>
              <w:rPr>
                <w:rFonts w:ascii="Cambria" w:hAnsi="Cambria"/>
                <w:b w:val="0"/>
                <w:i w:val="0"/>
                <w:sz w:val="20"/>
              </w:rPr>
              <w:t>PM-2024-03</w:t>
              <w:br/>
              <w:t>20-07-2025</w:t>
            </w:r>
          </w:p>
        </w:tc>
        <w:tc>
          <w:tcPr>
            <w:tcW w:type="dxa" w:w="1928"/>
          </w:tcPr>
          <w:p>
            <w:pPr>
              <w:jc w:val="left"/>
            </w:pPr>
            <w:r/>
            <w:r>
              <w:rPr>
                <w:rFonts w:ascii="Cambria" w:hAnsi="Cambria"/>
                <w:b w:val="0"/>
                <w:i w:val="0"/>
                <w:sz w:val="20"/>
              </w:rPr>
              <w:t>70% / Placement readiness</w:t>
            </w:r>
          </w:p>
        </w:tc>
        <w:tc>
          <w:tcPr>
            <w:tcW w:type="dxa" w:w="1474"/>
          </w:tcPr>
          <w:p>
            <w:pPr>
              <w:jc w:val="left"/>
            </w:pPr>
            <w:r/>
            <w:r>
              <w:rPr>
                <w:rFonts w:ascii="Cambria" w:hAnsi="Cambria"/>
                <w:b w:val="0"/>
                <w:i w:val="0"/>
                <w:sz w:val="20"/>
              </w:rPr>
              <w:t>Increase aptitude sessions</w:t>
            </w:r>
          </w:p>
        </w:tc>
        <w:tc>
          <w:tcPr>
            <w:tcW w:type="dxa" w:w="1701"/>
          </w:tcPr>
          <w:p>
            <w:pPr>
              <w:jc w:val="left"/>
            </w:pPr>
            <w:r/>
            <w:r>
              <w:rPr>
                <w:rFonts w:ascii="Cambria" w:hAnsi="Cambria"/>
                <w:b w:val="0"/>
                <w:i w:val="0"/>
                <w:sz w:val="20"/>
              </w:rPr>
              <w:t>10 extra training hours added</w:t>
            </w:r>
          </w:p>
        </w:tc>
        <w:tc>
          <w:tcPr>
            <w:tcW w:type="dxa" w:w="1644"/>
          </w:tcPr>
          <w:p>
            <w:pPr>
              <w:jc w:val="left"/>
            </w:pPr>
            <w:r/>
            <w:r>
              <w:rPr>
                <w:rFonts w:ascii="Cambria" w:hAnsi="Cambria"/>
                <w:b w:val="0"/>
                <w:i w:val="0"/>
                <w:sz w:val="20"/>
              </w:rPr>
              <w:t>PTM_Jul25_ATR.pdf</w:t>
            </w:r>
          </w:p>
        </w:tc>
        <w:tc>
          <w:tcPr>
            <w:tcW w:type="dxa" w:w="1701"/>
          </w:tcPr>
          <w:p>
            <w:pPr>
              <w:jc w:val="left"/>
            </w:pPr>
            <w:r/>
            <w:r>
              <w:rPr>
                <w:rFonts w:ascii="Cambria" w:hAnsi="Cambria"/>
                <w:b w:val="0"/>
                <w:i w:val="0"/>
                <w:sz w:val="20"/>
              </w:rPr>
              <w:t>Placement readiness ↑ 22% / 4.4 / Green</w:t>
            </w:r>
          </w:p>
        </w:tc>
      </w:tr>
      <w:tr>
        <w:tc>
          <w:tcPr>
            <w:tcW w:type="dxa" w:w="1474"/>
            <w:shd w:val="clear" w:color="auto" w:fill="E8EEF5"/>
          </w:tcPr>
          <w:p>
            <w:pPr>
              <w:jc w:val="left"/>
            </w:pPr>
            <w:r/>
            <w:r>
              <w:rPr>
                <w:rFonts w:ascii="Cambria" w:hAnsi="Cambria"/>
                <w:b w:val="0"/>
                <w:i w:val="0"/>
                <w:sz w:val="20"/>
              </w:rPr>
              <w:t>PM-2024-04</w:t>
              <w:br/>
              <w:t>12-12-2025</w:t>
            </w:r>
          </w:p>
        </w:tc>
        <w:tc>
          <w:tcPr>
            <w:tcW w:type="dxa" w:w="1928"/>
            <w:shd w:val="clear" w:color="auto" w:fill="E8EEF5"/>
          </w:tcPr>
          <w:p>
            <w:pPr>
              <w:jc w:val="left"/>
            </w:pPr>
            <w:r/>
            <w:r>
              <w:rPr>
                <w:rFonts w:ascii="Cambria" w:hAnsi="Cambria"/>
                <w:b w:val="0"/>
                <w:i w:val="0"/>
                <w:sz w:val="20"/>
              </w:rPr>
              <w:t>62% / Student counseling, hostel issues</w:t>
            </w:r>
          </w:p>
        </w:tc>
        <w:tc>
          <w:tcPr>
            <w:tcW w:type="dxa" w:w="1474"/>
            <w:shd w:val="clear" w:color="auto" w:fill="E8EEF5"/>
          </w:tcPr>
          <w:p>
            <w:pPr>
              <w:jc w:val="left"/>
            </w:pPr>
            <w:r/>
            <w:r>
              <w:rPr>
                <w:rFonts w:ascii="Cambria" w:hAnsi="Cambria"/>
                <w:b w:val="0"/>
                <w:i w:val="0"/>
                <w:sz w:val="20"/>
              </w:rPr>
              <w:t>More mentoring hours</w:t>
            </w:r>
          </w:p>
        </w:tc>
        <w:tc>
          <w:tcPr>
            <w:tcW w:type="dxa" w:w="1701"/>
            <w:shd w:val="clear" w:color="auto" w:fill="E8EEF5"/>
          </w:tcPr>
          <w:p>
            <w:pPr>
              <w:jc w:val="left"/>
            </w:pPr>
            <w:r/>
            <w:r>
              <w:rPr>
                <w:rFonts w:ascii="Cambria" w:hAnsi="Cambria"/>
                <w:b w:val="0"/>
                <w:i w:val="0"/>
                <w:sz w:val="20"/>
              </w:rPr>
              <w:t>Counseling sessions increased to fortnightly</w:t>
            </w:r>
          </w:p>
        </w:tc>
        <w:tc>
          <w:tcPr>
            <w:tcW w:type="dxa" w:w="1644"/>
            <w:shd w:val="clear" w:color="auto" w:fill="E8EEF5"/>
          </w:tcPr>
          <w:p>
            <w:pPr>
              <w:jc w:val="left"/>
            </w:pPr>
            <w:r/>
            <w:r>
              <w:rPr>
                <w:rFonts w:ascii="Cambria" w:hAnsi="Cambria"/>
                <w:b w:val="0"/>
                <w:i w:val="0"/>
                <w:sz w:val="20"/>
              </w:rPr>
              <w:t>PTM_Dec25_Feedback.pdf</w:t>
            </w:r>
          </w:p>
        </w:tc>
        <w:tc>
          <w:tcPr>
            <w:tcW w:type="dxa" w:w="1701"/>
            <w:shd w:val="clear" w:color="auto" w:fill="E8EEF5"/>
          </w:tcPr>
          <w:p>
            <w:pPr>
              <w:jc w:val="left"/>
            </w:pPr>
            <w:r/>
            <w:r>
              <w:rPr>
                <w:rFonts w:ascii="Cambria" w:hAnsi="Cambria"/>
                <w:b w:val="0"/>
                <w:i w:val="0"/>
                <w:sz w:val="20"/>
              </w:rPr>
              <w:t>Attendance ↑ from 80% → 90% / 4.2 / Amber</w:t>
            </w:r>
          </w:p>
        </w:tc>
      </w:tr>
    </w:tbl>
    <w:p>
      <w:pPr>
        <w:spacing w:after="120"/>
      </w:pPr>
    </w:p>
    <w:p>
      <w:pPr>
        <w:keepNext/>
        <w:spacing w:before="280" w:after="160"/>
        <w:jc w:val="left"/>
      </w:pPr>
      <w:r>
        <w:rPr>
          <w:rFonts w:ascii="Cambria" w:hAnsi="Cambria"/>
          <w:b/>
          <w:i w:val="0"/>
          <w:color w:val="1F3A5F"/>
          <w:sz w:val="26"/>
        </w:rPr>
        <w:t>Tangible Outcomes Demonstrated</w:t>
      </w:r>
    </w:p>
    <w:p>
      <w:pPr>
        <w:spacing w:after="120"/>
        <w:jc w:val="both"/>
      </w:pPr>
      <w:r>
        <w:rPr>
          <w:rFonts w:ascii="Cambria" w:hAnsi="Cambria"/>
          <w:b w:val="0"/>
          <w:i w:val="0"/>
          <w:sz w:val="22"/>
        </w:rPr>
        <w:t>Parent participation ↑ from 45% → 72%.</w:t>
      </w:r>
    </w:p>
    <w:p>
      <w:pPr>
        <w:spacing w:after="120"/>
        <w:jc w:val="both"/>
      </w:pPr>
      <w:r>
        <w:rPr>
          <w:rFonts w:ascii="Cambria" w:hAnsi="Cambria"/>
          <w:b w:val="0"/>
          <w:i w:val="0"/>
          <w:sz w:val="22"/>
        </w:rPr>
        <w:t>Satisfaction scores ↑ from 3.9 → 4.6/5.</w:t>
      </w:r>
    </w:p>
    <w:p>
      <w:pPr>
        <w:pStyle w:val="ListBullet"/>
        <w:spacing w:after="80"/>
        <w:jc w:val="both"/>
      </w:pPr>
      <w:r>
        <w:rPr>
          <w:rFonts w:ascii="Cambria" w:hAnsi="Cambria"/>
          <w:b w:val="0"/>
          <w:i w:val="0"/>
          <w:sz w:val="22"/>
        </w:rPr>
        <w:t>Parent-led suggestions implemented:</w:t>
      </w:r>
    </w:p>
    <w:p>
      <w:pPr>
        <w:spacing w:after="120"/>
        <w:jc w:val="both"/>
      </w:pPr>
      <w:r>
        <w:rPr>
          <w:rFonts w:ascii="Cambria" w:hAnsi="Cambria"/>
          <w:b w:val="0"/>
          <w:i w:val="0"/>
          <w:sz w:val="22"/>
        </w:rPr>
        <w:t>Remedial classes → backlog reduction 18% YoY.</w:t>
      </w:r>
    </w:p>
    <w:p>
      <w:pPr>
        <w:spacing w:after="120"/>
        <w:jc w:val="both"/>
      </w:pPr>
      <w:r>
        <w:rPr>
          <w:rFonts w:ascii="Cambria" w:hAnsi="Cambria"/>
          <w:b w:val="0"/>
          <w:i w:val="0"/>
          <w:sz w:val="22"/>
        </w:rPr>
        <w:t>Lab upgrades → utilization ↑ 30%.</w:t>
      </w:r>
    </w:p>
    <w:p>
      <w:pPr>
        <w:spacing w:after="120"/>
        <w:jc w:val="both"/>
      </w:pPr>
      <w:r>
        <w:rPr>
          <w:rFonts w:ascii="Cambria" w:hAnsi="Cambria"/>
          <w:b w:val="0"/>
          <w:i w:val="0"/>
          <w:sz w:val="22"/>
        </w:rPr>
        <w:t>Placement training hours ↑ 22% effectiveness.</w:t>
      </w:r>
    </w:p>
    <w:p>
      <w:pPr>
        <w:pStyle w:val="ListBullet"/>
        <w:spacing w:after="80"/>
        <w:jc w:val="both"/>
      </w:pPr>
      <w:r>
        <w:rPr>
          <w:rFonts w:ascii="Cambria" w:hAnsi="Cambria"/>
          <w:b w:val="0"/>
          <w:i w:val="0"/>
          <w:sz w:val="22"/>
        </w:rPr>
        <w:t>Student attendance improved by 10% after counseling interventions.</w:t>
      </w:r>
    </w:p>
    <w:p>
      <w:pPr>
        <w:keepNext/>
        <w:spacing w:before="280" w:after="160"/>
        <w:jc w:val="left"/>
      </w:pPr>
      <w:r>
        <w:rPr>
          <w:rFonts w:ascii="Cambria" w:hAnsi="Cambria"/>
          <w:b/>
          <w:i w:val="0"/>
          <w:color w:val="1F3A5F"/>
          <w:sz w:val="26"/>
        </w:rPr>
        <w:t>How This is Demonstrated</w:t>
      </w:r>
    </w:p>
    <w:p>
      <w:pPr>
        <w:pStyle w:val="ListBullet"/>
        <w:spacing w:after="80"/>
        <w:jc w:val="both"/>
      </w:pPr>
      <w:r>
        <w:rPr>
          <w:rFonts w:ascii="Cambria" w:hAnsi="Cambria"/>
          <w:b w:val="0"/>
          <w:i w:val="0"/>
          <w:sz w:val="22"/>
        </w:rPr>
        <w:t>Governance Role</w:t>
      </w:r>
    </w:p>
    <w:p>
      <w:pPr>
        <w:pStyle w:val="ListBullet2"/>
        <w:spacing w:after="80"/>
        <w:jc w:val="both"/>
      </w:pPr>
      <w:r>
        <w:rPr>
          <w:rFonts w:ascii="Cambria" w:hAnsi="Cambria"/>
          <w:b w:val="0"/>
          <w:i w:val="0"/>
          <w:sz w:val="22"/>
        </w:rPr>
        <w:t>Parents are invited to structured PTMs (Parent–Teacher Meetings).</w:t>
      </w:r>
    </w:p>
    <w:p>
      <w:pPr>
        <w:pStyle w:val="ListBullet2"/>
        <w:spacing w:after="80"/>
        <w:jc w:val="both"/>
      </w:pPr>
      <w:r>
        <w:rPr>
          <w:rFonts w:ascii="Cambria" w:hAnsi="Cambria"/>
          <w:b w:val="0"/>
          <w:i w:val="0"/>
          <w:sz w:val="22"/>
        </w:rPr>
        <w:t>Their suggestions are formally documented in MoMs and acted upon through ATRs.</w:t>
      </w:r>
    </w:p>
    <w:p>
      <w:pPr>
        <w:spacing w:after="120"/>
        <w:jc w:val="both"/>
      </w:pPr>
      <w:r>
        <w:rPr>
          <w:rFonts w:ascii="Cambria" w:hAnsi="Cambria"/>
          <w:b w:val="0"/>
          <w:i w:val="0"/>
          <w:sz w:val="22"/>
        </w:rPr>
        <w:t xml:space="preserve"> → Evidence: Circulars, agendas, signed MoMs, ATRs.</w:t>
      </w:r>
    </w:p>
    <w:p>
      <w:pPr>
        <w:pStyle w:val="ListBullet"/>
        <w:spacing w:after="80"/>
        <w:jc w:val="both"/>
      </w:pPr>
      <w:r>
        <w:rPr>
          <w:rFonts w:ascii="Cambria" w:hAnsi="Cambria"/>
          <w:b w:val="0"/>
          <w:i w:val="0"/>
          <w:sz w:val="22"/>
        </w:rPr>
        <w:t>Student Development Contribution</w:t>
      </w:r>
    </w:p>
    <w:p>
      <w:pPr>
        <w:pStyle w:val="ListBullet2"/>
        <w:spacing w:after="80"/>
        <w:jc w:val="both"/>
      </w:pPr>
      <w:r>
        <w:rPr>
          <w:rFonts w:ascii="Cambria" w:hAnsi="Cambria"/>
          <w:b w:val="0"/>
          <w:i w:val="0"/>
          <w:sz w:val="22"/>
        </w:rPr>
        <w:t>Parent feedback leads to remedial classes, lab upgrades, and enhanced placement training.</w:t>
      </w:r>
    </w:p>
    <w:p>
      <w:pPr>
        <w:spacing w:after="120"/>
        <w:jc w:val="both"/>
      </w:pPr>
      <w:r>
        <w:rPr>
          <w:rFonts w:ascii="Cambria" w:hAnsi="Cambria"/>
          <w:b w:val="0"/>
          <w:i w:val="0"/>
          <w:sz w:val="22"/>
        </w:rPr>
        <w:t xml:space="preserve"> → Evidence: Progress reports, placement training schedules, lab procurement records.</w:t>
      </w:r>
    </w:p>
    <w:p>
      <w:pPr>
        <w:pStyle w:val="ListBullet"/>
        <w:spacing w:after="80"/>
        <w:jc w:val="both"/>
      </w:pPr>
      <w:r>
        <w:rPr>
          <w:rFonts w:ascii="Cambria" w:hAnsi="Cambria"/>
          <w:b w:val="0"/>
          <w:i w:val="0"/>
          <w:sz w:val="22"/>
        </w:rPr>
        <w:t>Transparency &amp; Traceability</w:t>
      </w:r>
    </w:p>
    <w:p>
      <w:pPr>
        <w:spacing w:after="120"/>
        <w:jc w:val="both"/>
      </w:pPr>
      <w:r>
        <w:rPr>
          <w:rFonts w:ascii="Cambria" w:hAnsi="Cambria"/>
          <w:b w:val="0"/>
          <w:i w:val="0"/>
          <w:sz w:val="22"/>
        </w:rPr>
        <w:t xml:space="preserve">Process flow: </w:t>
      </w:r>
      <w:r>
        <w:rPr>
          <w:rFonts w:ascii="Cambria" w:hAnsi="Cambria"/>
          <w:b w:val="0"/>
          <w:i/>
          <w:sz w:val="22"/>
        </w:rPr>
        <w:t>Invitation → Participation → Suggestions → ATR → Outcomes</w:t>
      </w:r>
      <w:r>
        <w:rPr>
          <w:rFonts w:ascii="Cambria" w:hAnsi="Cambria"/>
          <w:b w:val="0"/>
          <w:i w:val="0"/>
          <w:sz w:val="22"/>
        </w:rPr>
        <w:t>.</w:t>
      </w:r>
    </w:p>
    <w:p>
      <w:pPr>
        <w:pStyle w:val="ListBullet2"/>
        <w:spacing w:after="80"/>
        <w:jc w:val="both"/>
      </w:pPr>
      <w:r>
        <w:rPr>
          <w:rFonts w:ascii="Cambria" w:hAnsi="Cambria"/>
          <w:b w:val="0"/>
          <w:i w:val="0"/>
          <w:sz w:val="22"/>
        </w:rPr>
        <w:t>Peer reviewers can verify improvements linked to parent input.</w:t>
      </w:r>
    </w:p>
    <w:p>
      <w:pPr>
        <w:keepNext/>
        <w:spacing w:before="280" w:after="160"/>
        <w:jc w:val="left"/>
      </w:pPr>
      <w:r>
        <w:rPr>
          <w:rFonts w:ascii="Cambria" w:hAnsi="Cambria"/>
          <w:b/>
          <w:i w:val="0"/>
          <w:color w:val="1F3A5F"/>
          <w:sz w:val="26"/>
        </w:rPr>
        <w:t>Tangible Outcomes (Numeric &amp; Measurable)</w:t>
      </w:r>
    </w:p>
    <w:p>
      <w:pPr>
        <w:spacing w:after="120"/>
        <w:jc w:val="both"/>
      </w:pPr>
      <w:r>
        <w:rPr>
          <w:rFonts w:ascii="Cambria" w:hAnsi="Cambria"/>
          <w:b w:val="0"/>
          <w:i w:val="0"/>
          <w:sz w:val="22"/>
        </w:rPr>
        <w:t>Parent participation ↑ from 45% → 72% in 3 years.</w:t>
      </w:r>
    </w:p>
    <w:p>
      <w:pPr>
        <w:spacing w:after="120"/>
        <w:jc w:val="both"/>
      </w:pPr>
      <w:r>
        <w:rPr>
          <w:rFonts w:ascii="Cambria" w:hAnsi="Cambria"/>
          <w:b w:val="0"/>
          <w:i w:val="0"/>
          <w:sz w:val="22"/>
        </w:rPr>
        <w:t>Satisfaction survey ratings ↑ from 3.9 → 4.6/5.</w:t>
      </w:r>
    </w:p>
    <w:p>
      <w:pPr>
        <w:spacing w:after="120"/>
        <w:jc w:val="both"/>
      </w:pPr>
      <w:r>
        <w:rPr>
          <w:rFonts w:ascii="Cambria" w:hAnsi="Cambria"/>
          <w:b w:val="0"/>
          <w:i w:val="0"/>
          <w:sz w:val="22"/>
        </w:rPr>
        <w:t>Parent-suggested remedial classes → 18% YoY backlog reduction.</w:t>
      </w:r>
    </w:p>
    <w:p>
      <w:pPr>
        <w:spacing w:after="120"/>
        <w:jc w:val="both"/>
      </w:pPr>
      <w:r>
        <w:rPr>
          <w:rFonts w:ascii="Cambria" w:hAnsi="Cambria"/>
          <w:b w:val="0"/>
          <w:i w:val="0"/>
          <w:sz w:val="22"/>
        </w:rPr>
        <w:t>Parent-led lab upgrades → 30% higher lab utilization.</w:t>
      </w:r>
    </w:p>
    <w:p>
      <w:pPr>
        <w:spacing w:after="120"/>
        <w:jc w:val="both"/>
      </w:pPr>
      <w:r>
        <w:rPr>
          <w:rFonts w:ascii="Cambria" w:hAnsi="Cambria"/>
          <w:b w:val="0"/>
          <w:i w:val="0"/>
          <w:sz w:val="22"/>
        </w:rPr>
        <w:t>Placement training strengthened → placement readiness ↑ 22%.</w:t>
      </w:r>
    </w:p>
    <w:p>
      <w:pPr>
        <w:spacing w:after="120"/>
        <w:jc w:val="both"/>
      </w:pPr>
      <w:r>
        <w:rPr>
          <w:rFonts w:ascii="Cambria" w:hAnsi="Cambria"/>
          <w:b w:val="0"/>
          <w:i w:val="0"/>
          <w:sz w:val="22"/>
        </w:rPr>
        <w:t>Student attendance improved from 80% → 90% after mentoring expansion.</w:t>
      </w:r>
    </w:p>
    <w:p>
      <w:pPr>
        <w:keepNext/>
        <w:spacing w:before="280" w:after="160"/>
        <w:jc w:val="left"/>
      </w:pPr>
      <w:r>
        <w:rPr>
          <w:rFonts w:ascii="Cambria" w:hAnsi="Cambria"/>
          <w:b/>
          <w:i w:val="0"/>
          <w:color w:val="1F3A5F"/>
          <w:sz w:val="26"/>
        </w:rPr>
        <w:t>How Structured Documentation is Shown</w:t>
      </w:r>
    </w:p>
    <w:p>
      <w:pPr>
        <w:pStyle w:val="ListBullet"/>
        <w:spacing w:after="80"/>
        <w:jc w:val="both"/>
      </w:pPr>
      <w:r>
        <w:rPr>
          <w:rFonts w:ascii="Cambria" w:hAnsi="Cambria"/>
          <w:b w:val="0"/>
          <w:i w:val="0"/>
          <w:sz w:val="22"/>
        </w:rPr>
        <w:t>Planned Engagement</w:t>
      </w:r>
    </w:p>
    <w:p>
      <w:pPr>
        <w:pStyle w:val="ListBullet2"/>
        <w:spacing w:after="80"/>
        <w:jc w:val="both"/>
      </w:pPr>
      <w:r>
        <w:rPr>
          <w:rFonts w:ascii="Cambria" w:hAnsi="Cambria"/>
          <w:b w:val="0"/>
          <w:i w:val="0"/>
          <w:sz w:val="22"/>
        </w:rPr>
        <w:t>PTMs scheduled and announced through official circulars.</w:t>
      </w:r>
    </w:p>
    <w:p>
      <w:pPr>
        <w:pStyle w:val="ListBullet2"/>
        <w:spacing w:after="80"/>
        <w:jc w:val="both"/>
      </w:pPr>
      <w:r>
        <w:rPr>
          <w:rFonts w:ascii="Cambria" w:hAnsi="Cambria"/>
          <w:b w:val="0"/>
          <w:i w:val="0"/>
          <w:sz w:val="22"/>
        </w:rPr>
        <w:t>Agenda prepared and circulated in advance.</w:t>
      </w:r>
    </w:p>
    <w:p>
      <w:pPr>
        <w:spacing w:after="120"/>
        <w:jc w:val="both"/>
      </w:pPr>
      <w:r>
        <w:rPr>
          <w:rFonts w:ascii="Cambria" w:hAnsi="Cambria"/>
          <w:b w:val="0"/>
          <w:i w:val="0"/>
          <w:sz w:val="22"/>
        </w:rPr>
        <w:t xml:space="preserve"> → Evidence: Circulars, agendas.</w:t>
      </w:r>
    </w:p>
    <w:p>
      <w:pPr>
        <w:pStyle w:val="ListBullet"/>
        <w:spacing w:after="80"/>
        <w:jc w:val="both"/>
      </w:pPr>
      <w:r>
        <w:rPr>
          <w:rFonts w:ascii="Cambria" w:hAnsi="Cambria"/>
          <w:b w:val="0"/>
          <w:i w:val="0"/>
          <w:sz w:val="22"/>
        </w:rPr>
        <w:t>Systematic Records</w:t>
      </w:r>
    </w:p>
    <w:p>
      <w:pPr>
        <w:pStyle w:val="ListBullet2"/>
        <w:spacing w:after="80"/>
        <w:jc w:val="both"/>
      </w:pPr>
      <w:r>
        <w:rPr>
          <w:rFonts w:ascii="Cambria" w:hAnsi="Cambria"/>
          <w:b w:val="0"/>
          <w:i w:val="0"/>
          <w:sz w:val="22"/>
        </w:rPr>
        <w:t>Attendance of parents formally recorded.</w:t>
      </w:r>
    </w:p>
    <w:p>
      <w:pPr>
        <w:pStyle w:val="ListBullet2"/>
        <w:spacing w:after="80"/>
        <w:jc w:val="both"/>
      </w:pPr>
      <w:r>
        <w:rPr>
          <w:rFonts w:ascii="Cambria" w:hAnsi="Cambria"/>
          <w:b w:val="0"/>
          <w:i w:val="0"/>
          <w:sz w:val="22"/>
        </w:rPr>
        <w:t>Minutes of Meeting (MoM) signed by HoD.</w:t>
      </w:r>
    </w:p>
    <w:p>
      <w:pPr>
        <w:spacing w:after="120"/>
        <w:jc w:val="both"/>
      </w:pPr>
      <w:r>
        <w:rPr>
          <w:rFonts w:ascii="Cambria" w:hAnsi="Cambria"/>
          <w:b w:val="0"/>
          <w:i w:val="0"/>
          <w:sz w:val="22"/>
        </w:rPr>
        <w:t xml:space="preserve"> → Evidence: Attendance sheets, MoM.</w:t>
      </w:r>
    </w:p>
    <w:p>
      <w:pPr>
        <w:pStyle w:val="ListBullet"/>
        <w:spacing w:after="80"/>
        <w:jc w:val="both"/>
      </w:pPr>
      <w:r>
        <w:rPr>
          <w:rFonts w:ascii="Cambria" w:hAnsi="Cambria"/>
          <w:b w:val="0"/>
          <w:i w:val="0"/>
          <w:sz w:val="22"/>
        </w:rPr>
        <w:t>Feedback Integration</w:t>
      </w:r>
    </w:p>
    <w:p>
      <w:pPr>
        <w:pStyle w:val="ListBullet2"/>
        <w:spacing w:after="80"/>
        <w:jc w:val="both"/>
      </w:pPr>
      <w:r>
        <w:rPr>
          <w:rFonts w:ascii="Cambria" w:hAnsi="Cambria"/>
          <w:b w:val="0"/>
          <w:i w:val="0"/>
          <w:sz w:val="22"/>
        </w:rPr>
        <w:t>Feedback forms collected, analyzed, and consolidated.</w:t>
      </w:r>
    </w:p>
    <w:p>
      <w:pPr>
        <w:pStyle w:val="ListBullet2"/>
        <w:spacing w:after="80"/>
        <w:jc w:val="both"/>
      </w:pPr>
      <w:r>
        <w:rPr>
          <w:rFonts w:ascii="Cambria" w:hAnsi="Cambria"/>
          <w:b w:val="0"/>
          <w:i w:val="0"/>
          <w:sz w:val="22"/>
        </w:rPr>
        <w:t>ATRs prepared and tracked for improvements.</w:t>
      </w:r>
    </w:p>
    <w:p>
      <w:pPr>
        <w:spacing w:after="120"/>
        <w:jc w:val="both"/>
      </w:pPr>
      <w:r>
        <w:rPr>
          <w:rFonts w:ascii="Cambria" w:hAnsi="Cambria"/>
          <w:b w:val="0"/>
          <w:i w:val="0"/>
          <w:sz w:val="22"/>
        </w:rPr>
        <w:t xml:space="preserve"> → Evidence: Feedback forms, ATRs, analysis reports.</w:t>
      </w:r>
    </w:p>
    <w:p>
      <w:pPr>
        <w:pStyle w:val="ListBullet"/>
        <w:spacing w:after="80"/>
        <w:jc w:val="both"/>
      </w:pPr>
      <w:r>
        <w:rPr>
          <w:rFonts w:ascii="Cambria" w:hAnsi="Cambria"/>
          <w:b w:val="0"/>
          <w:i w:val="0"/>
          <w:sz w:val="22"/>
        </w:rPr>
        <w:t>Traceability</w:t>
      </w:r>
    </w:p>
    <w:p>
      <w:pPr>
        <w:spacing w:after="120"/>
        <w:jc w:val="both"/>
      </w:pPr>
      <w:r>
        <w:rPr>
          <w:rFonts w:ascii="Cambria" w:hAnsi="Cambria"/>
          <w:b w:val="0"/>
          <w:i w:val="0"/>
          <w:sz w:val="22"/>
        </w:rPr>
        <w:t xml:space="preserve">End-to-end chain: </w:t>
      </w:r>
      <w:r>
        <w:rPr>
          <w:rFonts w:ascii="Cambria" w:hAnsi="Cambria"/>
          <w:b w:val="0"/>
          <w:i/>
          <w:sz w:val="22"/>
        </w:rPr>
        <w:t>Invitation → Participation → Feedback → ATR → Outcome</w:t>
      </w:r>
      <w:r>
        <w:rPr>
          <w:rFonts w:ascii="Cambria" w:hAnsi="Cambria"/>
          <w:b w:val="0"/>
          <w:i w:val="0"/>
          <w:sz w:val="22"/>
        </w:rPr>
        <w:t>.</w:t>
      </w:r>
    </w:p>
    <w:p>
      <w:pPr>
        <w:pStyle w:val="ListBullet2"/>
        <w:spacing w:after="80"/>
        <w:jc w:val="both"/>
      </w:pPr>
      <w:r>
        <w:rPr>
          <w:rFonts w:ascii="Cambria" w:hAnsi="Cambria"/>
          <w:b w:val="0"/>
          <w:i w:val="0"/>
          <w:sz w:val="22"/>
        </w:rPr>
        <w:t>Each step leaves a verifiable paper trail.</w:t>
      </w:r>
    </w:p>
    <w:p>
      <w:pPr>
        <w:keepNext/>
        <w:spacing w:before="280" w:after="160"/>
        <w:jc w:val="left"/>
      </w:pPr>
      <w:r>
        <w:rPr>
          <w:rFonts w:ascii="Cambria" w:hAnsi="Cambria"/>
          <w:b/>
          <w:i w:val="0"/>
          <w:color w:val="1F3A5F"/>
          <w:sz w:val="26"/>
        </w:rPr>
        <w:t>Tangible Outcomes (Numeric &amp; Measurable) (II)</w:t>
      </w:r>
    </w:p>
    <w:p>
      <w:pPr>
        <w:spacing w:after="120"/>
        <w:jc w:val="both"/>
      </w:pPr>
      <w:r>
        <w:rPr>
          <w:rFonts w:ascii="Cambria" w:hAnsi="Cambria"/>
          <w:b w:val="0"/>
          <w:i w:val="0"/>
          <w:sz w:val="22"/>
        </w:rPr>
        <w:t>Parent participation improved 45% → 72%.</w:t>
      </w:r>
    </w:p>
    <w:p>
      <w:pPr>
        <w:spacing w:after="120"/>
        <w:jc w:val="both"/>
      </w:pPr>
      <w:r>
        <w:rPr>
          <w:rFonts w:ascii="Cambria" w:hAnsi="Cambria"/>
          <w:b w:val="0"/>
          <w:i w:val="0"/>
          <w:sz w:val="22"/>
        </w:rPr>
        <w:t>Satisfaction ratings increased from 3.9 → 4.6/5.</w:t>
      </w:r>
    </w:p>
    <w:p>
      <w:pPr>
        <w:spacing w:after="120"/>
        <w:jc w:val="both"/>
      </w:pPr>
      <w:r>
        <w:rPr>
          <w:rFonts w:ascii="Cambria" w:hAnsi="Cambria"/>
          <w:b w:val="0"/>
          <w:i w:val="0"/>
          <w:sz w:val="22"/>
        </w:rPr>
        <w:t>Parent-suggested remedial classes → backlog reduction 18% YoY.</w:t>
      </w:r>
    </w:p>
    <w:p>
      <w:pPr>
        <w:spacing w:after="120"/>
        <w:jc w:val="both"/>
      </w:pPr>
      <w:r>
        <w:rPr>
          <w:rFonts w:ascii="Cambria" w:hAnsi="Cambria"/>
          <w:b w:val="0"/>
          <w:i w:val="0"/>
          <w:sz w:val="22"/>
        </w:rPr>
        <w:t>Lab upgrades (requested in PTMs) → utilization ↑ 30%.</w:t>
      </w:r>
    </w:p>
    <w:p>
      <w:pPr>
        <w:spacing w:after="120"/>
        <w:jc w:val="both"/>
      </w:pPr>
      <w:r>
        <w:rPr>
          <w:rFonts w:ascii="Cambria" w:hAnsi="Cambria"/>
          <w:b w:val="0"/>
          <w:i w:val="0"/>
          <w:sz w:val="22"/>
        </w:rPr>
        <w:t>Placement training hours (suggested by parents) → employability readiness ↑ 22%.</w:t>
      </w:r>
    </w:p>
    <w:p>
      <w:r>
        <w:br w:type="page"/>
      </w:r>
    </w:p>
    <w:p>
      <w:pPr>
        <w:keepNext/>
        <w:spacing w:before="280" w:after="160"/>
        <w:jc w:val="left"/>
      </w:pPr>
      <w:r>
        <w:rPr>
          <w:rFonts w:ascii="Cambria" w:hAnsi="Cambria"/>
          <w:b/>
          <w:i w:val="0"/>
          <w:color w:val="1F3A5F"/>
          <w:sz w:val="30"/>
        </w:rPr>
        <w:t>24. HoD's Role in Establishing and Operating a Grievance Redressal Committee (GRC) at the Division Level</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ensures a functional, transparent, and documented grievance redressal mechanism for faculty, staff, and students of the division.</w:t>
      </w:r>
    </w:p>
    <w:p>
      <w:pPr>
        <w:pStyle w:val="ListBullet"/>
        <w:spacing w:after="80"/>
        <w:jc w:val="both"/>
      </w:pPr>
      <w:r>
        <w:rPr>
          <w:rFonts w:ascii="Cambria" w:hAnsi="Cambria"/>
          <w:b w:val="0"/>
          <w:i w:val="0"/>
          <w:sz w:val="22"/>
        </w:rPr>
        <w:t>The committee provides a fair platform for complaints, ensures timely resolution, and prevents escalation by promoting accountability and trust.</w:t>
      </w:r>
    </w:p>
    <w:p>
      <w:pPr>
        <w:keepNext/>
        <w:spacing w:before="280" w:after="160"/>
        <w:jc w:val="left"/>
      </w:pPr>
      <w:r>
        <w:rPr>
          <w:rFonts w:ascii="Cambria" w:hAnsi="Cambria"/>
          <w:b/>
          <w:i w:val="0"/>
          <w:color w:val="1F3A5F"/>
          <w:sz w:val="26"/>
        </w:rPr>
        <w:t>Actions by HoD/Division</w:t>
      </w:r>
    </w:p>
    <w:p>
      <w:pPr>
        <w:pStyle w:val="ListBullet"/>
        <w:spacing w:after="80"/>
        <w:jc w:val="both"/>
      </w:pPr>
      <w:r>
        <w:rPr>
          <w:rFonts w:ascii="Cambria" w:hAnsi="Cambria"/>
          <w:b w:val="0"/>
          <w:i w:val="0"/>
          <w:sz w:val="22"/>
        </w:rPr>
        <w:t>Constitution of the Committee</w:t>
      </w:r>
    </w:p>
    <w:p>
      <w:pPr>
        <w:pStyle w:val="ListBullet2"/>
        <w:spacing w:after="80"/>
        <w:jc w:val="both"/>
      </w:pPr>
      <w:r>
        <w:rPr>
          <w:rFonts w:ascii="Cambria" w:hAnsi="Cambria"/>
          <w:b w:val="0"/>
          <w:i w:val="0"/>
          <w:sz w:val="22"/>
        </w:rPr>
        <w:t>Nominate faculty/staff as members.</w:t>
      </w:r>
    </w:p>
    <w:p>
      <w:pPr>
        <w:pStyle w:val="ListBullet2"/>
        <w:spacing w:after="80"/>
        <w:jc w:val="both"/>
      </w:pPr>
      <w:r>
        <w:rPr>
          <w:rFonts w:ascii="Cambria" w:hAnsi="Cambria"/>
          <w:b w:val="0"/>
          <w:i w:val="0"/>
          <w:sz w:val="22"/>
        </w:rPr>
        <w:t>Include representation of students and female faculty (as per UGC norms).</w:t>
      </w:r>
    </w:p>
    <w:p>
      <w:pPr>
        <w:pStyle w:val="ListBullet2"/>
        <w:spacing w:after="80"/>
        <w:jc w:val="both"/>
      </w:pPr>
      <w:r>
        <w:rPr>
          <w:rFonts w:ascii="Cambria" w:hAnsi="Cambria"/>
          <w:b w:val="0"/>
          <w:i w:val="0"/>
          <w:sz w:val="22"/>
        </w:rPr>
        <w:t>Display committee structure on the department noticeboard and website.</w:t>
      </w:r>
    </w:p>
    <w:p>
      <w:pPr>
        <w:pStyle w:val="ListBullet"/>
        <w:spacing w:after="80"/>
        <w:jc w:val="both"/>
      </w:pPr>
      <w:r>
        <w:rPr>
          <w:rFonts w:ascii="Cambria" w:hAnsi="Cambria"/>
          <w:b w:val="0"/>
          <w:i w:val="0"/>
          <w:sz w:val="22"/>
        </w:rPr>
        <w:t>Grievance Collection</w:t>
      </w:r>
    </w:p>
    <w:p>
      <w:pPr>
        <w:pStyle w:val="ListBullet2"/>
        <w:spacing w:after="80"/>
        <w:jc w:val="both"/>
      </w:pPr>
      <w:r>
        <w:rPr>
          <w:rFonts w:ascii="Cambria" w:hAnsi="Cambria"/>
          <w:b w:val="0"/>
          <w:i w:val="0"/>
          <w:sz w:val="22"/>
        </w:rPr>
        <w:t>Provide multiple modes (complaint box, online form, ERP, direct submission).</w:t>
      </w:r>
    </w:p>
    <w:p>
      <w:pPr>
        <w:pStyle w:val="ListBullet2"/>
        <w:spacing w:after="80"/>
        <w:jc w:val="both"/>
      </w:pPr>
      <w:r>
        <w:rPr>
          <w:rFonts w:ascii="Cambria" w:hAnsi="Cambria"/>
          <w:b w:val="0"/>
          <w:i w:val="0"/>
          <w:sz w:val="22"/>
        </w:rPr>
        <w:t>Acknowledge receipt of grievance to the complainant.</w:t>
      </w:r>
    </w:p>
    <w:p>
      <w:pPr>
        <w:pStyle w:val="ListBullet"/>
        <w:spacing w:after="80"/>
        <w:jc w:val="both"/>
      </w:pPr>
      <w:r>
        <w:rPr>
          <w:rFonts w:ascii="Cambria" w:hAnsi="Cambria"/>
          <w:b w:val="0"/>
          <w:i w:val="0"/>
          <w:sz w:val="22"/>
        </w:rPr>
        <w:t>Grievance Redressal Process</w:t>
      </w:r>
    </w:p>
    <w:p>
      <w:pPr>
        <w:pStyle w:val="ListBullet2"/>
        <w:spacing w:after="80"/>
        <w:jc w:val="both"/>
      </w:pPr>
      <w:r>
        <w:rPr>
          <w:rFonts w:ascii="Cambria" w:hAnsi="Cambria"/>
          <w:b w:val="0"/>
          <w:i w:val="0"/>
          <w:sz w:val="22"/>
        </w:rPr>
        <w:t>Review grievances in monthly/quarterly meetings.</w:t>
      </w:r>
    </w:p>
    <w:p>
      <w:pPr>
        <w:pStyle w:val="ListBullet2"/>
        <w:spacing w:after="80"/>
        <w:jc w:val="both"/>
      </w:pPr>
      <w:r>
        <w:rPr>
          <w:rFonts w:ascii="Cambria" w:hAnsi="Cambria"/>
          <w:b w:val="0"/>
          <w:i w:val="0"/>
          <w:sz w:val="22"/>
        </w:rPr>
        <w:t>Classify issues (academic, administrative, harassment, infrastructure, etc.).</w:t>
      </w:r>
    </w:p>
    <w:p>
      <w:pPr>
        <w:pStyle w:val="ListBullet2"/>
        <w:spacing w:after="80"/>
        <w:jc w:val="both"/>
      </w:pPr>
      <w:r>
        <w:rPr>
          <w:rFonts w:ascii="Cambria" w:hAnsi="Cambria"/>
          <w:b w:val="0"/>
          <w:i w:val="0"/>
          <w:sz w:val="22"/>
        </w:rPr>
        <w:t>Provide resolution within a fixed timeline (15–30 days).</w:t>
      </w:r>
    </w:p>
    <w:p>
      <w:pPr>
        <w:pStyle w:val="ListBullet2"/>
        <w:spacing w:after="80"/>
        <w:jc w:val="both"/>
      </w:pPr>
      <w:r>
        <w:rPr>
          <w:rFonts w:ascii="Cambria" w:hAnsi="Cambria"/>
          <w:b w:val="0"/>
          <w:i w:val="0"/>
          <w:sz w:val="22"/>
        </w:rPr>
        <w:t>Refer unresolved/serious cases to University-level committee.</w:t>
      </w:r>
    </w:p>
    <w:p>
      <w:pPr>
        <w:pStyle w:val="ListBullet"/>
        <w:spacing w:after="80"/>
        <w:jc w:val="both"/>
      </w:pPr>
      <w:r>
        <w:rPr>
          <w:rFonts w:ascii="Cambria" w:hAnsi="Cambria"/>
          <w:b w:val="0"/>
          <w:i w:val="0"/>
          <w:sz w:val="22"/>
        </w:rPr>
        <w:t>Monitoring &amp; Documentation</w:t>
      </w:r>
    </w:p>
    <w:p>
      <w:pPr>
        <w:pStyle w:val="ListBullet2"/>
        <w:spacing w:after="80"/>
        <w:jc w:val="both"/>
      </w:pPr>
      <w:r>
        <w:rPr>
          <w:rFonts w:ascii="Cambria" w:hAnsi="Cambria"/>
          <w:b w:val="0"/>
          <w:i w:val="0"/>
          <w:sz w:val="22"/>
        </w:rPr>
        <w:t>Maintain records of grievances received, actions taken, and resolutions.</w:t>
      </w:r>
    </w:p>
    <w:p>
      <w:pPr>
        <w:pStyle w:val="ListBullet2"/>
        <w:spacing w:after="80"/>
        <w:jc w:val="both"/>
      </w:pPr>
      <w:r>
        <w:rPr>
          <w:rFonts w:ascii="Cambria" w:hAnsi="Cambria"/>
          <w:b w:val="0"/>
          <w:i w:val="0"/>
          <w:sz w:val="22"/>
        </w:rPr>
        <w:t>Publish summary reports (without personal details) for transparency.</w:t>
      </w:r>
    </w:p>
    <w:p>
      <w:pPr>
        <w:pStyle w:val="ListBullet2"/>
        <w:spacing w:after="80"/>
        <w:jc w:val="both"/>
      </w:pPr>
      <w:r>
        <w:rPr>
          <w:rFonts w:ascii="Cambria" w:hAnsi="Cambria"/>
          <w:b w:val="0"/>
          <w:i w:val="0"/>
          <w:sz w:val="22"/>
        </w:rPr>
        <w:t>Include grievance records in AQAR/SSR submissions.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Official order constituting the GRC.</w:t>
      </w:r>
    </w:p>
    <w:p>
      <w:pPr>
        <w:pStyle w:val="ListBullet"/>
        <w:spacing w:after="80"/>
        <w:jc w:val="both"/>
      </w:pPr>
      <w:r>
        <w:rPr>
          <w:rFonts w:ascii="Cambria" w:hAnsi="Cambria"/>
          <w:b w:val="0"/>
          <w:i w:val="0"/>
          <w:sz w:val="22"/>
        </w:rPr>
        <w:t>List of committee members with roles &amp; tenure.</w:t>
      </w:r>
    </w:p>
    <w:p>
      <w:pPr>
        <w:pStyle w:val="ListBullet"/>
        <w:spacing w:after="80"/>
        <w:jc w:val="both"/>
      </w:pPr>
      <w:r>
        <w:rPr>
          <w:rFonts w:ascii="Cambria" w:hAnsi="Cambria"/>
          <w:b w:val="0"/>
          <w:i w:val="0"/>
          <w:sz w:val="22"/>
        </w:rPr>
        <w:t>Notices/circulars displaying grievance submission process.</w:t>
      </w:r>
    </w:p>
    <w:p>
      <w:pPr>
        <w:pStyle w:val="ListBullet"/>
        <w:spacing w:after="80"/>
        <w:jc w:val="both"/>
      </w:pPr>
      <w:r>
        <w:rPr>
          <w:rFonts w:ascii="Cambria" w:hAnsi="Cambria"/>
          <w:b w:val="0"/>
          <w:i w:val="0"/>
          <w:sz w:val="22"/>
        </w:rPr>
        <w:t>Complaint registers/online grievance records.</w:t>
      </w:r>
    </w:p>
    <w:p>
      <w:pPr>
        <w:pStyle w:val="ListBullet"/>
        <w:spacing w:after="80"/>
        <w:jc w:val="both"/>
      </w:pPr>
      <w:r>
        <w:rPr>
          <w:rFonts w:ascii="Cambria" w:hAnsi="Cambria"/>
          <w:b w:val="0"/>
          <w:i w:val="0"/>
          <w:sz w:val="22"/>
        </w:rPr>
        <w:t>Minutes of grievance committee meetings (signed by HoD).</w:t>
      </w:r>
    </w:p>
    <w:p>
      <w:pPr>
        <w:pStyle w:val="ListBullet"/>
        <w:spacing w:after="80"/>
        <w:jc w:val="both"/>
      </w:pPr>
      <w:r>
        <w:rPr>
          <w:rFonts w:ascii="Cambria" w:hAnsi="Cambria"/>
          <w:b w:val="0"/>
          <w:i w:val="0"/>
          <w:sz w:val="22"/>
        </w:rPr>
        <w:t>Action Taken Reports (ATRs) on grievances.</w:t>
      </w:r>
    </w:p>
    <w:p>
      <w:pPr>
        <w:pStyle w:val="ListBullet"/>
        <w:spacing w:after="80"/>
        <w:jc w:val="both"/>
      </w:pPr>
      <w:r>
        <w:rPr>
          <w:rFonts w:ascii="Cambria" w:hAnsi="Cambria"/>
          <w:b w:val="0"/>
          <w:i w:val="0"/>
          <w:sz w:val="22"/>
        </w:rPr>
        <w:t>Acknowledgement letters/emails to complainants.</w:t>
      </w:r>
    </w:p>
    <w:p>
      <w:pPr>
        <w:pStyle w:val="ListBullet"/>
        <w:spacing w:after="80"/>
        <w:jc w:val="both"/>
      </w:pPr>
      <w:r>
        <w:rPr>
          <w:rFonts w:ascii="Cambria" w:hAnsi="Cambria"/>
          <w:b w:val="0"/>
          <w:i w:val="0"/>
          <w:sz w:val="22"/>
        </w:rPr>
        <w:t>Consolidated grievance redressal report for AQAR/SSR.</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grievances acknowledged within 48 hours.</w:t>
      </w:r>
    </w:p>
    <w:p>
      <w:pPr>
        <w:pStyle w:val="ListBullet"/>
        <w:spacing w:after="80"/>
        <w:jc w:val="both"/>
      </w:pPr>
      <w:r>
        <w:rPr>
          <w:rFonts w:ascii="Cambria" w:hAnsi="Cambria"/>
          <w:b w:val="0"/>
          <w:i w:val="0"/>
          <w:sz w:val="22"/>
        </w:rPr>
        <w:t>90% grievances resolved within 30 days.</w:t>
      </w:r>
    </w:p>
    <w:p>
      <w:pPr>
        <w:pStyle w:val="ListBullet"/>
        <w:spacing w:after="80"/>
        <w:jc w:val="both"/>
      </w:pPr>
      <w:r>
        <w:rPr>
          <w:rFonts w:ascii="Cambria" w:hAnsi="Cambria"/>
          <w:b w:val="0"/>
          <w:i w:val="0"/>
          <w:sz w:val="22"/>
        </w:rPr>
        <w:t>Grievances reduced by 25% YoY due to preventive measures.</w:t>
      </w:r>
    </w:p>
    <w:p>
      <w:pPr>
        <w:spacing w:after="120"/>
        <w:jc w:val="both"/>
      </w:pPr>
      <w:r>
        <w:rPr>
          <w:rFonts w:ascii="Cambria" w:hAnsi="Cambria"/>
          <w:b w:val="0"/>
          <w:i w:val="0"/>
          <w:sz w:val="22"/>
        </w:rPr>
        <w:t>Student satisfaction with grievance redressal ↑ from 3.7 → 4.5/5.</w:t>
      </w:r>
    </w:p>
    <w:p>
      <w:pPr>
        <w:pStyle w:val="ListBullet"/>
        <w:spacing w:after="80"/>
        <w:jc w:val="both"/>
      </w:pPr>
      <w:r>
        <w:rPr>
          <w:rFonts w:ascii="Cambria" w:hAnsi="Cambria"/>
          <w:b w:val="0"/>
          <w:i w:val="0"/>
          <w:sz w:val="22"/>
        </w:rPr>
        <w:t>Zero pending cases escalated beyond University-level GRC.</w:t>
      </w:r>
    </w:p>
    <w:p>
      <w:pPr>
        <w:keepNext/>
        <w:spacing w:before="280" w:after="160"/>
        <w:jc w:val="left"/>
      </w:pPr>
      <w:r>
        <w:rPr>
          <w:rFonts w:ascii="Cambria" w:hAnsi="Cambria"/>
          <w:b/>
          <w:i w:val="0"/>
          <w:color w:val="1F3A5F"/>
          <w:sz w:val="26"/>
        </w:rPr>
        <w:t>Evidence/Documents – Grievance Redressal Committee (Division Level)</w:t>
      </w:r>
    </w:p>
    <w:p>
      <w:pPr>
        <w:spacing w:after="80"/>
        <w:ind w:left="340" w:hanging="340"/>
        <w:jc w:val="both"/>
      </w:pPr>
      <w:r>
        <w:rPr>
          <w:rFonts w:ascii="Cambria" w:hAnsi="Cambria"/>
          <w:b w:val="0"/>
          <w:i w:val="0"/>
          <w:sz w:val="22"/>
        </w:rPr>
        <w:t xml:space="preserve">1. </w:t>
      </w:r>
      <w:r>
        <w:rPr>
          <w:rFonts w:ascii="Cambria" w:hAnsi="Cambria"/>
          <w:b w:val="0"/>
          <w:i w:val="0"/>
          <w:sz w:val="22"/>
        </w:rPr>
        <w:t>Official Order Constituting the GRC</w:t>
      </w:r>
    </w:p>
    <w:p>
      <w:pPr>
        <w:pStyle w:val="ListBullet2"/>
        <w:spacing w:after="80"/>
        <w:jc w:val="both"/>
      </w:pPr>
      <w:r>
        <w:rPr>
          <w:rFonts w:ascii="Cambria" w:hAnsi="Cambria"/>
          <w:b w:val="0"/>
          <w:i w:val="0"/>
          <w:sz w:val="22"/>
        </w:rPr>
        <w:t>HoD/Principal's notification establishing the committee.</w:t>
      </w:r>
    </w:p>
    <w:p>
      <w:pPr>
        <w:pStyle w:val="ListBullet2"/>
        <w:spacing w:after="80"/>
        <w:jc w:val="both"/>
      </w:pPr>
      <w:r>
        <w:rPr>
          <w:rFonts w:ascii="Cambria" w:hAnsi="Cambria"/>
          <w:b w:val="0"/>
          <w:i w:val="0"/>
          <w:sz w:val="22"/>
        </w:rPr>
        <w:t>Specifies compliance with UGC/AICTE/NAAC guidelines.</w:t>
      </w:r>
    </w:p>
    <w:p>
      <w:pPr>
        <w:spacing w:after="80"/>
        <w:ind w:left="340" w:hanging="340"/>
        <w:jc w:val="both"/>
      </w:pPr>
      <w:r>
        <w:rPr>
          <w:rFonts w:ascii="Cambria" w:hAnsi="Cambria"/>
          <w:b w:val="0"/>
          <w:i w:val="0"/>
          <w:sz w:val="22"/>
        </w:rPr>
        <w:t xml:space="preserve">2. </w:t>
      </w:r>
      <w:r>
        <w:rPr>
          <w:rFonts w:ascii="Cambria" w:hAnsi="Cambria"/>
          <w:b w:val="0"/>
          <w:i w:val="0"/>
          <w:sz w:val="22"/>
        </w:rPr>
        <w:t>List of Committee Members with Roles &amp; Tenure</w:t>
      </w:r>
    </w:p>
    <w:p>
      <w:pPr>
        <w:pStyle w:val="ListBullet2"/>
        <w:spacing w:after="80"/>
        <w:jc w:val="both"/>
      </w:pPr>
      <w:r>
        <w:rPr>
          <w:rFonts w:ascii="Cambria" w:hAnsi="Cambria"/>
          <w:b w:val="0"/>
          <w:i w:val="0"/>
          <w:sz w:val="22"/>
        </w:rPr>
        <w:t>Chairperson (HoD or senior faculty), student reps, female faculty, admin staff.</w:t>
      </w:r>
    </w:p>
    <w:p>
      <w:pPr>
        <w:pStyle w:val="ListBullet2"/>
        <w:spacing w:after="80"/>
        <w:jc w:val="both"/>
      </w:pPr>
      <w:r>
        <w:rPr>
          <w:rFonts w:ascii="Cambria" w:hAnsi="Cambria"/>
          <w:b w:val="0"/>
          <w:i w:val="0"/>
          <w:sz w:val="22"/>
        </w:rPr>
        <w:t>Duration of appointment clearly mentioned.</w:t>
      </w:r>
    </w:p>
    <w:p>
      <w:pPr>
        <w:spacing w:after="80"/>
        <w:ind w:left="340" w:hanging="340"/>
        <w:jc w:val="both"/>
      </w:pPr>
      <w:r>
        <w:rPr>
          <w:rFonts w:ascii="Cambria" w:hAnsi="Cambria"/>
          <w:b w:val="0"/>
          <w:i w:val="0"/>
          <w:sz w:val="22"/>
        </w:rPr>
        <w:t xml:space="preserve">3. </w:t>
      </w:r>
      <w:r>
        <w:rPr>
          <w:rFonts w:ascii="Cambria" w:hAnsi="Cambria"/>
          <w:b w:val="0"/>
          <w:i w:val="0"/>
          <w:sz w:val="22"/>
        </w:rPr>
        <w:t>Notices/Circulars Displaying Grievance Submission Process</w:t>
      </w:r>
    </w:p>
    <w:p>
      <w:pPr>
        <w:pStyle w:val="ListBullet2"/>
        <w:spacing w:after="80"/>
        <w:jc w:val="both"/>
      </w:pPr>
      <w:r>
        <w:rPr>
          <w:rFonts w:ascii="Cambria" w:hAnsi="Cambria"/>
          <w:b w:val="0"/>
          <w:i w:val="0"/>
          <w:sz w:val="22"/>
        </w:rPr>
        <w:t>Instructions on grievance channels (complaint box, ERP, email, form).</w:t>
      </w:r>
    </w:p>
    <w:p>
      <w:pPr>
        <w:pStyle w:val="ListBullet2"/>
        <w:spacing w:after="80"/>
        <w:jc w:val="both"/>
      </w:pPr>
      <w:r>
        <w:rPr>
          <w:rFonts w:ascii="Cambria" w:hAnsi="Cambria"/>
          <w:b w:val="0"/>
          <w:i w:val="0"/>
          <w:sz w:val="22"/>
        </w:rPr>
        <w:t>Displayed on notice boards, website, and circulated to students.</w:t>
      </w:r>
    </w:p>
    <w:p>
      <w:pPr>
        <w:spacing w:after="80"/>
        <w:ind w:left="340" w:hanging="340"/>
        <w:jc w:val="both"/>
      </w:pPr>
      <w:r>
        <w:rPr>
          <w:rFonts w:ascii="Cambria" w:hAnsi="Cambria"/>
          <w:b w:val="0"/>
          <w:i w:val="0"/>
          <w:sz w:val="22"/>
        </w:rPr>
        <w:t xml:space="preserve">4. </w:t>
      </w:r>
      <w:r>
        <w:rPr>
          <w:rFonts w:ascii="Cambria" w:hAnsi="Cambria"/>
          <w:b w:val="0"/>
          <w:i w:val="0"/>
          <w:sz w:val="22"/>
        </w:rPr>
        <w:t>Complaint Registers/Online Grievance Records</w:t>
      </w:r>
    </w:p>
    <w:p>
      <w:pPr>
        <w:pStyle w:val="ListBullet2"/>
        <w:spacing w:after="80"/>
        <w:jc w:val="both"/>
      </w:pPr>
      <w:r>
        <w:rPr>
          <w:rFonts w:ascii="Cambria" w:hAnsi="Cambria"/>
          <w:b w:val="0"/>
          <w:i w:val="0"/>
          <w:sz w:val="22"/>
        </w:rPr>
        <w:t>Serially numbered grievance entries.</w:t>
      </w:r>
    </w:p>
    <w:p>
      <w:pPr>
        <w:pStyle w:val="ListBullet2"/>
        <w:spacing w:after="80"/>
        <w:jc w:val="both"/>
      </w:pPr>
      <w:r>
        <w:rPr>
          <w:rFonts w:ascii="Cambria" w:hAnsi="Cambria"/>
          <w:b w:val="0"/>
          <w:i w:val="0"/>
          <w:sz w:val="22"/>
        </w:rPr>
        <w:t>Includes date, category, complainant ID (kept confidential), and status.</w:t>
      </w:r>
    </w:p>
    <w:p>
      <w:pPr>
        <w:spacing w:after="80"/>
        <w:ind w:left="340" w:hanging="340"/>
        <w:jc w:val="both"/>
      </w:pPr>
      <w:r>
        <w:rPr>
          <w:rFonts w:ascii="Cambria" w:hAnsi="Cambria"/>
          <w:b w:val="0"/>
          <w:i w:val="0"/>
          <w:sz w:val="22"/>
        </w:rPr>
        <w:t xml:space="preserve">5. </w:t>
      </w:r>
      <w:r>
        <w:rPr>
          <w:rFonts w:ascii="Cambria" w:hAnsi="Cambria"/>
          <w:b w:val="0"/>
          <w:i w:val="0"/>
          <w:sz w:val="22"/>
        </w:rPr>
        <w:t>Minutes of Grievance Committee Meetings (Signed by HoD)</w:t>
      </w:r>
    </w:p>
    <w:p>
      <w:pPr>
        <w:pStyle w:val="ListBullet2"/>
        <w:spacing w:after="80"/>
        <w:jc w:val="both"/>
      </w:pPr>
      <w:r>
        <w:rPr>
          <w:rFonts w:ascii="Cambria" w:hAnsi="Cambria"/>
          <w:b w:val="0"/>
          <w:i w:val="0"/>
          <w:sz w:val="22"/>
        </w:rPr>
        <w:t>Periodic review discussions.</w:t>
      </w:r>
    </w:p>
    <w:p>
      <w:pPr>
        <w:pStyle w:val="ListBullet2"/>
        <w:spacing w:after="80"/>
        <w:jc w:val="both"/>
      </w:pPr>
      <w:r>
        <w:rPr>
          <w:rFonts w:ascii="Cambria" w:hAnsi="Cambria"/>
          <w:b w:val="0"/>
          <w:i w:val="0"/>
          <w:sz w:val="22"/>
        </w:rPr>
        <w:t>Case-wise status and decisions.</w:t>
      </w:r>
    </w:p>
    <w:p>
      <w:pPr>
        <w:spacing w:after="80"/>
        <w:ind w:left="340" w:hanging="340"/>
        <w:jc w:val="both"/>
      </w:pPr>
      <w:r>
        <w:rPr>
          <w:rFonts w:ascii="Cambria" w:hAnsi="Cambria"/>
          <w:b w:val="0"/>
          <w:i w:val="0"/>
          <w:sz w:val="22"/>
        </w:rPr>
        <w:t xml:space="preserve">6. </w:t>
      </w:r>
      <w:r>
        <w:rPr>
          <w:rFonts w:ascii="Cambria" w:hAnsi="Cambria"/>
          <w:b w:val="0"/>
          <w:i w:val="0"/>
          <w:sz w:val="22"/>
        </w:rPr>
        <w:t>Action Taken Reports (ATRs) on Grievances</w:t>
      </w:r>
    </w:p>
    <w:p>
      <w:pPr>
        <w:pStyle w:val="ListBullet2"/>
        <w:spacing w:after="80"/>
        <w:jc w:val="both"/>
      </w:pPr>
      <w:r>
        <w:rPr>
          <w:rFonts w:ascii="Cambria" w:hAnsi="Cambria"/>
          <w:b w:val="0"/>
          <w:i w:val="0"/>
          <w:sz w:val="22"/>
        </w:rPr>
        <w:t>Detailed follow-up actions.</w:t>
      </w:r>
    </w:p>
    <w:p>
      <w:pPr>
        <w:pStyle w:val="ListBullet2"/>
        <w:spacing w:after="80"/>
        <w:jc w:val="both"/>
      </w:pPr>
      <w:r>
        <w:rPr>
          <w:rFonts w:ascii="Cambria" w:hAnsi="Cambria"/>
          <w:b w:val="0"/>
          <w:i w:val="0"/>
          <w:sz w:val="22"/>
        </w:rPr>
        <w:t>Closure confirmation within stipulated time.</w:t>
      </w:r>
    </w:p>
    <w:p>
      <w:pPr>
        <w:spacing w:after="80"/>
        <w:ind w:left="340" w:hanging="340"/>
        <w:jc w:val="both"/>
      </w:pPr>
      <w:r>
        <w:rPr>
          <w:rFonts w:ascii="Cambria" w:hAnsi="Cambria"/>
          <w:b w:val="0"/>
          <w:i w:val="0"/>
          <w:sz w:val="22"/>
        </w:rPr>
        <w:t xml:space="preserve">7. </w:t>
      </w:r>
      <w:r>
        <w:rPr>
          <w:rFonts w:ascii="Cambria" w:hAnsi="Cambria"/>
          <w:b w:val="0"/>
          <w:i w:val="0"/>
          <w:sz w:val="22"/>
        </w:rPr>
        <w:t>Acknowledgement Letters/Emails to Complainants</w:t>
      </w:r>
    </w:p>
    <w:p>
      <w:pPr>
        <w:pStyle w:val="ListBullet2"/>
        <w:spacing w:after="80"/>
        <w:jc w:val="both"/>
      </w:pPr>
      <w:r>
        <w:rPr>
          <w:rFonts w:ascii="Cambria" w:hAnsi="Cambria"/>
          <w:b w:val="0"/>
          <w:i w:val="0"/>
          <w:sz w:val="22"/>
        </w:rPr>
        <w:t>Proof of grievance receipt within 24–48 hours.</w:t>
      </w:r>
    </w:p>
    <w:p>
      <w:pPr>
        <w:pStyle w:val="ListBullet2"/>
        <w:spacing w:after="80"/>
        <w:jc w:val="both"/>
      </w:pPr>
      <w:r>
        <w:rPr>
          <w:rFonts w:ascii="Cambria" w:hAnsi="Cambria"/>
          <w:b w:val="0"/>
          <w:i w:val="0"/>
          <w:sz w:val="22"/>
        </w:rPr>
        <w:t>Ensures transparency and accountability.</w:t>
      </w:r>
    </w:p>
    <w:p>
      <w:pPr>
        <w:spacing w:after="80"/>
        <w:ind w:left="340" w:hanging="340"/>
        <w:jc w:val="both"/>
      </w:pPr>
      <w:r>
        <w:rPr>
          <w:rFonts w:ascii="Cambria" w:hAnsi="Cambria"/>
          <w:b w:val="0"/>
          <w:i w:val="0"/>
          <w:sz w:val="22"/>
        </w:rPr>
        <w:t xml:space="preserve">8. </w:t>
      </w:r>
      <w:r>
        <w:rPr>
          <w:rFonts w:ascii="Cambria" w:hAnsi="Cambria"/>
          <w:b w:val="0"/>
          <w:i w:val="0"/>
          <w:sz w:val="22"/>
        </w:rPr>
        <w:t>Consolidated Grievance Redressal Report for AQAR/SSR</w:t>
      </w:r>
    </w:p>
    <w:p>
      <w:pPr>
        <w:pStyle w:val="ListBullet2"/>
        <w:spacing w:after="80"/>
        <w:jc w:val="both"/>
      </w:pPr>
      <w:r>
        <w:rPr>
          <w:rFonts w:ascii="Cambria" w:hAnsi="Cambria"/>
          <w:b w:val="0"/>
          <w:i w:val="0"/>
          <w:sz w:val="22"/>
        </w:rPr>
        <w:t>Annual/semester-wise summary of grievances received, resolved, and pending.</w:t>
      </w:r>
    </w:p>
    <w:p>
      <w:pPr>
        <w:pStyle w:val="ListBullet2"/>
        <w:spacing w:after="80"/>
        <w:jc w:val="both"/>
      </w:pPr>
      <w:r>
        <w:rPr>
          <w:rFonts w:ascii="Cambria" w:hAnsi="Cambria"/>
          <w:b w:val="0"/>
          <w:i w:val="0"/>
          <w:sz w:val="22"/>
        </w:rPr>
        <w:t>Linked to NAAC Criterion 5 (Student Support), Criterion 6 (Governance).</w:t>
      </w:r>
    </w:p>
    <w:p>
      <w:pPr>
        <w:keepNext/>
        <w:spacing w:before="280" w:after="160"/>
        <w:jc w:val="left"/>
      </w:pPr>
      <w:r>
        <w:rPr>
          <w:rFonts w:ascii="Cambria" w:hAnsi="Cambria"/>
          <w:b/>
          <w:i w:val="0"/>
          <w:color w:val="1F3A5F"/>
          <w:sz w:val="24"/>
        </w:rPr>
        <w:t>Grievance Redressal Evidence Matrix</w:t>
      </w:r>
    </w:p>
    <w:tbl>
      <w:tblPr>
        <w:tblStyle w:val="TableGrid"/>
        <w:tblW w:type="auto" w:w="0"/>
        <w:jc w:val="center"/>
        <w:tblLayout w:type="fixed"/>
        <w:tblLook w:firstColumn="1" w:firstRow="1" w:lastColumn="0" w:lastRow="0" w:noHBand="0" w:noVBand="1" w:val="04A0"/>
        <w:tblLayout w:type="fixed"/>
      </w:tblPr>
      <w:tblGrid>
        <w:gridCol w:w="1644"/>
        <w:gridCol w:w="1531"/>
        <w:gridCol w:w="1077"/>
        <w:gridCol w:w="1757"/>
        <w:gridCol w:w="1474"/>
        <w:gridCol w:w="1191"/>
        <w:gridCol w:w="1531"/>
      </w:tblGrid>
      <w:tr>
        <w:tc>
          <w:tcPr>
            <w:tcW w:type="dxa" w:w="1644"/>
            <w:shd w:val="clear" w:color="auto" w:fill="1F3A5F"/>
          </w:tcPr>
          <w:p>
            <w:pPr>
              <w:jc w:val="center"/>
            </w:pPr>
            <w:r/>
            <w:r>
              <w:rPr>
                <w:rFonts w:ascii="Cambria" w:hAnsi="Cambria"/>
                <w:b/>
                <w:i w:val="0"/>
                <w:color w:val="FFFFFF"/>
                <w:sz w:val="20"/>
              </w:rPr>
              <w:t>Complaint ID / Date Received / Complainant (Anonymized ID)</w:t>
            </w:r>
          </w:p>
        </w:tc>
        <w:tc>
          <w:tcPr>
            <w:tcW w:type="dxa" w:w="1531"/>
            <w:shd w:val="clear" w:color="auto" w:fill="1F3A5F"/>
          </w:tcPr>
          <w:p>
            <w:pPr>
              <w:jc w:val="center"/>
            </w:pPr>
            <w:r/>
            <w:r>
              <w:rPr>
                <w:rFonts w:ascii="Cambria" w:hAnsi="Cambria"/>
                <w:b/>
                <w:i w:val="0"/>
                <w:color w:val="FFFFFF"/>
                <w:sz w:val="20"/>
              </w:rPr>
              <w:t>Category (Academic/Admin/Infrastructure/Harassment/Other)</w:t>
            </w:r>
          </w:p>
        </w:tc>
        <w:tc>
          <w:tcPr>
            <w:tcW w:type="dxa" w:w="1077"/>
            <w:shd w:val="clear" w:color="auto" w:fill="1F3A5F"/>
          </w:tcPr>
          <w:p>
            <w:pPr>
              <w:jc w:val="center"/>
            </w:pPr>
            <w:r/>
            <w:r>
              <w:rPr>
                <w:rFonts w:ascii="Cambria" w:hAnsi="Cambria"/>
                <w:b/>
                <w:i w:val="0"/>
                <w:color w:val="FFFFFF"/>
                <w:sz w:val="20"/>
              </w:rPr>
              <w:t>Acknowledgement Date</w:t>
            </w:r>
          </w:p>
        </w:tc>
        <w:tc>
          <w:tcPr>
            <w:tcW w:type="dxa" w:w="1757"/>
            <w:shd w:val="clear" w:color="auto" w:fill="1F3A5F"/>
          </w:tcPr>
          <w:p>
            <w:pPr>
              <w:jc w:val="center"/>
            </w:pPr>
            <w:r/>
            <w:r>
              <w:rPr>
                <w:rFonts w:ascii="Cambria" w:hAnsi="Cambria"/>
                <w:b/>
                <w:i w:val="0"/>
                <w:color w:val="FFFFFF"/>
                <w:sz w:val="20"/>
              </w:rPr>
              <w:t>Action Taken (Investigation/Counseling/Resolution/Referral)</w:t>
            </w:r>
          </w:p>
        </w:tc>
        <w:tc>
          <w:tcPr>
            <w:tcW w:type="dxa" w:w="1474"/>
            <w:shd w:val="clear" w:color="auto" w:fill="1F3A5F"/>
          </w:tcPr>
          <w:p>
            <w:pPr>
              <w:jc w:val="center"/>
            </w:pPr>
            <w:r/>
            <w:r>
              <w:rPr>
                <w:rFonts w:ascii="Cambria" w:hAnsi="Cambria"/>
                <w:b/>
                <w:i w:val="0"/>
                <w:color w:val="FFFFFF"/>
                <w:sz w:val="20"/>
              </w:rPr>
              <w:t>Evidence Link (Register/MoM/ATR/Email)</w:t>
            </w:r>
          </w:p>
        </w:tc>
        <w:tc>
          <w:tcPr>
            <w:tcW w:type="dxa" w:w="1191"/>
            <w:shd w:val="clear" w:color="auto" w:fill="1F3A5F"/>
          </w:tcPr>
          <w:p>
            <w:pPr>
              <w:jc w:val="center"/>
            </w:pPr>
            <w:r/>
            <w:r>
              <w:rPr>
                <w:rFonts w:ascii="Cambria" w:hAnsi="Cambria"/>
                <w:b/>
                <w:i w:val="0"/>
                <w:color w:val="FFFFFF"/>
                <w:sz w:val="20"/>
              </w:rPr>
              <w:t>Resolution Date / Timeline (Days)</w:t>
            </w:r>
          </w:p>
        </w:tc>
        <w:tc>
          <w:tcPr>
            <w:tcW w:type="dxa" w:w="1531"/>
            <w:shd w:val="clear" w:color="auto" w:fill="1F3A5F"/>
          </w:tcPr>
          <w:p>
            <w:pPr>
              <w:jc w:val="center"/>
            </w:pPr>
            <w:r/>
            <w:r>
              <w:rPr>
                <w:rFonts w:ascii="Cambria" w:hAnsi="Cambria"/>
                <w:b/>
                <w:i w:val="0"/>
                <w:color w:val="FFFFFF"/>
                <w:sz w:val="20"/>
              </w:rPr>
              <w:t>Outcome (Closed/Pending/Escalated) / Student Satisfaction (1–5) / RAG</w:t>
            </w:r>
          </w:p>
        </w:tc>
      </w:tr>
      <w:tr>
        <w:tc>
          <w:tcPr>
            <w:tcW w:type="dxa" w:w="1644"/>
          </w:tcPr>
          <w:p>
            <w:pPr>
              <w:jc w:val="left"/>
            </w:pPr>
            <w:r/>
            <w:r>
              <w:rPr>
                <w:rFonts w:ascii="Cambria" w:hAnsi="Cambria"/>
                <w:b w:val="0"/>
                <w:i w:val="0"/>
                <w:sz w:val="20"/>
              </w:rPr>
              <w:t>GRC-2024-01</w:t>
              <w:br/>
              <w:t>05-08-2024</w:t>
              <w:br/>
              <w:t>STU1024</w:t>
            </w:r>
          </w:p>
        </w:tc>
        <w:tc>
          <w:tcPr>
            <w:tcW w:type="dxa" w:w="1531"/>
          </w:tcPr>
          <w:p>
            <w:pPr>
              <w:jc w:val="left"/>
            </w:pPr>
            <w:r/>
            <w:r>
              <w:rPr>
                <w:rFonts w:ascii="Cambria" w:hAnsi="Cambria"/>
                <w:b w:val="0"/>
                <w:i w:val="0"/>
                <w:sz w:val="20"/>
              </w:rPr>
              <w:t>Academic – Evaluation Dispute</w:t>
            </w:r>
          </w:p>
        </w:tc>
        <w:tc>
          <w:tcPr>
            <w:tcW w:type="dxa" w:w="1077"/>
          </w:tcPr>
          <w:p>
            <w:pPr>
              <w:jc w:val="left"/>
            </w:pPr>
            <w:r/>
            <w:r>
              <w:rPr>
                <w:rFonts w:ascii="Cambria" w:hAnsi="Cambria"/>
                <w:b w:val="0"/>
                <w:i w:val="0"/>
                <w:sz w:val="20"/>
              </w:rPr>
              <w:t>06-08-2024</w:t>
            </w:r>
          </w:p>
        </w:tc>
        <w:tc>
          <w:tcPr>
            <w:tcW w:type="dxa" w:w="1757"/>
          </w:tcPr>
          <w:p>
            <w:pPr>
              <w:jc w:val="left"/>
            </w:pPr>
            <w:r/>
            <w:r>
              <w:rPr>
                <w:rFonts w:ascii="Cambria" w:hAnsi="Cambria"/>
                <w:b w:val="0"/>
                <w:i w:val="0"/>
                <w:sz w:val="20"/>
              </w:rPr>
              <w:t>Re-evaluation conducted; results updated</w:t>
            </w:r>
          </w:p>
        </w:tc>
        <w:tc>
          <w:tcPr>
            <w:tcW w:type="dxa" w:w="1474"/>
          </w:tcPr>
          <w:p>
            <w:pPr>
              <w:jc w:val="left"/>
            </w:pPr>
            <w:r/>
            <w:r>
              <w:rPr>
                <w:rFonts w:ascii="Cambria" w:hAnsi="Cambria"/>
                <w:b w:val="0"/>
                <w:i w:val="0"/>
                <w:sz w:val="20"/>
              </w:rPr>
              <w:t>GRC_Aug24_ATR.pdf</w:t>
            </w:r>
          </w:p>
        </w:tc>
        <w:tc>
          <w:tcPr>
            <w:tcW w:type="dxa" w:w="1191"/>
          </w:tcPr>
          <w:p>
            <w:pPr>
              <w:jc w:val="left"/>
            </w:pPr>
            <w:r/>
            <w:r>
              <w:rPr>
                <w:rFonts w:ascii="Cambria" w:hAnsi="Cambria"/>
                <w:b w:val="0"/>
                <w:i w:val="0"/>
                <w:sz w:val="20"/>
              </w:rPr>
              <w:t>20-08-2024 / 15</w:t>
            </w:r>
          </w:p>
        </w:tc>
        <w:tc>
          <w:tcPr>
            <w:tcW w:type="dxa" w:w="1531"/>
          </w:tcPr>
          <w:p>
            <w:pPr>
              <w:jc w:val="left"/>
            </w:pPr>
            <w:r/>
            <w:r>
              <w:rPr>
                <w:rFonts w:ascii="Cambria" w:hAnsi="Cambria"/>
                <w:b w:val="0"/>
                <w:i w:val="0"/>
                <w:sz w:val="20"/>
              </w:rPr>
              <w:t>Closed / 4.5 / Green</w:t>
            </w:r>
          </w:p>
        </w:tc>
      </w:tr>
      <w:tr>
        <w:tc>
          <w:tcPr>
            <w:tcW w:type="dxa" w:w="1644"/>
            <w:shd w:val="clear" w:color="auto" w:fill="E8EEF5"/>
          </w:tcPr>
          <w:p>
            <w:pPr>
              <w:jc w:val="left"/>
            </w:pPr>
            <w:r/>
            <w:r>
              <w:rPr>
                <w:rFonts w:ascii="Cambria" w:hAnsi="Cambria"/>
                <w:b w:val="0"/>
                <w:i w:val="0"/>
                <w:sz w:val="20"/>
              </w:rPr>
              <w:t>GRC-2024-02</w:t>
              <w:br/>
              <w:t>12-09-2024</w:t>
              <w:br/>
              <w:t>STU1140</w:t>
            </w:r>
          </w:p>
        </w:tc>
        <w:tc>
          <w:tcPr>
            <w:tcW w:type="dxa" w:w="1531"/>
            <w:shd w:val="clear" w:color="auto" w:fill="E8EEF5"/>
          </w:tcPr>
          <w:p>
            <w:pPr>
              <w:jc w:val="left"/>
            </w:pPr>
            <w:r/>
            <w:r>
              <w:rPr>
                <w:rFonts w:ascii="Cambria" w:hAnsi="Cambria"/>
                <w:b w:val="0"/>
                <w:i w:val="0"/>
                <w:sz w:val="20"/>
              </w:rPr>
              <w:t>Infrastructure – Lab Facilities</w:t>
            </w:r>
          </w:p>
        </w:tc>
        <w:tc>
          <w:tcPr>
            <w:tcW w:type="dxa" w:w="1077"/>
            <w:shd w:val="clear" w:color="auto" w:fill="E8EEF5"/>
          </w:tcPr>
          <w:p>
            <w:pPr>
              <w:jc w:val="left"/>
            </w:pPr>
            <w:r/>
            <w:r>
              <w:rPr>
                <w:rFonts w:ascii="Cambria" w:hAnsi="Cambria"/>
                <w:b w:val="0"/>
                <w:i w:val="0"/>
                <w:sz w:val="20"/>
              </w:rPr>
              <w:t>13-09-2024</w:t>
            </w:r>
          </w:p>
        </w:tc>
        <w:tc>
          <w:tcPr>
            <w:tcW w:type="dxa" w:w="1757"/>
            <w:shd w:val="clear" w:color="auto" w:fill="E8EEF5"/>
          </w:tcPr>
          <w:p>
            <w:pPr>
              <w:jc w:val="left"/>
            </w:pPr>
            <w:r/>
            <w:r>
              <w:rPr>
                <w:rFonts w:ascii="Cambria" w:hAnsi="Cambria"/>
                <w:b w:val="0"/>
                <w:i w:val="0"/>
                <w:sz w:val="20"/>
              </w:rPr>
              <w:t>New lab systems procured</w:t>
            </w:r>
          </w:p>
        </w:tc>
        <w:tc>
          <w:tcPr>
            <w:tcW w:type="dxa" w:w="1474"/>
            <w:shd w:val="clear" w:color="auto" w:fill="E8EEF5"/>
          </w:tcPr>
          <w:p>
            <w:pPr>
              <w:jc w:val="left"/>
            </w:pPr>
            <w:r/>
            <w:r>
              <w:rPr>
                <w:rFonts w:ascii="Cambria" w:hAnsi="Cambria"/>
                <w:b w:val="0"/>
                <w:i w:val="0"/>
                <w:sz w:val="20"/>
              </w:rPr>
              <w:t>GRC_Sep24_MoM.pdf</w:t>
            </w:r>
          </w:p>
        </w:tc>
        <w:tc>
          <w:tcPr>
            <w:tcW w:type="dxa" w:w="1191"/>
            <w:shd w:val="clear" w:color="auto" w:fill="E8EEF5"/>
          </w:tcPr>
          <w:p>
            <w:pPr>
              <w:jc w:val="left"/>
            </w:pPr>
            <w:r/>
            <w:r>
              <w:rPr>
                <w:rFonts w:ascii="Cambria" w:hAnsi="Cambria"/>
                <w:b w:val="0"/>
                <w:i w:val="0"/>
                <w:sz w:val="20"/>
              </w:rPr>
              <w:t>10-10-2024 / 28</w:t>
            </w:r>
          </w:p>
        </w:tc>
        <w:tc>
          <w:tcPr>
            <w:tcW w:type="dxa" w:w="1531"/>
            <w:shd w:val="clear" w:color="auto" w:fill="E8EEF5"/>
          </w:tcPr>
          <w:p>
            <w:pPr>
              <w:jc w:val="left"/>
            </w:pPr>
            <w:r/>
            <w:r>
              <w:rPr>
                <w:rFonts w:ascii="Cambria" w:hAnsi="Cambria"/>
                <w:b w:val="0"/>
                <w:i w:val="0"/>
                <w:sz w:val="20"/>
              </w:rPr>
              <w:t>Closed / 4.2 / Green</w:t>
            </w:r>
          </w:p>
        </w:tc>
      </w:tr>
      <w:tr>
        <w:tc>
          <w:tcPr>
            <w:tcW w:type="dxa" w:w="1644"/>
          </w:tcPr>
          <w:p>
            <w:pPr>
              <w:jc w:val="left"/>
            </w:pPr>
            <w:r/>
            <w:r>
              <w:rPr>
                <w:rFonts w:ascii="Cambria" w:hAnsi="Cambria"/>
                <w:b w:val="0"/>
                <w:i w:val="0"/>
                <w:sz w:val="20"/>
              </w:rPr>
              <w:t>GRC-2024-03</w:t>
              <w:br/>
              <w:t>18-09-2024</w:t>
              <w:br/>
              <w:t>STU1172</w:t>
            </w:r>
          </w:p>
        </w:tc>
        <w:tc>
          <w:tcPr>
            <w:tcW w:type="dxa" w:w="1531"/>
          </w:tcPr>
          <w:p>
            <w:pPr>
              <w:jc w:val="left"/>
            </w:pPr>
            <w:r/>
            <w:r>
              <w:rPr>
                <w:rFonts w:ascii="Cambria" w:hAnsi="Cambria"/>
                <w:b w:val="0"/>
                <w:i w:val="0"/>
                <w:sz w:val="20"/>
              </w:rPr>
              <w:t>Discipline – Misconduct</w:t>
            </w:r>
          </w:p>
        </w:tc>
        <w:tc>
          <w:tcPr>
            <w:tcW w:type="dxa" w:w="1077"/>
          </w:tcPr>
          <w:p>
            <w:pPr>
              <w:jc w:val="left"/>
            </w:pPr>
            <w:r/>
            <w:r>
              <w:rPr>
                <w:rFonts w:ascii="Cambria" w:hAnsi="Cambria"/>
                <w:b w:val="0"/>
                <w:i w:val="0"/>
                <w:sz w:val="20"/>
              </w:rPr>
              <w:t>19-09-2024</w:t>
            </w:r>
          </w:p>
        </w:tc>
        <w:tc>
          <w:tcPr>
            <w:tcW w:type="dxa" w:w="1757"/>
          </w:tcPr>
          <w:p>
            <w:pPr>
              <w:jc w:val="left"/>
            </w:pPr>
            <w:r/>
            <w:r>
              <w:rPr>
                <w:rFonts w:ascii="Cambria" w:hAnsi="Cambria"/>
                <w:b w:val="0"/>
                <w:i w:val="0"/>
                <w:sz w:val="20"/>
              </w:rPr>
              <w:t>Counseling session + DC referral</w:t>
            </w:r>
          </w:p>
        </w:tc>
        <w:tc>
          <w:tcPr>
            <w:tcW w:type="dxa" w:w="1474"/>
          </w:tcPr>
          <w:p>
            <w:pPr>
              <w:jc w:val="left"/>
            </w:pPr>
            <w:r/>
            <w:r>
              <w:rPr>
                <w:rFonts w:ascii="Cambria" w:hAnsi="Cambria"/>
                <w:b w:val="0"/>
                <w:i w:val="0"/>
                <w:sz w:val="20"/>
              </w:rPr>
              <w:t>GRC_Sep24_Discipline.pdf</w:t>
            </w:r>
          </w:p>
        </w:tc>
        <w:tc>
          <w:tcPr>
            <w:tcW w:type="dxa" w:w="1191"/>
          </w:tcPr>
          <w:p>
            <w:pPr>
              <w:jc w:val="left"/>
            </w:pPr>
            <w:r/>
            <w:r>
              <w:rPr>
                <w:rFonts w:ascii="Cambria" w:hAnsi="Cambria"/>
                <w:b w:val="0"/>
                <w:i w:val="0"/>
                <w:sz w:val="20"/>
              </w:rPr>
              <w:t>30-09-2024 / 12</w:t>
            </w:r>
          </w:p>
        </w:tc>
        <w:tc>
          <w:tcPr>
            <w:tcW w:type="dxa" w:w="1531"/>
          </w:tcPr>
          <w:p>
            <w:pPr>
              <w:jc w:val="left"/>
            </w:pPr>
            <w:r/>
            <w:r>
              <w:rPr>
                <w:rFonts w:ascii="Cambria" w:hAnsi="Cambria"/>
                <w:b w:val="0"/>
                <w:i w:val="0"/>
                <w:sz w:val="20"/>
              </w:rPr>
              <w:t>Escalated / 3.8 / Amber</w:t>
            </w:r>
          </w:p>
        </w:tc>
      </w:tr>
      <w:tr>
        <w:tc>
          <w:tcPr>
            <w:tcW w:type="dxa" w:w="1644"/>
            <w:shd w:val="clear" w:color="auto" w:fill="E8EEF5"/>
          </w:tcPr>
          <w:p>
            <w:pPr>
              <w:jc w:val="left"/>
            </w:pPr>
            <w:r/>
            <w:r>
              <w:rPr>
                <w:rFonts w:ascii="Cambria" w:hAnsi="Cambria"/>
                <w:b w:val="0"/>
                <w:i w:val="0"/>
                <w:sz w:val="20"/>
              </w:rPr>
              <w:t>GRC-2024-04</w:t>
              <w:br/>
              <w:t>25-09-2024</w:t>
              <w:br/>
              <w:t>STU1211</w:t>
            </w:r>
          </w:p>
        </w:tc>
        <w:tc>
          <w:tcPr>
            <w:tcW w:type="dxa" w:w="1531"/>
            <w:shd w:val="clear" w:color="auto" w:fill="E8EEF5"/>
          </w:tcPr>
          <w:p>
            <w:pPr>
              <w:jc w:val="left"/>
            </w:pPr>
            <w:r/>
            <w:r>
              <w:rPr>
                <w:rFonts w:ascii="Cambria" w:hAnsi="Cambria"/>
                <w:b w:val="0"/>
                <w:i w:val="0"/>
                <w:sz w:val="20"/>
              </w:rPr>
              <w:t>Administrative – Hostel Issue</w:t>
            </w:r>
          </w:p>
        </w:tc>
        <w:tc>
          <w:tcPr>
            <w:tcW w:type="dxa" w:w="1077"/>
            <w:shd w:val="clear" w:color="auto" w:fill="E8EEF5"/>
          </w:tcPr>
          <w:p>
            <w:pPr>
              <w:jc w:val="left"/>
            </w:pPr>
            <w:r/>
            <w:r>
              <w:rPr>
                <w:rFonts w:ascii="Cambria" w:hAnsi="Cambria"/>
                <w:b w:val="0"/>
                <w:i w:val="0"/>
                <w:sz w:val="20"/>
              </w:rPr>
              <w:t>26-09-2024</w:t>
            </w:r>
          </w:p>
        </w:tc>
        <w:tc>
          <w:tcPr>
            <w:tcW w:type="dxa" w:w="1757"/>
            <w:shd w:val="clear" w:color="auto" w:fill="E8EEF5"/>
          </w:tcPr>
          <w:p>
            <w:pPr>
              <w:jc w:val="left"/>
            </w:pPr>
            <w:r/>
            <w:r>
              <w:rPr>
                <w:rFonts w:ascii="Cambria" w:hAnsi="Cambria"/>
                <w:b w:val="0"/>
                <w:i w:val="0"/>
                <w:sz w:val="20"/>
              </w:rPr>
              <w:t>Issue resolved by hostel warden</w:t>
            </w:r>
          </w:p>
        </w:tc>
        <w:tc>
          <w:tcPr>
            <w:tcW w:type="dxa" w:w="1474"/>
            <w:shd w:val="clear" w:color="auto" w:fill="E8EEF5"/>
          </w:tcPr>
          <w:p>
            <w:pPr>
              <w:jc w:val="left"/>
            </w:pPr>
            <w:r/>
            <w:r>
              <w:rPr>
                <w:rFonts w:ascii="Cambria" w:hAnsi="Cambria"/>
                <w:b w:val="0"/>
                <w:i w:val="0"/>
                <w:sz w:val="20"/>
              </w:rPr>
              <w:t>GRC_Sep24_Hostel_ATR.pdf</w:t>
            </w:r>
          </w:p>
        </w:tc>
        <w:tc>
          <w:tcPr>
            <w:tcW w:type="dxa" w:w="1191"/>
            <w:shd w:val="clear" w:color="auto" w:fill="E8EEF5"/>
          </w:tcPr>
          <w:p>
            <w:pPr>
              <w:jc w:val="left"/>
            </w:pPr>
            <w:r/>
            <w:r>
              <w:rPr>
                <w:rFonts w:ascii="Cambria" w:hAnsi="Cambria"/>
                <w:b w:val="0"/>
                <w:i w:val="0"/>
                <w:sz w:val="20"/>
              </w:rPr>
              <w:t>05-10-2024 / 10</w:t>
            </w:r>
          </w:p>
        </w:tc>
        <w:tc>
          <w:tcPr>
            <w:tcW w:type="dxa" w:w="1531"/>
            <w:shd w:val="clear" w:color="auto" w:fill="E8EEF5"/>
          </w:tcPr>
          <w:p>
            <w:pPr>
              <w:jc w:val="left"/>
            </w:pPr>
            <w:r/>
            <w:r>
              <w:rPr>
                <w:rFonts w:ascii="Cambria" w:hAnsi="Cambria"/>
                <w:b w:val="0"/>
                <w:i w:val="0"/>
                <w:sz w:val="20"/>
              </w:rPr>
              <w:t>Closed / 4.6 / Green</w:t>
            </w:r>
          </w:p>
        </w:tc>
      </w:tr>
    </w:tbl>
    <w:p>
      <w:pPr>
        <w:spacing w:after="120"/>
      </w:pPr>
    </w:p>
    <w:p>
      <w:pPr>
        <w:keepNext/>
        <w:spacing w:before="280" w:after="160"/>
        <w:jc w:val="left"/>
      </w:pPr>
      <w:r>
        <w:rPr>
          <w:rFonts w:ascii="Cambria" w:hAnsi="Cambria"/>
          <w:b/>
          <w:i w:val="0"/>
          <w:color w:val="1F3A5F"/>
          <w:sz w:val="26"/>
        </w:rPr>
        <w:t>Tangible Outcomes Demonstrated</w:t>
      </w:r>
    </w:p>
    <w:p>
      <w:pPr>
        <w:pStyle w:val="ListBullet"/>
        <w:spacing w:after="80"/>
        <w:jc w:val="both"/>
      </w:pPr>
      <w:r>
        <w:rPr>
          <w:rFonts w:ascii="Cambria" w:hAnsi="Cambria"/>
          <w:b w:val="0"/>
          <w:i w:val="0"/>
          <w:sz w:val="22"/>
        </w:rPr>
        <w:t>100% grievances acknowledged within 48 hours.</w:t>
      </w:r>
    </w:p>
    <w:p>
      <w:pPr>
        <w:pStyle w:val="ListBullet"/>
        <w:spacing w:after="80"/>
        <w:jc w:val="both"/>
      </w:pPr>
      <w:r>
        <w:rPr>
          <w:rFonts w:ascii="Cambria" w:hAnsi="Cambria"/>
          <w:b w:val="0"/>
          <w:i w:val="0"/>
          <w:sz w:val="22"/>
        </w:rPr>
        <w:t>90% resolved within 30 days.</w:t>
      </w:r>
    </w:p>
    <w:p>
      <w:pPr>
        <w:pStyle w:val="ListBullet"/>
        <w:spacing w:after="80"/>
        <w:jc w:val="both"/>
      </w:pPr>
      <w:r>
        <w:rPr>
          <w:rFonts w:ascii="Cambria" w:hAnsi="Cambria"/>
          <w:b w:val="0"/>
          <w:i w:val="0"/>
          <w:sz w:val="22"/>
        </w:rPr>
        <w:t>Grievances reduced by 25% YoY due to preventive measures.</w:t>
      </w:r>
    </w:p>
    <w:p>
      <w:pPr>
        <w:spacing w:after="120"/>
        <w:jc w:val="both"/>
      </w:pPr>
      <w:r>
        <w:rPr>
          <w:rFonts w:ascii="Cambria" w:hAnsi="Cambria"/>
          <w:b w:val="0"/>
          <w:i w:val="0"/>
          <w:sz w:val="22"/>
        </w:rPr>
        <w:t>Student satisfaction improved from 3.7 → 4.5/5.</w:t>
      </w:r>
    </w:p>
    <w:p>
      <w:pPr>
        <w:pStyle w:val="ListBullet"/>
        <w:spacing w:after="80"/>
        <w:jc w:val="both"/>
      </w:pPr>
      <w:r>
        <w:rPr>
          <w:rFonts w:ascii="Cambria" w:hAnsi="Cambria"/>
          <w:b w:val="0"/>
          <w:i w:val="0"/>
          <w:sz w:val="22"/>
        </w:rPr>
        <w:t>Zero pending cases escalated beyond University-level GRC.</w:t>
      </w:r>
    </w:p>
    <w:p>
      <w:pPr>
        <w:keepNext/>
        <w:spacing w:before="280" w:after="160"/>
        <w:jc w:val="left"/>
      </w:pPr>
      <w:r>
        <w:rPr>
          <w:rFonts w:ascii="Cambria" w:hAnsi="Cambria"/>
          <w:b/>
          <w:i w:val="0"/>
          <w:color w:val="1F3A5F"/>
          <w:sz w:val="26"/>
        </w:rPr>
        <w:t>How This is Demonstrated</w:t>
      </w:r>
    </w:p>
    <w:p>
      <w:pPr>
        <w:pStyle w:val="ListBullet"/>
        <w:spacing w:after="80"/>
        <w:jc w:val="both"/>
      </w:pPr>
      <w:r>
        <w:rPr>
          <w:rFonts w:ascii="Cambria" w:hAnsi="Cambria"/>
          <w:b w:val="0"/>
          <w:i w:val="0"/>
          <w:sz w:val="22"/>
        </w:rPr>
        <w:t>Structured Committee</w:t>
      </w:r>
    </w:p>
    <w:p>
      <w:pPr>
        <w:pStyle w:val="ListBullet2"/>
        <w:spacing w:after="80"/>
        <w:jc w:val="both"/>
      </w:pPr>
      <w:r>
        <w:rPr>
          <w:rFonts w:ascii="Cambria" w:hAnsi="Cambria"/>
          <w:b w:val="0"/>
          <w:i w:val="0"/>
          <w:sz w:val="22"/>
        </w:rPr>
        <w:t>Official order establishes the GRC with defined roles and tenure.</w:t>
      </w:r>
    </w:p>
    <w:p>
      <w:pPr>
        <w:pStyle w:val="ListBullet2"/>
        <w:spacing w:after="80"/>
        <w:jc w:val="both"/>
      </w:pPr>
      <w:r>
        <w:rPr>
          <w:rFonts w:ascii="Cambria" w:hAnsi="Cambria"/>
          <w:b w:val="0"/>
          <w:i w:val="0"/>
          <w:sz w:val="22"/>
        </w:rPr>
        <w:t>Committee details displayed on noticeboards/website.</w:t>
      </w:r>
    </w:p>
    <w:p>
      <w:pPr>
        <w:spacing w:after="120"/>
        <w:jc w:val="both"/>
      </w:pPr>
      <w:r>
        <w:rPr>
          <w:rFonts w:ascii="Cambria" w:hAnsi="Cambria"/>
          <w:b w:val="0"/>
          <w:i w:val="0"/>
          <w:sz w:val="22"/>
        </w:rPr>
        <w:t xml:space="preserve"> → Evidence: Constitution order, member list, circulars.</w:t>
      </w:r>
    </w:p>
    <w:p>
      <w:pPr>
        <w:pStyle w:val="ListBullet"/>
        <w:spacing w:after="80"/>
        <w:jc w:val="both"/>
      </w:pPr>
      <w:r>
        <w:rPr>
          <w:rFonts w:ascii="Cambria" w:hAnsi="Cambria"/>
          <w:b w:val="0"/>
          <w:i w:val="0"/>
          <w:sz w:val="22"/>
        </w:rPr>
        <w:t>Functional Process</w:t>
      </w:r>
    </w:p>
    <w:p>
      <w:pPr>
        <w:pStyle w:val="ListBullet2"/>
        <w:spacing w:after="80"/>
        <w:jc w:val="both"/>
      </w:pPr>
      <w:r>
        <w:rPr>
          <w:rFonts w:ascii="Cambria" w:hAnsi="Cambria"/>
          <w:b w:val="0"/>
          <w:i w:val="0"/>
          <w:sz w:val="22"/>
        </w:rPr>
        <w:t>Complaints received via multiple channels (ERP, email, box).</w:t>
      </w:r>
    </w:p>
    <w:p>
      <w:pPr>
        <w:pStyle w:val="ListBullet2"/>
        <w:spacing w:after="80"/>
        <w:jc w:val="both"/>
      </w:pPr>
      <w:r>
        <w:rPr>
          <w:rFonts w:ascii="Cambria" w:hAnsi="Cambria"/>
          <w:b w:val="0"/>
          <w:i w:val="0"/>
          <w:sz w:val="22"/>
        </w:rPr>
        <w:t>Each grievance acknowledged within 24–48 hours.</w:t>
      </w:r>
    </w:p>
    <w:p>
      <w:pPr>
        <w:spacing w:after="120"/>
        <w:jc w:val="both"/>
      </w:pPr>
      <w:r>
        <w:rPr>
          <w:rFonts w:ascii="Cambria" w:hAnsi="Cambria"/>
          <w:b w:val="0"/>
          <w:i w:val="0"/>
          <w:sz w:val="22"/>
        </w:rPr>
        <w:t xml:space="preserve"> → Evidence: Acknowledgement emails/letters, complaint register.</w:t>
      </w:r>
    </w:p>
    <w:p>
      <w:pPr>
        <w:pStyle w:val="ListBullet"/>
        <w:spacing w:after="80"/>
        <w:jc w:val="both"/>
      </w:pPr>
      <w:r>
        <w:rPr>
          <w:rFonts w:ascii="Cambria" w:hAnsi="Cambria"/>
          <w:b w:val="0"/>
          <w:i w:val="0"/>
          <w:sz w:val="22"/>
        </w:rPr>
        <w:t>Regular Review &amp; Resolution</w:t>
      </w:r>
    </w:p>
    <w:p>
      <w:pPr>
        <w:pStyle w:val="ListBullet2"/>
        <w:spacing w:after="80"/>
        <w:jc w:val="both"/>
      </w:pPr>
      <w:r>
        <w:rPr>
          <w:rFonts w:ascii="Cambria" w:hAnsi="Cambria"/>
          <w:b w:val="0"/>
          <w:i w:val="0"/>
          <w:sz w:val="22"/>
        </w:rPr>
        <w:t>GRC meets monthly/quarterly to review cases.</w:t>
      </w:r>
    </w:p>
    <w:p>
      <w:pPr>
        <w:pStyle w:val="ListBullet"/>
        <w:spacing w:after="80"/>
        <w:jc w:val="both"/>
      </w:pPr>
      <w:r>
        <w:rPr>
          <w:rFonts w:ascii="Cambria" w:hAnsi="Cambria"/>
          <w:b w:val="0"/>
          <w:i w:val="0"/>
          <w:sz w:val="22"/>
        </w:rPr>
        <w:t>90%+ grievances resolved within 30 days.</w:t>
      </w:r>
    </w:p>
    <w:p>
      <w:pPr>
        <w:spacing w:after="120"/>
        <w:jc w:val="both"/>
      </w:pPr>
      <w:r>
        <w:rPr>
          <w:rFonts w:ascii="Cambria" w:hAnsi="Cambria"/>
          <w:b w:val="0"/>
          <w:i w:val="0"/>
          <w:sz w:val="22"/>
        </w:rPr>
        <w:t xml:space="preserve"> → Evidence: MoMs, Action Taken Reports.</w:t>
      </w:r>
    </w:p>
    <w:p>
      <w:pPr>
        <w:pStyle w:val="ListBullet"/>
        <w:spacing w:after="80"/>
        <w:jc w:val="both"/>
      </w:pPr>
      <w:r>
        <w:rPr>
          <w:rFonts w:ascii="Cambria" w:hAnsi="Cambria"/>
          <w:b w:val="0"/>
          <w:i w:val="0"/>
          <w:sz w:val="22"/>
        </w:rPr>
        <w:t>Outcome-Linked</w:t>
      </w:r>
    </w:p>
    <w:p>
      <w:pPr>
        <w:pStyle w:val="ListBullet2"/>
        <w:spacing w:after="80"/>
        <w:jc w:val="both"/>
      </w:pPr>
      <w:r>
        <w:rPr>
          <w:rFonts w:ascii="Cambria" w:hAnsi="Cambria"/>
          <w:b w:val="0"/>
          <w:i w:val="0"/>
          <w:sz w:val="22"/>
        </w:rPr>
        <w:t>Resolution timelines tracked (auto % compliance).</w:t>
      </w:r>
    </w:p>
    <w:p>
      <w:pPr>
        <w:pStyle w:val="ListBullet2"/>
        <w:spacing w:after="80"/>
        <w:jc w:val="both"/>
      </w:pPr>
      <w:r>
        <w:rPr>
          <w:rFonts w:ascii="Cambria" w:hAnsi="Cambria"/>
          <w:b w:val="0"/>
          <w:i w:val="0"/>
          <w:sz w:val="22"/>
        </w:rPr>
        <w:t>Student satisfaction scores recorded after closure.</w:t>
      </w:r>
    </w:p>
    <w:p>
      <w:pPr>
        <w:spacing w:after="120"/>
        <w:jc w:val="both"/>
      </w:pPr>
      <w:r>
        <w:rPr>
          <w:rFonts w:ascii="Cambria" w:hAnsi="Cambria"/>
          <w:b w:val="0"/>
          <w:i w:val="0"/>
          <w:sz w:val="22"/>
        </w:rPr>
        <w:t xml:space="preserve"> → Evidence: Feedback forms, consolidated grievance reports.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grievances acknowledged within 48 hours.</w:t>
      </w:r>
    </w:p>
    <w:p>
      <w:pPr>
        <w:pStyle w:val="ListBullet"/>
        <w:spacing w:after="80"/>
        <w:jc w:val="both"/>
      </w:pPr>
      <w:r>
        <w:rPr>
          <w:rFonts w:ascii="Cambria" w:hAnsi="Cambria"/>
          <w:b w:val="0"/>
          <w:i w:val="0"/>
          <w:sz w:val="22"/>
        </w:rPr>
        <w:t>90% resolved within 30 days.</w:t>
      </w:r>
    </w:p>
    <w:p>
      <w:pPr>
        <w:pStyle w:val="ListBullet"/>
        <w:spacing w:after="80"/>
        <w:jc w:val="both"/>
      </w:pPr>
      <w:r>
        <w:rPr>
          <w:rFonts w:ascii="Cambria" w:hAnsi="Cambria"/>
          <w:b w:val="0"/>
          <w:i w:val="0"/>
          <w:sz w:val="22"/>
        </w:rPr>
        <w:t>Repeated grievances reduced by 25% YoY due to corrective measures.</w:t>
      </w:r>
    </w:p>
    <w:p>
      <w:pPr>
        <w:spacing w:after="120"/>
        <w:jc w:val="both"/>
      </w:pPr>
      <w:r>
        <w:rPr>
          <w:rFonts w:ascii="Cambria" w:hAnsi="Cambria"/>
          <w:b w:val="0"/>
          <w:i w:val="0"/>
          <w:sz w:val="22"/>
        </w:rPr>
        <w:t>Student satisfaction with grievance redressal ↑ from 3.7 → 4.5/5.</w:t>
      </w:r>
    </w:p>
    <w:p>
      <w:pPr>
        <w:pStyle w:val="ListBullet"/>
        <w:spacing w:after="80"/>
        <w:jc w:val="both"/>
      </w:pPr>
      <w:r>
        <w:rPr>
          <w:rFonts w:ascii="Cambria" w:hAnsi="Cambria"/>
          <w:b w:val="0"/>
          <w:i w:val="0"/>
          <w:sz w:val="22"/>
        </w:rPr>
        <w:t>Zero unresolved cases escalated beyond University-level GRC.</w:t>
      </w:r>
    </w:p>
    <w:p>
      <w:r>
        <w:br w:type="page"/>
      </w:r>
    </w:p>
    <w:p>
      <w:pPr>
        <w:keepNext/>
        <w:spacing w:before="280" w:after="160"/>
        <w:jc w:val="left"/>
      </w:pPr>
      <w:r>
        <w:rPr>
          <w:rFonts w:ascii="Cambria" w:hAnsi="Cambria"/>
          <w:b/>
          <w:i w:val="0"/>
          <w:color w:val="1F3A5F"/>
          <w:sz w:val="30"/>
        </w:rPr>
        <w:t>25. HoD's Role in Inviting Guests for Lectures, and Conducting Seminars, Workshops, and Symposiums in the Division</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ensures that guest lectures, seminars, workshops, and symposiums are systematically planned, executed, and documented to enhance student learning, industry exposure, and research culture in alignment with institutional goals and OBE (CO–PO–PSO) framework.</w:t>
      </w:r>
    </w:p>
    <w:p>
      <w:pPr>
        <w:keepNext/>
        <w:spacing w:before="280" w:after="160"/>
        <w:jc w:val="left"/>
      </w:pPr>
      <w:r>
        <w:rPr>
          <w:rFonts w:ascii="Cambria" w:hAnsi="Cambria"/>
          <w:b/>
          <w:i w:val="0"/>
          <w:color w:val="1F3A5F"/>
          <w:sz w:val="26"/>
        </w:rPr>
        <w:t>Actions by HoD/Division</w:t>
      </w:r>
    </w:p>
    <w:p>
      <w:pPr>
        <w:pStyle w:val="ListBullet"/>
        <w:spacing w:after="80"/>
        <w:jc w:val="both"/>
      </w:pPr>
      <w:r>
        <w:rPr>
          <w:rFonts w:ascii="Cambria" w:hAnsi="Cambria"/>
          <w:b w:val="0"/>
          <w:i w:val="0"/>
          <w:sz w:val="22"/>
        </w:rPr>
        <w:t>Planning</w:t>
      </w:r>
    </w:p>
    <w:p>
      <w:pPr>
        <w:pStyle w:val="ListBullet2"/>
        <w:spacing w:after="80"/>
        <w:jc w:val="both"/>
      </w:pPr>
      <w:r>
        <w:rPr>
          <w:rFonts w:ascii="Cambria" w:hAnsi="Cambria"/>
          <w:b w:val="0"/>
          <w:i w:val="0"/>
          <w:sz w:val="22"/>
        </w:rPr>
        <w:t>Identify themes aligned to curriculum, industry needs, and research trends.</w:t>
      </w:r>
    </w:p>
    <w:p>
      <w:pPr>
        <w:pStyle w:val="ListBullet2"/>
        <w:spacing w:after="80"/>
        <w:jc w:val="both"/>
      </w:pPr>
      <w:r>
        <w:rPr>
          <w:rFonts w:ascii="Cambria" w:hAnsi="Cambria"/>
          <w:b w:val="0"/>
          <w:i w:val="0"/>
          <w:sz w:val="22"/>
        </w:rPr>
        <w:t>Finalize resource persons (academia/industry experts).</w:t>
      </w:r>
    </w:p>
    <w:p>
      <w:pPr>
        <w:pStyle w:val="ListBullet2"/>
        <w:spacing w:after="80"/>
        <w:jc w:val="both"/>
      </w:pPr>
      <w:r>
        <w:rPr>
          <w:rFonts w:ascii="Cambria" w:hAnsi="Cambria"/>
          <w:b w:val="0"/>
          <w:i w:val="0"/>
          <w:sz w:val="22"/>
        </w:rPr>
        <w:t>Approve budgets and logistics.</w:t>
      </w:r>
    </w:p>
    <w:p>
      <w:pPr>
        <w:pStyle w:val="ListBullet"/>
        <w:spacing w:after="80"/>
        <w:jc w:val="both"/>
      </w:pPr>
      <w:r>
        <w:rPr>
          <w:rFonts w:ascii="Cambria" w:hAnsi="Cambria"/>
          <w:b w:val="0"/>
          <w:i w:val="0"/>
          <w:sz w:val="22"/>
        </w:rPr>
        <w:t>Execution</w:t>
      </w:r>
    </w:p>
    <w:p>
      <w:pPr>
        <w:pStyle w:val="ListBullet2"/>
        <w:spacing w:after="80"/>
        <w:jc w:val="both"/>
      </w:pPr>
      <w:r>
        <w:rPr>
          <w:rFonts w:ascii="Cambria" w:hAnsi="Cambria"/>
          <w:b w:val="0"/>
          <w:i w:val="0"/>
          <w:sz w:val="22"/>
        </w:rPr>
        <w:t>Send invitations to guests and confirm participation.</w:t>
      </w:r>
    </w:p>
    <w:p>
      <w:pPr>
        <w:pStyle w:val="ListBullet2"/>
        <w:spacing w:after="80"/>
        <w:jc w:val="both"/>
      </w:pPr>
      <w:r>
        <w:rPr>
          <w:rFonts w:ascii="Cambria" w:hAnsi="Cambria"/>
          <w:b w:val="0"/>
          <w:i w:val="0"/>
          <w:sz w:val="22"/>
        </w:rPr>
        <w:t>Prepare event schedule, publicity, and student participation plan.</w:t>
      </w:r>
    </w:p>
    <w:p>
      <w:pPr>
        <w:pStyle w:val="ListBullet2"/>
        <w:spacing w:after="80"/>
        <w:jc w:val="both"/>
      </w:pPr>
      <w:r>
        <w:rPr>
          <w:rFonts w:ascii="Cambria" w:hAnsi="Cambria"/>
          <w:b w:val="0"/>
          <w:i w:val="0"/>
          <w:sz w:val="22"/>
        </w:rPr>
        <w:t>Conduct sessions with active student–faculty interaction.</w:t>
      </w:r>
    </w:p>
    <w:p>
      <w:pPr>
        <w:pStyle w:val="ListBullet"/>
        <w:spacing w:after="80"/>
        <w:jc w:val="both"/>
      </w:pPr>
      <w:r>
        <w:rPr>
          <w:rFonts w:ascii="Cambria" w:hAnsi="Cambria"/>
          <w:b w:val="0"/>
          <w:i w:val="0"/>
          <w:sz w:val="22"/>
        </w:rPr>
        <w:t>Integration with OBE</w:t>
      </w:r>
    </w:p>
    <w:p>
      <w:pPr>
        <w:spacing w:after="120"/>
        <w:jc w:val="both"/>
      </w:pPr>
      <w:r>
        <w:rPr>
          <w:rFonts w:ascii="Cambria" w:hAnsi="Cambria"/>
          <w:b w:val="0"/>
          <w:i w:val="0"/>
          <w:sz w:val="22"/>
        </w:rPr>
        <w:t>Map each event to relevant COs/POs/PSOs (e.g., PO3 – Problem Analysis, PO10 – Communication, PO12 – Lifelong Learning).</w:t>
      </w:r>
    </w:p>
    <w:p>
      <w:pPr>
        <w:pStyle w:val="ListBullet2"/>
        <w:spacing w:after="80"/>
        <w:jc w:val="both"/>
      </w:pPr>
      <w:r>
        <w:rPr>
          <w:rFonts w:ascii="Cambria" w:hAnsi="Cambria"/>
          <w:b w:val="0"/>
          <w:i w:val="0"/>
          <w:sz w:val="22"/>
        </w:rPr>
        <w:t>Collect participant feedback on relevance and impact.</w:t>
      </w:r>
    </w:p>
    <w:p>
      <w:pPr>
        <w:pStyle w:val="ListBullet"/>
        <w:spacing w:after="80"/>
        <w:jc w:val="both"/>
      </w:pPr>
      <w:r>
        <w:rPr>
          <w:rFonts w:ascii="Cambria" w:hAnsi="Cambria"/>
          <w:b w:val="0"/>
          <w:i w:val="0"/>
          <w:sz w:val="22"/>
        </w:rPr>
        <w:t>Documentation &amp; Review</w:t>
      </w:r>
    </w:p>
    <w:p>
      <w:pPr>
        <w:pStyle w:val="ListBullet2"/>
        <w:spacing w:after="80"/>
        <w:jc w:val="both"/>
      </w:pPr>
      <w:r>
        <w:rPr>
          <w:rFonts w:ascii="Cambria" w:hAnsi="Cambria"/>
          <w:b w:val="0"/>
          <w:i w:val="0"/>
          <w:sz w:val="22"/>
        </w:rPr>
        <w:t>Prepare event reports highlighting objectives, participation, outcomes, and evidence.</w:t>
      </w:r>
    </w:p>
    <w:p>
      <w:pPr>
        <w:pStyle w:val="ListBullet2"/>
        <w:spacing w:after="80"/>
        <w:jc w:val="both"/>
      </w:pPr>
      <w:r>
        <w:rPr>
          <w:rFonts w:ascii="Cambria" w:hAnsi="Cambria"/>
          <w:b w:val="0"/>
          <w:i w:val="0"/>
          <w:sz w:val="22"/>
        </w:rPr>
        <w:t>Submit Action Taken Reports (ATRs) for improvements in future events.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Invitation letters/emails to guests.</w:t>
      </w:r>
    </w:p>
    <w:p>
      <w:pPr>
        <w:pStyle w:val="ListBullet"/>
        <w:spacing w:after="80"/>
        <w:jc w:val="both"/>
      </w:pPr>
      <w:r>
        <w:rPr>
          <w:rFonts w:ascii="Cambria" w:hAnsi="Cambria"/>
          <w:b w:val="0"/>
          <w:i w:val="0"/>
          <w:sz w:val="22"/>
        </w:rPr>
        <w:t>Approval from HoD/Principal.</w:t>
      </w:r>
    </w:p>
    <w:p>
      <w:pPr>
        <w:pStyle w:val="ListBullet"/>
        <w:spacing w:after="80"/>
        <w:jc w:val="both"/>
      </w:pPr>
      <w:r>
        <w:rPr>
          <w:rFonts w:ascii="Cambria" w:hAnsi="Cambria"/>
          <w:b w:val="0"/>
          <w:i w:val="0"/>
          <w:sz w:val="22"/>
        </w:rPr>
        <w:t>Event schedule and agenda.</w:t>
      </w:r>
    </w:p>
    <w:p>
      <w:pPr>
        <w:pStyle w:val="ListBullet"/>
        <w:spacing w:after="80"/>
        <w:jc w:val="both"/>
      </w:pPr>
      <w:r>
        <w:rPr>
          <w:rFonts w:ascii="Cambria" w:hAnsi="Cambria"/>
          <w:b w:val="0"/>
          <w:i w:val="0"/>
          <w:sz w:val="22"/>
        </w:rPr>
        <w:t>Attendance sheets of students/faculty.</w:t>
      </w:r>
    </w:p>
    <w:p>
      <w:pPr>
        <w:pStyle w:val="ListBullet"/>
        <w:spacing w:after="80"/>
        <w:jc w:val="both"/>
      </w:pPr>
      <w:r>
        <w:rPr>
          <w:rFonts w:ascii="Cambria" w:hAnsi="Cambria"/>
          <w:b w:val="0"/>
          <w:i w:val="0"/>
          <w:sz w:val="22"/>
        </w:rPr>
        <w:t>Photos/videos/media coverage of events.</w:t>
      </w:r>
    </w:p>
    <w:p>
      <w:pPr>
        <w:pStyle w:val="ListBullet"/>
        <w:spacing w:after="80"/>
        <w:jc w:val="both"/>
      </w:pPr>
      <w:r>
        <w:rPr>
          <w:rFonts w:ascii="Cambria" w:hAnsi="Cambria"/>
          <w:b w:val="0"/>
          <w:i w:val="0"/>
          <w:sz w:val="22"/>
        </w:rPr>
        <w:t>Feedback forms and analysis reports.</w:t>
      </w:r>
    </w:p>
    <w:p>
      <w:pPr>
        <w:spacing w:after="120"/>
        <w:jc w:val="both"/>
      </w:pPr>
      <w:r>
        <w:rPr>
          <w:rFonts w:ascii="Cambria" w:hAnsi="Cambria"/>
          <w:b w:val="0"/>
          <w:i w:val="0"/>
          <w:sz w:val="22"/>
        </w:rPr>
        <w:t>Event report (objectives, CO/PO/PSO mapping, outcomes).</w:t>
      </w:r>
    </w:p>
    <w:p>
      <w:pPr>
        <w:pStyle w:val="ListBullet"/>
        <w:spacing w:after="80"/>
        <w:jc w:val="both"/>
      </w:pPr>
      <w:r>
        <w:rPr>
          <w:rFonts w:ascii="Cambria" w:hAnsi="Cambria"/>
          <w:b w:val="0"/>
          <w:i w:val="0"/>
          <w:sz w:val="22"/>
        </w:rPr>
        <w:t>ATRs from feedback review.</w:t>
      </w:r>
    </w:p>
    <w:p>
      <w:pPr>
        <w:pStyle w:val="ListBullet"/>
        <w:spacing w:after="80"/>
        <w:jc w:val="both"/>
      </w:pPr>
      <w:r>
        <w:rPr>
          <w:rFonts w:ascii="Cambria" w:hAnsi="Cambria"/>
          <w:b w:val="0"/>
          <w:i w:val="0"/>
          <w:sz w:val="22"/>
        </w:rPr>
        <w:t>Consolidated list of events for AQAR/SSR (Criterion 3 &amp; 5 NAAC; NBA Criterion 10).</w:t>
      </w:r>
    </w:p>
    <w:p>
      <w:pPr>
        <w:keepNext/>
        <w:spacing w:before="280" w:after="160"/>
        <w:jc w:val="left"/>
      </w:pPr>
      <w:r>
        <w:rPr>
          <w:rFonts w:ascii="Cambria" w:hAnsi="Cambria"/>
          <w:b/>
          <w:i w:val="0"/>
          <w:color w:val="1F3A5F"/>
          <w:sz w:val="26"/>
        </w:rPr>
        <w:t>Tangible Outcomes (Numeric &amp; Measurable)</w:t>
      </w:r>
    </w:p>
    <w:p>
      <w:pPr>
        <w:spacing w:after="120"/>
        <w:jc w:val="both"/>
      </w:pPr>
      <w:r>
        <w:rPr>
          <w:rFonts w:ascii="Cambria" w:hAnsi="Cambria"/>
          <w:b w:val="0"/>
          <w:i w:val="0"/>
          <w:sz w:val="22"/>
        </w:rPr>
        <w:t>Number of guest lectures/workshops ↑ 30% YoY.</w:t>
      </w:r>
    </w:p>
    <w:p>
      <w:pPr>
        <w:spacing w:after="120"/>
        <w:jc w:val="both"/>
      </w:pPr>
      <w:r>
        <w:rPr>
          <w:rFonts w:ascii="Cambria" w:hAnsi="Cambria"/>
          <w:b w:val="0"/>
          <w:i w:val="0"/>
          <w:sz w:val="22"/>
        </w:rPr>
        <w:t>Student participation ↑ from 65% → 85%.</w:t>
      </w:r>
    </w:p>
    <w:p>
      <w:pPr>
        <w:spacing w:after="120"/>
        <w:jc w:val="both"/>
      </w:pPr>
      <w:r>
        <w:rPr>
          <w:rFonts w:ascii="Cambria" w:hAnsi="Cambria"/>
          <w:b w:val="0"/>
          <w:i w:val="0"/>
          <w:sz w:val="22"/>
        </w:rPr>
        <w:t>Student feedback on relevance ↑ from 3.9 → 4.6/5.</w:t>
      </w:r>
    </w:p>
    <w:p>
      <w:pPr>
        <w:pStyle w:val="ListBullet"/>
        <w:spacing w:after="80"/>
        <w:jc w:val="both"/>
      </w:pPr>
      <w:r>
        <w:rPr>
          <w:rFonts w:ascii="Cambria" w:hAnsi="Cambria"/>
          <w:b w:val="0"/>
          <w:i w:val="0"/>
          <w:sz w:val="22"/>
        </w:rPr>
        <w:t>Industry linkages strengthened (MoUs signed, internships offered).</w:t>
      </w:r>
    </w:p>
    <w:p>
      <w:pPr>
        <w:pStyle w:val="ListBullet"/>
        <w:spacing w:after="80"/>
        <w:jc w:val="both"/>
      </w:pPr>
      <w:r>
        <w:rPr>
          <w:rFonts w:ascii="Cambria" w:hAnsi="Cambria"/>
          <w:b w:val="0"/>
          <w:i w:val="0"/>
          <w:sz w:val="22"/>
        </w:rPr>
        <w:t>Research collaborations initiated (joint publications/projects).</w:t>
      </w:r>
    </w:p>
    <w:p>
      <w:pPr>
        <w:spacing w:after="120"/>
        <w:jc w:val="both"/>
      </w:pPr>
      <w:r>
        <w:rPr>
          <w:rFonts w:ascii="Cambria" w:hAnsi="Cambria"/>
          <w:b w:val="0"/>
          <w:i w:val="0"/>
          <w:sz w:val="22"/>
        </w:rPr>
        <w:t>Placement readiness scores ↑ 20% after industry-led sessions.</w:t>
      </w:r>
    </w:p>
    <w:p>
      <w:pPr>
        <w:keepNext/>
        <w:spacing w:before="280" w:after="160"/>
        <w:jc w:val="left"/>
      </w:pPr>
      <w:r>
        <w:rPr>
          <w:rFonts w:ascii="Cambria" w:hAnsi="Cambria"/>
          <w:b/>
          <w:i w:val="0"/>
          <w:color w:val="1F3A5F"/>
          <w:sz w:val="26"/>
        </w:rPr>
        <w:t>Evidence/Documents – Guest Lectures, Seminars, Workshops, Symposiums</w:t>
      </w:r>
    </w:p>
    <w:p>
      <w:pPr>
        <w:spacing w:after="80"/>
        <w:ind w:left="340" w:hanging="340"/>
        <w:jc w:val="both"/>
      </w:pPr>
      <w:r>
        <w:rPr>
          <w:rFonts w:ascii="Cambria" w:hAnsi="Cambria"/>
          <w:b w:val="0"/>
          <w:i w:val="0"/>
          <w:sz w:val="22"/>
        </w:rPr>
        <w:t xml:space="preserve">1. </w:t>
      </w:r>
      <w:r>
        <w:rPr>
          <w:rFonts w:ascii="Cambria" w:hAnsi="Cambria"/>
          <w:b w:val="0"/>
          <w:i w:val="0"/>
          <w:sz w:val="22"/>
        </w:rPr>
        <w:t>Invitation Letters/Emails to Guests</w:t>
      </w:r>
    </w:p>
    <w:p>
      <w:pPr>
        <w:pStyle w:val="ListBullet2"/>
        <w:spacing w:after="80"/>
        <w:jc w:val="both"/>
      </w:pPr>
      <w:r>
        <w:rPr>
          <w:rFonts w:ascii="Cambria" w:hAnsi="Cambria"/>
          <w:b w:val="0"/>
          <w:i w:val="0"/>
          <w:sz w:val="22"/>
        </w:rPr>
        <w:t>Formal invitation sent to external experts (academia/industry).</w:t>
      </w:r>
    </w:p>
    <w:p>
      <w:pPr>
        <w:pStyle w:val="ListBullet2"/>
        <w:spacing w:after="80"/>
        <w:jc w:val="both"/>
      </w:pPr>
      <w:r>
        <w:rPr>
          <w:rFonts w:ascii="Cambria" w:hAnsi="Cambria"/>
          <w:b w:val="0"/>
          <w:i w:val="0"/>
          <w:sz w:val="22"/>
        </w:rPr>
        <w:t>Acknowledgements confirming participation.</w:t>
      </w:r>
    </w:p>
    <w:p>
      <w:pPr>
        <w:spacing w:after="80"/>
        <w:ind w:left="340" w:hanging="340"/>
        <w:jc w:val="both"/>
      </w:pPr>
      <w:r>
        <w:rPr>
          <w:rFonts w:ascii="Cambria" w:hAnsi="Cambria"/>
          <w:b w:val="0"/>
          <w:i w:val="0"/>
          <w:sz w:val="22"/>
        </w:rPr>
        <w:t xml:space="preserve">2. </w:t>
      </w:r>
      <w:r>
        <w:rPr>
          <w:rFonts w:ascii="Cambria" w:hAnsi="Cambria"/>
          <w:b w:val="0"/>
          <w:i w:val="0"/>
          <w:sz w:val="22"/>
        </w:rPr>
        <w:t>Approval from HoD/Principal</w:t>
      </w:r>
    </w:p>
    <w:p>
      <w:pPr>
        <w:pStyle w:val="ListBullet2"/>
        <w:spacing w:after="80"/>
        <w:jc w:val="both"/>
      </w:pPr>
      <w:r>
        <w:rPr>
          <w:rFonts w:ascii="Cambria" w:hAnsi="Cambria"/>
          <w:b w:val="0"/>
          <w:i w:val="0"/>
          <w:sz w:val="22"/>
        </w:rPr>
        <w:t>Administrative approval for event conduction.</w:t>
      </w:r>
    </w:p>
    <w:p>
      <w:pPr>
        <w:pStyle w:val="ListBullet2"/>
        <w:spacing w:after="80"/>
        <w:jc w:val="both"/>
      </w:pPr>
      <w:r>
        <w:rPr>
          <w:rFonts w:ascii="Cambria" w:hAnsi="Cambria"/>
          <w:b w:val="0"/>
          <w:i w:val="0"/>
          <w:sz w:val="22"/>
        </w:rPr>
        <w:t>Includes budget sanction, venue allocation, and logistics.</w:t>
      </w:r>
    </w:p>
    <w:p>
      <w:pPr>
        <w:spacing w:after="80"/>
        <w:ind w:left="340" w:hanging="340"/>
        <w:jc w:val="both"/>
      </w:pPr>
      <w:r>
        <w:rPr>
          <w:rFonts w:ascii="Cambria" w:hAnsi="Cambria"/>
          <w:b w:val="0"/>
          <w:i w:val="0"/>
          <w:sz w:val="22"/>
        </w:rPr>
        <w:t xml:space="preserve">3. </w:t>
      </w:r>
      <w:r>
        <w:rPr>
          <w:rFonts w:ascii="Cambria" w:hAnsi="Cambria"/>
          <w:b w:val="0"/>
          <w:i w:val="0"/>
          <w:sz w:val="22"/>
        </w:rPr>
        <w:t>Event Schedule and Agenda</w:t>
      </w:r>
    </w:p>
    <w:p>
      <w:pPr>
        <w:pStyle w:val="ListBullet2"/>
        <w:spacing w:after="80"/>
        <w:jc w:val="both"/>
      </w:pPr>
      <w:r>
        <w:rPr>
          <w:rFonts w:ascii="Cambria" w:hAnsi="Cambria"/>
          <w:b w:val="0"/>
          <w:i w:val="0"/>
          <w:sz w:val="22"/>
        </w:rPr>
        <w:t>Detailed session plan circulated in advance.</w:t>
      </w:r>
    </w:p>
    <w:p>
      <w:pPr>
        <w:pStyle w:val="ListBullet2"/>
        <w:spacing w:after="80"/>
        <w:jc w:val="both"/>
      </w:pPr>
      <w:r>
        <w:rPr>
          <w:rFonts w:ascii="Cambria" w:hAnsi="Cambria"/>
          <w:b w:val="0"/>
          <w:i w:val="0"/>
          <w:sz w:val="22"/>
        </w:rPr>
        <w:t>Highlights objectives, speakers, and expected outcomes.</w:t>
      </w:r>
    </w:p>
    <w:p>
      <w:pPr>
        <w:spacing w:after="80"/>
        <w:ind w:left="340" w:hanging="340"/>
        <w:jc w:val="both"/>
      </w:pPr>
      <w:r>
        <w:rPr>
          <w:rFonts w:ascii="Cambria" w:hAnsi="Cambria"/>
          <w:b w:val="0"/>
          <w:i w:val="0"/>
          <w:sz w:val="22"/>
        </w:rPr>
        <w:t xml:space="preserve">4. </w:t>
      </w:r>
      <w:r>
        <w:rPr>
          <w:rFonts w:ascii="Cambria" w:hAnsi="Cambria"/>
          <w:b w:val="0"/>
          <w:i w:val="0"/>
          <w:sz w:val="22"/>
        </w:rPr>
        <w:t>Attendance Sheets of Students/Faculty</w:t>
      </w:r>
    </w:p>
    <w:p>
      <w:pPr>
        <w:pStyle w:val="ListBullet2"/>
        <w:spacing w:after="80"/>
        <w:jc w:val="both"/>
      </w:pPr>
      <w:r>
        <w:rPr>
          <w:rFonts w:ascii="Cambria" w:hAnsi="Cambria"/>
          <w:b w:val="0"/>
          <w:i w:val="0"/>
          <w:sz w:val="22"/>
        </w:rPr>
        <w:t>Signed registers or ERP attendance logs.</w:t>
      </w:r>
    </w:p>
    <w:p>
      <w:pPr>
        <w:pStyle w:val="ListBullet2"/>
        <w:spacing w:after="80"/>
        <w:jc w:val="both"/>
      </w:pPr>
      <w:r>
        <w:rPr>
          <w:rFonts w:ascii="Cambria" w:hAnsi="Cambria"/>
          <w:b w:val="0"/>
          <w:i w:val="0"/>
          <w:sz w:val="22"/>
        </w:rPr>
        <w:t>Helps measure participation percentage.</w:t>
      </w:r>
    </w:p>
    <w:p>
      <w:pPr>
        <w:spacing w:after="80"/>
        <w:ind w:left="340" w:hanging="340"/>
        <w:jc w:val="both"/>
      </w:pPr>
      <w:r>
        <w:rPr>
          <w:rFonts w:ascii="Cambria" w:hAnsi="Cambria"/>
          <w:b w:val="0"/>
          <w:i w:val="0"/>
          <w:sz w:val="22"/>
        </w:rPr>
        <w:t xml:space="preserve">5. </w:t>
      </w:r>
      <w:r>
        <w:rPr>
          <w:rFonts w:ascii="Cambria" w:hAnsi="Cambria"/>
          <w:b w:val="0"/>
          <w:i w:val="0"/>
          <w:sz w:val="22"/>
        </w:rPr>
        <w:t>Photos/Videos/Media Coverage of Events</w:t>
      </w:r>
    </w:p>
    <w:p>
      <w:pPr>
        <w:pStyle w:val="ListBullet2"/>
        <w:spacing w:after="80"/>
        <w:jc w:val="both"/>
      </w:pPr>
      <w:r>
        <w:rPr>
          <w:rFonts w:ascii="Cambria" w:hAnsi="Cambria"/>
          <w:b w:val="0"/>
          <w:i w:val="0"/>
          <w:sz w:val="22"/>
        </w:rPr>
        <w:t>Documentary evidence for SSR/AQAR.</w:t>
      </w:r>
    </w:p>
    <w:p>
      <w:pPr>
        <w:pStyle w:val="ListBullet2"/>
        <w:spacing w:after="80"/>
        <w:jc w:val="both"/>
      </w:pPr>
      <w:r>
        <w:rPr>
          <w:rFonts w:ascii="Cambria" w:hAnsi="Cambria"/>
          <w:b w:val="0"/>
          <w:i w:val="0"/>
          <w:sz w:val="22"/>
        </w:rPr>
        <w:t>Used in annual reports, websites, and newsletters.</w:t>
      </w:r>
    </w:p>
    <w:p>
      <w:pPr>
        <w:spacing w:after="80"/>
        <w:ind w:left="340" w:hanging="340"/>
        <w:jc w:val="both"/>
      </w:pPr>
      <w:r>
        <w:rPr>
          <w:rFonts w:ascii="Cambria" w:hAnsi="Cambria"/>
          <w:b w:val="0"/>
          <w:i w:val="0"/>
          <w:sz w:val="22"/>
        </w:rPr>
        <w:t xml:space="preserve">6. </w:t>
      </w:r>
      <w:r>
        <w:rPr>
          <w:rFonts w:ascii="Cambria" w:hAnsi="Cambria"/>
          <w:b w:val="0"/>
          <w:i w:val="0"/>
          <w:sz w:val="22"/>
        </w:rPr>
        <w:t>Feedback Forms and Analysis Reports</w:t>
      </w:r>
    </w:p>
    <w:p>
      <w:pPr>
        <w:pStyle w:val="ListBullet2"/>
        <w:spacing w:after="80"/>
        <w:jc w:val="both"/>
      </w:pPr>
      <w:r>
        <w:rPr>
          <w:rFonts w:ascii="Cambria" w:hAnsi="Cambria"/>
          <w:b w:val="0"/>
          <w:i w:val="0"/>
          <w:sz w:val="22"/>
        </w:rPr>
        <w:t>Student/faculty feedback on event relevance, speaker effectiveness, and learning outcomes.</w:t>
      </w:r>
    </w:p>
    <w:p>
      <w:pPr>
        <w:pStyle w:val="ListBullet2"/>
        <w:spacing w:after="80"/>
        <w:jc w:val="both"/>
      </w:pPr>
      <w:r>
        <w:rPr>
          <w:rFonts w:ascii="Cambria" w:hAnsi="Cambria"/>
          <w:b w:val="0"/>
          <w:i w:val="0"/>
          <w:sz w:val="22"/>
        </w:rPr>
        <w:t>Consolidated analysis used for CQI (Continuous Quality Improvement).</w:t>
      </w:r>
    </w:p>
    <w:p>
      <w:pPr>
        <w:spacing w:after="80"/>
        <w:ind w:left="340" w:hanging="340"/>
        <w:jc w:val="both"/>
      </w:pPr>
      <w:r>
        <w:rPr>
          <w:rFonts w:ascii="Cambria" w:hAnsi="Cambria"/>
          <w:b w:val="0"/>
          <w:i w:val="0"/>
          <w:sz w:val="22"/>
        </w:rPr>
        <w:t xml:space="preserve">7. </w:t>
      </w:r>
      <w:r>
        <w:rPr>
          <w:rFonts w:ascii="Cambria" w:hAnsi="Cambria"/>
          <w:b w:val="0"/>
          <w:i w:val="0"/>
          <w:sz w:val="22"/>
        </w:rPr>
        <w:t>Event Report (Objectives, CO/PO/PSO Mapping, Outcomes)</w:t>
      </w:r>
    </w:p>
    <w:p>
      <w:pPr>
        <w:pStyle w:val="ListBullet2"/>
        <w:spacing w:after="80"/>
        <w:jc w:val="both"/>
      </w:pPr>
      <w:r>
        <w:rPr>
          <w:rFonts w:ascii="Cambria" w:hAnsi="Cambria"/>
          <w:b w:val="0"/>
          <w:i w:val="0"/>
          <w:sz w:val="22"/>
        </w:rPr>
        <w:t>Detailed post-event documentation showing alignment with OBE.</w:t>
      </w:r>
    </w:p>
    <w:p>
      <w:pPr>
        <w:pStyle w:val="ListBullet2"/>
        <w:spacing w:after="80"/>
        <w:jc w:val="both"/>
      </w:pPr>
      <w:r>
        <w:rPr>
          <w:rFonts w:ascii="Cambria" w:hAnsi="Cambria"/>
          <w:b w:val="0"/>
          <w:i w:val="0"/>
          <w:sz w:val="22"/>
        </w:rPr>
        <w:t>Includes quantitative outcomes (participation %, feedback scores, MoUs, collaborations).</w:t>
      </w:r>
    </w:p>
    <w:p>
      <w:pPr>
        <w:spacing w:after="80"/>
        <w:ind w:left="340" w:hanging="340"/>
        <w:jc w:val="both"/>
      </w:pPr>
      <w:r>
        <w:rPr>
          <w:rFonts w:ascii="Cambria" w:hAnsi="Cambria"/>
          <w:b w:val="0"/>
          <w:i w:val="0"/>
          <w:sz w:val="22"/>
        </w:rPr>
        <w:t xml:space="preserve">8. </w:t>
      </w:r>
      <w:r>
        <w:rPr>
          <w:rFonts w:ascii="Cambria" w:hAnsi="Cambria"/>
          <w:b w:val="0"/>
          <w:i w:val="0"/>
          <w:sz w:val="22"/>
        </w:rPr>
        <w:t>Action Taken Reports (ATRs) from Feedback Review</w:t>
      </w:r>
    </w:p>
    <w:p>
      <w:pPr>
        <w:pStyle w:val="ListBullet2"/>
        <w:spacing w:after="80"/>
        <w:jc w:val="both"/>
      </w:pPr>
      <w:r>
        <w:rPr>
          <w:rFonts w:ascii="Cambria" w:hAnsi="Cambria"/>
          <w:b w:val="0"/>
          <w:i w:val="0"/>
          <w:sz w:val="22"/>
        </w:rPr>
        <w:t>Corrective measures taken for improving future events.</w:t>
      </w:r>
    </w:p>
    <w:p>
      <w:pPr>
        <w:pStyle w:val="ListBullet2"/>
        <w:spacing w:after="80"/>
        <w:jc w:val="both"/>
      </w:pPr>
      <w:r>
        <w:rPr>
          <w:rFonts w:ascii="Cambria" w:hAnsi="Cambria"/>
          <w:b w:val="0"/>
          <w:i w:val="0"/>
          <w:sz w:val="22"/>
        </w:rPr>
        <w:t>Example: more industry speakers, more interactive sessions.</w:t>
      </w:r>
    </w:p>
    <w:p>
      <w:pPr>
        <w:spacing w:after="80"/>
        <w:ind w:left="340" w:hanging="340"/>
        <w:jc w:val="both"/>
      </w:pPr>
      <w:r>
        <w:rPr>
          <w:rFonts w:ascii="Cambria" w:hAnsi="Cambria"/>
          <w:b w:val="0"/>
          <w:i w:val="0"/>
          <w:sz w:val="22"/>
        </w:rPr>
        <w:t xml:space="preserve">9. </w:t>
      </w:r>
      <w:r>
        <w:rPr>
          <w:rFonts w:ascii="Cambria" w:hAnsi="Cambria"/>
          <w:b w:val="0"/>
          <w:i w:val="0"/>
          <w:sz w:val="22"/>
        </w:rPr>
        <w:t>Consolidated List of Events for AQAR/SSR</w:t>
      </w:r>
    </w:p>
    <w:p>
      <w:pPr>
        <w:pStyle w:val="ListBullet2"/>
        <w:spacing w:after="80"/>
        <w:jc w:val="both"/>
      </w:pPr>
      <w:r>
        <w:rPr>
          <w:rFonts w:ascii="Cambria" w:hAnsi="Cambria"/>
          <w:b w:val="0"/>
          <w:i w:val="0"/>
          <w:sz w:val="22"/>
        </w:rPr>
        <w:t>Year-wise compilation of all guest lectures, seminars, and workshops.</w:t>
      </w:r>
    </w:p>
    <w:p>
      <w:pPr>
        <w:spacing w:after="120"/>
        <w:jc w:val="both"/>
      </w:pPr>
      <w:r>
        <w:rPr>
          <w:rFonts w:ascii="Cambria" w:hAnsi="Cambria"/>
          <w:b w:val="0"/>
          <w:i w:val="0"/>
          <w:sz w:val="22"/>
        </w:rPr>
        <w:t>Linked to NAAC Criterion 3 (Research, Innovation &amp; Extension) and Criterion 5 (Student Support &amp; Progression), NBA Criterion 10 (Student Activities &amp; Professional Exposure).</w:t>
      </w:r>
    </w:p>
    <w:p>
      <w:pPr>
        <w:keepNext/>
        <w:spacing w:before="280" w:after="160"/>
        <w:jc w:val="left"/>
      </w:pPr>
      <w:r>
        <w:rPr>
          <w:rFonts w:ascii="Cambria" w:hAnsi="Cambria"/>
          <w:b/>
          <w:i w:val="0"/>
          <w:color w:val="1F3A5F"/>
          <w:sz w:val="26"/>
        </w:rPr>
        <w:t>Tangible Outcomes Peer Reviewers Expect</w:t>
      </w:r>
    </w:p>
    <w:p>
      <w:pPr>
        <w:spacing w:after="120"/>
        <w:jc w:val="both"/>
      </w:pPr>
      <w:r>
        <w:rPr>
          <w:rFonts w:ascii="Cambria" w:hAnsi="Cambria"/>
          <w:b w:val="0"/>
          <w:i w:val="0"/>
          <w:sz w:val="22"/>
        </w:rPr>
        <w:t>Guest lectures/seminars/workshops ↑ 30% YoY.</w:t>
      </w:r>
    </w:p>
    <w:p>
      <w:pPr>
        <w:spacing w:after="120"/>
        <w:jc w:val="both"/>
      </w:pPr>
      <w:r>
        <w:rPr>
          <w:rFonts w:ascii="Cambria" w:hAnsi="Cambria"/>
          <w:b w:val="0"/>
          <w:i w:val="0"/>
          <w:sz w:val="22"/>
        </w:rPr>
        <w:t>Student participation ↑ from 65% → 85%.</w:t>
      </w:r>
    </w:p>
    <w:p>
      <w:pPr>
        <w:spacing w:after="120"/>
        <w:jc w:val="both"/>
      </w:pPr>
      <w:r>
        <w:rPr>
          <w:rFonts w:ascii="Cambria" w:hAnsi="Cambria"/>
          <w:b w:val="0"/>
          <w:i w:val="0"/>
          <w:sz w:val="22"/>
        </w:rPr>
        <w:t>Feedback ratings improved from 3.9 → 4.6/5.</w:t>
      </w:r>
    </w:p>
    <w:p>
      <w:pPr>
        <w:pStyle w:val="ListBullet"/>
        <w:spacing w:after="80"/>
        <w:jc w:val="both"/>
      </w:pPr>
      <w:r>
        <w:rPr>
          <w:rFonts w:ascii="Cambria" w:hAnsi="Cambria"/>
          <w:b w:val="0"/>
          <w:i w:val="0"/>
          <w:sz w:val="22"/>
        </w:rPr>
        <w:t>New MoUs and internships initiated from industry interactions.</w:t>
      </w:r>
    </w:p>
    <w:p>
      <w:pPr>
        <w:spacing w:after="120"/>
        <w:jc w:val="both"/>
      </w:pPr>
      <w:r>
        <w:rPr>
          <w:rFonts w:ascii="Cambria" w:hAnsi="Cambria"/>
          <w:b w:val="0"/>
          <w:i w:val="0"/>
          <w:sz w:val="22"/>
        </w:rPr>
        <w:t>Placement readiness ↑ 20% after industry sessions.</w:t>
      </w:r>
    </w:p>
    <w:p>
      <w:pPr>
        <w:keepNext/>
        <w:spacing w:before="280" w:after="160"/>
        <w:jc w:val="left"/>
      </w:pPr>
      <w:r>
        <w:rPr>
          <w:rFonts w:ascii="Cambria" w:hAnsi="Cambria"/>
          <w:b/>
          <w:i w:val="0"/>
          <w:color w:val="1F3A5F"/>
          <w:sz w:val="24"/>
        </w:rPr>
        <w:t>Guest Lectures &amp; Events Evidence Matrix</w:t>
      </w:r>
    </w:p>
    <w:tbl>
      <w:tblPr>
        <w:tblStyle w:val="TableGrid"/>
        <w:tblW w:type="auto" w:w="0"/>
        <w:jc w:val="center"/>
        <w:tblLayout w:type="fixed"/>
        <w:tblLook w:firstColumn="1" w:firstRow="1" w:lastColumn="0" w:lastRow="0" w:noHBand="0" w:noVBand="1" w:val="04A0"/>
        <w:tblLayout w:type="fixed"/>
      </w:tblPr>
      <w:tblGrid>
        <w:gridCol w:w="1304"/>
        <w:gridCol w:w="1304"/>
        <w:gridCol w:w="964"/>
        <w:gridCol w:w="1361"/>
        <w:gridCol w:w="1077"/>
        <w:gridCol w:w="1020"/>
        <w:gridCol w:w="794"/>
        <w:gridCol w:w="1701"/>
      </w:tblGrid>
      <w:tr>
        <w:tc>
          <w:tcPr>
            <w:tcW w:type="dxa" w:w="1304"/>
            <w:shd w:val="clear" w:color="auto" w:fill="1F3A5F"/>
          </w:tcPr>
          <w:p>
            <w:pPr>
              <w:jc w:val="center"/>
            </w:pPr>
            <w:r/>
            <w:r>
              <w:rPr>
                <w:rFonts w:ascii="Cambria" w:hAnsi="Cambria"/>
                <w:b/>
                <w:i w:val="0"/>
                <w:color w:val="FFFFFF"/>
                <w:sz w:val="20"/>
              </w:rPr>
              <w:t>Event ID / Type (Guest Lecture/Seminar/Workshop/Symposium)</w:t>
            </w:r>
          </w:p>
        </w:tc>
        <w:tc>
          <w:tcPr>
            <w:tcW w:type="dxa" w:w="1304"/>
            <w:shd w:val="clear" w:color="auto" w:fill="1F3A5F"/>
          </w:tcPr>
          <w:p>
            <w:pPr>
              <w:jc w:val="center"/>
            </w:pPr>
            <w:r/>
            <w:r>
              <w:rPr>
                <w:rFonts w:ascii="Cambria" w:hAnsi="Cambria"/>
                <w:b/>
                <w:i w:val="0"/>
                <w:color w:val="FFFFFF"/>
                <w:sz w:val="20"/>
              </w:rPr>
              <w:t>Guest/Resource Person / Date</w:t>
            </w:r>
          </w:p>
        </w:tc>
        <w:tc>
          <w:tcPr>
            <w:tcW w:type="dxa" w:w="964"/>
            <w:shd w:val="clear" w:color="auto" w:fill="1F3A5F"/>
          </w:tcPr>
          <w:p>
            <w:pPr>
              <w:jc w:val="center"/>
            </w:pPr>
            <w:r/>
            <w:r>
              <w:rPr>
                <w:rFonts w:ascii="Cambria" w:hAnsi="Cambria"/>
                <w:b/>
                <w:i w:val="0"/>
                <w:color w:val="FFFFFF"/>
                <w:sz w:val="20"/>
              </w:rPr>
              <w:t>Approval Reference</w:t>
            </w:r>
          </w:p>
        </w:tc>
        <w:tc>
          <w:tcPr>
            <w:tcW w:type="dxa" w:w="1361"/>
            <w:shd w:val="clear" w:color="auto" w:fill="1F3A5F"/>
          </w:tcPr>
          <w:p>
            <w:pPr>
              <w:jc w:val="center"/>
            </w:pPr>
            <w:r/>
            <w:r>
              <w:rPr>
                <w:rFonts w:ascii="Cambria" w:hAnsi="Cambria"/>
                <w:b/>
                <w:i w:val="0"/>
                <w:color w:val="FFFFFF"/>
                <w:sz w:val="20"/>
              </w:rPr>
              <w:t>Evidence Link (Invitation/Report/Photos)</w:t>
            </w:r>
          </w:p>
        </w:tc>
        <w:tc>
          <w:tcPr>
            <w:tcW w:type="dxa" w:w="1077"/>
            <w:shd w:val="clear" w:color="auto" w:fill="1F3A5F"/>
          </w:tcPr>
          <w:p>
            <w:pPr>
              <w:jc w:val="center"/>
            </w:pPr>
            <w:r/>
            <w:r>
              <w:rPr>
                <w:rFonts w:ascii="Cambria" w:hAnsi="Cambria"/>
                <w:b/>
                <w:i w:val="0"/>
                <w:color w:val="FFFFFF"/>
                <w:sz w:val="20"/>
              </w:rPr>
              <w:t>CO/PO/PSO Mapping</w:t>
            </w:r>
          </w:p>
        </w:tc>
        <w:tc>
          <w:tcPr>
            <w:tcW w:type="dxa" w:w="1020"/>
            <w:shd w:val="clear" w:color="auto" w:fill="1F3A5F"/>
          </w:tcPr>
          <w:p>
            <w:pPr>
              <w:jc w:val="center"/>
            </w:pPr>
            <w:r/>
            <w:r>
              <w:rPr>
                <w:rFonts w:ascii="Cambria" w:hAnsi="Cambria"/>
                <w:b/>
                <w:i w:val="0"/>
                <w:color w:val="FFFFFF"/>
                <w:sz w:val="20"/>
              </w:rPr>
              <w:t>Student % / Faculty %</w:t>
            </w:r>
          </w:p>
        </w:tc>
        <w:tc>
          <w:tcPr>
            <w:tcW w:type="dxa" w:w="794"/>
            <w:shd w:val="clear" w:color="auto" w:fill="1F3A5F"/>
          </w:tcPr>
          <w:p>
            <w:pPr>
              <w:jc w:val="center"/>
            </w:pPr>
            <w:r/>
            <w:r>
              <w:rPr>
                <w:rFonts w:ascii="Cambria" w:hAnsi="Cambria"/>
                <w:b/>
                <w:i w:val="0"/>
                <w:color w:val="FFFFFF"/>
                <w:sz w:val="20"/>
              </w:rPr>
              <w:t>Feedback Score (1–5)</w:t>
            </w:r>
          </w:p>
        </w:tc>
        <w:tc>
          <w:tcPr>
            <w:tcW w:type="dxa" w:w="1701"/>
            <w:shd w:val="clear" w:color="auto" w:fill="1F3A5F"/>
          </w:tcPr>
          <w:p>
            <w:pPr>
              <w:jc w:val="center"/>
            </w:pPr>
            <w:r/>
            <w:r>
              <w:rPr>
                <w:rFonts w:ascii="Cambria" w:hAnsi="Cambria"/>
                <w:b/>
                <w:i w:val="0"/>
                <w:color w:val="FFFFFF"/>
                <w:sz w:val="20"/>
              </w:rPr>
              <w:t>Outcomes (MoUs, Skills, Placements, Research, etc.) / ATR Status / RAG</w:t>
            </w:r>
          </w:p>
        </w:tc>
      </w:tr>
      <w:tr>
        <w:tc>
          <w:tcPr>
            <w:tcW w:type="dxa" w:w="1304"/>
          </w:tcPr>
          <w:p>
            <w:pPr>
              <w:jc w:val="left"/>
            </w:pPr>
            <w:r/>
            <w:r>
              <w:rPr>
                <w:rFonts w:ascii="Cambria" w:hAnsi="Cambria"/>
                <w:b w:val="0"/>
                <w:i w:val="0"/>
                <w:sz w:val="20"/>
              </w:rPr>
              <w:t>GL-2024-01</w:t>
              <w:br/>
              <w:t>Guest Lecture</w:t>
            </w:r>
          </w:p>
        </w:tc>
        <w:tc>
          <w:tcPr>
            <w:tcW w:type="dxa" w:w="1304"/>
          </w:tcPr>
          <w:p>
            <w:pPr>
              <w:jc w:val="left"/>
            </w:pPr>
            <w:r/>
            <w:r>
              <w:rPr>
                <w:rFonts w:ascii="Cambria" w:hAnsi="Cambria"/>
                <w:b w:val="0"/>
                <w:i w:val="0"/>
                <w:sz w:val="20"/>
              </w:rPr>
              <w:t>Dr. A. Sharma, IIT Delhi</w:t>
              <w:br/>
              <w:t>05-08-2024</w:t>
            </w:r>
          </w:p>
        </w:tc>
        <w:tc>
          <w:tcPr>
            <w:tcW w:type="dxa" w:w="964"/>
          </w:tcPr>
          <w:p>
            <w:pPr>
              <w:jc w:val="left"/>
            </w:pPr>
            <w:r/>
            <w:r>
              <w:rPr>
                <w:rFonts w:ascii="Cambria" w:hAnsi="Cambria"/>
                <w:b w:val="0"/>
                <w:i w:val="0"/>
                <w:sz w:val="20"/>
              </w:rPr>
              <w:t>HoD_Approval_001</w:t>
            </w:r>
          </w:p>
        </w:tc>
        <w:tc>
          <w:tcPr>
            <w:tcW w:type="dxa" w:w="1361"/>
          </w:tcPr>
          <w:p>
            <w:pPr>
              <w:jc w:val="left"/>
            </w:pPr>
            <w:r/>
            <w:r>
              <w:rPr>
                <w:rFonts w:ascii="Cambria" w:hAnsi="Cambria"/>
                <w:b w:val="0"/>
                <w:i w:val="0"/>
                <w:sz w:val="20"/>
              </w:rPr>
              <w:t>GuestLecture_Aug24.pdf</w:t>
            </w:r>
          </w:p>
        </w:tc>
        <w:tc>
          <w:tcPr>
            <w:tcW w:type="dxa" w:w="1077"/>
          </w:tcPr>
          <w:p>
            <w:pPr>
              <w:jc w:val="left"/>
            </w:pPr>
            <w:r/>
            <w:r>
              <w:rPr>
                <w:rFonts w:ascii="Cambria" w:hAnsi="Cambria"/>
                <w:b w:val="0"/>
                <w:i w:val="0"/>
                <w:sz w:val="20"/>
              </w:rPr>
              <w:t>PO12, CO3, PSO2</w:t>
            </w:r>
          </w:p>
        </w:tc>
        <w:tc>
          <w:tcPr>
            <w:tcW w:type="dxa" w:w="1020"/>
          </w:tcPr>
          <w:p>
            <w:pPr>
              <w:jc w:val="left"/>
            </w:pPr>
            <w:r/>
            <w:r>
              <w:rPr>
                <w:rFonts w:ascii="Cambria" w:hAnsi="Cambria"/>
                <w:b w:val="0"/>
                <w:i w:val="0"/>
                <w:sz w:val="20"/>
              </w:rPr>
              <w:t>82% / 65%</w:t>
            </w:r>
          </w:p>
        </w:tc>
        <w:tc>
          <w:tcPr>
            <w:tcW w:type="dxa" w:w="794"/>
          </w:tcPr>
          <w:p>
            <w:pPr>
              <w:jc w:val="left"/>
            </w:pPr>
            <w:r/>
            <w:r>
              <w:rPr>
                <w:rFonts w:ascii="Cambria" w:hAnsi="Cambria"/>
                <w:b w:val="0"/>
                <w:i w:val="0"/>
                <w:sz w:val="20"/>
              </w:rPr>
              <w:t>4.6</w:t>
            </w:r>
          </w:p>
        </w:tc>
        <w:tc>
          <w:tcPr>
            <w:tcW w:type="dxa" w:w="1701"/>
          </w:tcPr>
          <w:p>
            <w:pPr>
              <w:jc w:val="left"/>
            </w:pPr>
            <w:r/>
            <w:r>
              <w:rPr>
                <w:rFonts w:ascii="Cambria" w:hAnsi="Cambria"/>
                <w:b w:val="0"/>
                <w:i w:val="0"/>
                <w:sz w:val="20"/>
              </w:rPr>
              <w:t>Industry internships (5), new MoU signed / Implemented / Green</w:t>
            </w:r>
          </w:p>
        </w:tc>
      </w:tr>
      <w:tr>
        <w:tc>
          <w:tcPr>
            <w:tcW w:type="dxa" w:w="1304"/>
            <w:shd w:val="clear" w:color="auto" w:fill="E8EEF5"/>
          </w:tcPr>
          <w:p>
            <w:pPr>
              <w:jc w:val="left"/>
            </w:pPr>
            <w:r/>
            <w:r>
              <w:rPr>
                <w:rFonts w:ascii="Cambria" w:hAnsi="Cambria"/>
                <w:b w:val="0"/>
                <w:i w:val="0"/>
                <w:sz w:val="20"/>
              </w:rPr>
              <w:t>WS-2024-02</w:t>
              <w:br/>
              <w:t>Workshop</w:t>
            </w:r>
          </w:p>
        </w:tc>
        <w:tc>
          <w:tcPr>
            <w:tcW w:type="dxa" w:w="1304"/>
            <w:shd w:val="clear" w:color="auto" w:fill="E8EEF5"/>
          </w:tcPr>
          <w:p>
            <w:pPr>
              <w:jc w:val="left"/>
            </w:pPr>
            <w:r/>
            <w:r>
              <w:rPr>
                <w:rFonts w:ascii="Cambria" w:hAnsi="Cambria"/>
                <w:b w:val="0"/>
                <w:i w:val="0"/>
                <w:sz w:val="20"/>
              </w:rPr>
              <w:t>Ms. R. Iyer, Infosys</w:t>
              <w:br/>
              <w:t>12-09-2024</w:t>
            </w:r>
          </w:p>
        </w:tc>
        <w:tc>
          <w:tcPr>
            <w:tcW w:type="dxa" w:w="964"/>
            <w:shd w:val="clear" w:color="auto" w:fill="E8EEF5"/>
          </w:tcPr>
          <w:p>
            <w:pPr>
              <w:jc w:val="left"/>
            </w:pPr>
            <w:r/>
            <w:r>
              <w:rPr>
                <w:rFonts w:ascii="Cambria" w:hAnsi="Cambria"/>
                <w:b w:val="0"/>
                <w:i w:val="0"/>
                <w:sz w:val="20"/>
              </w:rPr>
              <w:t>HoD_Approval_004</w:t>
            </w:r>
          </w:p>
        </w:tc>
        <w:tc>
          <w:tcPr>
            <w:tcW w:type="dxa" w:w="1361"/>
            <w:shd w:val="clear" w:color="auto" w:fill="E8EEF5"/>
          </w:tcPr>
          <w:p>
            <w:pPr>
              <w:jc w:val="left"/>
            </w:pPr>
            <w:r/>
            <w:r>
              <w:rPr>
                <w:rFonts w:ascii="Cambria" w:hAnsi="Cambria"/>
                <w:b w:val="0"/>
                <w:i w:val="0"/>
                <w:sz w:val="20"/>
              </w:rPr>
              <w:t>Workshop_Sep24.pdf</w:t>
            </w:r>
          </w:p>
        </w:tc>
        <w:tc>
          <w:tcPr>
            <w:tcW w:type="dxa" w:w="1077"/>
            <w:shd w:val="clear" w:color="auto" w:fill="E8EEF5"/>
          </w:tcPr>
          <w:p>
            <w:pPr>
              <w:jc w:val="left"/>
            </w:pPr>
            <w:r/>
            <w:r>
              <w:rPr>
                <w:rFonts w:ascii="Cambria" w:hAnsi="Cambria"/>
                <w:b w:val="0"/>
                <w:i w:val="0"/>
                <w:sz w:val="20"/>
              </w:rPr>
              <w:t>PO3, PO5, PSO1</w:t>
            </w:r>
          </w:p>
        </w:tc>
        <w:tc>
          <w:tcPr>
            <w:tcW w:type="dxa" w:w="1020"/>
            <w:shd w:val="clear" w:color="auto" w:fill="E8EEF5"/>
          </w:tcPr>
          <w:p>
            <w:pPr>
              <w:jc w:val="left"/>
            </w:pPr>
            <w:r/>
            <w:r>
              <w:rPr>
                <w:rFonts w:ascii="Cambria" w:hAnsi="Cambria"/>
                <w:b w:val="0"/>
                <w:i w:val="0"/>
                <w:sz w:val="20"/>
              </w:rPr>
              <w:t>78% / 72%</w:t>
            </w:r>
          </w:p>
        </w:tc>
        <w:tc>
          <w:tcPr>
            <w:tcW w:type="dxa" w:w="794"/>
            <w:shd w:val="clear" w:color="auto" w:fill="E8EEF5"/>
          </w:tcPr>
          <w:p>
            <w:pPr>
              <w:jc w:val="left"/>
            </w:pPr>
            <w:r/>
            <w:r>
              <w:rPr>
                <w:rFonts w:ascii="Cambria" w:hAnsi="Cambria"/>
                <w:b w:val="0"/>
                <w:i w:val="0"/>
                <w:sz w:val="20"/>
              </w:rPr>
              <w:t>4.4</w:t>
            </w:r>
          </w:p>
        </w:tc>
        <w:tc>
          <w:tcPr>
            <w:tcW w:type="dxa" w:w="1701"/>
            <w:shd w:val="clear" w:color="auto" w:fill="E8EEF5"/>
          </w:tcPr>
          <w:p>
            <w:pPr>
              <w:jc w:val="left"/>
            </w:pPr>
            <w:r/>
            <w:r>
              <w:rPr>
                <w:rFonts w:ascii="Cambria" w:hAnsi="Cambria"/>
                <w:b w:val="0"/>
                <w:i w:val="0"/>
                <w:sz w:val="20"/>
              </w:rPr>
              <w:t>2 student projects funded; placement training ↑ 20% / Implemented / Green</w:t>
            </w:r>
          </w:p>
        </w:tc>
      </w:tr>
      <w:tr>
        <w:tc>
          <w:tcPr>
            <w:tcW w:type="dxa" w:w="1304"/>
          </w:tcPr>
          <w:p>
            <w:pPr>
              <w:jc w:val="left"/>
            </w:pPr>
            <w:r/>
            <w:r>
              <w:rPr>
                <w:rFonts w:ascii="Cambria" w:hAnsi="Cambria"/>
                <w:b w:val="0"/>
                <w:i w:val="0"/>
                <w:sz w:val="20"/>
              </w:rPr>
              <w:t>SM-2024-03</w:t>
              <w:br/>
              <w:t>Symposium</w:t>
            </w:r>
          </w:p>
        </w:tc>
        <w:tc>
          <w:tcPr>
            <w:tcW w:type="dxa" w:w="1304"/>
          </w:tcPr>
          <w:p>
            <w:pPr>
              <w:jc w:val="left"/>
            </w:pPr>
            <w:r/>
            <w:r>
              <w:rPr>
                <w:rFonts w:ascii="Cambria" w:hAnsi="Cambria"/>
                <w:b w:val="0"/>
                <w:i w:val="0"/>
                <w:sz w:val="20"/>
              </w:rPr>
              <w:t>Panel of Industry Experts</w:t>
              <w:br/>
              <w:t>18-09-2024</w:t>
            </w:r>
          </w:p>
        </w:tc>
        <w:tc>
          <w:tcPr>
            <w:tcW w:type="dxa" w:w="964"/>
          </w:tcPr>
          <w:p>
            <w:pPr>
              <w:jc w:val="left"/>
            </w:pPr>
            <w:r/>
            <w:r>
              <w:rPr>
                <w:rFonts w:ascii="Cambria" w:hAnsi="Cambria"/>
                <w:b w:val="0"/>
                <w:i w:val="0"/>
                <w:sz w:val="20"/>
              </w:rPr>
              <w:t>HoD_Approval_006</w:t>
            </w:r>
          </w:p>
        </w:tc>
        <w:tc>
          <w:tcPr>
            <w:tcW w:type="dxa" w:w="1361"/>
          </w:tcPr>
          <w:p>
            <w:pPr>
              <w:jc w:val="left"/>
            </w:pPr>
            <w:r/>
            <w:r>
              <w:rPr>
                <w:rFonts w:ascii="Cambria" w:hAnsi="Cambria"/>
                <w:b w:val="0"/>
                <w:i w:val="0"/>
                <w:sz w:val="20"/>
              </w:rPr>
              <w:t>Symposium_Report_Sep24.pdf</w:t>
            </w:r>
          </w:p>
        </w:tc>
        <w:tc>
          <w:tcPr>
            <w:tcW w:type="dxa" w:w="1077"/>
          </w:tcPr>
          <w:p>
            <w:pPr>
              <w:jc w:val="left"/>
            </w:pPr>
            <w:r/>
            <w:r>
              <w:rPr>
                <w:rFonts w:ascii="Cambria" w:hAnsi="Cambria"/>
                <w:b w:val="0"/>
                <w:i w:val="0"/>
                <w:sz w:val="20"/>
              </w:rPr>
              <w:t>PO9, PO10, PSO3</w:t>
            </w:r>
          </w:p>
        </w:tc>
        <w:tc>
          <w:tcPr>
            <w:tcW w:type="dxa" w:w="1020"/>
          </w:tcPr>
          <w:p>
            <w:pPr>
              <w:jc w:val="left"/>
            </w:pPr>
            <w:r/>
            <w:r>
              <w:rPr>
                <w:rFonts w:ascii="Cambria" w:hAnsi="Cambria"/>
                <w:b w:val="0"/>
                <w:i w:val="0"/>
                <w:sz w:val="20"/>
              </w:rPr>
              <w:t>70% / 60%</w:t>
            </w:r>
          </w:p>
        </w:tc>
        <w:tc>
          <w:tcPr>
            <w:tcW w:type="dxa" w:w="794"/>
          </w:tcPr>
          <w:p>
            <w:pPr>
              <w:jc w:val="left"/>
            </w:pPr>
            <w:r/>
            <w:r>
              <w:rPr>
                <w:rFonts w:ascii="Cambria" w:hAnsi="Cambria"/>
                <w:b w:val="0"/>
                <w:i w:val="0"/>
                <w:sz w:val="20"/>
              </w:rPr>
              <w:t>4.2</w:t>
            </w:r>
          </w:p>
        </w:tc>
        <w:tc>
          <w:tcPr>
            <w:tcW w:type="dxa" w:w="1701"/>
          </w:tcPr>
          <w:p>
            <w:pPr>
              <w:jc w:val="left"/>
            </w:pPr>
            <w:r/>
            <w:r>
              <w:rPr>
                <w:rFonts w:ascii="Cambria" w:hAnsi="Cambria"/>
                <w:b w:val="0"/>
                <w:i w:val="0"/>
                <w:sz w:val="20"/>
              </w:rPr>
              <w:t>1 joint research paper; 1 startup collaboration / Partial / Amber</w:t>
            </w:r>
          </w:p>
        </w:tc>
      </w:tr>
      <w:tr>
        <w:tc>
          <w:tcPr>
            <w:tcW w:type="dxa" w:w="1304"/>
            <w:shd w:val="clear" w:color="auto" w:fill="E8EEF5"/>
          </w:tcPr>
          <w:p>
            <w:pPr>
              <w:jc w:val="left"/>
            </w:pPr>
            <w:r/>
            <w:r>
              <w:rPr>
                <w:rFonts w:ascii="Cambria" w:hAnsi="Cambria"/>
                <w:b w:val="0"/>
                <w:i w:val="0"/>
                <w:sz w:val="20"/>
              </w:rPr>
              <w:t>WS-2024-04</w:t>
              <w:br/>
              <w:t>Workshop</w:t>
            </w:r>
          </w:p>
        </w:tc>
        <w:tc>
          <w:tcPr>
            <w:tcW w:type="dxa" w:w="1304"/>
            <w:shd w:val="clear" w:color="auto" w:fill="E8EEF5"/>
          </w:tcPr>
          <w:p>
            <w:pPr>
              <w:jc w:val="left"/>
            </w:pPr>
            <w:r/>
            <w:r>
              <w:rPr>
                <w:rFonts w:ascii="Cambria" w:hAnsi="Cambria"/>
                <w:b w:val="0"/>
                <w:i w:val="0"/>
                <w:sz w:val="20"/>
              </w:rPr>
              <w:t>Dr. K. Mehta, NIT Trichy</w:t>
              <w:br/>
              <w:t>25-09-2024</w:t>
            </w:r>
          </w:p>
        </w:tc>
        <w:tc>
          <w:tcPr>
            <w:tcW w:type="dxa" w:w="964"/>
            <w:shd w:val="clear" w:color="auto" w:fill="E8EEF5"/>
          </w:tcPr>
          <w:p>
            <w:pPr>
              <w:jc w:val="left"/>
            </w:pPr>
            <w:r/>
            <w:r>
              <w:rPr>
                <w:rFonts w:ascii="Cambria" w:hAnsi="Cambria"/>
                <w:b w:val="0"/>
                <w:i w:val="0"/>
                <w:sz w:val="20"/>
              </w:rPr>
              <w:t>HoD_Approval_009</w:t>
            </w:r>
          </w:p>
        </w:tc>
        <w:tc>
          <w:tcPr>
            <w:tcW w:type="dxa" w:w="1361"/>
            <w:shd w:val="clear" w:color="auto" w:fill="E8EEF5"/>
          </w:tcPr>
          <w:p>
            <w:pPr>
              <w:jc w:val="left"/>
            </w:pPr>
            <w:r/>
            <w:r>
              <w:rPr>
                <w:rFonts w:ascii="Cambria" w:hAnsi="Cambria"/>
                <w:b w:val="0"/>
                <w:i w:val="0"/>
                <w:sz w:val="20"/>
              </w:rPr>
              <w:t>Workshop_Report_Sep24.pdf</w:t>
            </w:r>
          </w:p>
        </w:tc>
        <w:tc>
          <w:tcPr>
            <w:tcW w:type="dxa" w:w="1077"/>
            <w:shd w:val="clear" w:color="auto" w:fill="E8EEF5"/>
          </w:tcPr>
          <w:p>
            <w:pPr>
              <w:jc w:val="left"/>
            </w:pPr>
            <w:r/>
            <w:r>
              <w:rPr>
                <w:rFonts w:ascii="Cambria" w:hAnsi="Cambria"/>
                <w:b w:val="0"/>
                <w:i w:val="0"/>
                <w:sz w:val="20"/>
              </w:rPr>
              <w:t>PO8, PO11, PSO4</w:t>
            </w:r>
          </w:p>
        </w:tc>
        <w:tc>
          <w:tcPr>
            <w:tcW w:type="dxa" w:w="1020"/>
            <w:shd w:val="clear" w:color="auto" w:fill="E8EEF5"/>
          </w:tcPr>
          <w:p>
            <w:pPr>
              <w:jc w:val="left"/>
            </w:pPr>
            <w:r/>
            <w:r>
              <w:rPr>
                <w:rFonts w:ascii="Cambria" w:hAnsi="Cambria"/>
                <w:b w:val="0"/>
                <w:i w:val="0"/>
                <w:sz w:val="20"/>
              </w:rPr>
              <w:t>75% / 68%</w:t>
            </w:r>
          </w:p>
        </w:tc>
        <w:tc>
          <w:tcPr>
            <w:tcW w:type="dxa" w:w="794"/>
            <w:shd w:val="clear" w:color="auto" w:fill="E8EEF5"/>
          </w:tcPr>
          <w:p>
            <w:pPr>
              <w:jc w:val="left"/>
            </w:pPr>
            <w:r/>
            <w:r>
              <w:rPr>
                <w:rFonts w:ascii="Cambria" w:hAnsi="Cambria"/>
                <w:b w:val="0"/>
                <w:i w:val="0"/>
                <w:sz w:val="20"/>
              </w:rPr>
              <w:t>4.5</w:t>
            </w:r>
          </w:p>
        </w:tc>
        <w:tc>
          <w:tcPr>
            <w:tcW w:type="dxa" w:w="1701"/>
            <w:shd w:val="clear" w:color="auto" w:fill="E8EEF5"/>
          </w:tcPr>
          <w:p>
            <w:pPr>
              <w:jc w:val="left"/>
            </w:pPr>
            <w:r/>
            <w:r>
              <w:rPr>
                <w:rFonts w:ascii="Cambria" w:hAnsi="Cambria"/>
                <w:b w:val="0"/>
                <w:i w:val="0"/>
                <w:sz w:val="20"/>
              </w:rPr>
              <w:t>6 research proposals; FDP outcomes / Implemented / Green</w:t>
            </w:r>
          </w:p>
        </w:tc>
      </w:tr>
      <w:tr>
        <w:tc>
          <w:tcPr>
            <w:tcW w:type="dxa" w:w="1304"/>
          </w:tcPr>
          <w:p>
            <w:pPr>
              <w:jc w:val="left"/>
            </w:pPr>
            <w:r/>
            <w:r>
              <w:rPr>
                <w:rFonts w:ascii="Cambria" w:hAnsi="Cambria"/>
                <w:b w:val="0"/>
                <w:i w:val="0"/>
                <w:sz w:val="20"/>
              </w:rPr>
              <w:t>GL-2024-05</w:t>
              <w:br/>
              <w:t>Guest Lecture</w:t>
            </w:r>
          </w:p>
        </w:tc>
        <w:tc>
          <w:tcPr>
            <w:tcW w:type="dxa" w:w="1304"/>
          </w:tcPr>
          <w:p>
            <w:pPr>
              <w:jc w:val="left"/>
            </w:pPr>
            <w:r/>
            <w:r>
              <w:rPr>
                <w:rFonts w:ascii="Cambria" w:hAnsi="Cambria"/>
                <w:b w:val="0"/>
                <w:i w:val="0"/>
                <w:sz w:val="20"/>
              </w:rPr>
              <w:t>Mr. V. Rao, TCS</w:t>
              <w:br/>
              <w:t>30-09-2024</w:t>
            </w:r>
          </w:p>
        </w:tc>
        <w:tc>
          <w:tcPr>
            <w:tcW w:type="dxa" w:w="964"/>
          </w:tcPr>
          <w:p>
            <w:pPr>
              <w:jc w:val="left"/>
            </w:pPr>
            <w:r/>
            <w:r>
              <w:rPr>
                <w:rFonts w:ascii="Cambria" w:hAnsi="Cambria"/>
                <w:b w:val="0"/>
                <w:i w:val="0"/>
                <w:sz w:val="20"/>
              </w:rPr>
              <w:t>HoD_Approval_011</w:t>
            </w:r>
          </w:p>
        </w:tc>
        <w:tc>
          <w:tcPr>
            <w:tcW w:type="dxa" w:w="1361"/>
          </w:tcPr>
          <w:p>
            <w:pPr>
              <w:jc w:val="left"/>
            </w:pPr>
            <w:r/>
            <w:r>
              <w:rPr>
                <w:rFonts w:ascii="Cambria" w:hAnsi="Cambria"/>
                <w:b w:val="0"/>
                <w:i w:val="0"/>
                <w:sz w:val="20"/>
              </w:rPr>
              <w:t>GuestLecture_Sep24.pdf</w:t>
            </w:r>
          </w:p>
        </w:tc>
        <w:tc>
          <w:tcPr>
            <w:tcW w:type="dxa" w:w="1077"/>
          </w:tcPr>
          <w:p>
            <w:pPr>
              <w:jc w:val="left"/>
            </w:pPr>
            <w:r/>
            <w:r>
              <w:rPr>
                <w:rFonts w:ascii="Cambria" w:hAnsi="Cambria"/>
                <w:b w:val="0"/>
                <w:i w:val="0"/>
                <w:sz w:val="20"/>
              </w:rPr>
              <w:t>PO2, PO12</w:t>
            </w:r>
          </w:p>
        </w:tc>
        <w:tc>
          <w:tcPr>
            <w:tcW w:type="dxa" w:w="1020"/>
          </w:tcPr>
          <w:p>
            <w:pPr>
              <w:jc w:val="left"/>
            </w:pPr>
            <w:r/>
            <w:r>
              <w:rPr>
                <w:rFonts w:ascii="Cambria" w:hAnsi="Cambria"/>
                <w:b w:val="0"/>
                <w:i w:val="0"/>
                <w:sz w:val="20"/>
              </w:rPr>
              <w:t>68% / 55%</w:t>
            </w:r>
          </w:p>
        </w:tc>
        <w:tc>
          <w:tcPr>
            <w:tcW w:type="dxa" w:w="794"/>
          </w:tcPr>
          <w:p>
            <w:pPr>
              <w:jc w:val="left"/>
            </w:pPr>
            <w:r/>
            <w:r>
              <w:rPr>
                <w:rFonts w:ascii="Cambria" w:hAnsi="Cambria"/>
                <w:b w:val="0"/>
                <w:i w:val="0"/>
                <w:sz w:val="20"/>
              </w:rPr>
              <w:t>3.9</w:t>
            </w:r>
          </w:p>
        </w:tc>
        <w:tc>
          <w:tcPr>
            <w:tcW w:type="dxa" w:w="1701"/>
          </w:tcPr>
          <w:p>
            <w:pPr>
              <w:jc w:val="left"/>
            </w:pPr>
            <w:r/>
            <w:r>
              <w:rPr>
                <w:rFonts w:ascii="Cambria" w:hAnsi="Cambria"/>
                <w:b w:val="0"/>
                <w:i w:val="0"/>
                <w:sz w:val="20"/>
              </w:rPr>
              <w:t>Soft skill training; placement readiness ↑ 15% / Pending / Red</w:t>
            </w:r>
          </w:p>
        </w:tc>
      </w:tr>
    </w:tbl>
    <w:p>
      <w:pPr>
        <w:spacing w:after="120"/>
      </w:pPr>
    </w:p>
    <w:p>
      <w:pPr>
        <w:keepNext/>
        <w:spacing w:before="280" w:after="160"/>
        <w:jc w:val="left"/>
      </w:pPr>
      <w:r>
        <w:rPr>
          <w:rFonts w:ascii="Cambria" w:hAnsi="Cambria"/>
          <w:b/>
          <w:i w:val="0"/>
          <w:color w:val="1F3A5F"/>
          <w:sz w:val="26"/>
        </w:rPr>
        <w:t>Tangible Outcomes Demonstrated</w:t>
      </w:r>
    </w:p>
    <w:p>
      <w:pPr>
        <w:spacing w:after="120"/>
        <w:jc w:val="both"/>
      </w:pPr>
      <w:r>
        <w:rPr>
          <w:rFonts w:ascii="Cambria" w:hAnsi="Cambria"/>
          <w:b w:val="0"/>
          <w:i w:val="0"/>
          <w:sz w:val="22"/>
        </w:rPr>
        <w:t>Events conducted ↑ 30% YoY.</w:t>
      </w:r>
    </w:p>
    <w:p>
      <w:pPr>
        <w:spacing w:after="120"/>
        <w:jc w:val="both"/>
      </w:pPr>
      <w:r>
        <w:rPr>
          <w:rFonts w:ascii="Cambria" w:hAnsi="Cambria"/>
          <w:b w:val="0"/>
          <w:i w:val="0"/>
          <w:sz w:val="22"/>
        </w:rPr>
        <w:t>Student participation improved from 65% → 85%.</w:t>
      </w:r>
    </w:p>
    <w:p>
      <w:pPr>
        <w:spacing w:after="120"/>
        <w:jc w:val="both"/>
      </w:pPr>
      <w:r>
        <w:rPr>
          <w:rFonts w:ascii="Cambria" w:hAnsi="Cambria"/>
          <w:b w:val="0"/>
          <w:i w:val="0"/>
          <w:sz w:val="22"/>
        </w:rPr>
        <w:t>Feedback scores improved from 3.9 → 4.6/5.</w:t>
      </w:r>
    </w:p>
    <w:p>
      <w:pPr>
        <w:pStyle w:val="ListBullet"/>
        <w:spacing w:after="80"/>
        <w:jc w:val="both"/>
      </w:pPr>
      <w:r>
        <w:rPr>
          <w:rFonts w:ascii="Cambria" w:hAnsi="Cambria"/>
          <w:b w:val="0"/>
          <w:i w:val="0"/>
          <w:sz w:val="22"/>
        </w:rPr>
        <w:t>At least 2 MoUs/year signed through industry lectures.</w:t>
      </w:r>
    </w:p>
    <w:p>
      <w:pPr>
        <w:spacing w:after="120"/>
        <w:jc w:val="both"/>
      </w:pPr>
      <w:r>
        <w:rPr>
          <w:rFonts w:ascii="Cambria" w:hAnsi="Cambria"/>
          <w:b w:val="0"/>
          <w:i w:val="0"/>
          <w:sz w:val="22"/>
        </w:rPr>
        <w:t>Placement readiness ↑ 20% after industry-led workshops.</w:t>
      </w:r>
    </w:p>
    <w:p>
      <w:pPr>
        <w:spacing w:after="120"/>
        <w:jc w:val="both"/>
      </w:pPr>
      <w:r>
        <w:rPr>
          <w:rFonts w:ascii="Cambria" w:hAnsi="Cambria"/>
          <w:b w:val="0"/>
          <w:i w:val="0"/>
          <w:sz w:val="22"/>
        </w:rPr>
        <w:t>Research output ↑ (joint papers, proposals, collaborations).</w:t>
      </w:r>
    </w:p>
    <w:p>
      <w:r>
        <w:br w:type="page"/>
      </w:r>
    </w:p>
    <w:p>
      <w:pPr>
        <w:keepNext/>
        <w:spacing w:before="280" w:after="160"/>
        <w:jc w:val="left"/>
      </w:pPr>
      <w:r>
        <w:rPr>
          <w:rFonts w:ascii="Cambria" w:hAnsi="Cambria"/>
          <w:b/>
          <w:i w:val="0"/>
          <w:color w:val="1F3A5F"/>
          <w:sz w:val="30"/>
        </w:rPr>
        <w:t>26. HoD's Responsibility of Establishing Thrust Areas for Research &amp; Development (R&amp;D) and Interdisciplinary Activities, and Providing Encouragement</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identifies and promotes thrust areas in R&amp;D and interdisciplinary domains, ensuring alignment with institutional vision, national priorities (NEP 2020, SDGs), and industry needs.</w:t>
      </w:r>
    </w:p>
    <w:p>
      <w:pPr>
        <w:pStyle w:val="ListBullet"/>
        <w:spacing w:after="80"/>
        <w:jc w:val="both"/>
      </w:pPr>
      <w:r>
        <w:rPr>
          <w:rFonts w:ascii="Cambria" w:hAnsi="Cambria"/>
          <w:b w:val="0"/>
          <w:i w:val="0"/>
          <w:sz w:val="22"/>
        </w:rPr>
        <w:t>Faculty and students are encouraged to actively contribute through projects, publications, patents, and collaborations.</w:t>
      </w:r>
    </w:p>
    <w:p>
      <w:pPr>
        <w:keepNext/>
        <w:spacing w:before="280" w:after="160"/>
        <w:jc w:val="left"/>
      </w:pPr>
      <w:r>
        <w:rPr>
          <w:rFonts w:ascii="Cambria" w:hAnsi="Cambria"/>
          <w:b/>
          <w:i w:val="0"/>
          <w:color w:val="1F3A5F"/>
          <w:sz w:val="26"/>
        </w:rPr>
        <w:t>Actions by HoD/Division</w:t>
      </w:r>
    </w:p>
    <w:p>
      <w:pPr>
        <w:pStyle w:val="ListBullet"/>
        <w:spacing w:after="80"/>
        <w:jc w:val="both"/>
      </w:pPr>
      <w:r>
        <w:rPr>
          <w:rFonts w:ascii="Cambria" w:hAnsi="Cambria"/>
          <w:b w:val="0"/>
          <w:i w:val="0"/>
          <w:sz w:val="22"/>
        </w:rPr>
        <w:t>Identification of Thrust Areas</w:t>
      </w:r>
    </w:p>
    <w:p>
      <w:pPr>
        <w:pStyle w:val="ListBullet2"/>
        <w:spacing w:after="80"/>
        <w:jc w:val="both"/>
      </w:pPr>
      <w:r>
        <w:rPr>
          <w:rFonts w:ascii="Cambria" w:hAnsi="Cambria"/>
          <w:b w:val="0"/>
          <w:i w:val="0"/>
          <w:sz w:val="22"/>
        </w:rPr>
        <w:t>Conduct brainstorming sessions with faculty, industry experts, and researchers.</w:t>
      </w:r>
    </w:p>
    <w:p>
      <w:pPr>
        <w:pStyle w:val="ListBullet2"/>
        <w:spacing w:after="80"/>
        <w:jc w:val="both"/>
      </w:pPr>
      <w:r>
        <w:rPr>
          <w:rFonts w:ascii="Cambria" w:hAnsi="Cambria"/>
          <w:b w:val="0"/>
          <w:i w:val="0"/>
          <w:sz w:val="22"/>
        </w:rPr>
        <w:t>Map thrust areas to departmental expertise (e.g., AI, IoT, Renewable Energy, Materials Research).</w:t>
      </w:r>
    </w:p>
    <w:p>
      <w:pPr>
        <w:pStyle w:val="ListBullet2"/>
        <w:spacing w:after="80"/>
        <w:jc w:val="both"/>
      </w:pPr>
      <w:r>
        <w:rPr>
          <w:rFonts w:ascii="Cambria" w:hAnsi="Cambria"/>
          <w:b w:val="0"/>
          <w:i w:val="0"/>
          <w:sz w:val="22"/>
        </w:rPr>
        <w:t>Ensure interdisciplinary relevance across departments.</w:t>
      </w:r>
    </w:p>
    <w:p>
      <w:pPr>
        <w:pStyle w:val="ListBullet"/>
        <w:spacing w:after="80"/>
        <w:jc w:val="both"/>
      </w:pPr>
      <w:r>
        <w:rPr>
          <w:rFonts w:ascii="Cambria" w:hAnsi="Cambria"/>
          <w:b w:val="0"/>
          <w:i w:val="0"/>
          <w:sz w:val="22"/>
        </w:rPr>
        <w:t>Capacity Building</w:t>
      </w:r>
    </w:p>
    <w:p>
      <w:pPr>
        <w:pStyle w:val="ListBullet2"/>
        <w:spacing w:after="80"/>
        <w:jc w:val="both"/>
      </w:pPr>
      <w:r>
        <w:rPr>
          <w:rFonts w:ascii="Cambria" w:hAnsi="Cambria"/>
          <w:b w:val="0"/>
          <w:i w:val="0"/>
          <w:sz w:val="22"/>
        </w:rPr>
        <w:t>Form research clusters and faculty interest groups.</w:t>
      </w:r>
    </w:p>
    <w:p>
      <w:pPr>
        <w:pStyle w:val="ListBullet2"/>
        <w:spacing w:after="80"/>
        <w:jc w:val="both"/>
      </w:pPr>
      <w:r>
        <w:rPr>
          <w:rFonts w:ascii="Cambria" w:hAnsi="Cambria"/>
          <w:b w:val="0"/>
          <w:i w:val="0"/>
          <w:sz w:val="22"/>
        </w:rPr>
        <w:t>Provide FDPs/workshops on research methodologies and funding opportunities.</w:t>
      </w:r>
    </w:p>
    <w:p>
      <w:pPr>
        <w:pStyle w:val="ListBullet2"/>
        <w:spacing w:after="80"/>
        <w:jc w:val="both"/>
      </w:pPr>
      <w:r>
        <w:rPr>
          <w:rFonts w:ascii="Cambria" w:hAnsi="Cambria"/>
          <w:b w:val="0"/>
          <w:i w:val="0"/>
          <w:sz w:val="22"/>
        </w:rPr>
        <w:t>Facilitate access to labs, journals, and research databases.</w:t>
      </w:r>
    </w:p>
    <w:p>
      <w:pPr>
        <w:pStyle w:val="ListBullet"/>
        <w:spacing w:after="80"/>
        <w:jc w:val="both"/>
      </w:pPr>
      <w:r>
        <w:rPr>
          <w:rFonts w:ascii="Cambria" w:hAnsi="Cambria"/>
          <w:b w:val="0"/>
          <w:i w:val="0"/>
          <w:sz w:val="22"/>
        </w:rPr>
        <w:t>Encouragement &amp; Support</w:t>
      </w:r>
    </w:p>
    <w:p>
      <w:pPr>
        <w:pStyle w:val="ListBullet2"/>
        <w:spacing w:after="80"/>
        <w:jc w:val="both"/>
      </w:pPr>
      <w:r>
        <w:rPr>
          <w:rFonts w:ascii="Cambria" w:hAnsi="Cambria"/>
          <w:b w:val="0"/>
          <w:i w:val="0"/>
          <w:sz w:val="22"/>
        </w:rPr>
        <w:t>Nominate faculty as coordinators for each thrust area.</w:t>
      </w:r>
    </w:p>
    <w:p>
      <w:pPr>
        <w:pStyle w:val="ListBullet2"/>
        <w:spacing w:after="80"/>
        <w:jc w:val="both"/>
      </w:pPr>
      <w:r>
        <w:rPr>
          <w:rFonts w:ascii="Cambria" w:hAnsi="Cambria"/>
          <w:b w:val="0"/>
          <w:i w:val="0"/>
          <w:sz w:val="22"/>
        </w:rPr>
        <w:t>Motivate faculty and students to publish in indexed journals.</w:t>
      </w:r>
    </w:p>
    <w:p>
      <w:pPr>
        <w:pStyle w:val="ListBullet2"/>
        <w:spacing w:after="80"/>
        <w:jc w:val="both"/>
      </w:pPr>
      <w:r>
        <w:rPr>
          <w:rFonts w:ascii="Cambria" w:hAnsi="Cambria"/>
          <w:b w:val="0"/>
          <w:i w:val="0"/>
          <w:sz w:val="22"/>
        </w:rPr>
        <w:t>Guide proposal submissions to funding agencies (DST, UGC, AICTE, DBT, CSR funds).</w:t>
      </w:r>
    </w:p>
    <w:p>
      <w:pPr>
        <w:pStyle w:val="ListBullet2"/>
        <w:spacing w:after="80"/>
        <w:jc w:val="both"/>
      </w:pPr>
      <w:r>
        <w:rPr>
          <w:rFonts w:ascii="Cambria" w:hAnsi="Cambria"/>
          <w:b w:val="0"/>
          <w:i w:val="0"/>
          <w:sz w:val="22"/>
        </w:rPr>
        <w:t>Promote inter-departmental and industry collaborations.</w:t>
      </w:r>
    </w:p>
    <w:p>
      <w:pPr>
        <w:pStyle w:val="ListBullet"/>
        <w:spacing w:after="80"/>
        <w:jc w:val="both"/>
      </w:pPr>
      <w:r>
        <w:rPr>
          <w:rFonts w:ascii="Cambria" w:hAnsi="Cambria"/>
          <w:b w:val="0"/>
          <w:i w:val="0"/>
          <w:sz w:val="22"/>
        </w:rPr>
        <w:t>Integration with OBE</w:t>
      </w:r>
    </w:p>
    <w:p>
      <w:pPr>
        <w:spacing w:after="120"/>
        <w:jc w:val="both"/>
      </w:pPr>
      <w:r>
        <w:rPr>
          <w:rFonts w:ascii="Cambria" w:hAnsi="Cambria"/>
          <w:b w:val="0"/>
          <w:i w:val="0"/>
          <w:sz w:val="22"/>
        </w:rPr>
        <w:t>Map R&amp;D activities to POs (e.g., PO4 – Investigation of Complex Problems, PO12 – Lifelong Learning) and PSOs.</w:t>
      </w:r>
    </w:p>
    <w:p>
      <w:pPr>
        <w:pStyle w:val="ListBullet2"/>
        <w:spacing w:after="80"/>
        <w:jc w:val="both"/>
      </w:pPr>
      <w:r>
        <w:rPr>
          <w:rFonts w:ascii="Cambria" w:hAnsi="Cambria"/>
          <w:b w:val="0"/>
          <w:i w:val="0"/>
          <w:sz w:val="22"/>
        </w:rPr>
        <w:t>Incorporate thrust area projects into curriculum/project work.</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Minutes of meetings identifying thrust areas.</w:t>
      </w:r>
    </w:p>
    <w:p>
      <w:pPr>
        <w:pStyle w:val="ListBullet"/>
        <w:spacing w:after="80"/>
        <w:jc w:val="both"/>
      </w:pPr>
      <w:r>
        <w:rPr>
          <w:rFonts w:ascii="Cambria" w:hAnsi="Cambria"/>
          <w:b w:val="0"/>
          <w:i w:val="0"/>
          <w:sz w:val="22"/>
        </w:rPr>
        <w:t>List of departmental thrust areas approved by HoD/Principal.</w:t>
      </w:r>
    </w:p>
    <w:p>
      <w:pPr>
        <w:pStyle w:val="ListBullet"/>
        <w:spacing w:after="80"/>
        <w:jc w:val="both"/>
      </w:pPr>
      <w:r>
        <w:rPr>
          <w:rFonts w:ascii="Cambria" w:hAnsi="Cambria"/>
          <w:b w:val="0"/>
          <w:i w:val="0"/>
          <w:sz w:val="22"/>
        </w:rPr>
        <w:t>Faculty/student nomination orders for research clusters.</w:t>
      </w:r>
    </w:p>
    <w:p>
      <w:pPr>
        <w:pStyle w:val="ListBullet"/>
        <w:spacing w:after="80"/>
        <w:jc w:val="both"/>
      </w:pPr>
      <w:r>
        <w:rPr>
          <w:rFonts w:ascii="Cambria" w:hAnsi="Cambria"/>
          <w:b w:val="0"/>
          <w:i w:val="0"/>
          <w:sz w:val="22"/>
        </w:rPr>
        <w:t>Research proposals submitted and grants sanctioned.</w:t>
      </w:r>
    </w:p>
    <w:p>
      <w:pPr>
        <w:pStyle w:val="ListBullet"/>
        <w:spacing w:after="80"/>
        <w:jc w:val="both"/>
      </w:pPr>
      <w:r>
        <w:rPr>
          <w:rFonts w:ascii="Cambria" w:hAnsi="Cambria"/>
          <w:b w:val="0"/>
          <w:i w:val="0"/>
          <w:sz w:val="22"/>
        </w:rPr>
        <w:t>FDP/workshop brochures and reports.</w:t>
      </w:r>
    </w:p>
    <w:p>
      <w:pPr>
        <w:pStyle w:val="ListBullet"/>
        <w:spacing w:after="80"/>
        <w:jc w:val="both"/>
      </w:pPr>
      <w:r>
        <w:rPr>
          <w:rFonts w:ascii="Cambria" w:hAnsi="Cambria"/>
          <w:b w:val="0"/>
          <w:i w:val="0"/>
          <w:sz w:val="22"/>
        </w:rPr>
        <w:t>MoUs signed for interdisciplinary collaboration.</w:t>
      </w:r>
    </w:p>
    <w:p>
      <w:pPr>
        <w:pStyle w:val="ListBullet"/>
        <w:spacing w:after="80"/>
        <w:jc w:val="both"/>
      </w:pPr>
      <w:r>
        <w:rPr>
          <w:rFonts w:ascii="Cambria" w:hAnsi="Cambria"/>
          <w:b w:val="0"/>
          <w:i w:val="0"/>
          <w:sz w:val="22"/>
        </w:rPr>
        <w:t>Publications, patents, consultancy records linked to thrust areas.</w:t>
      </w:r>
    </w:p>
    <w:p>
      <w:pPr>
        <w:pStyle w:val="ListBullet"/>
        <w:spacing w:after="80"/>
        <w:jc w:val="both"/>
      </w:pPr>
      <w:r>
        <w:rPr>
          <w:rFonts w:ascii="Cambria" w:hAnsi="Cambria"/>
          <w:b w:val="0"/>
          <w:i w:val="0"/>
          <w:sz w:val="22"/>
        </w:rPr>
        <w:t>Consolidated R&amp;D progress reports (Criterion 3 NAAC; NBA Criterion 11).</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Number of thrust areas established: e.g., 5 core areas (AI, IoT, Renewable Energy, Materials, Healthcare Analytics).</w:t>
      </w:r>
    </w:p>
    <w:p>
      <w:pPr>
        <w:spacing w:after="120"/>
        <w:jc w:val="both"/>
      </w:pPr>
      <w:r>
        <w:rPr>
          <w:rFonts w:ascii="Cambria" w:hAnsi="Cambria"/>
          <w:b w:val="0"/>
          <w:i w:val="0"/>
          <w:sz w:val="22"/>
        </w:rPr>
        <w:t>Funded research projects ↑ 25% YoY.</w:t>
      </w:r>
    </w:p>
    <w:p>
      <w:pPr>
        <w:spacing w:after="120"/>
        <w:jc w:val="both"/>
      </w:pPr>
      <w:r>
        <w:rPr>
          <w:rFonts w:ascii="Cambria" w:hAnsi="Cambria"/>
          <w:b w:val="0"/>
          <w:i w:val="0"/>
          <w:sz w:val="22"/>
        </w:rPr>
        <w:t>Publications in Scopus/Web of Science ↑ from 15 → 32 in 3 years.</w:t>
      </w:r>
    </w:p>
    <w:p>
      <w:pPr>
        <w:spacing w:after="120"/>
        <w:jc w:val="both"/>
      </w:pPr>
      <w:r>
        <w:rPr>
          <w:rFonts w:ascii="Cambria" w:hAnsi="Cambria"/>
          <w:b w:val="0"/>
          <w:i w:val="0"/>
          <w:sz w:val="22"/>
        </w:rPr>
        <w:t>Patents filed ↑ from 2 → 7 in 3 years.</w:t>
      </w:r>
    </w:p>
    <w:p>
      <w:pPr>
        <w:pStyle w:val="ListBullet"/>
        <w:spacing w:after="80"/>
        <w:jc w:val="both"/>
      </w:pPr>
      <w:r>
        <w:rPr>
          <w:rFonts w:ascii="Cambria" w:hAnsi="Cambria"/>
          <w:b w:val="0"/>
          <w:i w:val="0"/>
          <w:sz w:val="22"/>
        </w:rPr>
        <w:t>Interdisciplinary collaborations: 6 joint projects with other departments.</w:t>
      </w:r>
    </w:p>
    <w:p>
      <w:pPr>
        <w:spacing w:after="120"/>
        <w:jc w:val="both"/>
      </w:pPr>
      <w:r>
        <w:rPr>
          <w:rFonts w:ascii="Cambria" w:hAnsi="Cambria"/>
          <w:b w:val="0"/>
          <w:i w:val="0"/>
          <w:sz w:val="22"/>
        </w:rPr>
        <w:t>Student research projects linked to thrust areas ↑ 40%.</w:t>
      </w:r>
    </w:p>
    <w:p>
      <w:pPr>
        <w:spacing w:after="120"/>
        <w:jc w:val="both"/>
      </w:pPr>
      <w:r>
        <w:rPr>
          <w:rFonts w:ascii="Cambria" w:hAnsi="Cambria"/>
          <w:b w:val="0"/>
          <w:i w:val="0"/>
          <w:sz w:val="22"/>
        </w:rPr>
        <w:t>Consultancy revenue ↑ by 30% YoY.</w:t>
      </w:r>
    </w:p>
    <w:p>
      <w:pPr>
        <w:keepNext/>
        <w:spacing w:before="280" w:after="160"/>
        <w:jc w:val="left"/>
      </w:pPr>
      <w:r>
        <w:rPr>
          <w:rFonts w:ascii="Cambria" w:hAnsi="Cambria"/>
          <w:b/>
          <w:i w:val="0"/>
          <w:color w:val="1F3A5F"/>
          <w:sz w:val="26"/>
        </w:rPr>
        <w:t>Evidence/Documents – R&amp;D &amp; Interdisciplinary Thrust Areas</w:t>
      </w:r>
    </w:p>
    <w:p>
      <w:pPr>
        <w:spacing w:after="80"/>
        <w:ind w:left="340" w:hanging="340"/>
        <w:jc w:val="both"/>
      </w:pPr>
      <w:r>
        <w:rPr>
          <w:rFonts w:ascii="Cambria" w:hAnsi="Cambria"/>
          <w:b w:val="0"/>
          <w:i w:val="0"/>
          <w:sz w:val="22"/>
        </w:rPr>
        <w:t xml:space="preserve">1. </w:t>
      </w:r>
      <w:r>
        <w:rPr>
          <w:rFonts w:ascii="Cambria" w:hAnsi="Cambria"/>
          <w:b w:val="0"/>
          <w:i w:val="0"/>
          <w:sz w:val="22"/>
        </w:rPr>
        <w:t>Minutes of Meetings Identifying Thrust Areas</w:t>
      </w:r>
    </w:p>
    <w:p>
      <w:pPr>
        <w:pStyle w:val="ListBullet2"/>
        <w:spacing w:after="80"/>
        <w:jc w:val="both"/>
      </w:pPr>
      <w:r>
        <w:rPr>
          <w:rFonts w:ascii="Cambria" w:hAnsi="Cambria"/>
          <w:b w:val="0"/>
          <w:i w:val="0"/>
          <w:sz w:val="22"/>
        </w:rPr>
        <w:t>Records of faculty/industry/research brainstorming sessions.</w:t>
      </w:r>
    </w:p>
    <w:p>
      <w:pPr>
        <w:pStyle w:val="ListBullet2"/>
        <w:spacing w:after="80"/>
        <w:jc w:val="both"/>
      </w:pPr>
      <w:r>
        <w:rPr>
          <w:rFonts w:ascii="Cambria" w:hAnsi="Cambria"/>
          <w:b w:val="0"/>
          <w:i w:val="0"/>
          <w:sz w:val="22"/>
        </w:rPr>
        <w:t>Documentation of rationale behind selected thrust areas.</w:t>
      </w:r>
    </w:p>
    <w:p>
      <w:pPr>
        <w:spacing w:after="80"/>
        <w:ind w:left="340" w:hanging="340"/>
        <w:jc w:val="both"/>
      </w:pPr>
      <w:r>
        <w:rPr>
          <w:rFonts w:ascii="Cambria" w:hAnsi="Cambria"/>
          <w:b w:val="0"/>
          <w:i w:val="0"/>
          <w:sz w:val="22"/>
        </w:rPr>
        <w:t xml:space="preserve">2. </w:t>
      </w:r>
      <w:r>
        <w:rPr>
          <w:rFonts w:ascii="Cambria" w:hAnsi="Cambria"/>
          <w:b w:val="0"/>
          <w:i w:val="0"/>
          <w:sz w:val="22"/>
        </w:rPr>
        <w:t>List of Departmental Thrust Areas Approved by HoD/Principal</w:t>
      </w:r>
    </w:p>
    <w:p>
      <w:pPr>
        <w:pStyle w:val="ListBullet2"/>
        <w:spacing w:after="80"/>
        <w:jc w:val="both"/>
      </w:pPr>
      <w:r>
        <w:rPr>
          <w:rFonts w:ascii="Cambria" w:hAnsi="Cambria"/>
          <w:b w:val="0"/>
          <w:i w:val="0"/>
          <w:sz w:val="22"/>
        </w:rPr>
        <w:t>Official approval document listing identified research domains.</w:t>
      </w:r>
    </w:p>
    <w:p>
      <w:pPr>
        <w:pStyle w:val="ListBullet2"/>
        <w:spacing w:after="80"/>
        <w:jc w:val="both"/>
      </w:pPr>
      <w:r>
        <w:rPr>
          <w:rFonts w:ascii="Cambria" w:hAnsi="Cambria"/>
          <w:b w:val="0"/>
          <w:i w:val="0"/>
          <w:sz w:val="22"/>
        </w:rPr>
        <w:t>Linked to institutional/national priorities (NEP 2020, SDGs).</w:t>
      </w:r>
    </w:p>
    <w:p>
      <w:pPr>
        <w:spacing w:after="80"/>
        <w:ind w:left="340" w:hanging="340"/>
        <w:jc w:val="both"/>
      </w:pPr>
      <w:r>
        <w:rPr>
          <w:rFonts w:ascii="Cambria" w:hAnsi="Cambria"/>
          <w:b w:val="0"/>
          <w:i w:val="0"/>
          <w:sz w:val="22"/>
        </w:rPr>
        <w:t xml:space="preserve">3. </w:t>
      </w:r>
      <w:r>
        <w:rPr>
          <w:rFonts w:ascii="Cambria" w:hAnsi="Cambria"/>
          <w:b w:val="0"/>
          <w:i w:val="0"/>
          <w:sz w:val="22"/>
        </w:rPr>
        <w:t>Faculty/Student Nomination Orders for Research Clusters</w:t>
      </w:r>
    </w:p>
    <w:p>
      <w:pPr>
        <w:pStyle w:val="ListBullet2"/>
        <w:spacing w:after="80"/>
        <w:jc w:val="both"/>
      </w:pPr>
      <w:r>
        <w:rPr>
          <w:rFonts w:ascii="Cambria" w:hAnsi="Cambria"/>
          <w:b w:val="0"/>
          <w:i w:val="0"/>
          <w:sz w:val="22"/>
        </w:rPr>
        <w:t>Nomination letters assigning coordinators/members for each thrust area.</w:t>
      </w:r>
    </w:p>
    <w:p>
      <w:pPr>
        <w:pStyle w:val="ListBullet2"/>
        <w:spacing w:after="80"/>
        <w:jc w:val="both"/>
      </w:pPr>
      <w:r>
        <w:rPr>
          <w:rFonts w:ascii="Cambria" w:hAnsi="Cambria"/>
          <w:b w:val="0"/>
          <w:i w:val="0"/>
          <w:sz w:val="22"/>
        </w:rPr>
        <w:t>Includes both faculty and student researchers.</w:t>
      </w:r>
    </w:p>
    <w:p>
      <w:pPr>
        <w:spacing w:after="80"/>
        <w:ind w:left="340" w:hanging="340"/>
        <w:jc w:val="both"/>
      </w:pPr>
      <w:r>
        <w:rPr>
          <w:rFonts w:ascii="Cambria" w:hAnsi="Cambria"/>
          <w:b w:val="0"/>
          <w:i w:val="0"/>
          <w:sz w:val="22"/>
        </w:rPr>
        <w:t xml:space="preserve">4. </w:t>
      </w:r>
      <w:r>
        <w:rPr>
          <w:rFonts w:ascii="Cambria" w:hAnsi="Cambria"/>
          <w:b w:val="0"/>
          <w:i w:val="0"/>
          <w:sz w:val="22"/>
        </w:rPr>
        <w:t>Research Proposals Submitted and Grants Sanctioned</w:t>
      </w:r>
    </w:p>
    <w:p>
      <w:pPr>
        <w:pStyle w:val="ListBullet2"/>
        <w:spacing w:after="80"/>
        <w:jc w:val="both"/>
      </w:pPr>
      <w:r>
        <w:rPr>
          <w:rFonts w:ascii="Cambria" w:hAnsi="Cambria"/>
          <w:b w:val="0"/>
          <w:i w:val="0"/>
          <w:sz w:val="22"/>
        </w:rPr>
        <w:t>Copies of submitted proposals.</w:t>
      </w:r>
    </w:p>
    <w:p>
      <w:pPr>
        <w:pStyle w:val="ListBullet2"/>
        <w:spacing w:after="80"/>
        <w:jc w:val="both"/>
      </w:pPr>
      <w:r>
        <w:rPr>
          <w:rFonts w:ascii="Cambria" w:hAnsi="Cambria"/>
          <w:b w:val="0"/>
          <w:i w:val="0"/>
          <w:sz w:val="22"/>
        </w:rPr>
        <w:t>Grant sanction letters from funding bodies (DST, AICTE, UGC, DBT, CSR, industry).</w:t>
      </w:r>
    </w:p>
    <w:p>
      <w:pPr>
        <w:spacing w:after="80"/>
        <w:ind w:left="340" w:hanging="340"/>
        <w:jc w:val="both"/>
      </w:pPr>
      <w:r>
        <w:rPr>
          <w:rFonts w:ascii="Cambria" w:hAnsi="Cambria"/>
          <w:b w:val="0"/>
          <w:i w:val="0"/>
          <w:sz w:val="22"/>
        </w:rPr>
        <w:t xml:space="preserve">5. </w:t>
      </w:r>
      <w:r>
        <w:rPr>
          <w:rFonts w:ascii="Cambria" w:hAnsi="Cambria"/>
          <w:b w:val="0"/>
          <w:i w:val="0"/>
          <w:sz w:val="22"/>
        </w:rPr>
        <w:t>FDP/Workshop Brochures and Reports</w:t>
      </w:r>
    </w:p>
    <w:p>
      <w:pPr>
        <w:pStyle w:val="ListBullet2"/>
        <w:spacing w:after="80"/>
        <w:jc w:val="both"/>
      </w:pPr>
      <w:r>
        <w:rPr>
          <w:rFonts w:ascii="Cambria" w:hAnsi="Cambria"/>
          <w:b w:val="0"/>
          <w:i w:val="0"/>
          <w:sz w:val="22"/>
        </w:rPr>
        <w:t>Training programs and workshops conducted in identified thrust areas.</w:t>
      </w:r>
    </w:p>
    <w:p>
      <w:pPr>
        <w:pStyle w:val="ListBullet2"/>
        <w:spacing w:after="80"/>
        <w:jc w:val="both"/>
      </w:pPr>
      <w:r>
        <w:rPr>
          <w:rFonts w:ascii="Cambria" w:hAnsi="Cambria"/>
          <w:b w:val="0"/>
          <w:i w:val="0"/>
          <w:sz w:val="22"/>
        </w:rPr>
        <w:t>Evidence of skill enhancement and knowledge dissemination.</w:t>
      </w:r>
    </w:p>
    <w:p>
      <w:pPr>
        <w:spacing w:after="80"/>
        <w:ind w:left="340" w:hanging="340"/>
        <w:jc w:val="both"/>
      </w:pPr>
      <w:r>
        <w:rPr>
          <w:rFonts w:ascii="Cambria" w:hAnsi="Cambria"/>
          <w:b w:val="0"/>
          <w:i w:val="0"/>
          <w:sz w:val="22"/>
        </w:rPr>
        <w:t xml:space="preserve">6. </w:t>
      </w:r>
      <w:r>
        <w:rPr>
          <w:rFonts w:ascii="Cambria" w:hAnsi="Cambria"/>
          <w:b w:val="0"/>
          <w:i w:val="0"/>
          <w:sz w:val="22"/>
        </w:rPr>
        <w:t>MoUs Signed for Interdisciplinary Collaboration</w:t>
      </w:r>
    </w:p>
    <w:p>
      <w:pPr>
        <w:pStyle w:val="ListBullet2"/>
        <w:spacing w:after="80"/>
        <w:jc w:val="both"/>
      </w:pPr>
      <w:r>
        <w:rPr>
          <w:rFonts w:ascii="Cambria" w:hAnsi="Cambria"/>
          <w:b w:val="0"/>
          <w:i w:val="0"/>
          <w:sz w:val="22"/>
        </w:rPr>
        <w:t>Agreements with other departments, universities, or industries.</w:t>
      </w:r>
    </w:p>
    <w:p>
      <w:pPr>
        <w:pStyle w:val="ListBullet2"/>
        <w:spacing w:after="80"/>
        <w:jc w:val="both"/>
      </w:pPr>
      <w:r>
        <w:rPr>
          <w:rFonts w:ascii="Cambria" w:hAnsi="Cambria"/>
          <w:b w:val="0"/>
          <w:i w:val="0"/>
          <w:sz w:val="22"/>
        </w:rPr>
        <w:t>Includes interdisciplinary projects and joint research opportunities.</w:t>
      </w:r>
    </w:p>
    <w:p>
      <w:pPr>
        <w:spacing w:after="80"/>
        <w:ind w:left="340" w:hanging="340"/>
        <w:jc w:val="both"/>
      </w:pPr>
      <w:r>
        <w:rPr>
          <w:rFonts w:ascii="Cambria" w:hAnsi="Cambria"/>
          <w:b w:val="0"/>
          <w:i w:val="0"/>
          <w:sz w:val="22"/>
        </w:rPr>
        <w:t xml:space="preserve">7. </w:t>
      </w:r>
      <w:r>
        <w:rPr>
          <w:rFonts w:ascii="Cambria" w:hAnsi="Cambria"/>
          <w:b w:val="0"/>
          <w:i w:val="0"/>
          <w:sz w:val="22"/>
        </w:rPr>
        <w:t>Publications, Patents, Consultancy Records Linked to Thrust Areas</w:t>
      </w:r>
    </w:p>
    <w:p>
      <w:pPr>
        <w:pStyle w:val="ListBullet2"/>
        <w:spacing w:after="80"/>
        <w:jc w:val="both"/>
      </w:pPr>
      <w:r>
        <w:rPr>
          <w:rFonts w:ascii="Cambria" w:hAnsi="Cambria"/>
          <w:b w:val="0"/>
          <w:i w:val="0"/>
          <w:sz w:val="22"/>
        </w:rPr>
        <w:t>Scopus/WoS indexed publications.</w:t>
      </w:r>
    </w:p>
    <w:p>
      <w:pPr>
        <w:pStyle w:val="ListBullet2"/>
        <w:spacing w:after="80"/>
        <w:jc w:val="both"/>
      </w:pPr>
      <w:r>
        <w:rPr>
          <w:rFonts w:ascii="Cambria" w:hAnsi="Cambria"/>
          <w:b w:val="0"/>
          <w:i w:val="0"/>
          <w:sz w:val="22"/>
        </w:rPr>
        <w:t>Filed/granted patents.</w:t>
      </w:r>
    </w:p>
    <w:p>
      <w:pPr>
        <w:pStyle w:val="ListBullet2"/>
        <w:spacing w:after="80"/>
        <w:jc w:val="both"/>
      </w:pPr>
      <w:r>
        <w:rPr>
          <w:rFonts w:ascii="Cambria" w:hAnsi="Cambria"/>
          <w:b w:val="0"/>
          <w:i w:val="0"/>
          <w:sz w:val="22"/>
        </w:rPr>
        <w:t>Consultancy agreements and revenue records.</w:t>
      </w:r>
    </w:p>
    <w:p>
      <w:pPr>
        <w:spacing w:after="80"/>
        <w:ind w:left="340" w:hanging="340"/>
        <w:jc w:val="both"/>
      </w:pPr>
      <w:r>
        <w:rPr>
          <w:rFonts w:ascii="Cambria" w:hAnsi="Cambria"/>
          <w:b w:val="0"/>
          <w:i w:val="0"/>
          <w:sz w:val="22"/>
        </w:rPr>
        <w:t xml:space="preserve">8. </w:t>
      </w:r>
      <w:r>
        <w:rPr>
          <w:rFonts w:ascii="Cambria" w:hAnsi="Cambria"/>
          <w:b w:val="0"/>
          <w:i w:val="0"/>
          <w:sz w:val="22"/>
        </w:rPr>
        <w:t>Consolidated R&amp;D Progress Reports (Criterion 3 NAAC; NBA Criterion 11)</w:t>
      </w:r>
    </w:p>
    <w:p>
      <w:pPr>
        <w:pStyle w:val="ListBullet2"/>
        <w:spacing w:after="80"/>
        <w:jc w:val="both"/>
      </w:pPr>
      <w:r>
        <w:rPr>
          <w:rFonts w:ascii="Cambria" w:hAnsi="Cambria"/>
          <w:b w:val="0"/>
          <w:i w:val="0"/>
          <w:sz w:val="22"/>
        </w:rPr>
        <w:t>Yearly progress reports showing achievements in thrust areas.</w:t>
      </w:r>
    </w:p>
    <w:p>
      <w:pPr>
        <w:pStyle w:val="ListBullet2"/>
        <w:spacing w:after="80"/>
        <w:jc w:val="both"/>
      </w:pPr>
      <w:r>
        <w:rPr>
          <w:rFonts w:ascii="Cambria" w:hAnsi="Cambria"/>
          <w:b w:val="0"/>
          <w:i w:val="0"/>
          <w:sz w:val="22"/>
        </w:rPr>
        <w:t>Includes measurable outcomes (publications, projects, patents, revenue, student involvement).</w:t>
      </w:r>
    </w:p>
    <w:p>
      <w:pPr>
        <w:keepNext/>
        <w:spacing w:before="280" w:after="160"/>
        <w:jc w:val="left"/>
      </w:pPr>
      <w:r>
        <w:rPr>
          <w:rFonts w:ascii="Cambria" w:hAnsi="Cambria"/>
          <w:b/>
          <w:i w:val="0"/>
          <w:color w:val="1F3A5F"/>
          <w:sz w:val="26"/>
        </w:rPr>
        <w:t>Outcomes Expected by Peer Reviewers</w:t>
      </w:r>
    </w:p>
    <w:p>
      <w:pPr>
        <w:pStyle w:val="ListBullet"/>
        <w:spacing w:after="80"/>
        <w:jc w:val="both"/>
      </w:pPr>
      <w:r>
        <w:rPr>
          <w:rFonts w:ascii="Cambria" w:hAnsi="Cambria"/>
          <w:b w:val="0"/>
          <w:i w:val="0"/>
          <w:sz w:val="22"/>
        </w:rPr>
        <w:t>Thrust areas established: e.g., 5 (AI, IoT, Renewable Energy, Materials, Healthcare Analytics).</w:t>
      </w:r>
    </w:p>
    <w:p>
      <w:pPr>
        <w:spacing w:after="120"/>
        <w:jc w:val="both"/>
      </w:pPr>
      <w:r>
        <w:rPr>
          <w:rFonts w:ascii="Cambria" w:hAnsi="Cambria"/>
          <w:b w:val="0"/>
          <w:i w:val="0"/>
          <w:sz w:val="22"/>
        </w:rPr>
        <w:t>Funded projects ↑ 25% YoY.</w:t>
      </w:r>
    </w:p>
    <w:p>
      <w:pPr>
        <w:spacing w:after="120"/>
        <w:jc w:val="both"/>
      </w:pPr>
      <w:r>
        <w:rPr>
          <w:rFonts w:ascii="Cambria" w:hAnsi="Cambria"/>
          <w:b w:val="0"/>
          <w:i w:val="0"/>
          <w:sz w:val="22"/>
        </w:rPr>
        <w:t>Publications ↑ from 15 → 32 in 3 years.</w:t>
      </w:r>
    </w:p>
    <w:p>
      <w:pPr>
        <w:spacing w:after="120"/>
        <w:jc w:val="both"/>
      </w:pPr>
      <w:r>
        <w:rPr>
          <w:rFonts w:ascii="Cambria" w:hAnsi="Cambria"/>
          <w:b w:val="0"/>
          <w:i w:val="0"/>
          <w:sz w:val="22"/>
        </w:rPr>
        <w:t>Patents filed ↑ from 2 → 7 in 3 years.</w:t>
      </w:r>
    </w:p>
    <w:p>
      <w:pPr>
        <w:spacing w:after="120"/>
        <w:jc w:val="both"/>
      </w:pPr>
      <w:r>
        <w:rPr>
          <w:rFonts w:ascii="Cambria" w:hAnsi="Cambria"/>
          <w:b w:val="0"/>
          <w:i w:val="0"/>
          <w:sz w:val="22"/>
        </w:rPr>
        <w:t>Consultancy revenue ↑ 30% YoY.</w:t>
      </w:r>
    </w:p>
    <w:p>
      <w:pPr>
        <w:pStyle w:val="ListBullet"/>
        <w:spacing w:after="80"/>
        <w:jc w:val="both"/>
      </w:pPr>
      <w:r>
        <w:rPr>
          <w:rFonts w:ascii="Cambria" w:hAnsi="Cambria"/>
          <w:b w:val="0"/>
          <w:i w:val="0"/>
          <w:sz w:val="22"/>
        </w:rPr>
        <w:t>Interdisciplinary collaborations: 6 joint projects.</w:t>
      </w:r>
    </w:p>
    <w:p>
      <w:pPr>
        <w:spacing w:after="120"/>
        <w:jc w:val="both"/>
      </w:pPr>
      <w:r>
        <w:rPr>
          <w:rFonts w:ascii="Cambria" w:hAnsi="Cambria"/>
          <w:b w:val="0"/>
          <w:i w:val="0"/>
          <w:sz w:val="22"/>
        </w:rPr>
        <w:t>Student R&amp;D participation ↑ 40%.</w:t>
      </w:r>
    </w:p>
    <w:p>
      <w:pPr>
        <w:keepNext/>
        <w:spacing w:before="280" w:after="160"/>
        <w:jc w:val="left"/>
      </w:pPr>
      <w:r>
        <w:rPr>
          <w:rFonts w:ascii="Cambria" w:hAnsi="Cambria"/>
          <w:b/>
          <w:i w:val="0"/>
          <w:color w:val="1F3A5F"/>
          <w:sz w:val="24"/>
        </w:rPr>
        <w:t>Thrust Areas R&amp;D Evidence Matrix</w:t>
      </w:r>
    </w:p>
    <w:tbl>
      <w:tblPr>
        <w:tblStyle w:val="TableGrid"/>
        <w:tblW w:type="auto" w:w="0"/>
        <w:jc w:val="center"/>
        <w:tblLayout w:type="fixed"/>
        <w:tblLook w:firstColumn="1" w:firstRow="1" w:lastColumn="0" w:lastRow="0" w:noHBand="0" w:noVBand="1" w:val="04A0"/>
        <w:tblLayout w:type="fixed"/>
      </w:tblPr>
      <w:tblGrid>
        <w:gridCol w:w="1474"/>
        <w:gridCol w:w="1304"/>
        <w:gridCol w:w="1304"/>
        <w:gridCol w:w="1191"/>
        <w:gridCol w:w="1191"/>
        <w:gridCol w:w="1701"/>
        <w:gridCol w:w="1134"/>
        <w:gridCol w:w="1361"/>
      </w:tblGrid>
      <w:tr>
        <w:tc>
          <w:tcPr>
            <w:tcW w:type="dxa" w:w="1474"/>
            <w:shd w:val="clear" w:color="auto" w:fill="1F3A5F"/>
          </w:tcPr>
          <w:p>
            <w:pPr>
              <w:jc w:val="center"/>
            </w:pPr>
            <w:r/>
            <w:r>
              <w:rPr>
                <w:rFonts w:ascii="Cambria" w:hAnsi="Cambria"/>
                <w:b/>
                <w:i w:val="0"/>
                <w:color w:val="FFFFFF"/>
                <w:sz w:val="20"/>
              </w:rPr>
              <w:t>Thrust Area ID / Area (e.g., AI, IoT, Renewable Energy)</w:t>
            </w:r>
          </w:p>
        </w:tc>
        <w:tc>
          <w:tcPr>
            <w:tcW w:type="dxa" w:w="1304"/>
            <w:shd w:val="clear" w:color="auto" w:fill="1F3A5F"/>
          </w:tcPr>
          <w:p>
            <w:pPr>
              <w:jc w:val="center"/>
            </w:pPr>
            <w:r/>
            <w:r>
              <w:rPr>
                <w:rFonts w:ascii="Cambria" w:hAnsi="Cambria"/>
                <w:b/>
                <w:i w:val="0"/>
                <w:color w:val="FFFFFF"/>
                <w:sz w:val="20"/>
              </w:rPr>
              <w:t>Coordinator(s) / Approval Ref</w:t>
            </w:r>
          </w:p>
        </w:tc>
        <w:tc>
          <w:tcPr>
            <w:tcW w:type="dxa" w:w="1304"/>
            <w:shd w:val="clear" w:color="auto" w:fill="1F3A5F"/>
          </w:tcPr>
          <w:p>
            <w:pPr>
              <w:jc w:val="center"/>
            </w:pPr>
            <w:r/>
            <w:r>
              <w:rPr>
                <w:rFonts w:ascii="Cambria" w:hAnsi="Cambria"/>
                <w:b/>
                <w:i w:val="0"/>
                <w:color w:val="FFFFFF"/>
                <w:sz w:val="20"/>
              </w:rPr>
              <w:t>Faculty/Student Cluster Members</w:t>
            </w:r>
          </w:p>
        </w:tc>
        <w:tc>
          <w:tcPr>
            <w:tcW w:type="dxa" w:w="1191"/>
            <w:shd w:val="clear" w:color="auto" w:fill="1F3A5F"/>
          </w:tcPr>
          <w:p>
            <w:pPr>
              <w:jc w:val="center"/>
            </w:pPr>
            <w:r/>
            <w:r>
              <w:rPr>
                <w:rFonts w:ascii="Cambria" w:hAnsi="Cambria"/>
                <w:b/>
                <w:i w:val="0"/>
                <w:color w:val="FFFFFF"/>
                <w:sz w:val="20"/>
              </w:rPr>
              <w:t>Grants (₹/Lakhs) / Research Proposals Submitted</w:t>
            </w:r>
          </w:p>
        </w:tc>
        <w:tc>
          <w:tcPr>
            <w:tcW w:type="dxa" w:w="1191"/>
            <w:shd w:val="clear" w:color="auto" w:fill="1F3A5F"/>
          </w:tcPr>
          <w:p>
            <w:pPr>
              <w:jc w:val="center"/>
            </w:pPr>
            <w:r/>
            <w:r>
              <w:rPr>
                <w:rFonts w:ascii="Cambria" w:hAnsi="Cambria"/>
                <w:b/>
                <w:i w:val="0"/>
                <w:color w:val="FFFFFF"/>
                <w:sz w:val="20"/>
              </w:rPr>
              <w:t>Publications (Scopus/WoS) / Patents Filed/Granted</w:t>
            </w:r>
          </w:p>
        </w:tc>
        <w:tc>
          <w:tcPr>
            <w:tcW w:type="dxa" w:w="1701"/>
            <w:shd w:val="clear" w:color="auto" w:fill="1F3A5F"/>
          </w:tcPr>
          <w:p>
            <w:pPr>
              <w:jc w:val="center"/>
            </w:pPr>
            <w:r/>
            <w:r>
              <w:rPr>
                <w:rFonts w:ascii="Cambria" w:hAnsi="Cambria"/>
                <w:b/>
                <w:i w:val="0"/>
                <w:color w:val="FFFFFF"/>
                <w:sz w:val="20"/>
              </w:rPr>
              <w:t>Consultancy Projects &amp; Revenue (₹) / MoUs/Interdisciplinary Collaborations</w:t>
            </w:r>
          </w:p>
        </w:tc>
        <w:tc>
          <w:tcPr>
            <w:tcW w:type="dxa" w:w="1134"/>
            <w:shd w:val="clear" w:color="auto" w:fill="1F3A5F"/>
          </w:tcPr>
          <w:p>
            <w:pPr>
              <w:jc w:val="center"/>
            </w:pPr>
            <w:r/>
            <w:r>
              <w:rPr>
                <w:rFonts w:ascii="Cambria" w:hAnsi="Cambria"/>
                <w:b/>
                <w:i w:val="0"/>
                <w:color w:val="FFFFFF"/>
                <w:sz w:val="20"/>
              </w:rPr>
              <w:t>FDPs/Workshops Conducted / Evidence Link (Docs/Reports)</w:t>
            </w:r>
          </w:p>
        </w:tc>
        <w:tc>
          <w:tcPr>
            <w:tcW w:type="dxa" w:w="1361"/>
            <w:shd w:val="clear" w:color="auto" w:fill="1F3A5F"/>
          </w:tcPr>
          <w:p>
            <w:pPr>
              <w:jc w:val="center"/>
            </w:pPr>
            <w:r/>
            <w:r>
              <w:rPr>
                <w:rFonts w:ascii="Cambria" w:hAnsi="Cambria"/>
                <w:b/>
                <w:i w:val="0"/>
                <w:color w:val="FFFFFF"/>
                <w:sz w:val="20"/>
              </w:rPr>
              <w:t>Outcomes (Numeric, Measurable) / RAG</w:t>
            </w:r>
          </w:p>
        </w:tc>
      </w:tr>
      <w:tr>
        <w:tc>
          <w:tcPr>
            <w:tcW w:type="dxa" w:w="1474"/>
          </w:tcPr>
          <w:p>
            <w:pPr>
              <w:jc w:val="left"/>
            </w:pPr>
            <w:r/>
            <w:r>
              <w:rPr>
                <w:rFonts w:ascii="Cambria" w:hAnsi="Cambria"/>
                <w:b w:val="0"/>
                <w:i w:val="0"/>
                <w:sz w:val="20"/>
              </w:rPr>
              <w:t>R&amp;D-01</w:t>
              <w:br/>
              <w:t>Artificial Intelligence in Healthcare</w:t>
            </w:r>
          </w:p>
        </w:tc>
        <w:tc>
          <w:tcPr>
            <w:tcW w:type="dxa" w:w="1304"/>
          </w:tcPr>
          <w:p>
            <w:pPr>
              <w:jc w:val="left"/>
            </w:pPr>
            <w:r/>
            <w:r>
              <w:rPr>
                <w:rFonts w:ascii="Cambria" w:hAnsi="Cambria"/>
                <w:b w:val="0"/>
                <w:i w:val="0"/>
                <w:sz w:val="20"/>
              </w:rPr>
              <w:t>Dr. A. Rao / HoD_Approval_001</w:t>
            </w:r>
          </w:p>
        </w:tc>
        <w:tc>
          <w:tcPr>
            <w:tcW w:type="dxa" w:w="1304"/>
          </w:tcPr>
          <w:p>
            <w:pPr>
              <w:jc w:val="left"/>
            </w:pPr>
            <w:r/>
            <w:r>
              <w:rPr>
                <w:rFonts w:ascii="Cambria" w:hAnsi="Cambria"/>
                <w:b w:val="0"/>
                <w:i w:val="0"/>
                <w:sz w:val="20"/>
              </w:rPr>
              <w:t>12 (8 Faculty + 4 Students)</w:t>
            </w:r>
          </w:p>
        </w:tc>
        <w:tc>
          <w:tcPr>
            <w:tcW w:type="dxa" w:w="1191"/>
          </w:tcPr>
          <w:p>
            <w:pPr>
              <w:jc w:val="left"/>
            </w:pPr>
            <w:r/>
            <w:r>
              <w:rPr>
                <w:rFonts w:ascii="Cambria" w:hAnsi="Cambria"/>
                <w:b w:val="0"/>
                <w:i w:val="0"/>
                <w:sz w:val="20"/>
              </w:rPr>
              <w:t>₹25 Lakh / 6</w:t>
            </w:r>
          </w:p>
        </w:tc>
        <w:tc>
          <w:tcPr>
            <w:tcW w:type="dxa" w:w="1191"/>
          </w:tcPr>
          <w:p>
            <w:pPr>
              <w:jc w:val="left"/>
            </w:pPr>
            <w:r/>
            <w:r>
              <w:rPr>
                <w:rFonts w:ascii="Cambria" w:hAnsi="Cambria"/>
                <w:b w:val="0"/>
                <w:i w:val="0"/>
                <w:sz w:val="20"/>
              </w:rPr>
              <w:t>14 / 2 Filed, 1 Granted</w:t>
            </w:r>
          </w:p>
        </w:tc>
        <w:tc>
          <w:tcPr>
            <w:tcW w:type="dxa" w:w="1701"/>
          </w:tcPr>
          <w:p>
            <w:pPr>
              <w:jc w:val="left"/>
            </w:pPr>
            <w:r/>
            <w:r>
              <w:rPr>
                <w:rFonts w:ascii="Cambria" w:hAnsi="Cambria"/>
                <w:b w:val="0"/>
                <w:i w:val="0"/>
                <w:sz w:val="20"/>
              </w:rPr>
              <w:t>₹3.5 Lakh / 2 MoUs (Medical College, IT Firm)</w:t>
            </w:r>
          </w:p>
        </w:tc>
        <w:tc>
          <w:tcPr>
            <w:tcW w:type="dxa" w:w="1134"/>
          </w:tcPr>
          <w:p>
            <w:pPr>
              <w:jc w:val="left"/>
            </w:pPr>
            <w:r/>
            <w:r>
              <w:rPr>
                <w:rFonts w:ascii="Cambria" w:hAnsi="Cambria"/>
                <w:b w:val="0"/>
                <w:i w:val="0"/>
                <w:sz w:val="20"/>
              </w:rPr>
              <w:t>3 / RnD_AI_Healthcare.pdf</w:t>
            </w:r>
          </w:p>
        </w:tc>
        <w:tc>
          <w:tcPr>
            <w:tcW w:type="dxa" w:w="1361"/>
          </w:tcPr>
          <w:p>
            <w:pPr>
              <w:jc w:val="left"/>
            </w:pPr>
            <w:r/>
            <w:r>
              <w:rPr>
                <w:rFonts w:ascii="Cambria" w:hAnsi="Cambria"/>
                <w:b w:val="0"/>
                <w:i w:val="0"/>
                <w:sz w:val="20"/>
              </w:rPr>
              <w:t>Publications ↑ 40%, Placement ↑ 18% / Green</w:t>
            </w:r>
          </w:p>
        </w:tc>
      </w:tr>
      <w:tr>
        <w:tc>
          <w:tcPr>
            <w:tcW w:type="dxa" w:w="1474"/>
            <w:shd w:val="clear" w:color="auto" w:fill="E8EEF5"/>
          </w:tcPr>
          <w:p>
            <w:pPr>
              <w:jc w:val="left"/>
            </w:pPr>
            <w:r/>
            <w:r>
              <w:rPr>
                <w:rFonts w:ascii="Cambria" w:hAnsi="Cambria"/>
                <w:b w:val="0"/>
                <w:i w:val="0"/>
                <w:sz w:val="20"/>
              </w:rPr>
              <w:t>R&amp;D-02</w:t>
              <w:br/>
              <w:t>Renewable Energy &amp; Smart Grids</w:t>
            </w:r>
          </w:p>
        </w:tc>
        <w:tc>
          <w:tcPr>
            <w:tcW w:type="dxa" w:w="1304"/>
            <w:shd w:val="clear" w:color="auto" w:fill="E8EEF5"/>
          </w:tcPr>
          <w:p>
            <w:pPr>
              <w:jc w:val="left"/>
            </w:pPr>
            <w:r/>
            <w:r>
              <w:rPr>
                <w:rFonts w:ascii="Cambria" w:hAnsi="Cambria"/>
                <w:b w:val="0"/>
                <w:i w:val="0"/>
                <w:sz w:val="20"/>
              </w:rPr>
              <w:t>Dr. K. Menon / HoD_Approval_003</w:t>
            </w:r>
          </w:p>
        </w:tc>
        <w:tc>
          <w:tcPr>
            <w:tcW w:type="dxa" w:w="1304"/>
            <w:shd w:val="clear" w:color="auto" w:fill="E8EEF5"/>
          </w:tcPr>
          <w:p>
            <w:pPr>
              <w:jc w:val="left"/>
            </w:pPr>
            <w:r/>
            <w:r>
              <w:rPr>
                <w:rFonts w:ascii="Cambria" w:hAnsi="Cambria"/>
                <w:b w:val="0"/>
                <w:i w:val="0"/>
                <w:sz w:val="20"/>
              </w:rPr>
              <w:t>10 (6 Faculty + 4 Students)</w:t>
            </w:r>
          </w:p>
        </w:tc>
        <w:tc>
          <w:tcPr>
            <w:tcW w:type="dxa" w:w="1191"/>
            <w:shd w:val="clear" w:color="auto" w:fill="E8EEF5"/>
          </w:tcPr>
          <w:p>
            <w:pPr>
              <w:jc w:val="left"/>
            </w:pPr>
            <w:r/>
            <w:r>
              <w:rPr>
                <w:rFonts w:ascii="Cambria" w:hAnsi="Cambria"/>
                <w:b w:val="0"/>
                <w:i w:val="0"/>
                <w:sz w:val="20"/>
              </w:rPr>
              <w:t>₹18 Lakh / 4</w:t>
            </w:r>
          </w:p>
        </w:tc>
        <w:tc>
          <w:tcPr>
            <w:tcW w:type="dxa" w:w="1191"/>
            <w:shd w:val="clear" w:color="auto" w:fill="E8EEF5"/>
          </w:tcPr>
          <w:p>
            <w:pPr>
              <w:jc w:val="left"/>
            </w:pPr>
            <w:r/>
            <w:r>
              <w:rPr>
                <w:rFonts w:ascii="Cambria" w:hAnsi="Cambria"/>
                <w:b w:val="0"/>
                <w:i w:val="0"/>
                <w:sz w:val="20"/>
              </w:rPr>
              <w:t>9 / 1 Filed</w:t>
            </w:r>
          </w:p>
        </w:tc>
        <w:tc>
          <w:tcPr>
            <w:tcW w:type="dxa" w:w="1701"/>
            <w:shd w:val="clear" w:color="auto" w:fill="E8EEF5"/>
          </w:tcPr>
          <w:p>
            <w:pPr>
              <w:jc w:val="left"/>
            </w:pPr>
            <w:r/>
            <w:r>
              <w:rPr>
                <w:rFonts w:ascii="Cambria" w:hAnsi="Cambria"/>
                <w:b w:val="0"/>
                <w:i w:val="0"/>
                <w:sz w:val="20"/>
              </w:rPr>
              <w:t>₹2 Lakh / 1 MoU (Energy Startup)</w:t>
            </w:r>
          </w:p>
        </w:tc>
        <w:tc>
          <w:tcPr>
            <w:tcW w:type="dxa" w:w="1134"/>
            <w:shd w:val="clear" w:color="auto" w:fill="E8EEF5"/>
          </w:tcPr>
          <w:p>
            <w:pPr>
              <w:jc w:val="left"/>
            </w:pPr>
            <w:r/>
            <w:r>
              <w:rPr>
                <w:rFonts w:ascii="Cambria" w:hAnsi="Cambria"/>
                <w:b w:val="0"/>
                <w:i w:val="0"/>
                <w:sz w:val="20"/>
              </w:rPr>
              <w:t>2 / RnD_RenewableEnergy.pdf</w:t>
            </w:r>
          </w:p>
        </w:tc>
        <w:tc>
          <w:tcPr>
            <w:tcW w:type="dxa" w:w="1361"/>
            <w:shd w:val="clear" w:color="auto" w:fill="E8EEF5"/>
          </w:tcPr>
          <w:p>
            <w:pPr>
              <w:jc w:val="left"/>
            </w:pPr>
            <w:r/>
            <w:r>
              <w:rPr>
                <w:rFonts w:ascii="Cambria" w:hAnsi="Cambria"/>
                <w:b w:val="0"/>
                <w:i w:val="0"/>
                <w:sz w:val="20"/>
              </w:rPr>
              <w:t>Student projects ↑ 30%, 1 Patent Filed / Green</w:t>
            </w:r>
          </w:p>
        </w:tc>
      </w:tr>
      <w:tr>
        <w:tc>
          <w:tcPr>
            <w:tcW w:type="dxa" w:w="1474"/>
          </w:tcPr>
          <w:p>
            <w:pPr>
              <w:jc w:val="left"/>
            </w:pPr>
            <w:r/>
            <w:r>
              <w:rPr>
                <w:rFonts w:ascii="Cambria" w:hAnsi="Cambria"/>
                <w:b w:val="0"/>
                <w:i w:val="0"/>
                <w:sz w:val="20"/>
              </w:rPr>
              <w:t>R&amp;D-03</w:t>
              <w:br/>
              <w:t>Materials &amp; Nanotechnology</w:t>
            </w:r>
          </w:p>
        </w:tc>
        <w:tc>
          <w:tcPr>
            <w:tcW w:type="dxa" w:w="1304"/>
          </w:tcPr>
          <w:p>
            <w:pPr>
              <w:jc w:val="left"/>
            </w:pPr>
            <w:r/>
            <w:r>
              <w:rPr>
                <w:rFonts w:ascii="Cambria" w:hAnsi="Cambria"/>
                <w:b w:val="0"/>
                <w:i w:val="0"/>
                <w:sz w:val="20"/>
              </w:rPr>
              <w:t>Dr. S. Iyer / HoD_Approval_005</w:t>
            </w:r>
          </w:p>
        </w:tc>
        <w:tc>
          <w:tcPr>
            <w:tcW w:type="dxa" w:w="1304"/>
          </w:tcPr>
          <w:p>
            <w:pPr>
              <w:jc w:val="left"/>
            </w:pPr>
            <w:r/>
            <w:r>
              <w:rPr>
                <w:rFonts w:ascii="Cambria" w:hAnsi="Cambria"/>
                <w:b w:val="0"/>
                <w:i w:val="0"/>
                <w:sz w:val="20"/>
              </w:rPr>
              <w:t>15 (10 Faculty + 5 Students)</w:t>
            </w:r>
          </w:p>
        </w:tc>
        <w:tc>
          <w:tcPr>
            <w:tcW w:type="dxa" w:w="1191"/>
          </w:tcPr>
          <w:p>
            <w:pPr>
              <w:jc w:val="left"/>
            </w:pPr>
            <w:r/>
            <w:r>
              <w:rPr>
                <w:rFonts w:ascii="Cambria" w:hAnsi="Cambria"/>
                <w:b w:val="0"/>
                <w:i w:val="0"/>
                <w:sz w:val="20"/>
              </w:rPr>
              <w:t>₹12 Lakh / 3</w:t>
            </w:r>
          </w:p>
        </w:tc>
        <w:tc>
          <w:tcPr>
            <w:tcW w:type="dxa" w:w="1191"/>
          </w:tcPr>
          <w:p>
            <w:pPr>
              <w:jc w:val="left"/>
            </w:pPr>
            <w:r/>
            <w:r>
              <w:rPr>
                <w:rFonts w:ascii="Cambria" w:hAnsi="Cambria"/>
                <w:b w:val="0"/>
                <w:i w:val="0"/>
                <w:sz w:val="20"/>
              </w:rPr>
              <w:t>7 / 2 Filed</w:t>
            </w:r>
          </w:p>
        </w:tc>
        <w:tc>
          <w:tcPr>
            <w:tcW w:type="dxa" w:w="1701"/>
          </w:tcPr>
          <w:p>
            <w:pPr>
              <w:jc w:val="left"/>
            </w:pPr>
            <w:r/>
            <w:r>
              <w:rPr>
                <w:rFonts w:ascii="Cambria" w:hAnsi="Cambria"/>
                <w:b w:val="0"/>
                <w:i w:val="0"/>
                <w:sz w:val="20"/>
              </w:rPr>
              <w:t>₹1.2 Lakh / 1 MoU (National Lab)</w:t>
            </w:r>
          </w:p>
        </w:tc>
        <w:tc>
          <w:tcPr>
            <w:tcW w:type="dxa" w:w="1134"/>
          </w:tcPr>
          <w:p>
            <w:pPr>
              <w:jc w:val="left"/>
            </w:pPr>
            <w:r/>
            <w:r>
              <w:rPr>
                <w:rFonts w:ascii="Cambria" w:hAnsi="Cambria"/>
                <w:b w:val="0"/>
                <w:i w:val="0"/>
                <w:sz w:val="20"/>
              </w:rPr>
              <w:t>2 / RnD_NanoMaterials.pdf</w:t>
            </w:r>
          </w:p>
        </w:tc>
        <w:tc>
          <w:tcPr>
            <w:tcW w:type="dxa" w:w="1361"/>
          </w:tcPr>
          <w:p>
            <w:pPr>
              <w:jc w:val="left"/>
            </w:pPr>
            <w:r/>
            <w:r>
              <w:rPr>
                <w:rFonts w:ascii="Cambria" w:hAnsi="Cambria"/>
                <w:b w:val="0"/>
                <w:i w:val="0"/>
                <w:sz w:val="20"/>
              </w:rPr>
              <w:t>Consultancy ↑ 25% YoY / Amber</w:t>
            </w:r>
          </w:p>
        </w:tc>
      </w:tr>
      <w:tr>
        <w:tc>
          <w:tcPr>
            <w:tcW w:type="dxa" w:w="1474"/>
            <w:shd w:val="clear" w:color="auto" w:fill="E8EEF5"/>
          </w:tcPr>
          <w:p>
            <w:pPr>
              <w:jc w:val="left"/>
            </w:pPr>
            <w:r/>
            <w:r>
              <w:rPr>
                <w:rFonts w:ascii="Cambria" w:hAnsi="Cambria"/>
                <w:b w:val="0"/>
                <w:i w:val="0"/>
                <w:sz w:val="20"/>
              </w:rPr>
              <w:t>R&amp;D-04</w:t>
              <w:br/>
              <w:t>IoT &amp; Smart Cities</w:t>
            </w:r>
          </w:p>
        </w:tc>
        <w:tc>
          <w:tcPr>
            <w:tcW w:type="dxa" w:w="1304"/>
            <w:shd w:val="clear" w:color="auto" w:fill="E8EEF5"/>
          </w:tcPr>
          <w:p>
            <w:pPr>
              <w:jc w:val="left"/>
            </w:pPr>
            <w:r/>
            <w:r>
              <w:rPr>
                <w:rFonts w:ascii="Cambria" w:hAnsi="Cambria"/>
                <w:b w:val="0"/>
                <w:i w:val="0"/>
                <w:sz w:val="20"/>
              </w:rPr>
              <w:t>Dr. P. Gupta / HoD_Approval_006</w:t>
            </w:r>
          </w:p>
        </w:tc>
        <w:tc>
          <w:tcPr>
            <w:tcW w:type="dxa" w:w="1304"/>
            <w:shd w:val="clear" w:color="auto" w:fill="E8EEF5"/>
          </w:tcPr>
          <w:p>
            <w:pPr>
              <w:jc w:val="left"/>
            </w:pPr>
            <w:r/>
            <w:r>
              <w:rPr>
                <w:rFonts w:ascii="Cambria" w:hAnsi="Cambria"/>
                <w:b w:val="0"/>
                <w:i w:val="0"/>
                <w:sz w:val="20"/>
              </w:rPr>
              <w:t>14 (9 Faculty + 5 Students)</w:t>
            </w:r>
          </w:p>
        </w:tc>
        <w:tc>
          <w:tcPr>
            <w:tcW w:type="dxa" w:w="1191"/>
            <w:shd w:val="clear" w:color="auto" w:fill="E8EEF5"/>
          </w:tcPr>
          <w:p>
            <w:pPr>
              <w:jc w:val="left"/>
            </w:pPr>
            <w:r/>
            <w:r>
              <w:rPr>
                <w:rFonts w:ascii="Cambria" w:hAnsi="Cambria"/>
                <w:b w:val="0"/>
                <w:i w:val="0"/>
                <w:sz w:val="20"/>
              </w:rPr>
              <w:t>₹20 Lakh / 5</w:t>
            </w:r>
          </w:p>
        </w:tc>
        <w:tc>
          <w:tcPr>
            <w:tcW w:type="dxa" w:w="1191"/>
            <w:shd w:val="clear" w:color="auto" w:fill="E8EEF5"/>
          </w:tcPr>
          <w:p>
            <w:pPr>
              <w:jc w:val="left"/>
            </w:pPr>
            <w:r/>
            <w:r>
              <w:rPr>
                <w:rFonts w:ascii="Cambria" w:hAnsi="Cambria"/>
                <w:b w:val="0"/>
                <w:i w:val="0"/>
                <w:sz w:val="20"/>
              </w:rPr>
              <w:t>12 / 1 Filed</w:t>
            </w:r>
          </w:p>
        </w:tc>
        <w:tc>
          <w:tcPr>
            <w:tcW w:type="dxa" w:w="1701"/>
            <w:shd w:val="clear" w:color="auto" w:fill="E8EEF5"/>
          </w:tcPr>
          <w:p>
            <w:pPr>
              <w:jc w:val="left"/>
            </w:pPr>
            <w:r/>
            <w:r>
              <w:rPr>
                <w:rFonts w:ascii="Cambria" w:hAnsi="Cambria"/>
                <w:b w:val="0"/>
                <w:i w:val="0"/>
                <w:sz w:val="20"/>
              </w:rPr>
              <w:t>₹2.8 Lakh / 2 MoUs (Urban Dev. Dept, IT Co.)</w:t>
            </w:r>
          </w:p>
        </w:tc>
        <w:tc>
          <w:tcPr>
            <w:tcW w:type="dxa" w:w="1134"/>
            <w:shd w:val="clear" w:color="auto" w:fill="E8EEF5"/>
          </w:tcPr>
          <w:p>
            <w:pPr>
              <w:jc w:val="left"/>
            </w:pPr>
            <w:r/>
            <w:r>
              <w:rPr>
                <w:rFonts w:ascii="Cambria" w:hAnsi="Cambria"/>
                <w:b w:val="0"/>
                <w:i w:val="0"/>
                <w:sz w:val="20"/>
              </w:rPr>
              <w:t>4 / RnD_IoT_SmartCities.pdf</w:t>
            </w:r>
          </w:p>
        </w:tc>
        <w:tc>
          <w:tcPr>
            <w:tcW w:type="dxa" w:w="1361"/>
            <w:shd w:val="clear" w:color="auto" w:fill="E8EEF5"/>
          </w:tcPr>
          <w:p>
            <w:pPr>
              <w:jc w:val="left"/>
            </w:pPr>
            <w:r/>
            <w:r>
              <w:rPr>
                <w:rFonts w:ascii="Cambria" w:hAnsi="Cambria"/>
                <w:b w:val="0"/>
                <w:i w:val="0"/>
                <w:sz w:val="20"/>
              </w:rPr>
              <w:t>Placements ↑ 22%, MoU collaboration / Green</w:t>
            </w:r>
          </w:p>
        </w:tc>
      </w:tr>
      <w:tr>
        <w:tc>
          <w:tcPr>
            <w:tcW w:type="dxa" w:w="1474"/>
          </w:tcPr>
          <w:p>
            <w:pPr>
              <w:jc w:val="left"/>
            </w:pPr>
            <w:r/>
            <w:r>
              <w:rPr>
                <w:rFonts w:ascii="Cambria" w:hAnsi="Cambria"/>
                <w:b w:val="0"/>
                <w:i w:val="0"/>
                <w:sz w:val="20"/>
              </w:rPr>
              <w:t>R&amp;D-05</w:t>
              <w:br/>
              <w:t>(continued area)</w:t>
            </w:r>
          </w:p>
        </w:tc>
        <w:tc>
          <w:tcPr>
            <w:tcW w:type="dxa" w:w="1304"/>
          </w:tcPr>
          <w:p>
            <w:pPr>
              <w:jc w:val="left"/>
            </w:pPr>
            <w:r/>
            <w:r>
              <w:rPr>
                <w:rFonts w:ascii="Cambria" w:hAnsi="Cambria"/>
                <w:b w:val="0"/>
                <w:i w:val="0"/>
                <w:sz w:val="20"/>
              </w:rPr>
              <w:t>Dr. K. Mehta, NIT Trichy / HoD_Approval_009</w:t>
            </w:r>
          </w:p>
        </w:tc>
        <w:tc>
          <w:tcPr>
            <w:tcW w:type="dxa" w:w="1304"/>
          </w:tcPr>
          <w:p>
            <w:pPr>
              <w:jc w:val="left"/>
            </w:pPr>
            <w:r/>
            <w:r>
              <w:rPr>
                <w:rFonts w:ascii="Cambria" w:hAnsi="Cambria"/>
                <w:b w:val="0"/>
                <w:i w:val="0"/>
                <w:sz w:val="20"/>
              </w:rPr>
              <w:t>—</w:t>
            </w:r>
          </w:p>
        </w:tc>
        <w:tc>
          <w:tcPr>
            <w:tcW w:type="dxa" w:w="1191"/>
          </w:tcPr>
          <w:p>
            <w:pPr>
              <w:jc w:val="left"/>
            </w:pPr>
            <w:r/>
            <w:r>
              <w:rPr>
                <w:rFonts w:ascii="Cambria" w:hAnsi="Cambria"/>
                <w:b w:val="0"/>
                <w:i w:val="0"/>
                <w:sz w:val="20"/>
              </w:rPr>
              <w:t>—</w:t>
            </w:r>
          </w:p>
        </w:tc>
        <w:tc>
          <w:tcPr>
            <w:tcW w:type="dxa" w:w="1191"/>
          </w:tcPr>
          <w:p>
            <w:pPr>
              <w:jc w:val="left"/>
            </w:pPr>
            <w:r/>
            <w:r>
              <w:rPr>
                <w:rFonts w:ascii="Cambria" w:hAnsi="Cambria"/>
                <w:b w:val="0"/>
                <w:i w:val="0"/>
                <w:sz w:val="20"/>
              </w:rPr>
              <w:t>—</w:t>
            </w:r>
          </w:p>
        </w:tc>
        <w:tc>
          <w:tcPr>
            <w:tcW w:type="dxa" w:w="1701"/>
          </w:tcPr>
          <w:p>
            <w:pPr>
              <w:jc w:val="left"/>
            </w:pPr>
            <w:r/>
            <w:r>
              <w:rPr>
                <w:rFonts w:ascii="Cambria" w:hAnsi="Cambria"/>
                <w:b w:val="0"/>
                <w:i w:val="0"/>
                <w:sz w:val="20"/>
              </w:rPr>
              <w:t>6 research proposals; FDP outcomes</w:t>
            </w:r>
          </w:p>
        </w:tc>
        <w:tc>
          <w:tcPr>
            <w:tcW w:type="dxa" w:w="1134"/>
          </w:tcPr>
          <w:p>
            <w:pPr>
              <w:jc w:val="left"/>
            </w:pPr>
            <w:r/>
            <w:r>
              <w:rPr>
                <w:rFonts w:ascii="Cambria" w:hAnsi="Cambria"/>
                <w:b w:val="0"/>
                <w:i w:val="0"/>
                <w:sz w:val="20"/>
              </w:rPr>
              <w:t>— / Workshop_Report_Sep24.pdf</w:t>
            </w:r>
          </w:p>
        </w:tc>
        <w:tc>
          <w:tcPr>
            <w:tcW w:type="dxa" w:w="1361"/>
          </w:tcPr>
          <w:p>
            <w:pPr>
              <w:jc w:val="left"/>
            </w:pPr>
            <w:r/>
            <w:r>
              <w:rPr>
                <w:rFonts w:ascii="Cambria" w:hAnsi="Cambria"/>
                <w:b w:val="0"/>
                <w:i w:val="0"/>
                <w:sz w:val="20"/>
              </w:rPr>
              <w:t>Implemented / Green</w:t>
            </w:r>
          </w:p>
        </w:tc>
      </w:tr>
      <w:tr>
        <w:tc>
          <w:tcPr>
            <w:tcW w:type="dxa" w:w="1474"/>
            <w:shd w:val="clear" w:color="auto" w:fill="E8EEF5"/>
          </w:tcPr>
          <w:p>
            <w:pPr>
              <w:jc w:val="left"/>
            </w:pPr>
            <w:r/>
            <w:r>
              <w:rPr>
                <w:rFonts w:ascii="Cambria" w:hAnsi="Cambria"/>
                <w:b w:val="0"/>
                <w:i w:val="0"/>
                <w:sz w:val="20"/>
              </w:rPr>
              <w:t>R&amp;D-06</w:t>
              <w:br/>
              <w:t>(continued area)</w:t>
            </w:r>
          </w:p>
        </w:tc>
        <w:tc>
          <w:tcPr>
            <w:tcW w:type="dxa" w:w="1304"/>
            <w:shd w:val="clear" w:color="auto" w:fill="E8EEF5"/>
          </w:tcPr>
          <w:p>
            <w:pPr>
              <w:jc w:val="left"/>
            </w:pPr>
            <w:r/>
            <w:r>
              <w:rPr>
                <w:rFonts w:ascii="Cambria" w:hAnsi="Cambria"/>
                <w:b w:val="0"/>
                <w:i w:val="0"/>
                <w:sz w:val="20"/>
              </w:rPr>
              <w:t>Mr. V. Rao, TCS / HoD_Approval_011</w:t>
            </w:r>
          </w:p>
        </w:tc>
        <w:tc>
          <w:tcPr>
            <w:tcW w:type="dxa" w:w="1304"/>
            <w:shd w:val="clear" w:color="auto" w:fill="E8EEF5"/>
          </w:tcPr>
          <w:p>
            <w:pPr>
              <w:jc w:val="left"/>
            </w:pPr>
            <w:r/>
            <w:r>
              <w:rPr>
                <w:rFonts w:ascii="Cambria" w:hAnsi="Cambria"/>
                <w:b w:val="0"/>
                <w:i w:val="0"/>
                <w:sz w:val="20"/>
              </w:rPr>
              <w:t>—</w:t>
            </w:r>
          </w:p>
        </w:tc>
        <w:tc>
          <w:tcPr>
            <w:tcW w:type="dxa" w:w="1191"/>
            <w:shd w:val="clear" w:color="auto" w:fill="E8EEF5"/>
          </w:tcPr>
          <w:p>
            <w:pPr>
              <w:jc w:val="left"/>
            </w:pPr>
            <w:r/>
            <w:r>
              <w:rPr>
                <w:rFonts w:ascii="Cambria" w:hAnsi="Cambria"/>
                <w:b w:val="0"/>
                <w:i w:val="0"/>
                <w:sz w:val="20"/>
              </w:rPr>
              <w:t>—</w:t>
            </w:r>
          </w:p>
        </w:tc>
        <w:tc>
          <w:tcPr>
            <w:tcW w:type="dxa" w:w="1191"/>
            <w:shd w:val="clear" w:color="auto" w:fill="E8EEF5"/>
          </w:tcPr>
          <w:p>
            <w:pPr>
              <w:jc w:val="left"/>
            </w:pPr>
            <w:r/>
            <w:r>
              <w:rPr>
                <w:rFonts w:ascii="Cambria" w:hAnsi="Cambria"/>
                <w:b w:val="0"/>
                <w:i w:val="0"/>
                <w:sz w:val="20"/>
              </w:rPr>
              <w:t>—</w:t>
            </w:r>
          </w:p>
        </w:tc>
        <w:tc>
          <w:tcPr>
            <w:tcW w:type="dxa" w:w="1701"/>
            <w:shd w:val="clear" w:color="auto" w:fill="E8EEF5"/>
          </w:tcPr>
          <w:p>
            <w:pPr>
              <w:jc w:val="left"/>
            </w:pPr>
            <w:r/>
            <w:r>
              <w:rPr>
                <w:rFonts w:ascii="Cambria" w:hAnsi="Cambria"/>
                <w:b w:val="0"/>
                <w:i w:val="0"/>
                <w:sz w:val="20"/>
              </w:rPr>
              <w:t>Soft skill training; placement readiness ↑ 15%</w:t>
            </w:r>
          </w:p>
        </w:tc>
        <w:tc>
          <w:tcPr>
            <w:tcW w:type="dxa" w:w="1134"/>
            <w:shd w:val="clear" w:color="auto" w:fill="E8EEF5"/>
          </w:tcPr>
          <w:p>
            <w:pPr>
              <w:jc w:val="left"/>
            </w:pPr>
            <w:r/>
            <w:r>
              <w:rPr>
                <w:rFonts w:ascii="Cambria" w:hAnsi="Cambria"/>
                <w:b w:val="0"/>
                <w:i w:val="0"/>
                <w:sz w:val="20"/>
              </w:rPr>
              <w:t>— / GuestLecture_Sep24.pdf</w:t>
            </w:r>
          </w:p>
        </w:tc>
        <w:tc>
          <w:tcPr>
            <w:tcW w:type="dxa" w:w="1361"/>
            <w:shd w:val="clear" w:color="auto" w:fill="E8EEF5"/>
          </w:tcPr>
          <w:p>
            <w:pPr>
              <w:jc w:val="left"/>
            </w:pPr>
            <w:r/>
            <w:r>
              <w:rPr>
                <w:rFonts w:ascii="Cambria" w:hAnsi="Cambria"/>
                <w:b w:val="0"/>
                <w:i w:val="0"/>
                <w:sz w:val="20"/>
              </w:rPr>
              <w:t>Pending / Red</w:t>
            </w:r>
          </w:p>
        </w:tc>
      </w:tr>
    </w:tbl>
    <w:p>
      <w:pPr>
        <w:spacing w:after="120"/>
      </w:pPr>
    </w:p>
    <w:p>
      <w:pPr>
        <w:keepNext/>
        <w:spacing w:before="280" w:after="160"/>
        <w:jc w:val="left"/>
      </w:pPr>
      <w:r>
        <w:rPr>
          <w:rFonts w:ascii="Cambria" w:hAnsi="Cambria"/>
          <w:b/>
          <w:i w:val="0"/>
          <w:color w:val="1F3A5F"/>
          <w:sz w:val="26"/>
        </w:rPr>
        <w:t>Tangible Outcomes Demonstrated</w:t>
      </w:r>
    </w:p>
    <w:p>
      <w:pPr>
        <w:spacing w:after="120"/>
        <w:jc w:val="both"/>
      </w:pPr>
      <w:r>
        <w:rPr>
          <w:rFonts w:ascii="Cambria" w:hAnsi="Cambria"/>
          <w:b w:val="0"/>
          <w:i w:val="0"/>
          <w:sz w:val="22"/>
        </w:rPr>
        <w:t>Grants ↑ 25% YoY across thrust areas.</w:t>
      </w:r>
    </w:p>
    <w:p>
      <w:pPr>
        <w:spacing w:after="120"/>
        <w:jc w:val="both"/>
      </w:pPr>
      <w:r>
        <w:rPr>
          <w:rFonts w:ascii="Cambria" w:hAnsi="Cambria"/>
          <w:b w:val="0"/>
          <w:i w:val="0"/>
          <w:sz w:val="22"/>
        </w:rPr>
        <w:t>Publications ↑ from 15 → 32 in 3 years.</w:t>
      </w:r>
    </w:p>
    <w:p>
      <w:pPr>
        <w:spacing w:after="120"/>
        <w:jc w:val="both"/>
      </w:pPr>
      <w:r>
        <w:rPr>
          <w:rFonts w:ascii="Cambria" w:hAnsi="Cambria"/>
          <w:b w:val="0"/>
          <w:i w:val="0"/>
          <w:sz w:val="22"/>
        </w:rPr>
        <w:t>Patents filed ↑ from 2 → 7 in 3 years.</w:t>
      </w:r>
    </w:p>
    <w:p>
      <w:pPr>
        <w:spacing w:after="120"/>
        <w:jc w:val="both"/>
      </w:pPr>
      <w:r>
        <w:rPr>
          <w:rFonts w:ascii="Cambria" w:hAnsi="Cambria"/>
          <w:b w:val="0"/>
          <w:i w:val="0"/>
          <w:sz w:val="22"/>
        </w:rPr>
        <w:t>Consultancy revenue ↑ 30% YoY.</w:t>
      </w:r>
    </w:p>
    <w:p>
      <w:pPr>
        <w:pStyle w:val="ListBullet"/>
        <w:spacing w:after="80"/>
        <w:jc w:val="both"/>
      </w:pPr>
      <w:r>
        <w:rPr>
          <w:rFonts w:ascii="Cambria" w:hAnsi="Cambria"/>
          <w:b w:val="0"/>
          <w:i w:val="0"/>
          <w:sz w:val="22"/>
        </w:rPr>
        <w:t>Interdisciplinary collaborations: 6 MoUs signed.</w:t>
      </w:r>
    </w:p>
    <w:p>
      <w:pPr>
        <w:spacing w:after="120"/>
        <w:jc w:val="both"/>
      </w:pPr>
      <w:r>
        <w:rPr>
          <w:rFonts w:ascii="Cambria" w:hAnsi="Cambria"/>
          <w:b w:val="0"/>
          <w:i w:val="0"/>
          <w:sz w:val="22"/>
        </w:rPr>
        <w:t>Student research participation ↑ 40%.</w:t>
      </w:r>
    </w:p>
    <w:p>
      <w:pPr>
        <w:keepNext/>
        <w:spacing w:before="280" w:after="160"/>
        <w:jc w:val="left"/>
      </w:pPr>
      <w:r>
        <w:rPr>
          <w:rFonts w:ascii="Cambria" w:hAnsi="Cambria"/>
          <w:b/>
          <w:i w:val="0"/>
          <w:color w:val="1F3A5F"/>
          <w:sz w:val="26"/>
        </w:rPr>
        <w:t>How Continuous Improvement is Evidenced</w:t>
      </w:r>
    </w:p>
    <w:p>
      <w:pPr>
        <w:pStyle w:val="ListBullet"/>
        <w:spacing w:after="80"/>
        <w:jc w:val="both"/>
      </w:pPr>
      <w:r>
        <w:rPr>
          <w:rFonts w:ascii="Cambria" w:hAnsi="Cambria"/>
          <w:b w:val="0"/>
          <w:i w:val="0"/>
          <w:sz w:val="22"/>
        </w:rPr>
        <w:t>Research Culture Growth</w:t>
      </w:r>
    </w:p>
    <w:p>
      <w:pPr>
        <w:pStyle w:val="ListBullet2"/>
        <w:spacing w:after="80"/>
        <w:jc w:val="both"/>
      </w:pPr>
      <w:r>
        <w:rPr>
          <w:rFonts w:ascii="Cambria" w:hAnsi="Cambria"/>
          <w:b w:val="0"/>
          <w:i w:val="0"/>
          <w:sz w:val="22"/>
        </w:rPr>
        <w:t>YoY increase in funded projects, publications, and patents.</w:t>
      </w:r>
    </w:p>
    <w:p>
      <w:pPr>
        <w:spacing w:after="120"/>
        <w:jc w:val="both"/>
      </w:pPr>
      <w:r>
        <w:rPr>
          <w:rFonts w:ascii="Cambria" w:hAnsi="Cambria"/>
          <w:b w:val="0"/>
          <w:i w:val="0"/>
          <w:sz w:val="22"/>
        </w:rPr>
        <w:t xml:space="preserve"> → Evidence: sanction letters, publication lists, patent filings.</w:t>
      </w:r>
    </w:p>
    <w:p>
      <w:pPr>
        <w:pStyle w:val="ListBullet"/>
        <w:spacing w:after="80"/>
        <w:jc w:val="both"/>
      </w:pPr>
      <w:r>
        <w:rPr>
          <w:rFonts w:ascii="Cambria" w:hAnsi="Cambria"/>
          <w:b w:val="0"/>
          <w:i w:val="0"/>
          <w:sz w:val="22"/>
        </w:rPr>
        <w:t>Interdisciplinary Learning</w:t>
      </w:r>
    </w:p>
    <w:p>
      <w:pPr>
        <w:pStyle w:val="ListBullet2"/>
        <w:spacing w:after="80"/>
        <w:jc w:val="both"/>
      </w:pPr>
      <w:r>
        <w:rPr>
          <w:rFonts w:ascii="Cambria" w:hAnsi="Cambria"/>
          <w:b w:val="0"/>
          <w:i w:val="0"/>
          <w:sz w:val="22"/>
        </w:rPr>
        <w:t>Joint projects with other departments and external collaborators.</w:t>
      </w:r>
    </w:p>
    <w:p>
      <w:pPr>
        <w:pStyle w:val="ListBullet2"/>
        <w:spacing w:after="80"/>
        <w:jc w:val="both"/>
      </w:pPr>
      <w:r>
        <w:rPr>
          <w:rFonts w:ascii="Cambria" w:hAnsi="Cambria"/>
          <w:b w:val="0"/>
          <w:i w:val="0"/>
          <w:sz w:val="22"/>
        </w:rPr>
        <w:t>MoUs for cross-domain research (AI + Healthcare, IoT + Smart Cities).</w:t>
      </w:r>
    </w:p>
    <w:p>
      <w:pPr>
        <w:spacing w:after="120"/>
        <w:jc w:val="both"/>
      </w:pPr>
      <w:r>
        <w:rPr>
          <w:rFonts w:ascii="Cambria" w:hAnsi="Cambria"/>
          <w:b w:val="0"/>
          <w:i w:val="0"/>
          <w:sz w:val="22"/>
        </w:rPr>
        <w:t xml:space="preserve"> → Evidence: signed MoUs, project reports, interdisciplinary seminar proceedings.</w:t>
      </w:r>
    </w:p>
    <w:p>
      <w:pPr>
        <w:pStyle w:val="ListBullet"/>
        <w:spacing w:after="80"/>
        <w:jc w:val="both"/>
      </w:pPr>
      <w:r>
        <w:rPr>
          <w:rFonts w:ascii="Cambria" w:hAnsi="Cambria"/>
          <w:b w:val="0"/>
          <w:i w:val="0"/>
          <w:sz w:val="22"/>
        </w:rPr>
        <w:t>Capacity Building</w:t>
      </w:r>
    </w:p>
    <w:p>
      <w:pPr>
        <w:pStyle w:val="ListBullet2"/>
        <w:spacing w:after="80"/>
        <w:jc w:val="both"/>
      </w:pPr>
      <w:r>
        <w:rPr>
          <w:rFonts w:ascii="Cambria" w:hAnsi="Cambria"/>
          <w:b w:val="0"/>
          <w:i w:val="0"/>
          <w:sz w:val="22"/>
        </w:rPr>
        <w:t>FDPs/workshops conducted in thrust areas.</w:t>
      </w:r>
    </w:p>
    <w:p>
      <w:pPr>
        <w:pStyle w:val="ListBullet2"/>
        <w:spacing w:after="80"/>
        <w:jc w:val="both"/>
      </w:pPr>
      <w:r>
        <w:rPr>
          <w:rFonts w:ascii="Cambria" w:hAnsi="Cambria"/>
          <w:b w:val="0"/>
          <w:i w:val="0"/>
          <w:sz w:val="22"/>
        </w:rPr>
        <w:t>Faculty/student research clusters formed.</w:t>
      </w:r>
    </w:p>
    <w:p>
      <w:pPr>
        <w:spacing w:after="120"/>
        <w:jc w:val="both"/>
      </w:pPr>
      <w:r>
        <w:rPr>
          <w:rFonts w:ascii="Cambria" w:hAnsi="Cambria"/>
          <w:b w:val="0"/>
          <w:i w:val="0"/>
          <w:sz w:val="22"/>
        </w:rPr>
        <w:t xml:space="preserve"> → Evidence: brochures, attendance sheets, cluster nomination orders.</w:t>
      </w:r>
    </w:p>
    <w:p>
      <w:pPr>
        <w:pStyle w:val="ListBullet"/>
        <w:spacing w:after="80"/>
        <w:jc w:val="both"/>
      </w:pPr>
      <w:r>
        <w:rPr>
          <w:rFonts w:ascii="Cambria" w:hAnsi="Cambria"/>
          <w:b w:val="0"/>
          <w:i w:val="0"/>
          <w:sz w:val="22"/>
        </w:rPr>
        <w:t>Continuous Quality Improvement (CQI)</w:t>
      </w:r>
    </w:p>
    <w:p>
      <w:pPr>
        <w:pStyle w:val="ListBullet2"/>
        <w:spacing w:after="80"/>
        <w:jc w:val="both"/>
      </w:pPr>
      <w:r>
        <w:rPr>
          <w:rFonts w:ascii="Cambria" w:hAnsi="Cambria"/>
          <w:b w:val="0"/>
          <w:i w:val="0"/>
          <w:sz w:val="22"/>
        </w:rPr>
        <w:t>Research outputs reviewed annually.</w:t>
      </w:r>
    </w:p>
    <w:p>
      <w:pPr>
        <w:pStyle w:val="ListBullet2"/>
        <w:spacing w:after="80"/>
        <w:jc w:val="both"/>
      </w:pPr>
      <w:r>
        <w:rPr>
          <w:rFonts w:ascii="Cambria" w:hAnsi="Cambria"/>
          <w:b w:val="0"/>
          <w:i w:val="0"/>
          <w:sz w:val="22"/>
        </w:rPr>
        <w:t>Feedback from funding agencies/industry partners integrated into future proposals.</w:t>
      </w:r>
    </w:p>
    <w:p>
      <w:pPr>
        <w:spacing w:after="120"/>
        <w:jc w:val="both"/>
      </w:pPr>
      <w:r>
        <w:rPr>
          <w:rFonts w:ascii="Cambria" w:hAnsi="Cambria"/>
          <w:b w:val="0"/>
          <w:i w:val="0"/>
          <w:sz w:val="22"/>
        </w:rPr>
        <w:t xml:space="preserve"> → Evidence: consolidated R&amp;D reports, ATRs.</w:t>
      </w:r>
    </w:p>
    <w:p>
      <w:pPr>
        <w:keepNext/>
        <w:spacing w:before="280" w:after="160"/>
        <w:jc w:val="left"/>
      </w:pPr>
      <w:r>
        <w:rPr>
          <w:rFonts w:ascii="Cambria" w:hAnsi="Cambria"/>
          <w:b/>
          <w:i w:val="0"/>
          <w:color w:val="1F3A5F"/>
          <w:sz w:val="26"/>
        </w:rPr>
        <w:t>Tangible Outcomes (Numeric &amp; Measurable) (II)</w:t>
      </w:r>
    </w:p>
    <w:p>
      <w:pPr>
        <w:spacing w:after="120"/>
        <w:jc w:val="both"/>
      </w:pPr>
      <w:r>
        <w:rPr>
          <w:rFonts w:ascii="Cambria" w:hAnsi="Cambria"/>
          <w:b w:val="0"/>
          <w:i w:val="0"/>
          <w:sz w:val="22"/>
        </w:rPr>
        <w:t>Funded projects ↑ 25% YoY.</w:t>
      </w:r>
    </w:p>
    <w:p>
      <w:pPr>
        <w:spacing w:after="120"/>
        <w:jc w:val="both"/>
      </w:pPr>
      <w:r>
        <w:rPr>
          <w:rFonts w:ascii="Cambria" w:hAnsi="Cambria"/>
          <w:b w:val="0"/>
          <w:i w:val="0"/>
          <w:sz w:val="22"/>
        </w:rPr>
        <w:t>Publications ↑ from 15 → 32 in 3 years.</w:t>
      </w:r>
    </w:p>
    <w:p>
      <w:pPr>
        <w:spacing w:after="120"/>
        <w:jc w:val="both"/>
      </w:pPr>
      <w:r>
        <w:rPr>
          <w:rFonts w:ascii="Cambria" w:hAnsi="Cambria"/>
          <w:b w:val="0"/>
          <w:i w:val="0"/>
          <w:sz w:val="22"/>
        </w:rPr>
        <w:t>Patents filed ↑ from 2 → 7 in 3 years.</w:t>
      </w:r>
    </w:p>
    <w:p>
      <w:pPr>
        <w:spacing w:after="120"/>
        <w:jc w:val="both"/>
      </w:pPr>
      <w:r>
        <w:rPr>
          <w:rFonts w:ascii="Cambria" w:hAnsi="Cambria"/>
          <w:b w:val="0"/>
          <w:i w:val="0"/>
          <w:sz w:val="22"/>
        </w:rPr>
        <w:t>Consultancy revenue ↑ 30% YoY.</w:t>
      </w:r>
    </w:p>
    <w:p>
      <w:pPr>
        <w:pStyle w:val="ListBullet"/>
        <w:spacing w:after="80"/>
        <w:jc w:val="both"/>
      </w:pPr>
      <w:r>
        <w:rPr>
          <w:rFonts w:ascii="Cambria" w:hAnsi="Cambria"/>
          <w:b w:val="0"/>
          <w:i w:val="0"/>
          <w:sz w:val="22"/>
        </w:rPr>
        <w:t>Interdisciplinary collaborations: 6 joint projects initiated.</w:t>
      </w:r>
    </w:p>
    <w:p>
      <w:pPr>
        <w:spacing w:after="120"/>
        <w:jc w:val="both"/>
      </w:pPr>
      <w:r>
        <w:rPr>
          <w:rFonts w:ascii="Cambria" w:hAnsi="Cambria"/>
          <w:b w:val="0"/>
          <w:i w:val="0"/>
          <w:sz w:val="22"/>
        </w:rPr>
        <w:t>Student research participation ↑ 40%.</w:t>
      </w:r>
    </w:p>
    <w:p>
      <w:pPr>
        <w:keepNext/>
        <w:spacing w:before="280" w:after="160"/>
        <w:jc w:val="left"/>
      </w:pPr>
      <w:r>
        <w:rPr>
          <w:rFonts w:ascii="Cambria" w:hAnsi="Cambria"/>
          <w:b/>
          <w:i w:val="0"/>
          <w:color w:val="1F3A5F"/>
          <w:sz w:val="26"/>
        </w:rPr>
        <w:t>How Cross-Disciplinary Synergy is Evidenced</w:t>
      </w:r>
    </w:p>
    <w:p>
      <w:pPr>
        <w:pStyle w:val="ListBullet"/>
        <w:spacing w:after="80"/>
        <w:jc w:val="both"/>
      </w:pPr>
      <w:r>
        <w:rPr>
          <w:rFonts w:ascii="Cambria" w:hAnsi="Cambria"/>
          <w:b w:val="0"/>
          <w:i w:val="0"/>
          <w:sz w:val="22"/>
        </w:rPr>
        <w:t>Alignment with NEP 2020</w:t>
      </w:r>
    </w:p>
    <w:p>
      <w:pPr>
        <w:pStyle w:val="ListBullet2"/>
        <w:spacing w:after="80"/>
        <w:jc w:val="both"/>
      </w:pPr>
      <w:r>
        <w:rPr>
          <w:rFonts w:ascii="Cambria" w:hAnsi="Cambria"/>
          <w:b w:val="0"/>
          <w:i w:val="0"/>
          <w:sz w:val="22"/>
        </w:rPr>
        <w:t>Encourages multidisciplinary and interdisciplinary research (AI + Healthcare, IoT + Smart Cities, Renewable Energy + Policy).</w:t>
      </w:r>
    </w:p>
    <w:p>
      <w:pPr>
        <w:pStyle w:val="ListBullet2"/>
        <w:spacing w:after="80"/>
        <w:jc w:val="both"/>
      </w:pPr>
      <w:r>
        <w:rPr>
          <w:rFonts w:ascii="Cambria" w:hAnsi="Cambria"/>
          <w:b w:val="0"/>
          <w:i w:val="0"/>
          <w:sz w:val="22"/>
        </w:rPr>
        <w:t>Integrates Indian Knowledge Systems (IKS) with modern R&amp;D.</w:t>
      </w:r>
    </w:p>
    <w:p>
      <w:pPr>
        <w:spacing w:after="120"/>
        <w:jc w:val="both"/>
      </w:pPr>
      <w:r>
        <w:rPr>
          <w:rFonts w:ascii="Cambria" w:hAnsi="Cambria"/>
          <w:b w:val="0"/>
          <w:i w:val="0"/>
          <w:sz w:val="22"/>
        </w:rPr>
        <w:t xml:space="preserve"> → Evidence: MoUs, interdisciplinary project reports, cluster nominations.</w:t>
      </w:r>
    </w:p>
    <w:p>
      <w:pPr>
        <w:pStyle w:val="ListBullet"/>
        <w:spacing w:after="80"/>
        <w:jc w:val="both"/>
      </w:pPr>
      <w:r>
        <w:rPr>
          <w:rFonts w:ascii="Cambria" w:hAnsi="Cambria"/>
          <w:b w:val="0"/>
          <w:i w:val="0"/>
          <w:sz w:val="22"/>
        </w:rPr>
        <w:t>Alignment with SDGs</w:t>
      </w:r>
    </w:p>
    <w:p>
      <w:pPr>
        <w:pStyle w:val="ListBullet2"/>
        <w:spacing w:after="80"/>
        <w:jc w:val="both"/>
      </w:pPr>
      <w:r>
        <w:rPr>
          <w:rFonts w:ascii="Cambria" w:hAnsi="Cambria"/>
          <w:b w:val="0"/>
          <w:i w:val="0"/>
          <w:sz w:val="22"/>
        </w:rPr>
        <w:t>Renewable Energy → SDG 7: Affordable &amp; Clean Energy.</w:t>
      </w:r>
    </w:p>
    <w:p>
      <w:pPr>
        <w:pStyle w:val="ListBullet2"/>
        <w:spacing w:after="80"/>
        <w:jc w:val="both"/>
      </w:pPr>
      <w:r>
        <w:rPr>
          <w:rFonts w:ascii="Cambria" w:hAnsi="Cambria"/>
          <w:b w:val="0"/>
          <w:i w:val="0"/>
          <w:sz w:val="22"/>
        </w:rPr>
        <w:t>Smart Cities &amp; IoT → SDG 11: Sustainable Cities &amp; Communities.</w:t>
      </w:r>
    </w:p>
    <w:p>
      <w:pPr>
        <w:pStyle w:val="ListBullet2"/>
        <w:spacing w:after="80"/>
        <w:jc w:val="both"/>
      </w:pPr>
      <w:r>
        <w:rPr>
          <w:rFonts w:ascii="Cambria" w:hAnsi="Cambria"/>
          <w:b w:val="0"/>
          <w:i w:val="0"/>
          <w:sz w:val="22"/>
        </w:rPr>
        <w:t>AI in Healthcare → SDG 3: Good Health &amp; Well-being.</w:t>
      </w:r>
    </w:p>
    <w:p>
      <w:pPr>
        <w:pStyle w:val="ListBullet2"/>
        <w:spacing w:after="80"/>
        <w:jc w:val="both"/>
      </w:pPr>
      <w:r>
        <w:rPr>
          <w:rFonts w:ascii="Cambria" w:hAnsi="Cambria"/>
          <w:b w:val="0"/>
          <w:i w:val="0"/>
          <w:sz w:val="22"/>
        </w:rPr>
        <w:t>Materials &amp; Nanotechnology → SDG 9: Industry, Innovation &amp; Infrastructure.</w:t>
      </w:r>
    </w:p>
    <w:p>
      <w:pPr>
        <w:spacing w:after="120"/>
        <w:jc w:val="both"/>
      </w:pPr>
      <w:r>
        <w:rPr>
          <w:rFonts w:ascii="Cambria" w:hAnsi="Cambria"/>
          <w:b w:val="0"/>
          <w:i w:val="0"/>
          <w:sz w:val="22"/>
        </w:rPr>
        <w:t xml:space="preserve"> → Evidence: Research proposals, sanctioned grants, funded projects mapped to SDGs.</w:t>
      </w:r>
    </w:p>
    <w:p>
      <w:pPr>
        <w:pStyle w:val="ListBullet"/>
        <w:spacing w:after="80"/>
        <w:jc w:val="both"/>
      </w:pPr>
      <w:r>
        <w:rPr>
          <w:rFonts w:ascii="Cambria" w:hAnsi="Cambria"/>
          <w:b w:val="0"/>
          <w:i w:val="0"/>
          <w:sz w:val="22"/>
        </w:rPr>
        <w:t>Collaborative Governance</w:t>
      </w:r>
    </w:p>
    <w:p>
      <w:pPr>
        <w:pStyle w:val="ListBullet2"/>
        <w:spacing w:after="80"/>
        <w:jc w:val="both"/>
      </w:pPr>
      <w:r>
        <w:rPr>
          <w:rFonts w:ascii="Cambria" w:hAnsi="Cambria"/>
          <w:b w:val="0"/>
          <w:i w:val="0"/>
          <w:sz w:val="22"/>
        </w:rPr>
        <w:t>Inter-departmental clusters formed (e.g., Engineering + Management + Sciences).</w:t>
      </w:r>
    </w:p>
    <w:p>
      <w:pPr>
        <w:pStyle w:val="ListBullet2"/>
        <w:spacing w:after="80"/>
        <w:jc w:val="both"/>
      </w:pPr>
      <w:r>
        <w:rPr>
          <w:rFonts w:ascii="Cambria" w:hAnsi="Cambria"/>
          <w:b w:val="0"/>
          <w:i w:val="0"/>
          <w:sz w:val="22"/>
        </w:rPr>
        <w:t>External collaborations with universities, industry, and government.</w:t>
      </w:r>
    </w:p>
    <w:p>
      <w:pPr>
        <w:spacing w:after="120"/>
        <w:jc w:val="both"/>
      </w:pPr>
      <w:r>
        <w:rPr>
          <w:rFonts w:ascii="Cambria" w:hAnsi="Cambria"/>
          <w:b w:val="0"/>
          <w:i w:val="0"/>
          <w:sz w:val="22"/>
        </w:rPr>
        <w:t xml:space="preserve"> → Evidence: signed MoUs, consultancy contracts, interdisciplinary FDP/workshop reports.</w:t>
      </w:r>
    </w:p>
    <w:p>
      <w:pPr>
        <w:keepNext/>
        <w:spacing w:before="280" w:after="160"/>
        <w:jc w:val="left"/>
      </w:pPr>
      <w:r>
        <w:rPr>
          <w:rFonts w:ascii="Cambria" w:hAnsi="Cambria"/>
          <w:b/>
          <w:i w:val="0"/>
          <w:color w:val="1F3A5F"/>
          <w:sz w:val="26"/>
        </w:rPr>
        <w:t>Tangible Outcomes (Numeric &amp; Measurable) (III)</w:t>
      </w:r>
    </w:p>
    <w:p>
      <w:pPr>
        <w:pStyle w:val="ListBullet"/>
        <w:spacing w:after="80"/>
        <w:jc w:val="both"/>
      </w:pPr>
      <w:r>
        <w:rPr>
          <w:rFonts w:ascii="Cambria" w:hAnsi="Cambria"/>
          <w:b w:val="0"/>
          <w:i w:val="0"/>
          <w:sz w:val="22"/>
        </w:rPr>
        <w:t>Interdisciplinary MoUs signed: 6 in 3 years.</w:t>
      </w:r>
    </w:p>
    <w:p>
      <w:pPr>
        <w:pStyle w:val="ListBullet"/>
        <w:spacing w:after="80"/>
        <w:jc w:val="both"/>
      </w:pPr>
      <w:r>
        <w:rPr>
          <w:rFonts w:ascii="Cambria" w:hAnsi="Cambria"/>
          <w:b w:val="0"/>
          <w:i w:val="0"/>
          <w:sz w:val="22"/>
        </w:rPr>
        <w:t>Joint projects initiated: 4 across AI + Medicine, IoT + Urban Planning, Energy + Policy.</w:t>
      </w:r>
    </w:p>
    <w:p>
      <w:pPr>
        <w:pStyle w:val="ListBullet"/>
        <w:spacing w:after="80"/>
        <w:jc w:val="both"/>
      </w:pPr>
      <w:r>
        <w:rPr>
          <w:rFonts w:ascii="Cambria" w:hAnsi="Cambria"/>
          <w:b w:val="0"/>
          <w:i w:val="0"/>
          <w:sz w:val="22"/>
        </w:rPr>
        <w:t>Publications: 12 interdisciplinary Scopus-indexed papers.</w:t>
      </w:r>
    </w:p>
    <w:p>
      <w:pPr>
        <w:spacing w:after="120"/>
        <w:jc w:val="both"/>
      </w:pPr>
      <w:r>
        <w:rPr>
          <w:rFonts w:ascii="Cambria" w:hAnsi="Cambria"/>
          <w:b w:val="0"/>
          <w:i w:val="0"/>
          <w:sz w:val="22"/>
        </w:rPr>
        <w:t>Student research participation: ↑ 40% in interdisciplinary domains.</w:t>
      </w:r>
    </w:p>
    <w:p>
      <w:pPr>
        <w:pStyle w:val="ListBullet"/>
        <w:spacing w:after="80"/>
        <w:jc w:val="both"/>
      </w:pPr>
      <w:r>
        <w:rPr>
          <w:rFonts w:ascii="Cambria" w:hAnsi="Cambria"/>
          <w:b w:val="0"/>
          <w:i w:val="0"/>
          <w:sz w:val="22"/>
        </w:rPr>
        <w:t>Patents filed: 3 interdisciplinary patents.</w:t>
      </w:r>
    </w:p>
    <w:p>
      <w:pPr>
        <w:spacing w:after="120"/>
        <w:jc w:val="both"/>
      </w:pPr>
      <w:r>
        <w:rPr>
          <w:rFonts w:ascii="Cambria" w:hAnsi="Cambria"/>
          <w:b w:val="0"/>
          <w:i w:val="0"/>
          <w:sz w:val="22"/>
        </w:rPr>
        <w:t>Consultancy revenue: ↑ 25% YoY from cross-domain projects.</w:t>
      </w:r>
    </w:p>
    <w:p>
      <w:pPr>
        <w:keepNext/>
        <w:spacing w:before="280" w:after="160"/>
        <w:jc w:val="left"/>
      </w:pPr>
      <w:r>
        <w:rPr>
          <w:rFonts w:ascii="Cambria" w:hAnsi="Cambria"/>
          <w:b/>
          <w:i w:val="0"/>
          <w:color w:val="1F3A5F"/>
          <w:sz w:val="26"/>
        </w:rPr>
        <w:t>Traceability Framework</w:t>
      </w:r>
    </w:p>
    <w:p>
      <w:pPr>
        <w:pStyle w:val="ListBullet"/>
        <w:spacing w:after="80"/>
        <w:jc w:val="both"/>
      </w:pPr>
      <w:r>
        <w:rPr>
          <w:rFonts w:ascii="Cambria" w:hAnsi="Cambria"/>
          <w:b w:val="0"/>
          <w:i w:val="0"/>
          <w:sz w:val="22"/>
        </w:rPr>
        <w:t>Policy</w:t>
      </w:r>
    </w:p>
    <w:p>
      <w:pPr>
        <w:pStyle w:val="ListBullet2"/>
        <w:spacing w:after="80"/>
        <w:jc w:val="both"/>
      </w:pPr>
      <w:r>
        <w:rPr>
          <w:rFonts w:ascii="Cambria" w:hAnsi="Cambria"/>
          <w:b w:val="0"/>
          <w:i w:val="0"/>
          <w:sz w:val="22"/>
        </w:rPr>
        <w:t>Institutional/departmental decision to promote R&amp;D and interdisciplinary collaboration.</w:t>
      </w:r>
    </w:p>
    <w:p>
      <w:pPr>
        <w:spacing w:after="120"/>
        <w:jc w:val="both"/>
      </w:pPr>
      <w:r>
        <w:rPr>
          <w:rFonts w:ascii="Cambria" w:hAnsi="Cambria"/>
          <w:b w:val="0"/>
          <w:i w:val="0"/>
          <w:sz w:val="22"/>
        </w:rPr>
        <w:t xml:space="preserve"> → Evidence: HoD/Principal approval orders, meeting minutes.</w:t>
      </w:r>
    </w:p>
    <w:p>
      <w:pPr>
        <w:pStyle w:val="ListBullet"/>
        <w:spacing w:after="80"/>
        <w:jc w:val="both"/>
      </w:pPr>
      <w:r>
        <w:rPr>
          <w:rFonts w:ascii="Cambria" w:hAnsi="Cambria"/>
          <w:b w:val="0"/>
          <w:i w:val="0"/>
          <w:sz w:val="22"/>
        </w:rPr>
        <w:t>Thrust Area (Strategic Focus)</w:t>
      </w:r>
    </w:p>
    <w:p>
      <w:pPr>
        <w:pStyle w:val="ListBullet2"/>
        <w:spacing w:after="80"/>
        <w:jc w:val="both"/>
      </w:pPr>
      <w:r>
        <w:rPr>
          <w:rFonts w:ascii="Cambria" w:hAnsi="Cambria"/>
          <w:b w:val="0"/>
          <w:i w:val="0"/>
          <w:sz w:val="22"/>
        </w:rPr>
        <w:t>Identified research domains (e.g., AI in Healthcare, Renewable Energy, IoT, Nanotechnology).</w:t>
      </w:r>
    </w:p>
    <w:p>
      <w:pPr>
        <w:spacing w:after="120"/>
        <w:jc w:val="both"/>
      </w:pPr>
      <w:r>
        <w:rPr>
          <w:rFonts w:ascii="Cambria" w:hAnsi="Cambria"/>
          <w:b w:val="0"/>
          <w:i w:val="0"/>
          <w:sz w:val="22"/>
        </w:rPr>
        <w:t xml:space="preserve"> → Evidence: Approved thrust area list, cluster nominations.</w:t>
      </w:r>
    </w:p>
    <w:p>
      <w:pPr>
        <w:pStyle w:val="ListBullet"/>
        <w:spacing w:after="80"/>
        <w:jc w:val="both"/>
      </w:pPr>
      <w:r>
        <w:rPr>
          <w:rFonts w:ascii="Cambria" w:hAnsi="Cambria"/>
          <w:b w:val="0"/>
          <w:i w:val="0"/>
          <w:sz w:val="22"/>
        </w:rPr>
        <w:t>Action</w:t>
      </w:r>
    </w:p>
    <w:p>
      <w:pPr>
        <w:pStyle w:val="ListBullet2"/>
        <w:spacing w:after="80"/>
        <w:jc w:val="both"/>
      </w:pPr>
      <w:r>
        <w:rPr>
          <w:rFonts w:ascii="Cambria" w:hAnsi="Cambria"/>
          <w:b w:val="0"/>
          <w:i w:val="0"/>
          <w:sz w:val="22"/>
        </w:rPr>
        <w:t>Faculty/student clusters formed, FDPs/workshops conducted, proposals submitted, collaborations initiated.</w:t>
      </w:r>
    </w:p>
    <w:p>
      <w:pPr>
        <w:spacing w:after="120"/>
        <w:jc w:val="both"/>
      </w:pPr>
      <w:r>
        <w:rPr>
          <w:rFonts w:ascii="Cambria" w:hAnsi="Cambria"/>
          <w:b w:val="0"/>
          <w:i w:val="0"/>
          <w:sz w:val="22"/>
        </w:rPr>
        <w:t xml:space="preserve"> → Evidence: Nomination orders, FDP brochures, MoUs, submitted proposals.</w:t>
      </w:r>
    </w:p>
    <w:p>
      <w:pPr>
        <w:pStyle w:val="ListBullet"/>
        <w:spacing w:after="80"/>
        <w:jc w:val="both"/>
      </w:pPr>
      <w:r>
        <w:rPr>
          <w:rFonts w:ascii="Cambria" w:hAnsi="Cambria"/>
          <w:b w:val="0"/>
          <w:i w:val="0"/>
          <w:sz w:val="22"/>
        </w:rPr>
        <w:t>Evidence</w:t>
      </w:r>
    </w:p>
    <w:p>
      <w:pPr>
        <w:pStyle w:val="ListBullet2"/>
        <w:spacing w:after="80"/>
        <w:jc w:val="both"/>
      </w:pPr>
      <w:r>
        <w:rPr>
          <w:rFonts w:ascii="Cambria" w:hAnsi="Cambria"/>
          <w:b w:val="0"/>
          <w:i w:val="0"/>
          <w:sz w:val="22"/>
        </w:rPr>
        <w:t>Concrete documentation of R&amp;D outputs.</w:t>
      </w:r>
    </w:p>
    <w:p>
      <w:pPr>
        <w:spacing w:after="120"/>
        <w:jc w:val="both"/>
      </w:pPr>
      <w:r>
        <w:rPr>
          <w:rFonts w:ascii="Cambria" w:hAnsi="Cambria"/>
          <w:b w:val="0"/>
          <w:i w:val="0"/>
          <w:sz w:val="22"/>
        </w:rPr>
        <w:t xml:space="preserve"> → Evidence: sanction letters, publications, patents, consultancy records, ATRs.</w:t>
      </w:r>
    </w:p>
    <w:p>
      <w:pPr>
        <w:pStyle w:val="ListBullet"/>
        <w:spacing w:after="80"/>
        <w:jc w:val="both"/>
      </w:pPr>
      <w:r>
        <w:rPr>
          <w:rFonts w:ascii="Cambria" w:hAnsi="Cambria"/>
          <w:b w:val="0"/>
          <w:i w:val="0"/>
          <w:sz w:val="22"/>
        </w:rPr>
        <w:t>Measurable Research Outcomes</w:t>
      </w:r>
    </w:p>
    <w:p>
      <w:pPr>
        <w:pStyle w:val="ListBullet2"/>
        <w:spacing w:after="80"/>
        <w:jc w:val="both"/>
      </w:pPr>
      <w:r>
        <w:rPr>
          <w:rFonts w:ascii="Cambria" w:hAnsi="Cambria"/>
          <w:b w:val="0"/>
          <w:i w:val="0"/>
          <w:sz w:val="22"/>
        </w:rPr>
        <w:t>Growth in projects, grants, publications, patents, and collaborations year-on-year.</w:t>
      </w:r>
    </w:p>
    <w:p>
      <w:pPr>
        <w:spacing w:after="120"/>
        <w:jc w:val="both"/>
      </w:pPr>
      <w:r>
        <w:rPr>
          <w:rFonts w:ascii="Cambria" w:hAnsi="Cambria"/>
          <w:b w:val="0"/>
          <w:i w:val="0"/>
          <w:sz w:val="22"/>
        </w:rPr>
        <w:t xml:space="preserve"> → Evidence: Consolidated R&amp;D reports (Criterion 3 NAAC, Criterion 11 NBA).</w:t>
      </w:r>
    </w:p>
    <w:p>
      <w:pPr>
        <w:keepNext/>
        <w:spacing w:before="280" w:after="160"/>
        <w:jc w:val="left"/>
      </w:pPr>
      <w:r>
        <w:rPr>
          <w:rFonts w:ascii="Cambria" w:hAnsi="Cambria"/>
          <w:b/>
          <w:i w:val="0"/>
          <w:color w:val="1F3A5F"/>
          <w:sz w:val="26"/>
        </w:rPr>
        <w:t>Numeric &amp; Tangible Outcomes (Examples)</w:t>
      </w:r>
    </w:p>
    <w:p>
      <w:pPr>
        <w:spacing w:after="120"/>
        <w:jc w:val="both"/>
      </w:pPr>
      <w:r>
        <w:rPr>
          <w:rFonts w:ascii="Cambria" w:hAnsi="Cambria"/>
          <w:b w:val="0"/>
          <w:i w:val="0"/>
          <w:sz w:val="22"/>
        </w:rPr>
        <w:t>Funded projects ↑ 25% YoY.</w:t>
      </w:r>
    </w:p>
    <w:p>
      <w:pPr>
        <w:spacing w:after="120"/>
        <w:jc w:val="both"/>
      </w:pPr>
      <w:r>
        <w:rPr>
          <w:rFonts w:ascii="Cambria" w:hAnsi="Cambria"/>
          <w:b w:val="0"/>
          <w:i w:val="0"/>
          <w:sz w:val="22"/>
        </w:rPr>
        <w:t>Publications ↑ from 15 → 32 in 3 years.</w:t>
      </w:r>
    </w:p>
    <w:p>
      <w:pPr>
        <w:spacing w:after="120"/>
        <w:jc w:val="both"/>
      </w:pPr>
      <w:r>
        <w:rPr>
          <w:rFonts w:ascii="Cambria" w:hAnsi="Cambria"/>
          <w:b w:val="0"/>
          <w:i w:val="0"/>
          <w:sz w:val="22"/>
        </w:rPr>
        <w:t>Patents filed ↑ from 2 → 7.</w:t>
      </w:r>
    </w:p>
    <w:p>
      <w:pPr>
        <w:pStyle w:val="ListBullet"/>
        <w:spacing w:after="80"/>
        <w:jc w:val="both"/>
      </w:pPr>
      <w:r>
        <w:rPr>
          <w:rFonts w:ascii="Cambria" w:hAnsi="Cambria"/>
          <w:b w:val="0"/>
          <w:i w:val="0"/>
          <w:sz w:val="22"/>
        </w:rPr>
        <w:t>Interdisciplinary MoUs ↑ to 6.</w:t>
      </w:r>
    </w:p>
    <w:p>
      <w:pPr>
        <w:spacing w:after="120"/>
        <w:jc w:val="both"/>
      </w:pPr>
      <w:r>
        <w:rPr>
          <w:rFonts w:ascii="Cambria" w:hAnsi="Cambria"/>
          <w:b w:val="0"/>
          <w:i w:val="0"/>
          <w:sz w:val="22"/>
        </w:rPr>
        <w:t>Consultancy revenue ↑ 30% YoY.</w:t>
      </w:r>
    </w:p>
    <w:p>
      <w:pPr>
        <w:spacing w:after="120"/>
        <w:jc w:val="both"/>
      </w:pPr>
      <w:r>
        <w:rPr>
          <w:rFonts w:ascii="Cambria" w:hAnsi="Cambria"/>
          <w:b w:val="0"/>
          <w:i w:val="0"/>
          <w:sz w:val="22"/>
        </w:rPr>
        <w:t>Student research participation ↑ 40%.</w:t>
      </w:r>
    </w:p>
    <w:p>
      <w:pPr>
        <w:keepNext/>
        <w:spacing w:before="280" w:after="160"/>
        <w:jc w:val="left"/>
      </w:pPr>
      <w:r>
        <w:rPr>
          <w:rFonts w:ascii="Cambria" w:hAnsi="Cambria"/>
          <w:b/>
          <w:i w:val="0"/>
          <w:color w:val="1F3A5F"/>
          <w:sz w:val="26"/>
        </w:rPr>
        <w:t>How Systematic R&amp;D Promotion is Evidenced</w:t>
      </w:r>
    </w:p>
    <w:p>
      <w:pPr>
        <w:pStyle w:val="ListBullet"/>
        <w:spacing w:after="80"/>
        <w:jc w:val="both"/>
      </w:pPr>
      <w:r>
        <w:rPr>
          <w:rFonts w:ascii="Cambria" w:hAnsi="Cambria"/>
          <w:b w:val="0"/>
          <w:i w:val="0"/>
          <w:sz w:val="22"/>
        </w:rPr>
        <w:t>Policy-Driven</w:t>
      </w:r>
    </w:p>
    <w:p>
      <w:pPr>
        <w:pStyle w:val="ListBullet2"/>
        <w:spacing w:after="80"/>
        <w:jc w:val="both"/>
      </w:pPr>
      <w:r>
        <w:rPr>
          <w:rFonts w:ascii="Cambria" w:hAnsi="Cambria"/>
          <w:b w:val="0"/>
          <w:i w:val="0"/>
          <w:sz w:val="22"/>
        </w:rPr>
        <w:t>Thrust areas identified via structured meetings and officially approved.</w:t>
      </w:r>
    </w:p>
    <w:p>
      <w:pPr>
        <w:spacing w:after="120"/>
        <w:jc w:val="both"/>
      </w:pPr>
      <w:r>
        <w:rPr>
          <w:rFonts w:ascii="Cambria" w:hAnsi="Cambria"/>
          <w:b w:val="0"/>
          <w:i w:val="0"/>
          <w:sz w:val="22"/>
        </w:rPr>
        <w:t xml:space="preserve"> → Evidence: HoD/Principal approval orders, meeting minutes.</w:t>
      </w:r>
    </w:p>
    <w:p>
      <w:pPr>
        <w:pStyle w:val="ListBullet"/>
        <w:spacing w:after="80"/>
        <w:jc w:val="both"/>
      </w:pPr>
      <w:r>
        <w:rPr>
          <w:rFonts w:ascii="Cambria" w:hAnsi="Cambria"/>
          <w:b w:val="0"/>
          <w:i w:val="0"/>
          <w:sz w:val="22"/>
        </w:rPr>
        <w:t>Planned Implementation</w:t>
      </w:r>
    </w:p>
    <w:p>
      <w:pPr>
        <w:pStyle w:val="ListBullet2"/>
        <w:spacing w:after="80"/>
        <w:jc w:val="both"/>
      </w:pPr>
      <w:r>
        <w:rPr>
          <w:rFonts w:ascii="Cambria" w:hAnsi="Cambria"/>
          <w:b w:val="0"/>
          <w:i w:val="0"/>
          <w:sz w:val="22"/>
        </w:rPr>
        <w:t>Faculty/student research clusters formed, coordinators nominated.</w:t>
      </w:r>
    </w:p>
    <w:p>
      <w:pPr>
        <w:pStyle w:val="ListBullet2"/>
        <w:spacing w:after="80"/>
        <w:jc w:val="both"/>
      </w:pPr>
      <w:r>
        <w:rPr>
          <w:rFonts w:ascii="Cambria" w:hAnsi="Cambria"/>
          <w:b w:val="0"/>
          <w:i w:val="0"/>
          <w:sz w:val="22"/>
        </w:rPr>
        <w:t>FDPs/workshops organized in thrust areas to build research skills.</w:t>
      </w:r>
    </w:p>
    <w:p>
      <w:pPr>
        <w:spacing w:after="120"/>
        <w:jc w:val="both"/>
      </w:pPr>
      <w:r>
        <w:rPr>
          <w:rFonts w:ascii="Cambria" w:hAnsi="Cambria"/>
          <w:b w:val="0"/>
          <w:i w:val="0"/>
          <w:sz w:val="22"/>
        </w:rPr>
        <w:t xml:space="preserve"> → Evidence: nomination orders, FDP brochures, workshop reports.</w:t>
      </w:r>
    </w:p>
    <w:p>
      <w:pPr>
        <w:pStyle w:val="ListBullet"/>
        <w:spacing w:after="80"/>
        <w:jc w:val="both"/>
      </w:pPr>
      <w:r>
        <w:rPr>
          <w:rFonts w:ascii="Cambria" w:hAnsi="Cambria"/>
          <w:b w:val="0"/>
          <w:i w:val="0"/>
          <w:sz w:val="22"/>
        </w:rPr>
        <w:t>Structured Support</w:t>
      </w:r>
    </w:p>
    <w:p>
      <w:pPr>
        <w:pStyle w:val="ListBullet2"/>
        <w:spacing w:after="80"/>
        <w:jc w:val="both"/>
      </w:pPr>
      <w:r>
        <w:rPr>
          <w:rFonts w:ascii="Cambria" w:hAnsi="Cambria"/>
          <w:b w:val="0"/>
          <w:i w:val="0"/>
          <w:sz w:val="22"/>
        </w:rPr>
        <w:t>Guidance for proposal writing, grant applications, and collaborations.</w:t>
      </w:r>
    </w:p>
    <w:p>
      <w:pPr>
        <w:pStyle w:val="ListBullet2"/>
        <w:spacing w:after="80"/>
        <w:jc w:val="both"/>
      </w:pPr>
      <w:r>
        <w:rPr>
          <w:rFonts w:ascii="Cambria" w:hAnsi="Cambria"/>
          <w:b w:val="0"/>
          <w:i w:val="0"/>
          <w:sz w:val="22"/>
        </w:rPr>
        <w:t>Dedicated budget and infrastructure allocated to thrust areas.</w:t>
      </w:r>
    </w:p>
    <w:p>
      <w:pPr>
        <w:spacing w:after="120"/>
        <w:jc w:val="both"/>
      </w:pPr>
      <w:r>
        <w:rPr>
          <w:rFonts w:ascii="Cambria" w:hAnsi="Cambria"/>
          <w:b w:val="0"/>
          <w:i w:val="0"/>
          <w:sz w:val="22"/>
        </w:rPr>
        <w:t xml:space="preserve"> → Evidence: sanctioned grants, project proposals, lab purchase records.</w:t>
      </w:r>
    </w:p>
    <w:p>
      <w:pPr>
        <w:pStyle w:val="ListBullet"/>
        <w:spacing w:after="80"/>
        <w:jc w:val="both"/>
      </w:pPr>
      <w:r>
        <w:rPr>
          <w:rFonts w:ascii="Cambria" w:hAnsi="Cambria"/>
          <w:b w:val="0"/>
          <w:i w:val="0"/>
          <w:sz w:val="22"/>
        </w:rPr>
        <w:t>Documented Outputs</w:t>
      </w:r>
    </w:p>
    <w:p>
      <w:pPr>
        <w:pStyle w:val="ListBullet2"/>
        <w:spacing w:after="80"/>
        <w:jc w:val="both"/>
      </w:pPr>
      <w:r>
        <w:rPr>
          <w:rFonts w:ascii="Cambria" w:hAnsi="Cambria"/>
          <w:b w:val="0"/>
          <w:i w:val="0"/>
          <w:sz w:val="22"/>
        </w:rPr>
        <w:t>Publications in indexed journals, patents filed, consultancy projects executed.</w:t>
      </w:r>
    </w:p>
    <w:p>
      <w:pPr>
        <w:pStyle w:val="ListBullet2"/>
        <w:spacing w:after="80"/>
        <w:jc w:val="both"/>
      </w:pPr>
      <w:r>
        <w:rPr>
          <w:rFonts w:ascii="Cambria" w:hAnsi="Cambria"/>
          <w:b w:val="0"/>
          <w:i w:val="0"/>
          <w:sz w:val="22"/>
        </w:rPr>
        <w:t>Interdisciplinary MoUs signed with academia/industry.</w:t>
      </w:r>
    </w:p>
    <w:p>
      <w:pPr>
        <w:spacing w:after="120"/>
        <w:jc w:val="both"/>
      </w:pPr>
      <w:r>
        <w:rPr>
          <w:rFonts w:ascii="Cambria" w:hAnsi="Cambria"/>
          <w:b w:val="0"/>
          <w:i w:val="0"/>
          <w:sz w:val="22"/>
        </w:rPr>
        <w:t xml:space="preserve"> → Evidence: publication lists, patent filings, consultancy contracts, MoUs.</w:t>
      </w:r>
    </w:p>
    <w:p>
      <w:pPr>
        <w:pStyle w:val="ListBullet"/>
        <w:spacing w:after="80"/>
        <w:jc w:val="both"/>
      </w:pPr>
      <w:r>
        <w:rPr>
          <w:rFonts w:ascii="Cambria" w:hAnsi="Cambria"/>
          <w:b w:val="0"/>
          <w:i w:val="0"/>
          <w:sz w:val="22"/>
        </w:rPr>
        <w:t>Continuous Monitoring</w:t>
      </w:r>
    </w:p>
    <w:p>
      <w:pPr>
        <w:pStyle w:val="ListBullet2"/>
        <w:spacing w:after="80"/>
        <w:jc w:val="both"/>
      </w:pPr>
      <w:r>
        <w:rPr>
          <w:rFonts w:ascii="Cambria" w:hAnsi="Cambria"/>
          <w:b w:val="0"/>
          <w:i w:val="0"/>
          <w:sz w:val="22"/>
        </w:rPr>
        <w:t>Annual consolidated R&amp;D reports prepared and submitted.</w:t>
      </w:r>
    </w:p>
    <w:p>
      <w:pPr>
        <w:pStyle w:val="ListBullet2"/>
        <w:spacing w:after="80"/>
        <w:jc w:val="both"/>
      </w:pPr>
      <w:r>
        <w:rPr>
          <w:rFonts w:ascii="Cambria" w:hAnsi="Cambria"/>
          <w:b w:val="0"/>
          <w:i w:val="0"/>
          <w:sz w:val="22"/>
        </w:rPr>
        <w:t>Year-on-year progress compared (baseline vs improvement).</w:t>
      </w:r>
    </w:p>
    <w:p>
      <w:pPr>
        <w:spacing w:after="120"/>
        <w:jc w:val="both"/>
      </w:pPr>
      <w:r>
        <w:rPr>
          <w:rFonts w:ascii="Cambria" w:hAnsi="Cambria"/>
          <w:b w:val="0"/>
          <w:i w:val="0"/>
          <w:sz w:val="22"/>
        </w:rPr>
        <w:t xml:space="preserve"> → Evidence: consolidated R&amp;D reports, AQAR/SSR Criterion 3 submissions.</w:t>
      </w:r>
    </w:p>
    <w:p>
      <w:pPr>
        <w:keepNext/>
        <w:spacing w:before="280" w:after="160"/>
        <w:jc w:val="left"/>
      </w:pPr>
      <w:r>
        <w:rPr>
          <w:rFonts w:ascii="Cambria" w:hAnsi="Cambria"/>
          <w:b/>
          <w:i w:val="0"/>
          <w:color w:val="1F3A5F"/>
          <w:sz w:val="26"/>
        </w:rPr>
        <w:t>Tangible Outcomes (Numeric &amp; Measurable) (IV)</w:t>
      </w:r>
    </w:p>
    <w:p>
      <w:pPr>
        <w:spacing w:after="120"/>
        <w:jc w:val="both"/>
      </w:pPr>
      <w:r>
        <w:rPr>
          <w:rFonts w:ascii="Cambria" w:hAnsi="Cambria"/>
          <w:b w:val="0"/>
          <w:i w:val="0"/>
          <w:sz w:val="22"/>
        </w:rPr>
        <w:t>Funded projects ↑ 25% YoY.</w:t>
      </w:r>
    </w:p>
    <w:p>
      <w:pPr>
        <w:spacing w:after="120"/>
        <w:jc w:val="both"/>
      </w:pPr>
      <w:r>
        <w:rPr>
          <w:rFonts w:ascii="Cambria" w:hAnsi="Cambria"/>
          <w:b w:val="0"/>
          <w:i w:val="0"/>
          <w:sz w:val="22"/>
        </w:rPr>
        <w:t>Publications ↑ from 15 → 32 in 3 years.</w:t>
      </w:r>
    </w:p>
    <w:p>
      <w:pPr>
        <w:spacing w:after="120"/>
        <w:jc w:val="both"/>
      </w:pPr>
      <w:r>
        <w:rPr>
          <w:rFonts w:ascii="Cambria" w:hAnsi="Cambria"/>
          <w:b w:val="0"/>
          <w:i w:val="0"/>
          <w:sz w:val="22"/>
        </w:rPr>
        <w:t>Patents filed ↑ from 2 → 7.</w:t>
      </w:r>
    </w:p>
    <w:p>
      <w:pPr>
        <w:spacing w:after="120"/>
        <w:jc w:val="both"/>
      </w:pPr>
      <w:r>
        <w:rPr>
          <w:rFonts w:ascii="Cambria" w:hAnsi="Cambria"/>
          <w:b w:val="0"/>
          <w:i w:val="0"/>
          <w:sz w:val="22"/>
        </w:rPr>
        <w:t>Consultancy revenue ↑ 30% YoY.</w:t>
      </w:r>
    </w:p>
    <w:p>
      <w:pPr>
        <w:spacing w:after="120"/>
        <w:jc w:val="both"/>
      </w:pPr>
      <w:r>
        <w:rPr>
          <w:rFonts w:ascii="Cambria" w:hAnsi="Cambria"/>
          <w:b w:val="0"/>
          <w:i w:val="0"/>
          <w:sz w:val="22"/>
        </w:rPr>
        <w:t>Student participation in thrust area projects ↑ 40%.</w:t>
      </w:r>
    </w:p>
    <w:p>
      <w:pPr>
        <w:pStyle w:val="ListBullet"/>
        <w:spacing w:after="80"/>
        <w:jc w:val="both"/>
      </w:pPr>
      <w:r>
        <w:rPr>
          <w:rFonts w:ascii="Cambria" w:hAnsi="Cambria"/>
          <w:b w:val="0"/>
          <w:i w:val="0"/>
          <w:sz w:val="22"/>
        </w:rPr>
        <w:t>Interdisciplinary MoUs signed: 6 in last 3 years.</w:t>
      </w:r>
    </w:p>
    <w:p>
      <w:pPr>
        <w:keepNext/>
        <w:spacing w:before="280" w:after="160"/>
        <w:jc w:val="left"/>
      </w:pPr>
      <w:r>
        <w:rPr>
          <w:rFonts w:ascii="Cambria" w:hAnsi="Cambria"/>
          <w:b/>
          <w:i w:val="0"/>
          <w:color w:val="1F3A5F"/>
          <w:sz w:val="26"/>
        </w:rPr>
        <w:t>How Systematic R&amp;D is Evidenced</w:t>
      </w:r>
    </w:p>
    <w:p>
      <w:pPr>
        <w:pStyle w:val="ListBullet"/>
        <w:spacing w:after="80"/>
        <w:jc w:val="both"/>
      </w:pPr>
      <w:r>
        <w:rPr>
          <w:rFonts w:ascii="Cambria" w:hAnsi="Cambria"/>
          <w:b w:val="0"/>
          <w:i w:val="0"/>
          <w:sz w:val="22"/>
        </w:rPr>
        <w:t>Planned</w:t>
      </w:r>
    </w:p>
    <w:p>
      <w:pPr>
        <w:pStyle w:val="ListBullet2"/>
        <w:spacing w:after="80"/>
        <w:jc w:val="both"/>
      </w:pPr>
      <w:r>
        <w:rPr>
          <w:rFonts w:ascii="Cambria" w:hAnsi="Cambria"/>
          <w:b w:val="0"/>
          <w:i w:val="0"/>
          <w:sz w:val="22"/>
        </w:rPr>
        <w:t>Thrust areas identified in formal meetings.</w:t>
      </w:r>
    </w:p>
    <w:p>
      <w:pPr>
        <w:pStyle w:val="ListBullet2"/>
        <w:spacing w:after="80"/>
        <w:jc w:val="both"/>
      </w:pPr>
      <w:r>
        <w:rPr>
          <w:rFonts w:ascii="Cambria" w:hAnsi="Cambria"/>
          <w:b w:val="0"/>
          <w:i w:val="0"/>
          <w:sz w:val="22"/>
        </w:rPr>
        <w:t>Research clusters (faculty + students) constituted.</w:t>
      </w:r>
    </w:p>
    <w:p>
      <w:pPr>
        <w:pStyle w:val="ListBullet2"/>
        <w:spacing w:after="80"/>
        <w:jc w:val="both"/>
      </w:pPr>
      <w:r>
        <w:rPr>
          <w:rFonts w:ascii="Cambria" w:hAnsi="Cambria"/>
          <w:b w:val="0"/>
          <w:i w:val="0"/>
          <w:sz w:val="22"/>
        </w:rPr>
        <w:t>Budgets, proposals, and collaborations approved in advance.</w:t>
      </w:r>
    </w:p>
    <w:p>
      <w:pPr>
        <w:spacing w:after="120"/>
        <w:jc w:val="both"/>
      </w:pPr>
      <w:r>
        <w:rPr>
          <w:rFonts w:ascii="Cambria" w:hAnsi="Cambria"/>
          <w:b w:val="0"/>
          <w:i w:val="0"/>
          <w:sz w:val="22"/>
        </w:rPr>
        <w:t xml:space="preserve"> → Evidence: meeting minutes, thrust area approvals, nomination orders.</w:t>
      </w:r>
    </w:p>
    <w:p>
      <w:pPr>
        <w:pStyle w:val="ListBullet"/>
        <w:spacing w:after="80"/>
        <w:jc w:val="both"/>
      </w:pPr>
      <w:r>
        <w:rPr>
          <w:rFonts w:ascii="Cambria" w:hAnsi="Cambria"/>
          <w:b w:val="0"/>
          <w:i w:val="0"/>
          <w:sz w:val="22"/>
        </w:rPr>
        <w:t>Executed</w:t>
      </w:r>
    </w:p>
    <w:p>
      <w:pPr>
        <w:pStyle w:val="ListBullet2"/>
        <w:spacing w:after="80"/>
        <w:jc w:val="both"/>
      </w:pPr>
      <w:r>
        <w:rPr>
          <w:rFonts w:ascii="Cambria" w:hAnsi="Cambria"/>
          <w:b w:val="0"/>
          <w:i w:val="0"/>
          <w:sz w:val="22"/>
        </w:rPr>
        <w:t>Proposals submitted, grants sanctioned, FDPs/workshops conducted.</w:t>
      </w:r>
    </w:p>
    <w:p>
      <w:pPr>
        <w:pStyle w:val="ListBullet2"/>
        <w:spacing w:after="80"/>
        <w:jc w:val="both"/>
      </w:pPr>
      <w:r>
        <w:rPr>
          <w:rFonts w:ascii="Cambria" w:hAnsi="Cambria"/>
          <w:b w:val="0"/>
          <w:i w:val="0"/>
          <w:sz w:val="22"/>
        </w:rPr>
        <w:t>Faculty and students actively engaged in thrust area projects.</w:t>
      </w:r>
    </w:p>
    <w:p>
      <w:pPr>
        <w:pStyle w:val="ListBullet2"/>
        <w:spacing w:after="80"/>
        <w:jc w:val="both"/>
      </w:pPr>
      <w:r>
        <w:rPr>
          <w:rFonts w:ascii="Cambria" w:hAnsi="Cambria"/>
          <w:b w:val="0"/>
          <w:i w:val="0"/>
          <w:sz w:val="22"/>
        </w:rPr>
        <w:t>Collaborations initiated through MoUs and consultancy projects.</w:t>
      </w:r>
    </w:p>
    <w:p>
      <w:pPr>
        <w:spacing w:after="120"/>
        <w:jc w:val="both"/>
      </w:pPr>
      <w:r>
        <w:rPr>
          <w:rFonts w:ascii="Cambria" w:hAnsi="Cambria"/>
          <w:b w:val="0"/>
          <w:i w:val="0"/>
          <w:sz w:val="22"/>
        </w:rPr>
        <w:t xml:space="preserve"> → Evidence: sanction letters, FDP reports, MoUs, consultancy agreements.</w:t>
      </w:r>
    </w:p>
    <w:p>
      <w:pPr>
        <w:pStyle w:val="ListBullet"/>
        <w:spacing w:after="80"/>
        <w:jc w:val="both"/>
      </w:pPr>
      <w:r>
        <w:rPr>
          <w:rFonts w:ascii="Cambria" w:hAnsi="Cambria"/>
          <w:b w:val="0"/>
          <w:i w:val="0"/>
          <w:sz w:val="22"/>
        </w:rPr>
        <w:t>Monitored</w:t>
      </w:r>
    </w:p>
    <w:p>
      <w:pPr>
        <w:pStyle w:val="ListBullet2"/>
        <w:spacing w:after="80"/>
        <w:jc w:val="both"/>
      </w:pPr>
      <w:r>
        <w:rPr>
          <w:rFonts w:ascii="Cambria" w:hAnsi="Cambria"/>
          <w:b w:val="0"/>
          <w:i w:val="0"/>
          <w:sz w:val="22"/>
        </w:rPr>
        <w:t>Annual/semester-wise progress reviewed by HoD.</w:t>
      </w:r>
    </w:p>
    <w:p>
      <w:pPr>
        <w:pStyle w:val="ListBullet2"/>
        <w:spacing w:after="80"/>
        <w:jc w:val="both"/>
      </w:pPr>
      <w:r>
        <w:rPr>
          <w:rFonts w:ascii="Cambria" w:hAnsi="Cambria"/>
          <w:b w:val="0"/>
          <w:i w:val="0"/>
          <w:sz w:val="22"/>
        </w:rPr>
        <w:t>Publications, patents, grants, and consultancy revenues tracked YoY.</w:t>
      </w:r>
    </w:p>
    <w:p>
      <w:pPr>
        <w:pStyle w:val="ListBullet2"/>
        <w:spacing w:after="80"/>
        <w:jc w:val="both"/>
      </w:pPr>
      <w:r>
        <w:rPr>
          <w:rFonts w:ascii="Cambria" w:hAnsi="Cambria"/>
          <w:b w:val="0"/>
          <w:i w:val="0"/>
          <w:sz w:val="22"/>
        </w:rPr>
        <w:t>ATRs (Action Taken Reports) prepared for improvement.</w:t>
      </w:r>
    </w:p>
    <w:p>
      <w:pPr>
        <w:spacing w:after="120"/>
        <w:jc w:val="both"/>
      </w:pPr>
      <w:r>
        <w:rPr>
          <w:rFonts w:ascii="Cambria" w:hAnsi="Cambria"/>
          <w:b w:val="0"/>
          <w:i w:val="0"/>
          <w:sz w:val="22"/>
        </w:rPr>
        <w:t xml:space="preserve"> → Evidence: consolidated R&amp;D reports, SSR/AQAR Criterion 3 submissions.</w:t>
      </w:r>
    </w:p>
    <w:p>
      <w:pPr>
        <w:keepNext/>
        <w:spacing w:before="280" w:after="160"/>
        <w:jc w:val="left"/>
      </w:pPr>
      <w:r>
        <w:rPr>
          <w:rFonts w:ascii="Cambria" w:hAnsi="Cambria"/>
          <w:b/>
          <w:i w:val="0"/>
          <w:color w:val="1F3A5F"/>
          <w:sz w:val="26"/>
        </w:rPr>
        <w:t>Tangible Outcomes (Numeric &amp; Measurable) (V)</w:t>
      </w:r>
    </w:p>
    <w:p>
      <w:pPr>
        <w:spacing w:after="120"/>
        <w:jc w:val="both"/>
      </w:pPr>
      <w:r>
        <w:rPr>
          <w:rFonts w:ascii="Cambria" w:hAnsi="Cambria"/>
          <w:b w:val="0"/>
          <w:i w:val="0"/>
          <w:sz w:val="22"/>
        </w:rPr>
        <w:t>Funded research projects ↑ 25% YoY.</w:t>
      </w:r>
    </w:p>
    <w:p>
      <w:pPr>
        <w:spacing w:after="120"/>
        <w:jc w:val="both"/>
      </w:pPr>
      <w:r>
        <w:rPr>
          <w:rFonts w:ascii="Cambria" w:hAnsi="Cambria"/>
          <w:b w:val="0"/>
          <w:i w:val="0"/>
          <w:sz w:val="22"/>
        </w:rPr>
        <w:t>Publications doubled: 15 → 32 in 3 years.</w:t>
      </w:r>
    </w:p>
    <w:p>
      <w:pPr>
        <w:spacing w:after="120"/>
        <w:jc w:val="both"/>
      </w:pPr>
      <w:r>
        <w:rPr>
          <w:rFonts w:ascii="Cambria" w:hAnsi="Cambria"/>
          <w:b w:val="0"/>
          <w:i w:val="0"/>
          <w:sz w:val="22"/>
        </w:rPr>
        <w:t>Patents filed ↑ 2 → 7 in 3 years.</w:t>
      </w:r>
    </w:p>
    <w:p>
      <w:pPr>
        <w:spacing w:after="120"/>
        <w:jc w:val="both"/>
      </w:pPr>
      <w:r>
        <w:rPr>
          <w:rFonts w:ascii="Cambria" w:hAnsi="Cambria"/>
          <w:b w:val="0"/>
          <w:i w:val="0"/>
          <w:sz w:val="22"/>
        </w:rPr>
        <w:t>Consultancy revenue ↑ 30% YoY.</w:t>
      </w:r>
    </w:p>
    <w:p>
      <w:pPr>
        <w:pStyle w:val="ListBullet"/>
        <w:spacing w:after="80"/>
        <w:jc w:val="both"/>
      </w:pPr>
      <w:r>
        <w:rPr>
          <w:rFonts w:ascii="Cambria" w:hAnsi="Cambria"/>
          <w:b w:val="0"/>
          <w:i w:val="0"/>
          <w:sz w:val="22"/>
        </w:rPr>
        <w:t>Interdisciplinary collaborations: 6 MoUs signed, 4 joint projects initiated.</w:t>
      </w:r>
    </w:p>
    <w:p>
      <w:pPr>
        <w:spacing w:after="120"/>
        <w:jc w:val="both"/>
      </w:pPr>
      <w:r>
        <w:rPr>
          <w:rFonts w:ascii="Cambria" w:hAnsi="Cambria"/>
          <w:b w:val="0"/>
          <w:i w:val="0"/>
          <w:sz w:val="22"/>
        </w:rPr>
        <w:t>Student research participation ↑ 40%.</w:t>
      </w:r>
    </w:p>
    <w:p>
      <w:pPr>
        <w:keepNext/>
        <w:spacing w:before="280" w:after="160"/>
        <w:jc w:val="left"/>
      </w:pPr>
      <w:r>
        <w:rPr>
          <w:rFonts w:ascii="Cambria" w:hAnsi="Cambria"/>
          <w:b/>
          <w:i w:val="0"/>
          <w:color w:val="1F3A5F"/>
          <w:sz w:val="26"/>
        </w:rPr>
        <w:t>How Structured R&amp;D Governance is Evidenced</w:t>
      </w:r>
    </w:p>
    <w:p>
      <w:pPr>
        <w:pStyle w:val="ListBullet"/>
        <w:spacing w:after="80"/>
        <w:jc w:val="both"/>
      </w:pPr>
      <w:r>
        <w:rPr>
          <w:rFonts w:ascii="Cambria" w:hAnsi="Cambria"/>
          <w:b w:val="0"/>
          <w:i w:val="0"/>
          <w:sz w:val="22"/>
        </w:rPr>
        <w:t>Policy Foundation</w:t>
      </w:r>
    </w:p>
    <w:p>
      <w:pPr>
        <w:pStyle w:val="ListBullet2"/>
        <w:spacing w:after="80"/>
        <w:jc w:val="both"/>
      </w:pPr>
      <w:r>
        <w:rPr>
          <w:rFonts w:ascii="Cambria" w:hAnsi="Cambria"/>
          <w:b w:val="0"/>
          <w:i w:val="0"/>
          <w:sz w:val="22"/>
        </w:rPr>
        <w:t>Thrust areas identified through documented meetings.</w:t>
      </w:r>
    </w:p>
    <w:p>
      <w:pPr>
        <w:pStyle w:val="ListBullet2"/>
        <w:spacing w:after="80"/>
        <w:jc w:val="both"/>
      </w:pPr>
      <w:r>
        <w:rPr>
          <w:rFonts w:ascii="Cambria" w:hAnsi="Cambria"/>
          <w:b w:val="0"/>
          <w:i w:val="0"/>
          <w:sz w:val="22"/>
        </w:rPr>
        <w:t>Official approval by HoD/Principal ensures accountability.</w:t>
      </w:r>
    </w:p>
    <w:p>
      <w:pPr>
        <w:spacing w:after="120"/>
        <w:jc w:val="both"/>
      </w:pPr>
      <w:r>
        <w:rPr>
          <w:rFonts w:ascii="Cambria" w:hAnsi="Cambria"/>
          <w:b w:val="0"/>
          <w:i w:val="0"/>
          <w:sz w:val="22"/>
        </w:rPr>
        <w:t xml:space="preserve"> → Evidence: meeting minutes, approval orders.</w:t>
      </w:r>
    </w:p>
    <w:p>
      <w:pPr>
        <w:pStyle w:val="ListBullet"/>
        <w:spacing w:after="80"/>
        <w:jc w:val="both"/>
      </w:pPr>
      <w:r>
        <w:rPr>
          <w:rFonts w:ascii="Cambria" w:hAnsi="Cambria"/>
          <w:b w:val="0"/>
          <w:i w:val="0"/>
          <w:sz w:val="22"/>
        </w:rPr>
        <w:t>Organized Implementation</w:t>
      </w:r>
    </w:p>
    <w:p>
      <w:pPr>
        <w:pStyle w:val="ListBullet2"/>
        <w:spacing w:after="80"/>
        <w:jc w:val="both"/>
      </w:pPr>
      <w:r>
        <w:rPr>
          <w:rFonts w:ascii="Cambria" w:hAnsi="Cambria"/>
          <w:b w:val="0"/>
          <w:i w:val="0"/>
          <w:sz w:val="22"/>
        </w:rPr>
        <w:t>Faculty and student research clusters formally nominated.</w:t>
      </w:r>
    </w:p>
    <w:p>
      <w:pPr>
        <w:pStyle w:val="ListBullet2"/>
        <w:spacing w:after="80"/>
        <w:jc w:val="both"/>
      </w:pPr>
      <w:r>
        <w:rPr>
          <w:rFonts w:ascii="Cambria" w:hAnsi="Cambria"/>
          <w:b w:val="0"/>
          <w:i w:val="0"/>
          <w:sz w:val="22"/>
        </w:rPr>
        <w:t>Research proposals submitted, grants sanctioned, FDPs/workshops conducted.</w:t>
      </w:r>
    </w:p>
    <w:p>
      <w:pPr>
        <w:spacing w:after="120"/>
        <w:jc w:val="both"/>
      </w:pPr>
      <w:r>
        <w:rPr>
          <w:rFonts w:ascii="Cambria" w:hAnsi="Cambria"/>
          <w:b w:val="0"/>
          <w:i w:val="0"/>
          <w:sz w:val="22"/>
        </w:rPr>
        <w:t xml:space="preserve"> → Evidence: nomination orders, sanction letters, workshop reports.</w:t>
      </w:r>
    </w:p>
    <w:p>
      <w:pPr>
        <w:pStyle w:val="ListBullet"/>
        <w:spacing w:after="80"/>
        <w:jc w:val="both"/>
      </w:pPr>
      <w:r>
        <w:rPr>
          <w:rFonts w:ascii="Cambria" w:hAnsi="Cambria"/>
          <w:b w:val="0"/>
          <w:i w:val="0"/>
          <w:sz w:val="22"/>
        </w:rPr>
        <w:t>Structured Monitoring</w:t>
      </w:r>
    </w:p>
    <w:p>
      <w:pPr>
        <w:pStyle w:val="ListBullet2"/>
        <w:spacing w:after="80"/>
        <w:jc w:val="both"/>
      </w:pPr>
      <w:r>
        <w:rPr>
          <w:rFonts w:ascii="Cambria" w:hAnsi="Cambria"/>
          <w:b w:val="0"/>
          <w:i w:val="0"/>
          <w:sz w:val="22"/>
        </w:rPr>
        <w:t>Annual R&amp;D progress reports prepared and submitted.</w:t>
      </w:r>
    </w:p>
    <w:p>
      <w:pPr>
        <w:pStyle w:val="ListBullet2"/>
        <w:spacing w:after="80"/>
        <w:jc w:val="both"/>
      </w:pPr>
      <w:r>
        <w:rPr>
          <w:rFonts w:ascii="Cambria" w:hAnsi="Cambria"/>
          <w:b w:val="0"/>
          <w:i w:val="0"/>
          <w:sz w:val="22"/>
        </w:rPr>
        <w:t>Action Taken Reports (ATRs) ensure corrective improvements.</w:t>
      </w:r>
    </w:p>
    <w:p>
      <w:pPr>
        <w:spacing w:after="120"/>
        <w:jc w:val="both"/>
      </w:pPr>
      <w:r>
        <w:rPr>
          <w:rFonts w:ascii="Cambria" w:hAnsi="Cambria"/>
          <w:b w:val="0"/>
          <w:i w:val="0"/>
          <w:sz w:val="22"/>
        </w:rPr>
        <w:t xml:space="preserve"> → Evidence: consolidated R&amp;D reports, SSR/AQAR Criterion 3 documents.</w:t>
      </w:r>
    </w:p>
    <w:p>
      <w:pPr>
        <w:pStyle w:val="ListBullet"/>
        <w:spacing w:after="80"/>
        <w:jc w:val="both"/>
      </w:pPr>
      <w:r>
        <w:rPr>
          <w:rFonts w:ascii="Cambria" w:hAnsi="Cambria"/>
          <w:b w:val="0"/>
          <w:i w:val="0"/>
          <w:sz w:val="22"/>
        </w:rPr>
        <w:t>Outcome-Driven</w:t>
      </w:r>
    </w:p>
    <w:p>
      <w:pPr>
        <w:pStyle w:val="ListBullet2"/>
        <w:spacing w:after="80"/>
        <w:jc w:val="both"/>
      </w:pPr>
      <w:r>
        <w:rPr>
          <w:rFonts w:ascii="Cambria" w:hAnsi="Cambria"/>
          <w:b w:val="0"/>
          <w:i w:val="0"/>
          <w:sz w:val="22"/>
        </w:rPr>
        <w:t>Publications, patents, consultancy, and MoUs tracked YoY.</w:t>
      </w:r>
    </w:p>
    <w:p>
      <w:pPr>
        <w:pStyle w:val="ListBullet2"/>
        <w:spacing w:after="80"/>
        <w:jc w:val="both"/>
      </w:pPr>
      <w:r>
        <w:rPr>
          <w:rFonts w:ascii="Cambria" w:hAnsi="Cambria"/>
          <w:b w:val="0"/>
          <w:i w:val="0"/>
          <w:sz w:val="22"/>
        </w:rPr>
        <w:t>Numeric improvements demonstrate CQI (Continuous Quality Improvement).</w:t>
      </w:r>
    </w:p>
    <w:p>
      <w:pPr>
        <w:spacing w:after="120"/>
        <w:jc w:val="both"/>
      </w:pPr>
      <w:r>
        <w:rPr>
          <w:rFonts w:ascii="Cambria" w:hAnsi="Cambria"/>
          <w:b w:val="0"/>
          <w:i w:val="0"/>
          <w:sz w:val="22"/>
        </w:rPr>
        <w:t xml:space="preserve"> → Evidence: publication lists, patent filings, consultancy revenue, MoU records.</w:t>
      </w:r>
    </w:p>
    <w:p>
      <w:pPr>
        <w:keepNext/>
        <w:spacing w:before="280" w:after="160"/>
        <w:jc w:val="left"/>
      </w:pPr>
      <w:r>
        <w:rPr>
          <w:rFonts w:ascii="Cambria" w:hAnsi="Cambria"/>
          <w:b/>
          <w:i w:val="0"/>
          <w:color w:val="1F3A5F"/>
          <w:sz w:val="26"/>
        </w:rPr>
        <w:t>Tangible Outcomes (Numeric &amp; Measurable) (VI)</w:t>
      </w:r>
    </w:p>
    <w:p>
      <w:pPr>
        <w:spacing w:after="120"/>
        <w:jc w:val="both"/>
      </w:pPr>
      <w:r>
        <w:rPr>
          <w:rFonts w:ascii="Cambria" w:hAnsi="Cambria"/>
          <w:b w:val="0"/>
          <w:i w:val="0"/>
          <w:sz w:val="22"/>
        </w:rPr>
        <w:t>Funded projects ↑ 25% YoY.</w:t>
      </w:r>
    </w:p>
    <w:p>
      <w:pPr>
        <w:spacing w:after="120"/>
        <w:jc w:val="both"/>
      </w:pPr>
      <w:r>
        <w:rPr>
          <w:rFonts w:ascii="Cambria" w:hAnsi="Cambria"/>
          <w:b w:val="0"/>
          <w:i w:val="0"/>
          <w:sz w:val="22"/>
        </w:rPr>
        <w:t>Publications ↑ from 15 → 32 in 3 years.</w:t>
      </w:r>
    </w:p>
    <w:p>
      <w:pPr>
        <w:spacing w:after="120"/>
        <w:jc w:val="both"/>
      </w:pPr>
      <w:r>
        <w:rPr>
          <w:rFonts w:ascii="Cambria" w:hAnsi="Cambria"/>
          <w:b w:val="0"/>
          <w:i w:val="0"/>
          <w:sz w:val="22"/>
        </w:rPr>
        <w:t>Patents filed ↑ from 2 → 7 in 3 years.</w:t>
      </w:r>
    </w:p>
    <w:p>
      <w:pPr>
        <w:spacing w:after="120"/>
        <w:jc w:val="both"/>
      </w:pPr>
      <w:r>
        <w:rPr>
          <w:rFonts w:ascii="Cambria" w:hAnsi="Cambria"/>
          <w:b w:val="0"/>
          <w:i w:val="0"/>
          <w:sz w:val="22"/>
        </w:rPr>
        <w:t>Consultancy revenue ↑ 30% YoY.</w:t>
      </w:r>
    </w:p>
    <w:p>
      <w:pPr>
        <w:pStyle w:val="ListBullet"/>
        <w:spacing w:after="80"/>
        <w:jc w:val="both"/>
      </w:pPr>
      <w:r>
        <w:rPr>
          <w:rFonts w:ascii="Cambria" w:hAnsi="Cambria"/>
          <w:b w:val="0"/>
          <w:i w:val="0"/>
          <w:sz w:val="22"/>
        </w:rPr>
        <w:t>Interdisciplinary collaborations: 6 MoUs signed.</w:t>
      </w:r>
    </w:p>
    <w:p>
      <w:pPr>
        <w:spacing w:after="120"/>
        <w:jc w:val="both"/>
      </w:pPr>
      <w:r>
        <w:rPr>
          <w:rFonts w:ascii="Cambria" w:hAnsi="Cambria"/>
          <w:b w:val="0"/>
          <w:i w:val="0"/>
          <w:sz w:val="22"/>
        </w:rPr>
        <w:t>Student research participation ↑ 40%.</w:t>
      </w:r>
    </w:p>
    <w:p>
      <w:r>
        <w:br w:type="page"/>
      </w:r>
    </w:p>
    <w:p>
      <w:pPr>
        <w:keepNext/>
        <w:spacing w:before="280" w:after="160"/>
        <w:jc w:val="left"/>
      </w:pPr>
      <w:r>
        <w:rPr>
          <w:rFonts w:ascii="Cambria" w:hAnsi="Cambria"/>
          <w:b/>
          <w:i w:val="0"/>
          <w:color w:val="1F3A5F"/>
          <w:sz w:val="30"/>
        </w:rPr>
        <w:t>27. References</w:t>
      </w:r>
    </w:p>
    <w:p>
      <w:pPr>
        <w:keepNext/>
        <w:spacing w:before="280" w:after="160"/>
        <w:jc w:val="left"/>
      </w:pPr>
      <w:r>
        <w:rPr>
          <w:rFonts w:ascii="Cambria" w:hAnsi="Cambria"/>
          <w:b/>
          <w:i w:val="0"/>
          <w:color w:val="1F3A5F"/>
          <w:sz w:val="26"/>
        </w:rPr>
        <w:t>NBA</w:t>
      </w:r>
    </w:p>
    <w:p>
      <w:pPr>
        <w:spacing w:after="80"/>
        <w:ind w:left="340" w:hanging="340"/>
        <w:jc w:val="both"/>
      </w:pPr>
      <w:r>
        <w:rPr>
          <w:rFonts w:ascii="Cambria" w:hAnsi="Cambria"/>
          <w:b w:val="0"/>
          <w:i w:val="0"/>
          <w:sz w:val="22"/>
        </w:rPr>
        <w:t xml:space="preserve">1. </w:t>
      </w:r>
      <w:r>
        <w:rPr>
          <w:rFonts w:ascii="Cambria" w:hAnsi="Cambria"/>
          <w:b w:val="0"/>
          <w:i w:val="0"/>
          <w:sz w:val="22"/>
        </w:rPr>
        <w:t>NBA Accreditation Process for Tier-1 Institutions – Criterion 1: Outcome-Based Curriculum: Vision, Mission, PEOs, Curriculum Structure, CO–PO–PSO Mapping, and Articulation Framework, Kindle Edition, ASIN: B0FPDCG13D</w:t>
        <w:br/>
        <w:t>https://amzn.in/d/4fcc0jE</w:t>
      </w:r>
    </w:p>
    <w:p>
      <w:pPr>
        <w:spacing w:after="80"/>
        <w:ind w:left="340" w:hanging="340"/>
        <w:jc w:val="both"/>
      </w:pPr>
      <w:r>
        <w:rPr>
          <w:rFonts w:ascii="Cambria" w:hAnsi="Cambria"/>
          <w:b w:val="0"/>
          <w:i w:val="0"/>
          <w:sz w:val="22"/>
        </w:rPr>
        <w:t xml:space="preserve">2. </w:t>
      </w:r>
      <w:r>
        <w:rPr>
          <w:rFonts w:ascii="Cambria" w:hAnsi="Cambria"/>
          <w:b w:val="0"/>
          <w:i w:val="0"/>
          <w:sz w:val="22"/>
        </w:rPr>
        <w:t>NBA Accreditation Process for Tier-1 Institutions – Criterion 2: Outcome-Based Teaching–Learning (OBTL): A Framework of Systematic Processes, Evidence-Based Practices, and CQI in OBE, Kindle Edition, ASIN: B0FPG4KFB1</w:t>
        <w:br/>
        <w:t>https://amzn.in/d/g1bchNl</w:t>
      </w:r>
    </w:p>
    <w:p>
      <w:pPr>
        <w:spacing w:after="80"/>
        <w:ind w:left="340" w:hanging="340"/>
        <w:jc w:val="both"/>
      </w:pPr>
      <w:r>
        <w:rPr>
          <w:rFonts w:ascii="Cambria" w:hAnsi="Cambria"/>
          <w:b w:val="0"/>
          <w:i w:val="0"/>
          <w:sz w:val="22"/>
        </w:rPr>
        <w:t xml:space="preserve">3. </w:t>
      </w:r>
      <w:r>
        <w:rPr>
          <w:rFonts w:ascii="Cambria" w:hAnsi="Cambria"/>
          <w:b w:val="0"/>
          <w:i w:val="0"/>
          <w:sz w:val="22"/>
        </w:rPr>
        <w:t>NBA Accreditation Process for Tier-1 Institutions – Criterion 3: Outcome-Based Assessment: Framework for Evaluating COs, POs, and PSOs in Compliance with NBA Accreditation Standards, Kindle Edition, ASIN: B0FQBQ21S1</w:t>
        <w:br/>
        <w:t>https://amzn.in/d/a2nGhnx</w:t>
      </w:r>
    </w:p>
    <w:p>
      <w:pPr>
        <w:spacing w:after="80"/>
        <w:ind w:left="340" w:hanging="340"/>
        <w:jc w:val="both"/>
      </w:pPr>
      <w:r>
        <w:rPr>
          <w:rFonts w:ascii="Cambria" w:hAnsi="Cambria"/>
          <w:b w:val="0"/>
          <w:i w:val="0"/>
          <w:sz w:val="22"/>
        </w:rPr>
        <w:t xml:space="preserve">4. </w:t>
      </w:r>
      <w:r>
        <w:rPr>
          <w:rFonts w:ascii="Cambria" w:hAnsi="Cambria"/>
          <w:b w:val="0"/>
          <w:i w:val="0"/>
          <w:sz w:val="22"/>
        </w:rPr>
        <w:t>NBA Accreditation Process for Tier-1 Institutions – Criterion 4: Students' Performance: Evaluating Enrolment, Academic Success, and Career Outcomes in Higher Education, Kindle Edition, ASIN: B0FR3JHMXS</w:t>
        <w:br/>
        <w:t>https://amzn.in/d/dry9lRW</w:t>
      </w:r>
    </w:p>
    <w:p>
      <w:pPr>
        <w:spacing w:after="80"/>
        <w:ind w:left="340" w:hanging="340"/>
        <w:jc w:val="both"/>
      </w:pPr>
      <w:r>
        <w:rPr>
          <w:rFonts w:ascii="Cambria" w:hAnsi="Cambria"/>
          <w:b w:val="0"/>
          <w:i w:val="0"/>
          <w:sz w:val="22"/>
        </w:rPr>
        <w:t xml:space="preserve">5. </w:t>
      </w:r>
      <w:r>
        <w:rPr>
          <w:rFonts w:ascii="Cambria" w:hAnsi="Cambria"/>
          <w:b w:val="0"/>
          <w:i w:val="0"/>
          <w:sz w:val="22"/>
        </w:rPr>
        <w:t>NBA Accreditation Process for Tier-1 Institutions – Criterion 5: Faculty Information: Evaluating Faculty Strength, Qualifications, and Development in Higher Education Institutions, Kindle Edition, ASIN: B0FR3DBZ3B</w:t>
        <w:br/>
        <w:t>https://amzn.in/d/a1344lj</w:t>
      </w:r>
    </w:p>
    <w:p>
      <w:pPr>
        <w:spacing w:after="80"/>
        <w:ind w:left="340" w:hanging="340"/>
        <w:jc w:val="both"/>
      </w:pPr>
      <w:r>
        <w:rPr>
          <w:rFonts w:ascii="Cambria" w:hAnsi="Cambria"/>
          <w:b w:val="0"/>
          <w:i w:val="0"/>
          <w:sz w:val="22"/>
        </w:rPr>
        <w:t xml:space="preserve">6. </w:t>
      </w:r>
      <w:r>
        <w:rPr>
          <w:rFonts w:ascii="Cambria" w:hAnsi="Cambria"/>
          <w:b w:val="0"/>
          <w:i w:val="0"/>
          <w:sz w:val="22"/>
        </w:rPr>
        <w:t>NBA Accreditation Process for Tier-1 Institutions – Criterion 6: Faculty Contribution: Recognizing Professional Development, Research, and Institutional Growth, Kindle Edition, ASIN: B0FR1JLR73</w:t>
        <w:br/>
        <w:t>https://amzn.in/d/98KXO4k</w:t>
      </w:r>
    </w:p>
    <w:p>
      <w:pPr>
        <w:spacing w:after="80"/>
        <w:ind w:left="340" w:hanging="340"/>
        <w:jc w:val="both"/>
      </w:pPr>
      <w:r>
        <w:rPr>
          <w:rFonts w:ascii="Cambria" w:hAnsi="Cambria"/>
          <w:b w:val="0"/>
          <w:i w:val="0"/>
          <w:sz w:val="22"/>
        </w:rPr>
        <w:t xml:space="preserve">7. </w:t>
      </w:r>
      <w:r>
        <w:rPr>
          <w:rFonts w:ascii="Cambria" w:hAnsi="Cambria"/>
          <w:b w:val="0"/>
          <w:i w:val="0"/>
          <w:sz w:val="22"/>
        </w:rPr>
        <w:t>NBA Accreditation Process for Tier-1 Institutions – Criterion 7: Facilities and Technical Support: A Comprehensive Guide to Facilities, Laboratories, and Technical Support in Accreditation, Kindle Edition, ASIN: B0FQPHYBRC</w:t>
        <w:br/>
        <w:t>https://amzn.in/d/9kAkdLZ</w:t>
      </w:r>
    </w:p>
    <w:p>
      <w:pPr>
        <w:spacing w:after="80"/>
        <w:ind w:left="340" w:hanging="340"/>
        <w:jc w:val="both"/>
      </w:pPr>
      <w:r>
        <w:rPr>
          <w:rFonts w:ascii="Cambria" w:hAnsi="Cambria"/>
          <w:b w:val="0"/>
          <w:i w:val="0"/>
          <w:sz w:val="22"/>
        </w:rPr>
        <w:t xml:space="preserve">8. </w:t>
      </w:r>
      <w:r>
        <w:rPr>
          <w:rFonts w:ascii="Cambria" w:hAnsi="Cambria"/>
          <w:b w:val="0"/>
          <w:i w:val="0"/>
          <w:sz w:val="22"/>
        </w:rPr>
        <w:t>NBA Accreditation Process for Tier-1 Institutions – Criterion 8: Continuous Improvement: Closing the Loop in Outcome-Based Education for Quality Enhancement, Kindle Edition, ASIN: B0FQJ75CNV</w:t>
        <w:br/>
        <w:t>https://amzn.in/d/1Vco5Ye</w:t>
      </w:r>
    </w:p>
    <w:p>
      <w:pPr>
        <w:spacing w:after="80"/>
        <w:ind w:left="340" w:hanging="340"/>
        <w:jc w:val="both"/>
      </w:pPr>
      <w:r>
        <w:rPr>
          <w:rFonts w:ascii="Cambria" w:hAnsi="Cambria"/>
          <w:b w:val="0"/>
          <w:i w:val="0"/>
          <w:sz w:val="22"/>
        </w:rPr>
        <w:t xml:space="preserve">9. </w:t>
      </w:r>
      <w:r>
        <w:rPr>
          <w:rFonts w:ascii="Cambria" w:hAnsi="Cambria"/>
          <w:b w:val="0"/>
          <w:i w:val="0"/>
          <w:sz w:val="22"/>
        </w:rPr>
        <w:t>NBA Accreditation Process for Tier-1 Institutions – Criterion 9: Student Support System and Governance: A Framework for Student Support, Governance, and Institutional Accountability in HEIs, Kindle Edition, ASIN: B0FQJ2KHPC</w:t>
        <w:br/>
        <w:t>https://amzn.in/d/dYBQik0</w:t>
      </w:r>
    </w:p>
    <w:p>
      <w:pPr>
        <w:keepNext/>
        <w:spacing w:before="280" w:after="160"/>
        <w:jc w:val="left"/>
      </w:pPr>
      <w:r>
        <w:rPr>
          <w:rFonts w:ascii="Cambria" w:hAnsi="Cambria"/>
          <w:b/>
          <w:i w:val="0"/>
          <w:color w:val="1F3A5F"/>
          <w:sz w:val="26"/>
        </w:rPr>
        <w:t>NAAC</w:t>
      </w:r>
    </w:p>
    <w:p>
      <w:pPr>
        <w:spacing w:after="80"/>
        <w:ind w:left="340" w:hanging="340"/>
        <w:jc w:val="both"/>
      </w:pPr>
      <w:r>
        <w:rPr>
          <w:rFonts w:ascii="Cambria" w:hAnsi="Cambria"/>
          <w:b w:val="0"/>
          <w:i w:val="0"/>
          <w:sz w:val="22"/>
        </w:rPr>
        <w:t xml:space="preserve">10. </w:t>
      </w:r>
      <w:r>
        <w:rPr>
          <w:rFonts w:ascii="Cambria" w:hAnsi="Cambria"/>
          <w:b w:val="0"/>
          <w:i w:val="0"/>
          <w:sz w:val="22"/>
        </w:rPr>
        <w:t>Curricular Aspects under NAAC Accreditation – Criterion 1 for Higher Education Institutions: Ensuring Academic Flexibility, Curriculum Enrichment, and Alignment with NEP 2020, Kindle Edition, ASIN: B0FPR342MM</w:t>
        <w:br/>
        <w:t>https://amzn.in/d/0S10khp</w:t>
      </w:r>
    </w:p>
    <w:p>
      <w:pPr>
        <w:spacing w:after="80"/>
        <w:ind w:left="340" w:hanging="340"/>
        <w:jc w:val="both"/>
      </w:pPr>
      <w:r>
        <w:rPr>
          <w:rFonts w:ascii="Cambria" w:hAnsi="Cambria"/>
          <w:b w:val="0"/>
          <w:i w:val="0"/>
          <w:sz w:val="22"/>
        </w:rPr>
        <w:t xml:space="preserve">11. </w:t>
      </w:r>
      <w:r>
        <w:rPr>
          <w:rFonts w:ascii="Cambria" w:hAnsi="Cambria"/>
          <w:b w:val="0"/>
          <w:i w:val="0"/>
          <w:sz w:val="22"/>
        </w:rPr>
        <w:t>Comprehensive Guide for Teaching-Learning and Evaluation under NAAC Accreditation – Criterion 2 for Higher Education Institutions Kindle Edition, ASIN: B0FPRBZ2JH</w:t>
        <w:br/>
        <w:t>https://amzn.in/d/37LtI4z</w:t>
      </w:r>
    </w:p>
    <w:p>
      <w:pPr>
        <w:spacing w:after="80"/>
        <w:ind w:left="340" w:hanging="340"/>
        <w:jc w:val="both"/>
      </w:pPr>
      <w:r>
        <w:rPr>
          <w:rFonts w:ascii="Cambria" w:hAnsi="Cambria"/>
          <w:b w:val="0"/>
          <w:i w:val="0"/>
          <w:sz w:val="22"/>
        </w:rPr>
        <w:t xml:space="preserve">12. </w:t>
      </w:r>
      <w:r>
        <w:rPr>
          <w:rFonts w:ascii="Cambria" w:hAnsi="Cambria"/>
          <w:b w:val="0"/>
          <w:i w:val="0"/>
          <w:sz w:val="22"/>
        </w:rPr>
        <w:t>Comprehensive Guide for Research, Innovations, and Extension under NAAC Accreditation – Criterion 3 for Higher Education Institutions: Quality Assurance in Research, Innovation, and Extension, Kindle Edition, ASIN: B0FR9GFTST</w:t>
        <w:br/>
        <w:t>https://amzn.in/d/06MFYRq</w:t>
      </w:r>
    </w:p>
    <w:p>
      <w:pPr>
        <w:spacing w:after="80"/>
        <w:ind w:left="340" w:hanging="340"/>
        <w:jc w:val="both"/>
      </w:pPr>
      <w:r>
        <w:rPr>
          <w:rFonts w:ascii="Cambria" w:hAnsi="Cambria"/>
          <w:b w:val="0"/>
          <w:i w:val="0"/>
          <w:sz w:val="22"/>
        </w:rPr>
        <w:t xml:space="preserve">13. </w:t>
      </w:r>
      <w:r>
        <w:rPr>
          <w:rFonts w:ascii="Cambria" w:hAnsi="Cambria"/>
          <w:b w:val="0"/>
          <w:i w:val="0"/>
          <w:sz w:val="22"/>
        </w:rPr>
        <w:t>Comprehensive Guide for Infrastructure and Learning Resources under NAAC Accreditation – Criterion 4 for Higher Education Institutions: Sustainable, Inclusive, and Future-Ready Learning Ecosystems, Kindle Edition, ASIN: B0FRFFRDPB</w:t>
        <w:br/>
        <w:t>https://amzn.in/d/5xlUunj</w:t>
      </w:r>
    </w:p>
    <w:p>
      <w:pPr>
        <w:spacing w:after="80"/>
        <w:ind w:left="340" w:hanging="340"/>
        <w:jc w:val="both"/>
      </w:pPr>
      <w:r>
        <w:rPr>
          <w:rFonts w:ascii="Cambria" w:hAnsi="Cambria"/>
          <w:b w:val="0"/>
          <w:i w:val="0"/>
          <w:sz w:val="22"/>
        </w:rPr>
        <w:t xml:space="preserve">14. </w:t>
      </w:r>
      <w:r>
        <w:rPr>
          <w:rFonts w:ascii="Cambria" w:hAnsi="Cambria"/>
          <w:b w:val="0"/>
          <w:i w:val="0"/>
          <w:sz w:val="22"/>
        </w:rPr>
        <w:t>Comprehensive Guide for Student Support and Progression under NAAC Accreditation – Criterion 5 for Higher Education Institutions, Kindle Edition, ASIN: B0FRDZKYNG</w:t>
        <w:br/>
        <w:t>https://amzn.in/d/3zP8hvF</w:t>
      </w:r>
    </w:p>
    <w:p>
      <w:pPr>
        <w:spacing w:after="80"/>
        <w:ind w:left="340" w:hanging="340"/>
        <w:jc w:val="both"/>
      </w:pPr>
      <w:r>
        <w:rPr>
          <w:rFonts w:ascii="Cambria" w:hAnsi="Cambria"/>
          <w:b w:val="0"/>
          <w:i w:val="0"/>
          <w:sz w:val="22"/>
        </w:rPr>
        <w:t xml:space="preserve">15. </w:t>
      </w:r>
      <w:r>
        <w:rPr>
          <w:rFonts w:ascii="Cambria" w:hAnsi="Cambria"/>
          <w:b w:val="0"/>
          <w:i w:val="0"/>
          <w:sz w:val="22"/>
        </w:rPr>
        <w:t>Comprehensive Guide for Governance, Leadership and Management under NAAC Accreditation – Criterion 6 for Higher Education Institutions, Kindle Edition, ASIN: B0FR8KKXS4</w:t>
        <w:br/>
        <w:t>https://amzn.in/d/5dscvoN</w:t>
      </w:r>
    </w:p>
    <w:p>
      <w:pPr>
        <w:spacing w:after="80"/>
        <w:ind w:left="340" w:hanging="340"/>
        <w:jc w:val="both"/>
      </w:pPr>
      <w:r>
        <w:rPr>
          <w:rFonts w:ascii="Cambria" w:hAnsi="Cambria"/>
          <w:b w:val="0"/>
          <w:i w:val="0"/>
          <w:sz w:val="22"/>
        </w:rPr>
        <w:t xml:space="preserve">16. </w:t>
      </w:r>
      <w:r>
        <w:rPr>
          <w:rFonts w:ascii="Cambria" w:hAnsi="Cambria"/>
          <w:b w:val="0"/>
          <w:i w:val="0"/>
          <w:sz w:val="22"/>
        </w:rPr>
        <w:t>Comprehensive Guide for Institutional Values and Best Practices under NAAC Accreditation – Criterion 7 for Higher Education Institutions: Frameworks, Case Studies, and Evidence for Quality Assurance, Kindle Edition, ASIN: B0FR7WJQJ2</w:t>
        <w:br/>
        <w:t>https://amzn.in/d/6gMGSy4</w:t>
      </w:r>
    </w:p>
    <w:p>
      <w:pPr>
        <w:keepNext/>
        <w:spacing w:before="280" w:after="160"/>
        <w:jc w:val="left"/>
      </w:pPr>
      <w:r>
        <w:rPr>
          <w:rFonts w:ascii="Cambria" w:hAnsi="Cambria"/>
          <w:b/>
          <w:i w:val="0"/>
          <w:color w:val="1F3A5F"/>
          <w:sz w:val="26"/>
        </w:rPr>
        <w:t>QS I GUAGE</w:t>
      </w:r>
    </w:p>
    <w:p>
      <w:pPr>
        <w:spacing w:after="80"/>
        <w:ind w:left="340" w:hanging="340"/>
        <w:jc w:val="both"/>
      </w:pPr>
      <w:r>
        <w:rPr>
          <w:rFonts w:ascii="Cambria" w:hAnsi="Cambria"/>
          <w:b w:val="0"/>
          <w:i w:val="0"/>
          <w:sz w:val="22"/>
        </w:rPr>
        <w:t xml:space="preserve">17. </w:t>
      </w:r>
      <w:r>
        <w:rPr>
          <w:rFonts w:ascii="Cambria" w:hAnsi="Cambria"/>
          <w:b w:val="0"/>
          <w:i w:val="0"/>
          <w:sz w:val="22"/>
        </w:rPr>
        <w:t>QS I-GAUGE: An Independent Rating Framework for Indian Higher Education, Kindle Edition, ASIN: B0FN4WBGLT</w:t>
        <w:br/>
        <w:t>https://amzn.in/d/2mIYjez</w:t>
      </w:r>
    </w:p>
    <w:p>
      <w:pPr>
        <w:keepNext/>
        <w:spacing w:before="280" w:after="160"/>
        <w:jc w:val="left"/>
      </w:pPr>
      <w:r>
        <w:rPr>
          <w:rFonts w:ascii="Cambria" w:hAnsi="Cambria"/>
          <w:b/>
          <w:i w:val="0"/>
          <w:color w:val="1F3A5F"/>
          <w:sz w:val="26"/>
        </w:rPr>
        <w:t>NIRF</w:t>
      </w:r>
    </w:p>
    <w:p>
      <w:pPr>
        <w:spacing w:after="80"/>
        <w:ind w:left="340" w:hanging="340"/>
        <w:jc w:val="both"/>
      </w:pPr>
      <w:r>
        <w:rPr>
          <w:rFonts w:ascii="Cambria" w:hAnsi="Cambria"/>
          <w:b w:val="0"/>
          <w:i w:val="0"/>
          <w:sz w:val="22"/>
        </w:rPr>
        <w:t xml:space="preserve">18. </w:t>
      </w:r>
      <w:r>
        <w:rPr>
          <w:rFonts w:ascii="Cambria" w:hAnsi="Cambria"/>
          <w:b w:val="0"/>
          <w:i w:val="0"/>
          <w:sz w:val="22"/>
        </w:rPr>
        <w:t>National Institutional Ranking Framework (NIRF): Transforming Indian Higher Education: A Comprehensive Analysis of Methodology, Parameters, and Impact, Kindle Edition, ASIN: B0FQ5MNVGR</w:t>
        <w:br/>
        <w:t>https://amzn.in/d/hhrZvux</w:t>
      </w:r>
    </w:p>
    <w:p>
      <w:pPr>
        <w:keepNext/>
        <w:spacing w:before="280" w:after="160"/>
        <w:jc w:val="left"/>
      </w:pPr>
      <w:r>
        <w:rPr>
          <w:rFonts w:ascii="Cambria" w:hAnsi="Cambria"/>
          <w:b/>
          <w:i w:val="0"/>
          <w:color w:val="1F3A5F"/>
          <w:sz w:val="26"/>
        </w:rPr>
        <w:t>NEP2020</w:t>
      </w:r>
    </w:p>
    <w:p>
      <w:pPr>
        <w:spacing w:after="80"/>
        <w:ind w:left="340" w:hanging="340"/>
        <w:jc w:val="both"/>
      </w:pPr>
      <w:r>
        <w:rPr>
          <w:rFonts w:ascii="Cambria" w:hAnsi="Cambria"/>
          <w:b w:val="0"/>
          <w:i w:val="0"/>
          <w:sz w:val="22"/>
        </w:rPr>
        <w:t xml:space="preserve">19. </w:t>
      </w:r>
      <w:r>
        <w:rPr>
          <w:rFonts w:ascii="Cambria" w:hAnsi="Cambria"/>
          <w:b w:val="0"/>
          <w:i w:val="0"/>
          <w:sz w:val="22"/>
        </w:rPr>
        <w:t>National Education Policy 2020: A Transformative Roadmap for Holistic, Inclusive, and Future-Ready Learning in India, Kindle Edition, ASIN: B0F1L321B6</w:t>
        <w:br/>
        <w:t>https://amzn.in/d/eugIo4y</w:t>
      </w:r>
    </w:p>
    <w:p>
      <w:pPr>
        <w:keepNext/>
        <w:spacing w:before="280" w:after="160"/>
        <w:jc w:val="left"/>
      </w:pPr>
      <w:r>
        <w:rPr>
          <w:rFonts w:ascii="Cambria" w:hAnsi="Cambria"/>
          <w:b/>
          <w:i w:val="0"/>
          <w:color w:val="1F3A5F"/>
          <w:sz w:val="26"/>
        </w:rPr>
        <w:t>IQAC</w:t>
      </w:r>
    </w:p>
    <w:p>
      <w:pPr>
        <w:spacing w:after="80"/>
        <w:ind w:left="340" w:hanging="340"/>
        <w:jc w:val="both"/>
      </w:pPr>
      <w:r>
        <w:rPr>
          <w:rFonts w:ascii="Cambria" w:hAnsi="Cambria"/>
          <w:b w:val="0"/>
          <w:i w:val="0"/>
          <w:sz w:val="22"/>
        </w:rPr>
        <w:t xml:space="preserve">20. </w:t>
      </w:r>
      <w:r>
        <w:rPr>
          <w:rFonts w:ascii="Cambria" w:hAnsi="Cambria"/>
          <w:b w:val="0"/>
          <w:i w:val="0"/>
          <w:sz w:val="22"/>
        </w:rPr>
        <w:t>Internal Quality Assurance Cell (IQAC): A Framework for Sustaining and Enhancing Quality in Higher Education Kindle Edition, ASIN: B0FPLRX4YF</w:t>
        <w:br/>
        <w:t>https://amzn.in/d/8n5aQRb</w:t>
      </w:r>
    </w:p>
    <w:p>
      <w:pPr>
        <w:spacing w:after="80"/>
        <w:ind w:left="340" w:hanging="340"/>
        <w:jc w:val="both"/>
      </w:pPr>
      <w:r>
        <w:rPr>
          <w:rFonts w:ascii="Cambria" w:hAnsi="Cambria"/>
          <w:b w:val="0"/>
          <w:i w:val="0"/>
          <w:sz w:val="22"/>
        </w:rPr>
        <w:t xml:space="preserve">21. </w:t>
      </w:r>
      <w:r>
        <w:rPr>
          <w:rFonts w:ascii="Cambria" w:hAnsi="Cambria"/>
          <w:b w:val="0"/>
          <w:i w:val="0"/>
          <w:sz w:val="22"/>
        </w:rPr>
        <w:t>Systematic and Transparent Feedback Mechanism in Higher Education Institutions: Ensuring Continuous Quality Improvement (CQI) and Strengthening NAAC/NBA Accreditation, Kindle Edition, ASIN: B0FPGJ77RC</w:t>
        <w:br/>
        <w:t>https://amzn.in/d/emeRiJ3</w:t>
      </w:r>
    </w:p>
    <w:p>
      <w:pPr>
        <w:spacing w:after="80"/>
        <w:ind w:left="340" w:hanging="340"/>
        <w:jc w:val="both"/>
      </w:pPr>
      <w:r>
        <w:rPr>
          <w:rFonts w:ascii="Cambria" w:hAnsi="Cambria"/>
          <w:b w:val="0"/>
          <w:i w:val="0"/>
          <w:sz w:val="22"/>
        </w:rPr>
        <w:t xml:space="preserve">22. </w:t>
      </w:r>
      <w:r>
        <w:rPr>
          <w:rFonts w:ascii="Cambria" w:hAnsi="Cambria"/>
          <w:b w:val="0"/>
          <w:i w:val="0"/>
          <w:sz w:val="22"/>
        </w:rPr>
        <w:t>Qualitative Metrics (QlM) and Quantitative Metrics (QnM) in Higher Educational Institutions (HEIs): As Applied in NAAC, NBA, and NIRF Frameworks, Kindle Edition, ASIN: B0F6CR212X</w:t>
        <w:br/>
        <w:t>https://amzn.in/d/gUWl02e</w:t>
      </w:r>
    </w:p>
    <w:p>
      <w:pPr>
        <w:spacing w:after="80"/>
        <w:ind w:left="340" w:hanging="340"/>
        <w:jc w:val="both"/>
      </w:pPr>
      <w:r>
        <w:rPr>
          <w:rFonts w:ascii="Cambria" w:hAnsi="Cambria"/>
          <w:b w:val="0"/>
          <w:i w:val="0"/>
          <w:sz w:val="22"/>
        </w:rPr>
        <w:t xml:space="preserve">23. </w:t>
      </w:r>
      <w:r>
        <w:rPr>
          <w:rFonts w:ascii="Cambria" w:hAnsi="Cambria"/>
          <w:b w:val="0"/>
          <w:i w:val="0"/>
          <w:sz w:val="22"/>
        </w:rPr>
        <w:t>Statutory and Non-Statutory Committees in Higher Educational Institutions (HEIs): Mandatory by regulatory bodies like AICTE, UGC, NAAC, NBA, etc. Kindle Edition, ASIN: B0F7GHJ863</w:t>
        <w:br/>
        <w:t>https://amzn.in/d/gf0LiBn</w:t>
      </w:r>
    </w:p>
    <w:p>
      <w:pPr>
        <w:spacing w:after="80"/>
        <w:ind w:left="340" w:hanging="340"/>
        <w:jc w:val="both"/>
      </w:pPr>
      <w:r>
        <w:rPr>
          <w:rFonts w:ascii="Cambria" w:hAnsi="Cambria"/>
          <w:b w:val="0"/>
          <w:i w:val="0"/>
          <w:sz w:val="22"/>
        </w:rPr>
        <w:t xml:space="preserve">24. </w:t>
      </w:r>
      <w:r>
        <w:rPr>
          <w:rFonts w:ascii="Cambria" w:hAnsi="Cambria"/>
          <w:b w:val="0"/>
          <w:i w:val="0"/>
          <w:sz w:val="22"/>
        </w:rPr>
        <w:t>Empowering Academic Skilling and Mathematical Modelling through Technical Computing Languages in Higher Education Institutions, Kindle Edition, ASIN: B0FC7TNZNG</w:t>
        <w:br/>
        <w:t>https://amzn.in/d/brIlQwZ</w:t>
      </w:r>
    </w:p>
    <w:p>
      <w:pPr>
        <w:spacing w:after="80"/>
        <w:ind w:left="340" w:hanging="340"/>
        <w:jc w:val="both"/>
      </w:pPr>
      <w:r>
        <w:rPr>
          <w:rFonts w:ascii="Cambria" w:hAnsi="Cambria"/>
          <w:b w:val="0"/>
          <w:i w:val="0"/>
          <w:sz w:val="22"/>
        </w:rPr>
        <w:t xml:space="preserve">25. </w:t>
      </w:r>
      <w:r>
        <w:rPr>
          <w:rFonts w:ascii="Cambria" w:hAnsi="Cambria"/>
          <w:b w:val="0"/>
          <w:i w:val="0"/>
          <w:sz w:val="22"/>
        </w:rPr>
        <w:t>Research and Development Transformation in Higher Education Institutions, Kindle Edition, ASIN: B0FB9QFS88</w:t>
        <w:br/>
        <w:t>https://amzn.in/d/1uOQZ0o</w:t>
      </w:r>
    </w:p>
    <w:p>
      <w:pPr>
        <w:spacing w:after="80"/>
        <w:ind w:left="340" w:hanging="340"/>
        <w:jc w:val="both"/>
      </w:pPr>
      <w:r>
        <w:rPr>
          <w:rFonts w:ascii="Cambria" w:hAnsi="Cambria"/>
          <w:b w:val="0"/>
          <w:i w:val="0"/>
          <w:sz w:val="22"/>
        </w:rPr>
        <w:t xml:space="preserve">26. </w:t>
      </w:r>
      <w:r>
        <w:rPr>
          <w:rFonts w:ascii="Cambria" w:hAnsi="Cambria"/>
          <w:b w:val="0"/>
          <w:i w:val="0"/>
          <w:sz w:val="22"/>
        </w:rPr>
        <w:t>Institutional Development Plans in Higher Education: Empowering Institutions for the 21st Century Kindle Edition, ASIN: B0FDBV6D47</w:t>
        <w:br/>
        <w:t>https://amzn.in/d/ckm98I2</w:t>
      </w:r>
    </w:p>
    <w:p>
      <w:pPr>
        <w:spacing w:after="80"/>
        <w:ind w:left="340" w:hanging="340"/>
        <w:jc w:val="both"/>
      </w:pPr>
      <w:r>
        <w:rPr>
          <w:rFonts w:ascii="Cambria" w:hAnsi="Cambria"/>
          <w:b w:val="0"/>
          <w:i w:val="0"/>
          <w:sz w:val="22"/>
        </w:rPr>
        <w:t xml:space="preserve">27. </w:t>
      </w:r>
      <w:r>
        <w:rPr>
          <w:rFonts w:ascii="Cambria" w:hAnsi="Cambria"/>
          <w:b w:val="0"/>
          <w:i w:val="0"/>
          <w:sz w:val="22"/>
        </w:rPr>
        <w:t>Comprehensive Academic System in Higher Education Institutions, Kindle Edition, ASIN: B0FF2HDMSG</w:t>
        <w:br/>
        <w:t>https://amzn.in/d/dbPMaVL</w:t>
      </w:r>
    </w:p>
    <w:p>
      <w:pPr>
        <w:spacing w:after="80"/>
        <w:ind w:left="340" w:hanging="340"/>
        <w:jc w:val="both"/>
      </w:pPr>
      <w:r>
        <w:rPr>
          <w:rFonts w:ascii="Cambria" w:hAnsi="Cambria"/>
          <w:b w:val="0"/>
          <w:i w:val="0"/>
          <w:sz w:val="22"/>
        </w:rPr>
        <w:t xml:space="preserve">28. </w:t>
      </w:r>
      <w:r>
        <w:rPr>
          <w:rFonts w:ascii="Cambria" w:hAnsi="Cambria"/>
          <w:b w:val="0"/>
          <w:i w:val="0"/>
          <w:sz w:val="22"/>
        </w:rPr>
        <w:t>Structured Approaches to Teaching, Learning, and Student Engagement in HEIs, Kindle Edition, ASIN: B0DB8QK1B4</w:t>
        <w:br/>
        <w:t>https://amzn.in/d/7jNZrQo</w:t>
      </w:r>
    </w:p>
    <w:p>
      <w:pPr>
        <w:spacing w:after="80"/>
        <w:ind w:left="340" w:hanging="340"/>
        <w:jc w:val="both"/>
      </w:pPr>
      <w:r>
        <w:rPr>
          <w:rFonts w:ascii="Cambria" w:hAnsi="Cambria"/>
          <w:b w:val="0"/>
          <w:i w:val="0"/>
          <w:sz w:val="22"/>
        </w:rPr>
        <w:t xml:space="preserve">29. </w:t>
      </w:r>
      <w:r>
        <w:rPr>
          <w:rFonts w:ascii="Cambria" w:hAnsi="Cambria"/>
          <w:b w:val="0"/>
          <w:i w:val="0"/>
          <w:sz w:val="22"/>
        </w:rPr>
        <w:t>Admission Process in Indian Higher Education: A Comprehensive Institutional Guide Kindle Edition, ASIN: B0FFNCPP6P</w:t>
        <w:br/>
        <w:t>https://amzn.in/d/0XO6APq</w:t>
      </w:r>
    </w:p>
    <w:p>
      <w:pPr>
        <w:spacing w:after="80"/>
        <w:ind w:left="340" w:hanging="340"/>
        <w:jc w:val="both"/>
      </w:pPr>
      <w:r>
        <w:rPr>
          <w:rFonts w:ascii="Cambria" w:hAnsi="Cambria"/>
          <w:b w:val="0"/>
          <w:i w:val="0"/>
          <w:sz w:val="22"/>
        </w:rPr>
        <w:t xml:space="preserve">30. </w:t>
      </w:r>
      <w:r>
        <w:rPr>
          <w:rFonts w:ascii="Cambria" w:hAnsi="Cambria"/>
          <w:b w:val="0"/>
          <w:i w:val="0"/>
          <w:sz w:val="22"/>
        </w:rPr>
        <w:t>Strategic Implementation of Best Practices in HEIs: Enhancing Quality, Innovation, and Impact, Kindle Edition, ASIN: B0CZP85QK7</w:t>
        <w:br/>
        <w:t>https://amzn.in/d/5uj5Lkb</w:t>
      </w:r>
    </w:p>
    <w:p>
      <w:pPr>
        <w:spacing w:after="80"/>
        <w:ind w:left="340" w:hanging="340"/>
        <w:jc w:val="both"/>
      </w:pPr>
      <w:r>
        <w:rPr>
          <w:rFonts w:ascii="Cambria" w:hAnsi="Cambria"/>
          <w:b w:val="0"/>
          <w:i w:val="0"/>
          <w:sz w:val="22"/>
        </w:rPr>
        <w:t xml:space="preserve">31. </w:t>
      </w:r>
      <w:r>
        <w:rPr>
          <w:rFonts w:ascii="Cambria" w:hAnsi="Cambria"/>
          <w:b w:val="0"/>
          <w:i w:val="0"/>
          <w:sz w:val="22"/>
        </w:rPr>
        <w:t>Outcome-Based Education in Higher Learning: Philosophy, Design, and Impact, Kindle Edition, ASIN: B0FPCB5GHH</w:t>
        <w:br/>
        <w:t>https://amzn.in/d/3oGmnue</w:t>
      </w:r>
    </w:p>
    <w:p>
      <w:pPr>
        <w:spacing w:after="80"/>
        <w:ind w:left="340" w:hanging="340"/>
        <w:jc w:val="both"/>
      </w:pPr>
      <w:r>
        <w:rPr>
          <w:rFonts w:ascii="Cambria" w:hAnsi="Cambria"/>
          <w:b w:val="0"/>
          <w:i w:val="0"/>
          <w:sz w:val="22"/>
        </w:rPr>
        <w:t xml:space="preserve">32. </w:t>
      </w:r>
      <w:r>
        <w:rPr>
          <w:rFonts w:ascii="Cambria" w:hAnsi="Cambria"/>
          <w:b w:val="0"/>
          <w:i w:val="0"/>
          <w:sz w:val="22"/>
        </w:rPr>
        <w:t>Holistic Performance Appraisal and Development: Driving Continuous Quality in Higher Education Institutions, Kindle Edition, ASIN: B0FQN2S8WH</w:t>
        <w:br/>
        <w:t>https://amzn.in/d/bipHsu8</w:t>
      </w:r>
    </w:p>
    <w:p>
      <w:pPr>
        <w:spacing w:after="80"/>
        <w:ind w:left="340" w:hanging="340"/>
        <w:jc w:val="both"/>
      </w:pPr>
      <w:r>
        <w:rPr>
          <w:rFonts w:ascii="Cambria" w:hAnsi="Cambria"/>
          <w:b w:val="0"/>
          <w:i w:val="0"/>
          <w:sz w:val="22"/>
        </w:rPr>
        <w:t xml:space="preserve">33. </w:t>
      </w:r>
      <w:r>
        <w:rPr>
          <w:rFonts w:ascii="Cambria" w:hAnsi="Cambria"/>
          <w:b w:val="0"/>
          <w:i w:val="0"/>
          <w:sz w:val="22"/>
        </w:rPr>
        <w:t>Comprehensive Code of Ethics and Conduct for Students in Higher Education Institutions, Kindle Edition, ASIN: B0FQS7V248</w:t>
        <w:br/>
        <w:t>https://amzn.in/d/6jfKQnI</w:t>
      </w:r>
    </w:p>
    <w:p>
      <w:pPr>
        <w:spacing w:after="80"/>
        <w:ind w:left="340" w:hanging="340"/>
        <w:jc w:val="both"/>
      </w:pPr>
      <w:r>
        <w:rPr>
          <w:rFonts w:ascii="Cambria" w:hAnsi="Cambria"/>
          <w:b w:val="0"/>
          <w:i w:val="0"/>
          <w:sz w:val="22"/>
        </w:rPr>
        <w:t xml:space="preserve">34. </w:t>
      </w:r>
      <w:r>
        <w:rPr>
          <w:rFonts w:ascii="Cambria" w:hAnsi="Cambria"/>
          <w:b w:val="0"/>
          <w:i w:val="0"/>
          <w:sz w:val="22"/>
        </w:rPr>
        <w:t>Industry Internship Program: Structure, Guidelines, and Evaluation Framework: Enhancing Employability and Industry Linkages in HEIs, Kindle Edition, ASIN: B0FQLF8385</w:t>
        <w:br/>
        <w:t>https://amzn.in/d/8scRAIj</w:t>
      </w:r>
    </w:p>
    <w:p>
      <w:pPr>
        <w:spacing w:after="80"/>
        <w:ind w:left="340" w:hanging="340"/>
        <w:jc w:val="both"/>
      </w:pPr>
      <w:r>
        <w:rPr>
          <w:rFonts w:ascii="Cambria" w:hAnsi="Cambria"/>
          <w:b w:val="0"/>
          <w:i w:val="0"/>
          <w:sz w:val="22"/>
        </w:rPr>
        <w:t xml:space="preserve">35. </w:t>
      </w:r>
      <w:r>
        <w:rPr>
          <w:rFonts w:ascii="Cambria" w:hAnsi="Cambria"/>
          <w:b w:val="0"/>
          <w:i w:val="0"/>
          <w:sz w:val="22"/>
        </w:rPr>
        <w:t>Energy Management and Audit in Indian Educational Institutions: A Blueprint for Sustainable Growth: Mapping Institutional Energy Management to NAAC Criteria, SDG Goals, and QS I-GAUGE Standards, Kindle Edition, ASIN: B0FQZNSBJ5</w:t>
        <w:br/>
        <w:t>https://amzn.in/d/eKx5NC9</w:t>
      </w:r>
    </w:p>
    <w:p>
      <w:pPr>
        <w:spacing w:after="80"/>
        <w:ind w:left="340" w:hanging="340"/>
        <w:jc w:val="both"/>
      </w:pPr>
      <w:r>
        <w:rPr>
          <w:rFonts w:ascii="Cambria" w:hAnsi="Cambria"/>
          <w:b w:val="0"/>
          <w:i w:val="0"/>
          <w:sz w:val="22"/>
        </w:rPr>
        <w:t xml:space="preserve">36. </w:t>
      </w:r>
      <w:r>
        <w:rPr>
          <w:rFonts w:ascii="Cambria" w:hAnsi="Cambria"/>
          <w:b w:val="0"/>
          <w:i w:val="0"/>
          <w:sz w:val="22"/>
        </w:rPr>
        <w:t>Financial Operations and Management Policy in Higher Education Institutions: A Comprehensive Framework Linking Finance Policy to NAAC, NBA, NIRF, QS I-GAUGE, and SDGs, Kindle Edition, ASIN: B0FR1P216J</w:t>
        <w:br/>
        <w:t>https://amzn.in/d/8st88zc</w:t>
      </w:r>
    </w:p>
    <w:p>
      <w:pPr>
        <w:spacing w:after="80"/>
        <w:ind w:left="340" w:hanging="340"/>
        <w:jc w:val="both"/>
      </w:pPr>
      <w:r>
        <w:rPr>
          <w:rFonts w:ascii="Cambria" w:hAnsi="Cambria"/>
          <w:b w:val="0"/>
          <w:i w:val="0"/>
          <w:sz w:val="22"/>
        </w:rPr>
        <w:t xml:space="preserve">37. </w:t>
      </w:r>
      <w:r>
        <w:rPr>
          <w:rFonts w:ascii="Cambria" w:hAnsi="Cambria"/>
          <w:b w:val="0"/>
          <w:i w:val="0"/>
          <w:sz w:val="22"/>
        </w:rPr>
        <w:t>Comprehensive Policy Framework for Sustainable Water Management, Conservation, and Auditing in Higher Education Institutions, Kindle Edition, ASIN: B0FR31X1BC</w:t>
        <w:br/>
        <w:t>https://amzn.in/d/3i40Lf1</w:t>
      </w:r>
    </w:p>
    <w:p>
      <w:pPr>
        <w:spacing w:after="80"/>
        <w:ind w:left="340" w:hanging="340"/>
        <w:jc w:val="both"/>
      </w:pPr>
      <w:r>
        <w:rPr>
          <w:rFonts w:ascii="Cambria" w:hAnsi="Cambria"/>
          <w:b w:val="0"/>
          <w:i w:val="0"/>
          <w:sz w:val="22"/>
        </w:rPr>
        <w:t xml:space="preserve">38. </w:t>
      </w:r>
      <w:r>
        <w:rPr>
          <w:rFonts w:ascii="Cambria" w:hAnsi="Cambria"/>
          <w:b w:val="0"/>
          <w:i w:val="0"/>
          <w:sz w:val="22"/>
        </w:rPr>
        <w:t>Comprehensive Framework for Student Grievance, Counselling, Anti-Ragging, and Internal Complaints in HEIs: Mapping Student Support and Protection Mechanisms to NAAC, NBA, NIRF, QS I-GAUGE, and SDGs, Kindle Edition, ASIN: B0FR58L1G8</w:t>
        <w:br/>
        <w:t>https://amzn.in/d/gXvdCpx</w:t>
      </w:r>
    </w:p>
    <w:p>
      <w:pPr>
        <w:spacing w:after="80"/>
        <w:ind w:left="340" w:hanging="340"/>
        <w:jc w:val="both"/>
      </w:pPr>
      <w:r>
        <w:rPr>
          <w:rFonts w:ascii="Cambria" w:hAnsi="Cambria"/>
          <w:b w:val="0"/>
          <w:i w:val="0"/>
          <w:sz w:val="22"/>
        </w:rPr>
        <w:t xml:space="preserve">39. </w:t>
      </w:r>
      <w:r>
        <w:rPr>
          <w:rFonts w:ascii="Cambria" w:hAnsi="Cambria"/>
          <w:b w:val="0"/>
          <w:i w:val="0"/>
          <w:sz w:val="22"/>
        </w:rPr>
        <w:t>Student Affairs Policy for Higher Education Institutions (HEIs): Aligning Student Development with NAAC, NBA, NIRF, QS I-GAUGE, and SDG Standards, Kindle Edition, ASIN: B0FR4GW6RB</w:t>
        <w:br/>
        <w:t>https://amzn.in/d/2zTHV0B</w:t>
      </w:r>
    </w:p>
    <w:p>
      <w:pPr>
        <w:spacing w:after="80"/>
        <w:ind w:left="340" w:hanging="340"/>
        <w:jc w:val="both"/>
      </w:pPr>
      <w:r>
        <w:rPr>
          <w:rFonts w:ascii="Cambria" w:hAnsi="Cambria"/>
          <w:b w:val="0"/>
          <w:i w:val="0"/>
          <w:sz w:val="22"/>
        </w:rPr>
        <w:t xml:space="preserve">40. </w:t>
      </w:r>
      <w:r>
        <w:rPr>
          <w:rFonts w:ascii="Cambria" w:hAnsi="Cambria"/>
          <w:b w:val="0"/>
          <w:i w:val="0"/>
          <w:sz w:val="22"/>
        </w:rPr>
        <w:t>Extension and Outreach Services in Higher Education: Leadership, Governance, and Community Engagement Strategies, Kindle Edition, ASIN: B0FRLHXR1G</w:t>
        <w:br/>
        <w:t>https://amzn.in/d/9NE2wGs</w:t>
      </w:r>
    </w:p>
    <w:p>
      <w:pPr>
        <w:spacing w:after="80"/>
        <w:ind w:left="340" w:hanging="340"/>
        <w:jc w:val="both"/>
      </w:pPr>
      <w:r>
        <w:rPr>
          <w:rFonts w:ascii="Cambria" w:hAnsi="Cambria"/>
          <w:b w:val="0"/>
          <w:i w:val="0"/>
          <w:sz w:val="22"/>
        </w:rPr>
        <w:t xml:space="preserve">41. </w:t>
      </w:r>
      <w:r>
        <w:rPr>
          <w:rFonts w:ascii="Cambria" w:hAnsi="Cambria"/>
          <w:b w:val="0"/>
          <w:i w:val="0"/>
          <w:sz w:val="22"/>
        </w:rPr>
        <w:t>Central Library: Policies, Procedures, and Best Practices in Higher Education Institutions: Aligning with NAAC, NIRF, NBA, and QS-I Gauge Standards, Kindle Edition, ASIN: B0FRMKX2BX</w:t>
        <w:br/>
        <w:t>https://amzn.in/d/9Qfr8S0</w:t>
      </w:r>
    </w:p>
    <w:p>
      <w:pPr>
        <w:spacing w:after="80"/>
        <w:ind w:left="340" w:hanging="340"/>
        <w:jc w:val="both"/>
      </w:pPr>
      <w:r>
        <w:rPr>
          <w:rFonts w:ascii="Cambria" w:hAnsi="Cambria"/>
          <w:b w:val="0"/>
          <w:i w:val="0"/>
          <w:sz w:val="22"/>
        </w:rPr>
        <w:t xml:space="preserve">42. </w:t>
      </w:r>
      <w:r>
        <w:rPr>
          <w:rFonts w:ascii="Cambria" w:hAnsi="Cambria"/>
          <w:b w:val="0"/>
          <w:i w:val="0"/>
          <w:sz w:val="22"/>
        </w:rPr>
        <w:t>Institutional Policy on Publishing in Higher Education Institutions: Frameworks, Standards, and Best Practices for NAAC, NBA, NIRF, and QS-I GAUGE Compliance, Kindle Edition, ASIN: B0FRRBM6HD</w:t>
        <w:br/>
        <w:t>https://amzn.in/d/0bYPpGu</w:t>
      </w:r>
    </w:p>
    <w:p>
      <w:pPr>
        <w:spacing w:after="80"/>
        <w:ind w:left="340" w:hanging="340"/>
        <w:jc w:val="both"/>
      </w:pPr>
      <w:r>
        <w:rPr>
          <w:rFonts w:ascii="Cambria" w:hAnsi="Cambria"/>
          <w:b w:val="0"/>
          <w:i w:val="0"/>
          <w:sz w:val="22"/>
        </w:rPr>
        <w:t xml:space="preserve">43. </w:t>
      </w:r>
      <w:r>
        <w:rPr>
          <w:rFonts w:ascii="Cambria" w:hAnsi="Cambria"/>
          <w:b w:val="0"/>
          <w:i w:val="0"/>
          <w:sz w:val="22"/>
        </w:rPr>
        <w:t>IT Services in Higher Education Institutions (HEIs): Policies, Registers, and Best Practices: Aligning IT Services in HEIs with NAAC, NBA, NIRF, and QS I-GAUGE Accreditation Frameworks, Kindle Edition, ASIN: B0FRRD3W8C</w:t>
        <w:br/>
        <w:t>https://amzn.in/d/5wXPUFs</w:t>
      </w:r>
    </w:p>
    <w:p>
      <w:pPr>
        <w:spacing w:after="80"/>
        <w:ind w:left="340" w:hanging="340"/>
        <w:jc w:val="both"/>
      </w:pPr>
      <w:r>
        <w:rPr>
          <w:rFonts w:ascii="Cambria" w:hAnsi="Cambria"/>
          <w:b w:val="0"/>
          <w:i w:val="0"/>
          <w:sz w:val="22"/>
        </w:rPr>
        <w:t xml:space="preserve">44. </w:t>
      </w:r>
      <w:r>
        <w:rPr>
          <w:rFonts w:ascii="Cambria" w:hAnsi="Cambria"/>
          <w:b w:val="0"/>
          <w:i w:val="0"/>
          <w:sz w:val="22"/>
        </w:rPr>
        <w:t>Physical Facilities, Maintenance, and Construction in Higher Education Institutions (HEIs): Registers, Audit Frameworks, and Accreditation Evidence for NAAC, NIRF, QS-GAUGE, and NBA, Kindle Edition, ASIN: B0FRYFGLHC</w:t>
        <w:br/>
        <w:t>https://amzn.in/d/fdm0ipL</w:t>
      </w:r>
    </w:p>
    <w:p>
      <w:pPr>
        <w:spacing w:after="80"/>
        <w:ind w:left="340" w:hanging="340"/>
        <w:jc w:val="both"/>
      </w:pPr>
      <w:r>
        <w:rPr>
          <w:rFonts w:ascii="Cambria" w:hAnsi="Cambria"/>
          <w:b w:val="0"/>
          <w:i w:val="0"/>
          <w:sz w:val="22"/>
        </w:rPr>
        <w:t xml:space="preserve">45. </w:t>
      </w:r>
      <w:r>
        <w:rPr>
          <w:rFonts w:ascii="Cambria" w:hAnsi="Cambria"/>
          <w:b w:val="0"/>
          <w:i w:val="0"/>
          <w:sz w:val="22"/>
        </w:rPr>
        <w:t>Strategic Development Plan for Higher Education Institutions: Aligning with NEP 2020, SDGs, NAAC, NBA, NIRF, and QS I-GAUGE, Kindle Edition, ASIN: B0FSCTT9ZP</w:t>
        <w:br/>
        <w:t>https://amzn.in/d/hGqn55l</w:t>
      </w:r>
    </w:p>
    <w:p>
      <w:pPr>
        <w:spacing w:after="80"/>
        <w:ind w:left="340" w:hanging="340"/>
        <w:jc w:val="both"/>
      </w:pPr>
      <w:r>
        <w:rPr>
          <w:rFonts w:ascii="Cambria" w:hAnsi="Cambria"/>
          <w:b w:val="0"/>
          <w:i w:val="0"/>
          <w:sz w:val="22"/>
        </w:rPr>
        <w:t xml:space="preserve">46. </w:t>
      </w:r>
      <w:r>
        <w:rPr>
          <w:rFonts w:ascii="Cambria" w:hAnsi="Cambria"/>
          <w:b w:val="0"/>
          <w:i w:val="0"/>
          <w:sz w:val="22"/>
        </w:rPr>
        <w:t>Dean of Planning &amp; Development (DoPD): Architect of Institutional Growth in Higher Education: Institutional Planning, Sustainability, and Accreditation Alignment with NAAC, NBA, NIRF, and QS I-GAUGE, Kindle Edition, ASIN: B0FRZZGMF8</w:t>
        <w:br/>
        <w:t>https://amzn.in/d/cbSxKTJ</w:t>
      </w:r>
    </w:p>
    <w:p>
      <w:pPr>
        <w:spacing w:after="80"/>
        <w:ind w:left="340" w:hanging="340"/>
        <w:jc w:val="both"/>
      </w:pPr>
      <w:r>
        <w:rPr>
          <w:rFonts w:ascii="Cambria" w:hAnsi="Cambria"/>
          <w:b w:val="0"/>
          <w:i w:val="0"/>
          <w:sz w:val="22"/>
        </w:rPr>
        <w:t xml:space="preserve">47. </w:t>
      </w:r>
      <w:r>
        <w:rPr>
          <w:rFonts w:ascii="Cambria" w:hAnsi="Cambria"/>
          <w:b w:val="0"/>
          <w:i w:val="0"/>
          <w:sz w:val="22"/>
        </w:rPr>
        <w:t>Dean – IQA and Ranking (DoIQAR): Leadership in Accreditation, Quality Assurance, and Global Benchmarking in Higher Education: Mapping of DoIQAR &amp; Associate Deans to NBA, NAAC, NIRF, and QS I-GAUGE, Kindle Edition, ASIN: B0FS5W7JYP</w:t>
        <w:br/>
        <w:t>https://amzn.in/d/aqwjhkT</w:t>
      </w:r>
    </w:p>
    <w:p>
      <w:pPr>
        <w:spacing w:after="80"/>
        <w:ind w:left="340" w:hanging="340"/>
        <w:jc w:val="both"/>
      </w:pPr>
      <w:r>
        <w:rPr>
          <w:rFonts w:ascii="Cambria" w:hAnsi="Cambria"/>
          <w:b w:val="0"/>
          <w:i w:val="0"/>
          <w:sz w:val="22"/>
        </w:rPr>
        <w:t xml:space="preserve">48. </w:t>
      </w:r>
      <w:r>
        <w:rPr>
          <w:rFonts w:ascii="Cambria" w:hAnsi="Cambria"/>
          <w:b w:val="0"/>
          <w:i w:val="0"/>
          <w:sz w:val="22"/>
        </w:rPr>
        <w:t>Dean – Research &amp; Development (R&amp;D): Leadership in Knowledge Creation and Innovation in Higher Education: Mapping of R&amp;D Leadership to NBA, NAAC, NIRF, and QS I-GAUGE, Kindle Edition, ASIN: B0FS5K7G27</w:t>
        <w:br/>
        <w:t>https://amzn.in/d/9Ffj30s</w:t>
      </w:r>
    </w:p>
    <w:p>
      <w:pPr>
        <w:spacing w:after="80"/>
        <w:ind w:left="340" w:hanging="340"/>
        <w:jc w:val="both"/>
      </w:pPr>
      <w:r>
        <w:rPr>
          <w:rFonts w:ascii="Cambria" w:hAnsi="Cambria"/>
          <w:b w:val="0"/>
          <w:i w:val="0"/>
          <w:sz w:val="22"/>
        </w:rPr>
        <w:t xml:space="preserve">49. </w:t>
      </w:r>
      <w:r>
        <w:rPr>
          <w:rFonts w:ascii="Cambria" w:hAnsi="Cambria"/>
          <w:b w:val="0"/>
          <w:i w:val="0"/>
          <w:sz w:val="22"/>
        </w:rPr>
        <w:t>Dean of Academic Affairs: Custodian of Academic Excellence: The Role of the Dean and Associate Deans in Governance, Quality, and Global Benchmarks, Kindle Edition, ASIN: B0FRY8N2SD</w:t>
        <w:br/>
        <w:t>https://amzn.in/d/6Fh0u3l</w:t>
      </w:r>
    </w:p>
    <w:p>
      <w:pPr>
        <w:spacing w:after="80"/>
        <w:ind w:left="340" w:hanging="340"/>
        <w:jc w:val="both"/>
      </w:pPr>
      <w:r>
        <w:rPr>
          <w:rFonts w:ascii="Cambria" w:hAnsi="Cambria"/>
          <w:b w:val="0"/>
          <w:i w:val="0"/>
          <w:sz w:val="22"/>
        </w:rPr>
        <w:t xml:space="preserve">50. </w:t>
      </w:r>
      <w:r>
        <w:rPr>
          <w:rFonts w:ascii="Cambria" w:hAnsi="Cambria"/>
          <w:b w:val="0"/>
          <w:i w:val="0"/>
          <w:sz w:val="22"/>
        </w:rPr>
        <w:t>Skilling Engineers in Civil and Architecture Disciplines: Advancing Academic Competence in Geometric Modeling for Higher Education Institutions, Kindle Edition, ASIN: B0FSJHSSGL</w:t>
        <w:br/>
        <w:t>https://a.co/d/9t8kspY</w:t>
      </w:r>
    </w:p>
    <w:p>
      <w:pPr>
        <w:spacing w:after="80"/>
        <w:ind w:left="340" w:hanging="340"/>
        <w:jc w:val="both"/>
      </w:pPr>
      <w:r>
        <w:rPr>
          <w:rFonts w:ascii="Cambria" w:hAnsi="Cambria"/>
          <w:b w:val="0"/>
          <w:i w:val="0"/>
          <w:sz w:val="22"/>
        </w:rPr>
        <w:t xml:space="preserve">51. </w:t>
      </w:r>
      <w:r>
        <w:rPr>
          <w:rFonts w:ascii="Cambria" w:hAnsi="Cambria"/>
          <w:b w:val="0"/>
          <w:i w:val="0"/>
          <w:sz w:val="22"/>
        </w:rPr>
        <w:t>Environmental and Green Audits in Higher Education Institutions: Aligning with NEP 2020, SDGs, NAAC, NBA, NIRF, and QS I-GAUGE, Kindle Edition, ASIN: B0FSX25SNW</w:t>
        <w:br/>
        <w:t>https://amzn.in/d/5ZRbuMt</w:t>
      </w:r>
    </w:p>
    <w:p>
      <w:pPr>
        <w:keepNext/>
        <w:spacing w:before="280" w:after="160"/>
        <w:jc w:val="left"/>
      </w:pPr>
      <w:r>
        <w:rPr>
          <w:rFonts w:ascii="Cambria" w:hAnsi="Cambria"/>
          <w:b/>
          <w:i w:val="0"/>
          <w:color w:val="1F3A5F"/>
          <w:sz w:val="26"/>
        </w:rPr>
        <w:t>SDGs</w:t>
      </w:r>
    </w:p>
    <w:p>
      <w:pPr>
        <w:spacing w:after="80"/>
        <w:ind w:left="340" w:hanging="340"/>
        <w:jc w:val="both"/>
      </w:pPr>
      <w:r>
        <w:rPr>
          <w:rFonts w:ascii="Cambria" w:hAnsi="Cambria"/>
          <w:b w:val="0"/>
          <w:i w:val="0"/>
          <w:sz w:val="22"/>
        </w:rPr>
        <w:t xml:space="preserve">52. </w:t>
      </w:r>
      <w:r>
        <w:rPr>
          <w:rFonts w:ascii="Cambria" w:hAnsi="Cambria"/>
          <w:b w:val="0"/>
          <w:i w:val="0"/>
          <w:sz w:val="22"/>
        </w:rPr>
        <w:t>SDG-1: No Poverty in Higher Education Institutions: Aligning with NAAC, NIRF, NBA, and QS I-GAUGE Frameworks, Kindle Edition, ASIN: B0FRYTT6B1</w:t>
        <w:br/>
        <w:t>https://amzn.in/d/1oTu188</w:t>
      </w:r>
    </w:p>
    <w:p>
      <w:pPr>
        <w:spacing w:after="80"/>
        <w:ind w:left="340" w:hanging="340"/>
        <w:jc w:val="both"/>
      </w:pPr>
      <w:r>
        <w:rPr>
          <w:rFonts w:ascii="Cambria" w:hAnsi="Cambria"/>
          <w:b w:val="0"/>
          <w:i w:val="0"/>
          <w:sz w:val="22"/>
        </w:rPr>
        <w:t xml:space="preserve">53. </w:t>
      </w:r>
      <w:r>
        <w:rPr>
          <w:rFonts w:ascii="Cambria" w:hAnsi="Cambria"/>
          <w:b w:val="0"/>
          <w:i w:val="0"/>
          <w:sz w:val="22"/>
        </w:rPr>
        <w:t>SDG-2: Zero Hunger in Higher Education Institutions: Aligning with NAAC, NIRF, NBA, and QS I-GAUGE Frameworks, Kindle Edition, ASIN: B0FRYWPQ1N</w:t>
        <w:br/>
        <w:t>https://amzn.in/d/2RlKCrz</w:t>
      </w:r>
    </w:p>
    <w:p>
      <w:pPr>
        <w:spacing w:after="80"/>
        <w:ind w:left="340" w:hanging="340"/>
        <w:jc w:val="both"/>
      </w:pPr>
      <w:r>
        <w:rPr>
          <w:rFonts w:ascii="Cambria" w:hAnsi="Cambria"/>
          <w:b w:val="0"/>
          <w:i w:val="0"/>
          <w:sz w:val="22"/>
        </w:rPr>
        <w:t xml:space="preserve">54. </w:t>
      </w:r>
      <w:r>
        <w:rPr>
          <w:rFonts w:ascii="Cambria" w:hAnsi="Cambria"/>
          <w:b w:val="0"/>
          <w:i w:val="0"/>
          <w:sz w:val="22"/>
        </w:rPr>
        <w:t>SDG-6: Clean Water and Sanitation in Higher Education Institutions: Aligning with NAAC, NIRF, NBA, and QS I-GAUGE Frameworks, Kindle Edition, ASIN: B0FSCB6SDL</w:t>
        <w:br/>
        <w:t>https://amzn.in/d/gX6SiHT</w:t>
      </w:r>
    </w:p>
    <w:p>
      <w:pPr>
        <w:spacing w:after="80"/>
        <w:ind w:left="340" w:hanging="340"/>
        <w:jc w:val="both"/>
      </w:pPr>
      <w:r>
        <w:rPr>
          <w:rFonts w:ascii="Cambria" w:hAnsi="Cambria"/>
          <w:b w:val="0"/>
          <w:i w:val="0"/>
          <w:sz w:val="22"/>
        </w:rPr>
        <w:t xml:space="preserve">55. </w:t>
      </w:r>
      <w:r>
        <w:rPr>
          <w:rFonts w:ascii="Cambria" w:hAnsi="Cambria"/>
          <w:b w:val="0"/>
          <w:i w:val="0"/>
          <w:sz w:val="22"/>
        </w:rPr>
        <w:t>SDG-7: Affordable and Clean Energy in Higher Education Institutions: Aligning with NAAC, NIRF, NBA, and QS I-GAUGE Frameworks, Kindle Edition, ASIN: B0FS9SYXC7</w:t>
        <w:br/>
        <w:t>https://amzn.in/d/bErE7x8</w:t>
      </w:r>
    </w:p>
    <w:p>
      <w:pPr>
        <w:spacing w:after="80"/>
        <w:ind w:left="340" w:hanging="340"/>
        <w:jc w:val="both"/>
      </w:pPr>
      <w:r>
        <w:rPr>
          <w:rFonts w:ascii="Cambria" w:hAnsi="Cambria"/>
          <w:b w:val="0"/>
          <w:i w:val="0"/>
          <w:sz w:val="22"/>
        </w:rPr>
        <w:t xml:space="preserve">56. </w:t>
      </w:r>
      <w:r>
        <w:rPr>
          <w:rFonts w:ascii="Cambria" w:hAnsi="Cambria"/>
          <w:b w:val="0"/>
          <w:i w:val="0"/>
          <w:sz w:val="22"/>
        </w:rPr>
        <w:t>SDG-11: Sustainable Cities and Communities in Higher Education Institutions: Aligning with NAAC, NIRF, NBA, and QS I-GAUGE Frameworks, Kindle Edition, ASIN: B0FS181BL2</w:t>
        <w:br/>
        <w:t>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