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mbria" w:hAnsi="Cambria" w:eastAsia="Cambria" w:cs="Cambria"/>
          <w:b/>
          <w:i w:val="0"/>
          <w:color w:val="1F3A5F"/>
          <w:sz w:val="48"/>
        </w:rPr>
        <w:t>Head of the Department (HoD) in Higher Education Institutions: Roles and Responsibilities in R&amp;D Activities</w:t>
      </w:r>
    </w:p>
    <w:p>
      <w:pPr>
        <w:spacing w:before="400"/>
        <w:jc w:val="center"/>
      </w:pPr>
      <w:r>
        <w:rPr>
          <w:rFonts w:ascii="Cambria" w:hAnsi="Cambria" w:eastAsia="Cambria" w:cs="Cambria"/>
          <w:b/>
          <w:i w:val="0"/>
          <w:sz w:val="28"/>
        </w:rPr>
        <w:t>Mapping R&amp;D Leadership to NBA, NAAC, NIRF, and QS I-GAUGE Frameworks</w:t>
      </w:r>
    </w:p>
    <w:p>
      <w:pPr>
        <w:spacing w:before="1200"/>
        <w:jc w:val="center"/>
      </w:pPr>
      <w:r>
        <w:rPr>
          <w:rFonts w:ascii="Cambria" w:hAnsi="Cambria" w:eastAsia="Cambria" w:cs="Cambria"/>
          <w:b w:val="0"/>
          <w:i w:val="0"/>
          <w:sz w:val="26"/>
        </w:rPr>
        <w:t>Dr Venkata Rama Krishna Tottempudi</w:t>
        <w:br/>
        <w:t>Sai Saran Tottempudi</w:t>
      </w:r>
    </w:p>
    <w:p>
      <w:r>
        <w:br w:type="page"/>
      </w:r>
    </w:p>
    <w:p>
      <w:pPr>
        <w:spacing w:before="280" w:after="160"/>
      </w:pPr>
      <w:r>
        <w:rPr>
          <w:rFonts w:ascii="Cambria" w:hAnsi="Cambria" w:eastAsia="Cambria" w:cs="Cambria"/>
          <w:b/>
          <w:i w:val="0"/>
          <w:color w:val="1F3A5F"/>
          <w:sz w:val="36"/>
        </w:rPr>
        <w:t>Acknowledgement</w:t>
      </w:r>
    </w:p>
    <w:p>
      <w:pPr>
        <w:spacing w:line="276" w:lineRule="auto" w:after="120"/>
        <w:jc w:val="both"/>
      </w:pPr>
      <w:r>
        <w:rPr>
          <w:rFonts w:ascii="Cambria" w:hAnsi="Cambria" w:eastAsia="Cambria" w:cs="Cambria"/>
          <w:b w:val="0"/>
          <w:i w:val="0"/>
          <w:sz w:val="22"/>
        </w:rPr>
        <w:t>I express my deep sense of gratitude to all those who contributed directly or indirectly in the preparation of this work titled “Head of the Department (HoD) in Higher Education Institutions: Roles and Responsibilities in R&amp;D Activities.”</w:t>
      </w:r>
    </w:p>
    <w:p>
      <w:pPr>
        <w:spacing w:line="276" w:lineRule="auto" w:after="120"/>
        <w:jc w:val="both"/>
      </w:pPr>
      <w:r>
        <w:rPr>
          <w:rFonts w:ascii="Cambria" w:hAnsi="Cambria" w:eastAsia="Cambria" w:cs="Cambria"/>
          <w:b w:val="0"/>
          <w:i w:val="0"/>
          <w:sz w:val="22"/>
        </w:rPr>
        <w:t>First and foremost, I would like to acknowledge the invaluable role of Heads of Departments in higher education institutions, whose leadership and vision form the cornerstone of academic excellence, research development, and institutional growth. Their constant efforts in establishing research culture, fostering interdisciplinary collaborations, encouraging faculty and students, and aligning institutional priorities with national missions and global standards have been a continuous source of inspiration.</w:t>
      </w:r>
    </w:p>
    <w:p>
      <w:pPr>
        <w:spacing w:line="276" w:lineRule="auto" w:after="120"/>
        <w:jc w:val="both"/>
      </w:pPr>
      <w:r>
        <w:rPr>
          <w:rFonts w:ascii="Cambria" w:hAnsi="Cambria" w:eastAsia="Cambria" w:cs="Cambria"/>
          <w:b w:val="0"/>
          <w:i w:val="0"/>
          <w:sz w:val="22"/>
        </w:rPr>
        <w:t>I am profoundly thankful to the University Authorities, IQAC, Research Committees, and Accreditation Bodies (NAAC, NBA, NIRF, QS I-GAUGE) whose frameworks and guidelines have provided the structural foundation for this study. Their emphasis on quality, innovation, and accountability has enabled the systematic documentation of the HoD’s multifaceted role in promoting Research and Development (R&amp;D) activities.</w:t>
      </w:r>
    </w:p>
    <w:p>
      <w:pPr>
        <w:spacing w:line="276" w:lineRule="auto" w:after="120"/>
        <w:jc w:val="both"/>
      </w:pPr>
      <w:r>
        <w:rPr>
          <w:rFonts w:ascii="Cambria" w:hAnsi="Cambria" w:eastAsia="Cambria" w:cs="Cambria"/>
          <w:b w:val="0"/>
          <w:i w:val="0"/>
          <w:sz w:val="22"/>
        </w:rPr>
        <w:t>Special thanks are due to the faculty members, research scholars, and students whose participation in research projects, seminars, conferences, and publications demonstrates the living spirit of academic inquiry. Their contributions serve as tangible evidence of how the HoD’s leadership translates into measurable outcomes.</w:t>
      </w:r>
    </w:p>
    <w:p>
      <w:pPr>
        <w:spacing w:line="276" w:lineRule="auto" w:after="120"/>
        <w:jc w:val="both"/>
      </w:pPr>
      <w:r>
        <w:rPr>
          <w:rFonts w:ascii="Cambria" w:hAnsi="Cambria" w:eastAsia="Cambria" w:cs="Cambria"/>
          <w:b w:val="0"/>
          <w:i w:val="0"/>
          <w:sz w:val="22"/>
        </w:rPr>
        <w:t>I also acknowledge the support of industry partners, national and international universities, funding agencies (UGC, AICTE, DST, CSIR, DBT, CSR funds), and professional organizations, who have enriched the research ecosystem through collaborations, MoUs, funded projects, and knowledge-sharing platforms.</w:t>
      </w:r>
    </w:p>
    <w:p>
      <w:pPr>
        <w:spacing w:line="276" w:lineRule="auto" w:after="120"/>
        <w:jc w:val="both"/>
      </w:pPr>
      <w:r>
        <w:rPr>
          <w:rFonts w:ascii="Cambria" w:hAnsi="Cambria" w:eastAsia="Cambria" w:cs="Cambria"/>
          <w:b w:val="0"/>
          <w:i w:val="0"/>
          <w:sz w:val="22"/>
        </w:rPr>
        <w:t>Finally, I convey my sincere appreciation to my mentors, peers, and colleagues for their constructive suggestions and encouragement, which helped refine and strengthen the content of this work.</w:t>
      </w:r>
    </w:p>
    <w:p>
      <w:pPr>
        <w:spacing w:line="276" w:lineRule="auto" w:after="120"/>
        <w:jc w:val="both"/>
      </w:pPr>
      <w:r>
        <w:rPr>
          <w:rFonts w:ascii="Cambria" w:hAnsi="Cambria" w:eastAsia="Cambria" w:cs="Cambria"/>
          <w:b w:val="0"/>
          <w:i w:val="0"/>
          <w:sz w:val="22"/>
        </w:rPr>
        <w:t>This acknowledgement is dedicated to all Heads of Departments who, through their dedicated leadership, continue to prove that R&amp;D in higher education is not symbolic, but a systematic, evidence-based, and outcome-driven activity, shaping future researchers, innovators, and institutions of excellence.</w:t>
      </w:r>
    </w:p>
    <w:p>
      <w:pPr>
        <w:spacing w:line="276" w:lineRule="auto" w:after="120"/>
        <w:jc w:val="both"/>
      </w:pPr>
      <w:r>
        <w:rPr>
          <w:rFonts w:ascii="Cambria" w:hAnsi="Cambria" w:eastAsia="Cambria" w:cs="Cambria"/>
          <w:b w:val="0"/>
          <w:i w:val="0"/>
          <w:sz w:val="22"/>
        </w:rPr>
        <w:t xml:space="preserve">Most importantly, I must thank my wife and best friend, </w:t>
      </w:r>
      <w:r>
        <w:rPr>
          <w:rFonts w:ascii="Cambria" w:hAnsi="Cambria" w:eastAsia="Cambria" w:cs="Cambria"/>
          <w:b/>
          <w:i w:val="0"/>
          <w:sz w:val="22"/>
        </w:rPr>
        <w:t>Sailaja Tottempudi</w:t>
      </w:r>
      <w:r>
        <w:rPr>
          <w:rFonts w:ascii="Cambria" w:hAnsi="Cambria" w:eastAsia="Cambria" w:cs="Cambria"/>
          <w:b w:val="0"/>
          <w:i w:val="0"/>
          <w:sz w:val="22"/>
        </w:rPr>
        <w:t>, for her unwavering support and strength through every phase of this journey.</w:t>
      </w:r>
    </w:p>
    <w:p>
      <w:pPr>
        <w:spacing w:line="276" w:lineRule="auto" w:after="120"/>
        <w:jc w:val="both"/>
      </w:pPr>
      <w:r>
        <w:rPr>
          <w:rFonts w:ascii="Cambria" w:hAnsi="Cambria" w:eastAsia="Cambria" w:cs="Cambria"/>
          <w:b w:val="0"/>
          <w:i w:val="0"/>
          <w:sz w:val="22"/>
        </w:rPr>
        <w:t>Finally, I express my deep gratitude to my family and well-wishers for their continuous encouragement and moral support throughout this endeavor.</w:t>
      </w:r>
    </w:p>
    <w:p>
      <w:pPr>
        <w:spacing w:line="276" w:lineRule="auto" w:after="120"/>
        <w:jc w:val="both"/>
      </w:pPr>
      <w:r>
        <w:rPr>
          <w:rFonts w:ascii="Cambria" w:hAnsi="Cambria" w:eastAsia="Cambria" w:cs="Cambria"/>
          <w:b w:val="0"/>
          <w:i w:val="0"/>
          <w:sz w:val="22"/>
        </w:rPr>
        <w:t>This book is a humble contribution toward building a more quality-conscious, outcome-oriented, and institutionally accountable higher education ecosystem in India.</w:t>
      </w:r>
    </w:p>
    <w:p>
      <w:pPr>
        <w:spacing w:line="276" w:lineRule="auto" w:after="120"/>
      </w:pPr>
      <w:r>
        <w:rPr>
          <w:rFonts w:ascii="Cambria" w:hAnsi="Cambria" w:eastAsia="Cambria" w:cs="Cambria"/>
          <w:b/>
          <w:i w:val="0"/>
          <w:sz w:val="22"/>
        </w:rPr>
        <w:t>Dr. V. Rama Krishna Tottempudi</w:t>
        <w:br/>
        <w:t>Sai Saran Tottempudi</w:t>
      </w:r>
    </w:p>
    <w:p>
      <w:pPr>
        <w:spacing w:before="280" w:after="160"/>
      </w:pPr>
      <w:r>
        <w:rPr>
          <w:rFonts w:ascii="Cambria" w:hAnsi="Cambria" w:eastAsia="Cambria" w:cs="Cambria"/>
          <w:b/>
          <w:i w:val="0"/>
          <w:color w:val="1F3A5F"/>
          <w:sz w:val="36"/>
        </w:rPr>
        <w:t>About Dr. T. V. Rama Krishna</w:t>
      </w:r>
    </w:p>
    <w:p>
      <w:pPr>
        <w:spacing w:line="276" w:lineRule="auto" w:after="120"/>
        <w:jc w:val="both"/>
      </w:pPr>
      <w:r>
        <w:rPr>
          <w:rFonts w:ascii="Cambria" w:hAnsi="Cambria" w:eastAsia="Cambria" w:cs="Cambria"/>
          <w:b w:val="0"/>
          <w:i w:val="0"/>
          <w:sz w:val="22"/>
        </w:rPr>
        <w:t xml:space="preserve">Dr. T. V. Rama Krishna is a distinguished academician, researcher, and administrator with </w:t>
      </w:r>
      <w:r>
        <w:rPr>
          <w:rFonts w:ascii="Cambria" w:hAnsi="Cambria" w:eastAsia="Cambria" w:cs="Cambria"/>
          <w:b/>
          <w:i w:val="0"/>
          <w:sz w:val="22"/>
        </w:rPr>
        <w:t>25 years of teaching experience</w:t>
      </w:r>
      <w:r>
        <w:rPr>
          <w:rFonts w:ascii="Cambria" w:hAnsi="Cambria" w:eastAsia="Cambria" w:cs="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line="276" w:lineRule="auto" w:after="120"/>
        <w:jc w:val="both"/>
      </w:pPr>
      <w:r>
        <w:rPr>
          <w:rFonts w:ascii="Cambria" w:hAnsi="Cambria" w:eastAsia="Cambria" w:cs="Cambria"/>
          <w:b w:val="0"/>
          <w:i w:val="0"/>
          <w:sz w:val="22"/>
        </w:rPr>
        <w:t xml:space="preserve">He has successfully </w:t>
      </w:r>
      <w:r>
        <w:rPr>
          <w:rFonts w:ascii="Cambria" w:hAnsi="Cambria" w:eastAsia="Cambria" w:cs="Cambria"/>
          <w:b/>
          <w:i w:val="0"/>
          <w:sz w:val="22"/>
        </w:rPr>
        <w:t>guided 5 Ph.D. scholars</w:t>
      </w:r>
      <w:r>
        <w:rPr>
          <w:rFonts w:ascii="Cambria" w:hAnsi="Cambria" w:eastAsia="Cambria" w:cs="Cambria"/>
          <w:b w:val="0"/>
          <w:i w:val="0"/>
          <w:sz w:val="22"/>
        </w:rPr>
        <w:t xml:space="preserve"> and continues to serve as a </w:t>
      </w:r>
      <w:r>
        <w:rPr>
          <w:rFonts w:ascii="Cambria" w:hAnsi="Cambria" w:eastAsia="Cambria" w:cs="Cambria"/>
          <w:b/>
          <w:i w:val="0"/>
          <w:sz w:val="22"/>
        </w:rPr>
        <w:t>recognized research supervisor</w:t>
      </w:r>
      <w:r>
        <w:rPr>
          <w:rFonts w:ascii="Cambria" w:hAnsi="Cambria" w:eastAsia="Cambria" w:cs="Cambria"/>
          <w:b w:val="0"/>
          <w:i w:val="0"/>
          <w:sz w:val="22"/>
        </w:rPr>
        <w:t xml:space="preserve"> at </w:t>
      </w:r>
      <w:r>
        <w:rPr>
          <w:rFonts w:ascii="Cambria" w:hAnsi="Cambria" w:eastAsia="Cambria" w:cs="Cambria"/>
          <w:b/>
          <w:i w:val="0"/>
          <w:sz w:val="22"/>
        </w:rPr>
        <w:t>Andhra University</w:t>
      </w:r>
      <w:r>
        <w:rPr>
          <w:rFonts w:ascii="Cambria" w:hAnsi="Cambria" w:eastAsia="Cambria" w:cs="Cambria"/>
          <w:b w:val="0"/>
          <w:i w:val="0"/>
          <w:sz w:val="22"/>
        </w:rPr>
        <w:t xml:space="preserve">, </w:t>
      </w:r>
      <w:r>
        <w:rPr>
          <w:rFonts w:ascii="Cambria" w:hAnsi="Cambria" w:eastAsia="Cambria" w:cs="Cambria"/>
          <w:b/>
          <w:i w:val="0"/>
          <w:sz w:val="22"/>
        </w:rPr>
        <w:t>JNTU Ananthapuram</w:t>
      </w:r>
      <w:r>
        <w:rPr>
          <w:rFonts w:ascii="Cambria" w:hAnsi="Cambria" w:eastAsia="Cambria" w:cs="Cambria"/>
          <w:b w:val="0"/>
          <w:i w:val="0"/>
          <w:sz w:val="22"/>
        </w:rPr>
        <w:t xml:space="preserve">, </w:t>
      </w:r>
      <w:r>
        <w:rPr>
          <w:rFonts w:ascii="Cambria" w:hAnsi="Cambria" w:eastAsia="Cambria" w:cs="Cambria"/>
          <w:b/>
          <w:i w:val="0"/>
          <w:sz w:val="22"/>
        </w:rPr>
        <w:t>Koneru Lakshmaiah Education Foundation (KLEF) University</w:t>
      </w:r>
      <w:r>
        <w:rPr>
          <w:rFonts w:ascii="Cambria" w:hAnsi="Cambria" w:eastAsia="Cambria" w:cs="Cambria"/>
          <w:b w:val="0"/>
          <w:i w:val="0"/>
          <w:sz w:val="22"/>
        </w:rPr>
        <w:t xml:space="preserve">, and </w:t>
      </w:r>
      <w:r>
        <w:rPr>
          <w:rFonts w:ascii="Cambria" w:hAnsi="Cambria" w:eastAsia="Cambria" w:cs="Cambria"/>
          <w:b/>
          <w:i w:val="0"/>
          <w:sz w:val="22"/>
        </w:rPr>
        <w:t>Sri Chandrasekharendra Saraswathi Viswa Mahavidyalaya University</w:t>
      </w:r>
      <w:r>
        <w:rPr>
          <w:rFonts w:ascii="Cambria" w:hAnsi="Cambria" w:eastAsia="Cambria" w:cs="Cambria"/>
          <w:b w:val="0"/>
          <w:i w:val="0"/>
          <w:sz w:val="22"/>
        </w:rPr>
        <w:t>. His supervision has fostered high-quality research outcomes in engineering, technology, and applied sciences.</w:t>
      </w:r>
    </w:p>
    <w:p>
      <w:pPr>
        <w:spacing w:line="276" w:lineRule="auto" w:after="120"/>
        <w:jc w:val="both"/>
      </w:pPr>
      <w:r>
        <w:rPr>
          <w:rFonts w:ascii="Cambria" w:hAnsi="Cambria" w:eastAsia="Cambria" w:cs="Cambria"/>
          <w:b w:val="0"/>
          <w:i w:val="0"/>
          <w:sz w:val="22"/>
        </w:rPr>
        <w:t xml:space="preserve">Dr. Rama Krishna is a prolific researcher with an extensive publication record of </w:t>
      </w:r>
      <w:r>
        <w:rPr>
          <w:rFonts w:ascii="Cambria" w:hAnsi="Cambria" w:eastAsia="Cambria" w:cs="Cambria"/>
          <w:b/>
          <w:i w:val="0"/>
          <w:sz w:val="22"/>
        </w:rPr>
        <w:t>97 research papers</w:t>
      </w:r>
      <w:r>
        <w:rPr>
          <w:rFonts w:ascii="Cambria" w:hAnsi="Cambria" w:eastAsia="Cambria" w:cs="Cambria"/>
          <w:b w:val="0"/>
          <w:i w:val="0"/>
          <w:sz w:val="22"/>
        </w:rPr>
        <w:t xml:space="preserve">, including </w:t>
      </w:r>
      <w:r>
        <w:rPr>
          <w:rFonts w:ascii="Cambria" w:hAnsi="Cambria" w:eastAsia="Cambria" w:cs="Cambria"/>
          <w:b/>
          <w:i w:val="0"/>
          <w:sz w:val="22"/>
        </w:rPr>
        <w:t>50 indexed in Scopus and 3 in SCI journals</w:t>
      </w:r>
      <w:r>
        <w:rPr>
          <w:rFonts w:ascii="Cambria" w:hAnsi="Cambria" w:eastAsia="Cambria" w:cs="Cambria"/>
          <w:b w:val="0"/>
          <w:i w:val="0"/>
          <w:sz w:val="22"/>
        </w:rPr>
        <w:t>. His research expertise is widely recognized, and his profile can be accessed here: Scopus Author ID – 56397099300.</w:t>
      </w:r>
    </w:p>
    <w:p>
      <w:pPr>
        <w:spacing w:line="276" w:lineRule="auto" w:after="120"/>
        <w:jc w:val="both"/>
      </w:pPr>
      <w:r>
        <w:rPr>
          <w:rFonts w:ascii="Cambria" w:hAnsi="Cambria" w:eastAsia="Cambria" w:cs="Cambria"/>
          <w:b w:val="0"/>
          <w:i w:val="0"/>
          <w:sz w:val="22"/>
        </w:rPr>
        <w:t xml:space="preserve">Dr. T. V. Rama Krishna has held several distinguished academic and administrative positions across reputed institutions in Andhra Pradesh and Telangana. At </w:t>
      </w:r>
      <w:r>
        <w:rPr>
          <w:rFonts w:ascii="Cambria" w:hAnsi="Cambria" w:eastAsia="Cambria" w:cs="Cambria"/>
          <w:b/>
          <w:i w:val="0"/>
          <w:sz w:val="22"/>
        </w:rPr>
        <w:t>Sanketika Vidya Parishad Engineering College (SVPEC)</w:t>
      </w:r>
      <w:r>
        <w:rPr>
          <w:rFonts w:ascii="Cambria" w:hAnsi="Cambria" w:eastAsia="Cambria" w:cs="Cambria"/>
          <w:b w:val="0"/>
          <w:i w:val="0"/>
          <w:sz w:val="22"/>
        </w:rPr>
        <w:t xml:space="preserve">, he served as the </w:t>
      </w:r>
      <w:r>
        <w:rPr>
          <w:rFonts w:ascii="Cambria" w:hAnsi="Cambria" w:eastAsia="Cambria" w:cs="Cambria"/>
          <w:b/>
          <w:i w:val="0"/>
          <w:sz w:val="22"/>
        </w:rPr>
        <w:t>Ratified Principal from Andhra University</w:t>
      </w:r>
      <w:r>
        <w:rPr>
          <w:rFonts w:ascii="Cambria" w:hAnsi="Cambria" w:eastAsia="Cambria" w:cs="Cambria"/>
          <w:b w:val="0"/>
          <w:i w:val="0"/>
          <w:sz w:val="22"/>
        </w:rPr>
        <w:t xml:space="preserve">, where he also took on responsibilities as </w:t>
      </w:r>
      <w:r>
        <w:rPr>
          <w:rFonts w:ascii="Cambria" w:hAnsi="Cambria" w:eastAsia="Cambria" w:cs="Cambria"/>
          <w:b/>
          <w:i w:val="0"/>
          <w:sz w:val="22"/>
        </w:rPr>
        <w:t>Dean of Academics</w:t>
      </w:r>
      <w:r>
        <w:rPr>
          <w:rFonts w:ascii="Cambria" w:hAnsi="Cambria" w:eastAsia="Cambria" w:cs="Cambria"/>
          <w:b w:val="0"/>
          <w:i w:val="0"/>
          <w:sz w:val="22"/>
        </w:rPr>
        <w:t xml:space="preserve">, </w:t>
      </w:r>
      <w:r>
        <w:rPr>
          <w:rFonts w:ascii="Cambria" w:hAnsi="Cambria" w:eastAsia="Cambria" w:cs="Cambria"/>
          <w:b/>
          <w:i w:val="0"/>
          <w:sz w:val="22"/>
        </w:rPr>
        <w:t>Ratified Professor</w:t>
      </w:r>
      <w:r>
        <w:rPr>
          <w:rFonts w:ascii="Cambria" w:hAnsi="Cambria" w:eastAsia="Cambria" w:cs="Cambria"/>
          <w:b w:val="0"/>
          <w:i w:val="0"/>
          <w:sz w:val="22"/>
        </w:rPr>
        <w:t xml:space="preserve">, and </w:t>
      </w:r>
      <w:r>
        <w:rPr>
          <w:rFonts w:ascii="Cambria" w:hAnsi="Cambria" w:eastAsia="Cambria" w:cs="Cambria"/>
          <w:b/>
          <w:i w:val="0"/>
          <w:sz w:val="22"/>
        </w:rPr>
        <w:t>Member Secretary of the Governing Body</w:t>
      </w:r>
      <w:r>
        <w:rPr>
          <w:rFonts w:ascii="Cambria" w:hAnsi="Cambria" w:eastAsia="Cambria" w:cs="Cambria"/>
          <w:b w:val="0"/>
          <w:i w:val="0"/>
          <w:sz w:val="22"/>
        </w:rPr>
        <w:t xml:space="preserve">, a statutory body under UGC. He later contributed as the </w:t>
      </w:r>
      <w:r>
        <w:rPr>
          <w:rFonts w:ascii="Cambria" w:hAnsi="Cambria" w:eastAsia="Cambria" w:cs="Cambria"/>
          <w:b/>
          <w:i w:val="0"/>
          <w:sz w:val="22"/>
        </w:rPr>
        <w:t>Ratified Principal from JNTU, Hyderabad</w:t>
      </w:r>
      <w:r>
        <w:rPr>
          <w:rFonts w:ascii="Cambria" w:hAnsi="Cambria" w:eastAsia="Cambria" w:cs="Cambria"/>
          <w:b w:val="0"/>
          <w:i w:val="0"/>
          <w:sz w:val="22"/>
        </w:rPr>
        <w:t xml:space="preserve"> at </w:t>
      </w:r>
      <w:r>
        <w:rPr>
          <w:rFonts w:ascii="Cambria" w:hAnsi="Cambria" w:eastAsia="Cambria" w:cs="Cambria"/>
          <w:b/>
          <w:i w:val="0"/>
          <w:sz w:val="22"/>
        </w:rPr>
        <w:t>Bharat Institute of Engineering and Technology (BIET)</w:t>
      </w:r>
      <w:r>
        <w:rPr>
          <w:rFonts w:ascii="Cambria" w:hAnsi="Cambria" w:eastAsia="Cambria" w:cs="Cambria"/>
          <w:b w:val="0"/>
          <w:i w:val="0"/>
          <w:sz w:val="22"/>
        </w:rPr>
        <w:t xml:space="preserve">, where his primary duties included serving as </w:t>
      </w:r>
      <w:r>
        <w:rPr>
          <w:rFonts w:ascii="Cambria" w:hAnsi="Cambria" w:eastAsia="Cambria" w:cs="Cambria"/>
          <w:b/>
          <w:i w:val="0"/>
          <w:sz w:val="22"/>
        </w:rPr>
        <w:t>Dean of Academics</w:t>
      </w:r>
      <w:r>
        <w:rPr>
          <w:rFonts w:ascii="Cambria" w:hAnsi="Cambria" w:eastAsia="Cambria" w:cs="Cambria"/>
          <w:b w:val="0"/>
          <w:i w:val="0"/>
          <w:sz w:val="22"/>
        </w:rPr>
        <w:t xml:space="preserve"> and </w:t>
      </w:r>
      <w:r>
        <w:rPr>
          <w:rFonts w:ascii="Cambria" w:hAnsi="Cambria" w:eastAsia="Cambria" w:cs="Cambria"/>
          <w:b/>
          <w:i w:val="0"/>
          <w:sz w:val="22"/>
        </w:rPr>
        <w:t>Member Secretary of the Governing Body</w:t>
      </w:r>
      <w:r>
        <w:rPr>
          <w:rFonts w:ascii="Cambria" w:hAnsi="Cambria" w:eastAsia="Cambria" w:cs="Cambria"/>
          <w:b w:val="0"/>
          <w:i w:val="0"/>
          <w:sz w:val="22"/>
        </w:rPr>
        <w:t>.</w:t>
      </w:r>
    </w:p>
    <w:p>
      <w:pPr>
        <w:spacing w:line="276" w:lineRule="auto" w:after="120"/>
        <w:jc w:val="both"/>
      </w:pPr>
      <w:r>
        <w:rPr>
          <w:rFonts w:ascii="Cambria" w:hAnsi="Cambria" w:eastAsia="Cambria" w:cs="Cambria"/>
          <w:b w:val="0"/>
          <w:i w:val="0"/>
          <w:sz w:val="22"/>
        </w:rPr>
        <w:t xml:space="preserve">At </w:t>
      </w:r>
      <w:r>
        <w:rPr>
          <w:rFonts w:ascii="Cambria" w:hAnsi="Cambria" w:eastAsia="Cambria" w:cs="Cambria"/>
          <w:b/>
          <w:i w:val="0"/>
          <w:sz w:val="22"/>
        </w:rPr>
        <w:t>Sasi Institute of Technology and Engineering (SITE)</w:t>
      </w:r>
      <w:r>
        <w:rPr>
          <w:rFonts w:ascii="Cambria" w:hAnsi="Cambria" w:eastAsia="Cambria" w:cs="Cambria"/>
          <w:b w:val="0"/>
          <w:i w:val="0"/>
          <w:sz w:val="22"/>
        </w:rPr>
        <w:t xml:space="preserve">, he functioned as a </w:t>
      </w:r>
      <w:r>
        <w:rPr>
          <w:rFonts w:ascii="Cambria" w:hAnsi="Cambria" w:eastAsia="Cambria" w:cs="Cambria"/>
          <w:b/>
          <w:i w:val="0"/>
          <w:sz w:val="22"/>
        </w:rPr>
        <w:t>Ratified Professor from JNTUK, Kakinada</w:t>
      </w:r>
      <w:r>
        <w:rPr>
          <w:rFonts w:ascii="Cambria" w:hAnsi="Cambria" w:eastAsia="Cambria" w:cs="Cambria"/>
          <w:b w:val="0"/>
          <w:i w:val="0"/>
          <w:sz w:val="22"/>
        </w:rPr>
        <w:t xml:space="preserve">, while also serving as </w:t>
      </w:r>
      <w:r>
        <w:rPr>
          <w:rFonts w:ascii="Cambria" w:hAnsi="Cambria" w:eastAsia="Cambria" w:cs="Cambria"/>
          <w:b/>
          <w:i w:val="0"/>
          <w:sz w:val="22"/>
        </w:rPr>
        <w:t>Principal</w:t>
      </w:r>
      <w:r>
        <w:rPr>
          <w:rFonts w:ascii="Cambria" w:hAnsi="Cambria" w:eastAsia="Cambria" w:cs="Cambria"/>
          <w:b w:val="0"/>
          <w:i w:val="0"/>
          <w:sz w:val="22"/>
        </w:rPr>
        <w:t xml:space="preserve"> and </w:t>
      </w:r>
      <w:r>
        <w:rPr>
          <w:rFonts w:ascii="Cambria" w:hAnsi="Cambria" w:eastAsia="Cambria" w:cs="Cambria"/>
          <w:b/>
          <w:i w:val="0"/>
          <w:sz w:val="22"/>
        </w:rPr>
        <w:t>Dean of Academics</w:t>
      </w:r>
      <w:r>
        <w:rPr>
          <w:rFonts w:ascii="Cambria" w:hAnsi="Cambria" w:eastAsia="Cambria" w:cs="Cambria"/>
          <w:b w:val="0"/>
          <w:i w:val="0"/>
          <w:sz w:val="22"/>
        </w:rPr>
        <w:t xml:space="preserve">. His statutory and governance roles at SITE included </w:t>
      </w:r>
      <w:r>
        <w:rPr>
          <w:rFonts w:ascii="Cambria" w:hAnsi="Cambria" w:eastAsia="Cambria" w:cs="Cambria"/>
          <w:b/>
          <w:i w:val="0"/>
          <w:sz w:val="22"/>
        </w:rPr>
        <w:t>Governing Body Member</w:t>
      </w:r>
      <w:r>
        <w:rPr>
          <w:rFonts w:ascii="Cambria" w:hAnsi="Cambria" w:eastAsia="Cambria" w:cs="Cambria"/>
          <w:b w:val="0"/>
          <w:i w:val="0"/>
          <w:sz w:val="22"/>
        </w:rPr>
        <w:t xml:space="preserve">, </w:t>
      </w:r>
      <w:r>
        <w:rPr>
          <w:rFonts w:ascii="Cambria" w:hAnsi="Cambria" w:eastAsia="Cambria" w:cs="Cambria"/>
          <w:b/>
          <w:i w:val="0"/>
          <w:sz w:val="22"/>
        </w:rPr>
        <w:t>Academic Council Member Secretary</w:t>
      </w:r>
      <w:r>
        <w:rPr>
          <w:rFonts w:ascii="Cambria" w:hAnsi="Cambria" w:eastAsia="Cambria" w:cs="Cambria"/>
          <w:b w:val="0"/>
          <w:i w:val="0"/>
          <w:sz w:val="22"/>
        </w:rPr>
        <w:t xml:space="preserve">, </w:t>
      </w:r>
      <w:r>
        <w:rPr>
          <w:rFonts w:ascii="Cambria" w:hAnsi="Cambria" w:eastAsia="Cambria" w:cs="Cambria"/>
          <w:b/>
          <w:i w:val="0"/>
          <w:sz w:val="22"/>
        </w:rPr>
        <w:t>BoS Member</w:t>
      </w:r>
      <w:r>
        <w:rPr>
          <w:rFonts w:ascii="Cambria" w:hAnsi="Cambria" w:eastAsia="Cambria" w:cs="Cambria"/>
          <w:b w:val="0"/>
          <w:i w:val="0"/>
          <w:sz w:val="22"/>
        </w:rPr>
        <w:t xml:space="preserve">, </w:t>
      </w:r>
      <w:r>
        <w:rPr>
          <w:rFonts w:ascii="Cambria" w:hAnsi="Cambria" w:eastAsia="Cambria" w:cs="Cambria"/>
          <w:b/>
          <w:i w:val="0"/>
          <w:sz w:val="22"/>
        </w:rPr>
        <w:t>Finance Committee Coordinator</w:t>
      </w:r>
      <w:r>
        <w:rPr>
          <w:rFonts w:ascii="Cambria" w:hAnsi="Cambria" w:eastAsia="Cambria" w:cs="Cambria"/>
          <w:b w:val="0"/>
          <w:i w:val="0"/>
          <w:sz w:val="22"/>
        </w:rPr>
        <w:t xml:space="preserve">, </w:t>
      </w:r>
      <w:r>
        <w:rPr>
          <w:rFonts w:ascii="Cambria" w:hAnsi="Cambria" w:eastAsia="Cambria" w:cs="Cambria"/>
          <w:b/>
          <w:i w:val="0"/>
          <w:sz w:val="22"/>
        </w:rPr>
        <w:t>Planning &amp; Development Committee Coordinator</w:t>
      </w:r>
      <w:r>
        <w:rPr>
          <w:rFonts w:ascii="Cambria" w:hAnsi="Cambria" w:eastAsia="Cambria" w:cs="Cambria"/>
          <w:b w:val="0"/>
          <w:i w:val="0"/>
          <w:sz w:val="22"/>
        </w:rPr>
        <w:t xml:space="preserve">, </w:t>
      </w:r>
      <w:r>
        <w:rPr>
          <w:rFonts w:ascii="Cambria" w:hAnsi="Cambria" w:eastAsia="Cambria" w:cs="Cambria"/>
          <w:b/>
          <w:i w:val="0"/>
          <w:sz w:val="22"/>
        </w:rPr>
        <w:t>NAAC Coordinator</w:t>
      </w:r>
      <w:r>
        <w:rPr>
          <w:rFonts w:ascii="Cambria" w:hAnsi="Cambria" w:eastAsia="Cambria" w:cs="Cambria"/>
          <w:b w:val="0"/>
          <w:i w:val="0"/>
          <w:sz w:val="22"/>
        </w:rPr>
        <w:t xml:space="preserve">, </w:t>
      </w:r>
      <w:r>
        <w:rPr>
          <w:rFonts w:ascii="Cambria" w:hAnsi="Cambria" w:eastAsia="Cambria" w:cs="Cambria"/>
          <w:b/>
          <w:i w:val="0"/>
          <w:sz w:val="22"/>
        </w:rPr>
        <w:t>IQAC Coordinator</w:t>
      </w:r>
      <w:r>
        <w:rPr>
          <w:rFonts w:ascii="Cambria" w:hAnsi="Cambria" w:eastAsia="Cambria" w:cs="Cambria"/>
          <w:b w:val="0"/>
          <w:i w:val="0"/>
          <w:sz w:val="22"/>
        </w:rPr>
        <w:t xml:space="preserve">, and </w:t>
      </w:r>
      <w:r>
        <w:rPr>
          <w:rFonts w:ascii="Cambria" w:hAnsi="Cambria" w:eastAsia="Cambria" w:cs="Cambria"/>
          <w:b/>
          <w:i w:val="0"/>
          <w:sz w:val="22"/>
        </w:rPr>
        <w:t>NBA Coordinator</w:t>
      </w:r>
      <w:r>
        <w:rPr>
          <w:rFonts w:ascii="Cambria" w:hAnsi="Cambria" w:eastAsia="Cambria" w:cs="Cambria"/>
          <w:b w:val="0"/>
          <w:i w:val="0"/>
          <w:sz w:val="22"/>
        </w:rPr>
        <w:t>, reflecting his extensive expertise in quality assurance and institutional governance.</w:t>
      </w:r>
    </w:p>
    <w:p>
      <w:pPr>
        <w:spacing w:line="276" w:lineRule="auto" w:after="120"/>
        <w:jc w:val="both"/>
      </w:pPr>
      <w:r>
        <w:rPr>
          <w:rFonts w:ascii="Cambria" w:hAnsi="Cambria" w:eastAsia="Cambria" w:cs="Cambria"/>
          <w:b w:val="0"/>
          <w:i w:val="0"/>
          <w:sz w:val="22"/>
        </w:rPr>
        <w:t xml:space="preserve">At </w:t>
      </w:r>
      <w:r>
        <w:rPr>
          <w:rFonts w:ascii="Cambria" w:hAnsi="Cambria" w:eastAsia="Cambria" w:cs="Cambria"/>
          <w:b/>
          <w:i w:val="0"/>
          <w:sz w:val="22"/>
        </w:rPr>
        <w:t>Koneru Lakshmaiah College of Engineering (KLCE) / KLEF University</w:t>
      </w:r>
      <w:r>
        <w:rPr>
          <w:rFonts w:ascii="Cambria" w:hAnsi="Cambria" w:eastAsia="Cambria" w:cs="Cambria"/>
          <w:b w:val="0"/>
          <w:i w:val="0"/>
          <w:sz w:val="22"/>
        </w:rPr>
        <w:t xml:space="preserve">, Dr. Rama Krishna contributed as a </w:t>
      </w:r>
      <w:r>
        <w:rPr>
          <w:rFonts w:ascii="Cambria" w:hAnsi="Cambria" w:eastAsia="Cambria" w:cs="Cambria"/>
          <w:b/>
          <w:i w:val="0"/>
          <w:sz w:val="22"/>
        </w:rPr>
        <w:t>Ratified Professor</w:t>
      </w:r>
      <w:r>
        <w:rPr>
          <w:rFonts w:ascii="Cambria" w:hAnsi="Cambria" w:eastAsia="Cambria" w:cs="Cambria"/>
          <w:b w:val="0"/>
          <w:i w:val="0"/>
          <w:sz w:val="22"/>
        </w:rPr>
        <w:t xml:space="preserve">, </w:t>
      </w:r>
      <w:r>
        <w:rPr>
          <w:rFonts w:ascii="Cambria" w:hAnsi="Cambria" w:eastAsia="Cambria" w:cs="Cambria"/>
          <w:b/>
          <w:i w:val="0"/>
          <w:sz w:val="22"/>
        </w:rPr>
        <w:t>Director of e-Resources</w:t>
      </w:r>
      <w:r>
        <w:rPr>
          <w:rFonts w:ascii="Cambria" w:hAnsi="Cambria" w:eastAsia="Cambria" w:cs="Cambria"/>
          <w:b w:val="0"/>
          <w:i w:val="0"/>
          <w:sz w:val="22"/>
        </w:rPr>
        <w:t xml:space="preserve">, </w:t>
      </w:r>
      <w:r>
        <w:rPr>
          <w:rFonts w:ascii="Cambria" w:hAnsi="Cambria" w:eastAsia="Cambria" w:cs="Cambria"/>
          <w:b/>
          <w:i w:val="0"/>
          <w:sz w:val="22"/>
        </w:rPr>
        <w:t>Associate Dean of Academics</w:t>
      </w:r>
      <w:r>
        <w:rPr>
          <w:rFonts w:ascii="Cambria" w:hAnsi="Cambria" w:eastAsia="Cambria" w:cs="Cambria"/>
          <w:b w:val="0"/>
          <w:i w:val="0"/>
          <w:sz w:val="22"/>
        </w:rPr>
        <w:t xml:space="preserve">, and </w:t>
      </w:r>
      <w:r>
        <w:rPr>
          <w:rFonts w:ascii="Cambria" w:hAnsi="Cambria" w:eastAsia="Cambria" w:cs="Cambria"/>
          <w:b/>
          <w:i w:val="0"/>
          <w:sz w:val="22"/>
        </w:rPr>
        <w:t>Associate Dean of Library Resources &amp; Technical Services and Certificate Courses</w:t>
      </w:r>
      <w:r>
        <w:rPr>
          <w:rFonts w:ascii="Cambria" w:hAnsi="Cambria" w:eastAsia="Cambria" w:cs="Cambria"/>
          <w:b w:val="0"/>
          <w:i w:val="0"/>
          <w:sz w:val="22"/>
        </w:rPr>
        <w:t xml:space="preserve">. Additionally, he served as </w:t>
      </w:r>
      <w:r>
        <w:rPr>
          <w:rFonts w:ascii="Cambria" w:hAnsi="Cambria" w:eastAsia="Cambria" w:cs="Cambria"/>
          <w:b/>
          <w:i w:val="0"/>
          <w:sz w:val="22"/>
        </w:rPr>
        <w:t>Professor In-Charge of Certificate Courses and the Central Library</w:t>
      </w:r>
      <w:r>
        <w:rPr>
          <w:rFonts w:ascii="Cambria" w:hAnsi="Cambria" w:eastAsia="Cambria" w:cs="Cambria"/>
          <w:b w:val="0"/>
          <w:i w:val="0"/>
          <w:sz w:val="22"/>
        </w:rPr>
        <w:t xml:space="preserve">, while also holding statutory roles as </w:t>
      </w:r>
      <w:r>
        <w:rPr>
          <w:rFonts w:ascii="Cambria" w:hAnsi="Cambria" w:eastAsia="Cambria" w:cs="Cambria"/>
          <w:b/>
          <w:i w:val="0"/>
          <w:sz w:val="22"/>
        </w:rPr>
        <w:t>Academic Council Member</w:t>
      </w:r>
      <w:r>
        <w:rPr>
          <w:rFonts w:ascii="Cambria" w:hAnsi="Cambria" w:eastAsia="Cambria" w:cs="Cambria"/>
          <w:b w:val="0"/>
          <w:i w:val="0"/>
          <w:sz w:val="22"/>
        </w:rPr>
        <w:t xml:space="preserve"> and </w:t>
      </w:r>
      <w:r>
        <w:rPr>
          <w:rFonts w:ascii="Cambria" w:hAnsi="Cambria" w:eastAsia="Cambria" w:cs="Cambria"/>
          <w:b/>
          <w:i w:val="0"/>
          <w:sz w:val="22"/>
        </w:rPr>
        <w:t>BoS Member</w:t>
      </w:r>
      <w:r>
        <w:rPr>
          <w:rFonts w:ascii="Cambria" w:hAnsi="Cambria" w:eastAsia="Cambria" w:cs="Cambria"/>
          <w:b w:val="0"/>
          <w:i w:val="0"/>
          <w:sz w:val="22"/>
        </w:rPr>
        <w:t xml:space="preserve"> under UGC guidelines.</w:t>
      </w:r>
    </w:p>
    <w:p>
      <w:pPr>
        <w:spacing w:line="276" w:lineRule="auto" w:after="120"/>
        <w:jc w:val="both"/>
      </w:pPr>
      <w:r>
        <w:rPr>
          <w:rFonts w:ascii="Cambria" w:hAnsi="Cambria" w:eastAsia="Cambria" w:cs="Cambria"/>
          <w:b w:val="0"/>
          <w:i w:val="0"/>
          <w:sz w:val="22"/>
        </w:rPr>
        <w:t xml:space="preserve">Earlier in his career, at </w:t>
      </w:r>
      <w:r>
        <w:rPr>
          <w:rFonts w:ascii="Cambria" w:hAnsi="Cambria" w:eastAsia="Cambria" w:cs="Cambria"/>
          <w:b/>
          <w:i w:val="0"/>
          <w:sz w:val="22"/>
        </w:rPr>
        <w:t>R.V.R. &amp; J.C. College of Engineering</w:t>
      </w:r>
      <w:r>
        <w:rPr>
          <w:rFonts w:ascii="Cambria" w:hAnsi="Cambria" w:eastAsia="Cambria" w:cs="Cambria"/>
          <w:b w:val="0"/>
          <w:i w:val="0"/>
          <w:sz w:val="22"/>
        </w:rPr>
        <w:t xml:space="preserve">, he was ratified as an </w:t>
      </w:r>
      <w:r>
        <w:rPr>
          <w:rFonts w:ascii="Cambria" w:hAnsi="Cambria" w:eastAsia="Cambria" w:cs="Cambria"/>
          <w:b/>
          <w:i w:val="0"/>
          <w:sz w:val="22"/>
        </w:rPr>
        <w:t>Assistant Professor</w:t>
      </w:r>
      <w:r>
        <w:rPr>
          <w:rFonts w:ascii="Cambria" w:hAnsi="Cambria" w:eastAsia="Cambria" w:cs="Cambria"/>
          <w:b w:val="0"/>
          <w:i w:val="0"/>
          <w:sz w:val="22"/>
        </w:rPr>
        <w:t xml:space="preserve"> and subsequently promoted to </w:t>
      </w:r>
      <w:r>
        <w:rPr>
          <w:rFonts w:ascii="Cambria" w:hAnsi="Cambria" w:eastAsia="Cambria" w:cs="Cambria"/>
          <w:b/>
          <w:i w:val="0"/>
          <w:sz w:val="22"/>
        </w:rPr>
        <w:t>Associate Professor</w:t>
      </w:r>
      <w:r>
        <w:rPr>
          <w:rFonts w:ascii="Cambria" w:hAnsi="Cambria" w:eastAsia="Cambria" w:cs="Cambria"/>
          <w:b w:val="0"/>
          <w:i w:val="0"/>
          <w:sz w:val="22"/>
        </w:rPr>
        <w:t xml:space="preserve"> under Acharya Nagarjuna University. During this period, he also served as </w:t>
      </w:r>
      <w:r>
        <w:rPr>
          <w:rFonts w:ascii="Cambria" w:hAnsi="Cambria" w:eastAsia="Cambria" w:cs="Cambria"/>
          <w:b/>
          <w:i w:val="0"/>
          <w:sz w:val="22"/>
        </w:rPr>
        <w:t>NBA Criterion 7 In-Charge</w:t>
      </w:r>
      <w:r>
        <w:rPr>
          <w:rFonts w:ascii="Cambria" w:hAnsi="Cambria" w:eastAsia="Cambria" w:cs="Cambria"/>
          <w:b w:val="0"/>
          <w:i w:val="0"/>
          <w:sz w:val="22"/>
        </w:rPr>
        <w:t>, focusing on infrastructure, facilities, and sustainability in accreditation processes.</w:t>
      </w:r>
    </w:p>
    <w:p>
      <w:pPr>
        <w:spacing w:line="276" w:lineRule="auto" w:after="120"/>
        <w:jc w:val="both"/>
      </w:pPr>
      <w:r>
        <w:rPr>
          <w:rFonts w:ascii="Cambria" w:hAnsi="Cambria" w:eastAsia="Cambria" w:cs="Cambria"/>
          <w:b w:val="0"/>
          <w:i w:val="0"/>
          <w:sz w:val="22"/>
        </w:rPr>
        <w:t xml:space="preserve">With his </w:t>
      </w:r>
      <w:r>
        <w:rPr>
          <w:rFonts w:ascii="Cambria" w:hAnsi="Cambria" w:eastAsia="Cambria" w:cs="Cambria"/>
          <w:b/>
          <w:i w:val="0"/>
          <w:sz w:val="22"/>
        </w:rPr>
        <w:t>25 years of teaching</w:t>
      </w:r>
      <w:r>
        <w:rPr>
          <w:rFonts w:ascii="Cambria" w:hAnsi="Cambria" w:eastAsia="Cambria" w:cs="Cambria"/>
          <w:b w:val="0"/>
          <w:i w:val="0"/>
          <w:sz w:val="22"/>
        </w:rPr>
        <w:t xml:space="preserve">, </w:t>
      </w:r>
      <w:r>
        <w:rPr>
          <w:rFonts w:ascii="Cambria" w:hAnsi="Cambria" w:eastAsia="Cambria" w:cs="Cambria"/>
          <w:b/>
          <w:i w:val="0"/>
          <w:sz w:val="22"/>
        </w:rPr>
        <w:t>5 awarded Ph.D.s</w:t>
      </w:r>
      <w:r>
        <w:rPr>
          <w:rFonts w:ascii="Cambria" w:hAnsi="Cambria" w:eastAsia="Cambria" w:cs="Cambria"/>
          <w:b w:val="0"/>
          <w:i w:val="0"/>
          <w:sz w:val="22"/>
        </w:rPr>
        <w:t xml:space="preserve">, </w:t>
      </w:r>
      <w:r>
        <w:rPr>
          <w:rFonts w:ascii="Cambria" w:hAnsi="Cambria" w:eastAsia="Cambria" w:cs="Cambria"/>
          <w:b/>
          <w:i w:val="0"/>
          <w:sz w:val="22"/>
        </w:rPr>
        <w:t>97 publications</w:t>
      </w:r>
      <w:r>
        <w:rPr>
          <w:rFonts w:ascii="Cambria" w:hAnsi="Cambria" w:eastAsia="Cambria" w:cs="Cambria"/>
          <w:b w:val="0"/>
          <w:i w:val="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spacing w:line="276" w:lineRule="auto" w:after="120"/>
        <w:jc w:val="both"/>
      </w:pPr>
      <w:r>
        <w:rPr>
          <w:rFonts w:ascii="Cambria" w:hAnsi="Cambria" w:eastAsia="Cambria" w:cs="Cambria"/>
          <w:b w:val="0"/>
          <w:i w:val="0"/>
          <w:sz w:val="22"/>
        </w:rPr>
        <w:t>LinkedIn Profile: Dr. Tottempudi Venkata Rama Krishna</w:t>
      </w:r>
    </w:p>
    <w:p>
      <w:pPr>
        <w:spacing w:before="280" w:after="160"/>
      </w:pPr>
      <w:r>
        <w:rPr>
          <w:rFonts w:ascii="Cambria" w:hAnsi="Cambria" w:eastAsia="Cambria" w:cs="Cambria"/>
          <w:b/>
          <w:i w:val="0"/>
          <w:color w:val="1F3A5F"/>
          <w:sz w:val="36"/>
        </w:rPr>
        <w:t>Abstract</w:t>
      </w:r>
    </w:p>
    <w:p>
      <w:pPr>
        <w:spacing w:line="276" w:lineRule="auto" w:after="120"/>
        <w:jc w:val="both"/>
      </w:pPr>
      <w:r>
        <w:rPr>
          <w:rFonts w:ascii="Cambria" w:hAnsi="Cambria" w:eastAsia="Cambria" w:cs="Cambria"/>
          <w:b w:val="0"/>
          <w:i w:val="0"/>
          <w:sz w:val="22"/>
        </w:rPr>
        <w:t>The role of the Head of the Department (HoD) in Higher Education Institutions (HEIs) has evolved significantly in recent decades, extending far beyond routine academic administration into the sphere of Research and Development (R&amp;D). In the knowledge economy, research is no longer an optional or symbolic activity; it is the defining pillar of institutional reputation, accreditation, and societal contribution. This paper explores the multifaceted responsibilities of the HoD in fostering a vibrant and sustainable R&amp;D culture, highlighting their leadership in identifying thrust areas, promoting interdisciplinary engagement, and aligning departmental initiatives with national priorities such as the National Education Policy (NEP 2020), Sustainable Development Goals (SDGs), and accreditation frameworks like NAAC, NBA, NIRF, and QS I-GAUGE. The HoD plays a critical role in establishing specialized research laboratories, creating research clusters, and facilitating the effective utilization of resources, ensuring that expensive equipment and infrastructure are not idle showpieces but active contributors to innovation, patents, publications, and consultancy projects. A key aspect of this responsibility lies in embedding research into the everyday roles of faculty and students, making research a planned, recognized, and monitored function rather than an extra burden. The HoD encourages faculty to balance teaching with active research by facilitating proposal writing, guiding project execution, and motivating publications in indexed journals. Similarly, students are nurtured through structured mini-projects, major projects, and term papers that are systematically mapped to faculty research areas, thereby embedding research culture early in the UG and PG curriculum. Regular research meetings, monthly progress reports to the principal, and continuous monitoring ensure accountability, transparency, and measurable outcomes. The HoD also acts as a liaison with external stakeholders including UGC, AICTE, CSIR, and affiliated universities, to secure recognition of research centers, obtain approvals for research directors, and expand PhD supervision capacity. Furthermore, fostering national and international collaborations through MoUs and exchange programs demonstrates that HoD-led initiatives are not symbolic agreements but genuine enablers of global research standards. By organizing national and international conferences, industry talks, and student seminars, the HoD provides value-added opportunities for the academic community, strengthening the bridge between academia and industry. This abstract emphasizes that the HoD’s leadership in R&amp;D is systematic, evidence-based, and outcome-oriented, with traceability from policy to action, evidence, and measurable impact. Ultimately, the HoD serves as a catalyst in transforming departments into recognized research hubs, ensuring that innovation, research integration, and employability enhancement are achieved in alignment with institutional vision and national/global priorities.</w:t>
      </w:r>
    </w:p>
    <w:p>
      <w:r>
        <w:br w:type="page"/>
      </w:r>
    </w:p>
    <w:p>
      <w:pPr>
        <w:spacing w:before="280" w:after="160"/>
      </w:pPr>
      <w:r>
        <w:rPr>
          <w:rFonts w:ascii="Cambria" w:hAnsi="Cambria" w:eastAsia="Cambria" w:cs="Cambria"/>
          <w:b/>
          <w:i w:val="0"/>
          <w:color w:val="1F3A5F"/>
          <w:sz w:val="36"/>
        </w:rPr>
        <w:t>Table of Contents</w:t>
      </w:r>
    </w:p>
    <w:tbl>
      <w:tblPr>
        <w:tblW w:type="auto" w:w="0"/>
        <w:jc w:val="center"/>
        <w:tblLayout w:type="fixed"/>
        <w:tblLook w:firstColumn="1" w:firstRow="1" w:lastColumn="0" w:lastRow="0" w:noHBand="0" w:noVBand="1" w:val="04A0"/>
        <w:tblLayout w:type="fixed"/>
      </w:tblPr>
      <w:tblGrid>
        <w:gridCol w:w="850"/>
        <w:gridCol w:w="7540"/>
        <w:gridCol w:w="1020"/>
      </w:tblGrid>
      <w:tr>
        <w:tc>
          <w:tcPr>
            <w:tcW w:type="dxa" w:w="850"/>
            <w:shd w:val="clear" w:color="auto" w:fill="1F3A5F"/>
          </w:tcPr>
          <w:p>
            <w:pPr>
              <w:jc w:val="center"/>
            </w:pPr>
            <w:r/>
            <w:r>
              <w:rPr>
                <w:rFonts w:ascii="Cambria" w:hAnsi="Cambria" w:eastAsia="Cambria" w:cs="Cambria"/>
                <w:b/>
                <w:i w:val="0"/>
                <w:color w:val="FFFFFF"/>
                <w:sz w:val="19"/>
              </w:rPr>
              <w:t>S. No</w:t>
            </w:r>
          </w:p>
        </w:tc>
        <w:tc>
          <w:tcPr>
            <w:tcW w:type="dxa" w:w="7540"/>
            <w:shd w:val="clear" w:color="auto" w:fill="1F3A5F"/>
          </w:tcPr>
          <w:p>
            <w:pPr>
              <w:jc w:val="center"/>
            </w:pPr>
            <w:r/>
            <w:r>
              <w:rPr>
                <w:rFonts w:ascii="Cambria" w:hAnsi="Cambria" w:eastAsia="Cambria" w:cs="Cambria"/>
                <w:b/>
                <w:i w:val="0"/>
                <w:color w:val="FFFFFF"/>
                <w:sz w:val="19"/>
              </w:rPr>
              <w:t>Name of the Content</w:t>
            </w:r>
          </w:p>
        </w:tc>
        <w:tc>
          <w:tcPr>
            <w:tcW w:type="dxa" w:w="1020"/>
            <w:shd w:val="clear" w:color="auto" w:fill="1F3A5F"/>
          </w:tcPr>
          <w:p>
            <w:pPr>
              <w:jc w:val="center"/>
            </w:pPr>
            <w:r/>
            <w:r>
              <w:rPr>
                <w:rFonts w:ascii="Cambria" w:hAnsi="Cambria" w:eastAsia="Cambria" w:cs="Cambria"/>
                <w:b/>
                <w:i w:val="0"/>
                <w:color w:val="FFFFFF"/>
                <w:sz w:val="19"/>
              </w:rPr>
              <w:t>Pg.No</w:t>
            </w:r>
          </w:p>
        </w:tc>
      </w:tr>
      <w:tr>
        <w:tc>
          <w:tcPr>
            <w:tcW w:type="dxa" w:w="850"/>
          </w:tcPr>
          <w:p>
            <w:pPr>
              <w:jc w:val="center"/>
            </w:pPr>
            <w:r/>
            <w:r>
              <w:rPr>
                <w:rFonts w:ascii="Cambria" w:hAnsi="Cambria" w:eastAsia="Cambria" w:cs="Cambria"/>
                <w:b w:val="0"/>
                <w:i w:val="0"/>
                <w:sz w:val="18"/>
              </w:rPr>
              <w:t>1</w:t>
            </w:r>
          </w:p>
        </w:tc>
        <w:tc>
          <w:tcPr>
            <w:tcW w:type="dxa" w:w="7540"/>
          </w:tcPr>
          <w:p>
            <w:pPr>
              <w:jc w:val="left"/>
            </w:pPr>
            <w:r/>
            <w:r>
              <w:rPr>
                <w:rFonts w:ascii="Cambria" w:hAnsi="Cambria" w:eastAsia="Cambria" w:cs="Cambria"/>
                <w:b w:val="0"/>
                <w:i w:val="0"/>
                <w:sz w:val="18"/>
              </w:rPr>
              <w:t>Introduction</w:t>
            </w:r>
          </w:p>
        </w:tc>
        <w:tc>
          <w:tcPr>
            <w:tcW w:type="dxa" w:w="1020"/>
          </w:tcPr>
          <w:p>
            <w:pPr>
              <w:jc w:val="center"/>
            </w:pPr>
            <w:r/>
            <w:r>
              <w:rPr>
                <w:rFonts w:ascii="Cambria" w:hAnsi="Cambria" w:eastAsia="Cambria" w:cs="Cambria"/>
                <w:b w:val="0"/>
                <w:i w:val="0"/>
                <w:sz w:val="18"/>
              </w:rPr>
              <w:t>001</w:t>
            </w:r>
          </w:p>
        </w:tc>
      </w:tr>
      <w:tr>
        <w:tc>
          <w:tcPr>
            <w:tcW w:type="dxa" w:w="850"/>
            <w:shd w:val="clear" w:color="auto" w:fill="D9D9D9"/>
          </w:tcPr>
          <w:p>
            <w:pPr>
              <w:jc w:val="center"/>
            </w:pPr>
            <w:r/>
            <w:r>
              <w:rPr>
                <w:rFonts w:ascii="Cambria" w:hAnsi="Cambria" w:eastAsia="Cambria" w:cs="Cambria"/>
                <w:b w:val="0"/>
                <w:i w:val="0"/>
                <w:sz w:val="18"/>
              </w:rPr>
              <w:t>2</w:t>
            </w:r>
          </w:p>
        </w:tc>
        <w:tc>
          <w:tcPr>
            <w:tcW w:type="dxa" w:w="7540"/>
            <w:shd w:val="clear" w:color="auto" w:fill="D9D9D9"/>
          </w:tcPr>
          <w:p>
            <w:pPr>
              <w:jc w:val="left"/>
            </w:pPr>
            <w:r/>
            <w:r>
              <w:rPr>
                <w:rFonts w:ascii="Cambria" w:hAnsi="Cambria" w:eastAsia="Cambria" w:cs="Cambria"/>
                <w:b w:val="0"/>
                <w:i w:val="0"/>
                <w:sz w:val="18"/>
              </w:rPr>
              <w:t>Roles and Responsibilities of Head of the Department (HoD) in Higher Education Institutions (HEIs)</w:t>
            </w:r>
          </w:p>
        </w:tc>
        <w:tc>
          <w:tcPr>
            <w:tcW w:type="dxa" w:w="1020"/>
            <w:shd w:val="clear" w:color="auto" w:fill="D9D9D9"/>
          </w:tcPr>
          <w:p>
            <w:pPr>
              <w:jc w:val="center"/>
            </w:pPr>
            <w:r/>
            <w:r>
              <w:rPr>
                <w:rFonts w:ascii="Cambria" w:hAnsi="Cambria" w:eastAsia="Cambria" w:cs="Cambria"/>
                <w:b w:val="0"/>
                <w:i w:val="0"/>
                <w:sz w:val="18"/>
              </w:rPr>
              <w:t>004</w:t>
            </w:r>
          </w:p>
        </w:tc>
      </w:tr>
      <w:tr>
        <w:tc>
          <w:tcPr>
            <w:tcW w:type="dxa" w:w="850"/>
          </w:tcPr>
          <w:p>
            <w:pPr>
              <w:jc w:val="center"/>
            </w:pPr>
            <w:r/>
            <w:r>
              <w:rPr>
                <w:rFonts w:ascii="Cambria" w:hAnsi="Cambria" w:eastAsia="Cambria" w:cs="Cambria"/>
                <w:b w:val="0"/>
                <w:i w:val="0"/>
                <w:sz w:val="18"/>
              </w:rPr>
              <w:t>3</w:t>
            </w:r>
          </w:p>
        </w:tc>
        <w:tc>
          <w:tcPr>
            <w:tcW w:type="dxa" w:w="7540"/>
          </w:tcPr>
          <w:p>
            <w:pPr>
              <w:jc w:val="left"/>
            </w:pPr>
            <w:r/>
            <w:r>
              <w:rPr>
                <w:rFonts w:ascii="Cambria" w:hAnsi="Cambria" w:eastAsia="Cambria" w:cs="Cambria"/>
                <w:b w:val="0"/>
                <w:i w:val="0"/>
                <w:sz w:val="18"/>
              </w:rPr>
              <w:t>Responsibilities of a Head of Department (HoD) in relation to Research &amp; Development (R&amp;D)</w:t>
            </w:r>
          </w:p>
        </w:tc>
        <w:tc>
          <w:tcPr>
            <w:tcW w:type="dxa" w:w="1020"/>
          </w:tcPr>
          <w:p>
            <w:pPr>
              <w:jc w:val="center"/>
            </w:pPr>
            <w:r/>
            <w:r>
              <w:rPr>
                <w:rFonts w:ascii="Cambria" w:hAnsi="Cambria" w:eastAsia="Cambria" w:cs="Cambria"/>
                <w:b w:val="0"/>
                <w:i w:val="0"/>
                <w:sz w:val="18"/>
              </w:rPr>
              <w:t>010</w:t>
            </w:r>
          </w:p>
        </w:tc>
      </w:tr>
      <w:tr>
        <w:tc>
          <w:tcPr>
            <w:tcW w:type="dxa" w:w="850"/>
            <w:shd w:val="clear" w:color="auto" w:fill="D9D9D9"/>
          </w:tcPr>
          <w:p>
            <w:pPr>
              <w:jc w:val="center"/>
            </w:pPr>
            <w:r/>
            <w:r>
              <w:rPr>
                <w:rFonts w:ascii="Cambria" w:hAnsi="Cambria" w:eastAsia="Cambria" w:cs="Cambria"/>
                <w:b w:val="0"/>
                <w:i w:val="0"/>
                <w:sz w:val="18"/>
              </w:rPr>
              <w:t>4</w:t>
            </w:r>
          </w:p>
        </w:tc>
        <w:tc>
          <w:tcPr>
            <w:tcW w:type="dxa" w:w="7540"/>
            <w:shd w:val="clear" w:color="auto" w:fill="D9D9D9"/>
          </w:tcPr>
          <w:p>
            <w:pPr>
              <w:jc w:val="left"/>
            </w:pPr>
            <w:r/>
            <w:r>
              <w:rPr>
                <w:rFonts w:ascii="Cambria" w:hAnsi="Cambria" w:eastAsia="Cambria" w:cs="Cambria"/>
                <w:b w:val="0"/>
                <w:i w:val="0"/>
                <w:sz w:val="18"/>
              </w:rPr>
              <w:t>HoD’s responsibility in identifying thrust areas to source students and scholar R&amp;D projects</w:t>
            </w:r>
          </w:p>
        </w:tc>
        <w:tc>
          <w:tcPr>
            <w:tcW w:type="dxa" w:w="1020"/>
            <w:shd w:val="clear" w:color="auto" w:fill="D9D9D9"/>
          </w:tcPr>
          <w:p>
            <w:pPr>
              <w:jc w:val="center"/>
            </w:pPr>
            <w:r/>
            <w:r>
              <w:rPr>
                <w:rFonts w:ascii="Cambria" w:hAnsi="Cambria" w:eastAsia="Cambria" w:cs="Cambria"/>
                <w:b w:val="0"/>
                <w:i w:val="0"/>
                <w:sz w:val="18"/>
              </w:rPr>
              <w:t>013</w:t>
            </w:r>
          </w:p>
        </w:tc>
      </w:tr>
      <w:tr>
        <w:tc>
          <w:tcPr>
            <w:tcW w:type="dxa" w:w="850"/>
          </w:tcPr>
          <w:p>
            <w:pPr>
              <w:jc w:val="center"/>
            </w:pPr>
            <w:r/>
            <w:r>
              <w:rPr>
                <w:rFonts w:ascii="Cambria" w:hAnsi="Cambria" w:eastAsia="Cambria" w:cs="Cambria"/>
                <w:b w:val="0"/>
                <w:i w:val="0"/>
                <w:sz w:val="18"/>
              </w:rPr>
              <w:t>5</w:t>
            </w:r>
          </w:p>
        </w:tc>
        <w:tc>
          <w:tcPr>
            <w:tcW w:type="dxa" w:w="7540"/>
          </w:tcPr>
          <w:p>
            <w:pPr>
              <w:jc w:val="left"/>
            </w:pPr>
            <w:r/>
            <w:r>
              <w:rPr>
                <w:rFonts w:ascii="Cambria" w:hAnsi="Cambria" w:eastAsia="Cambria" w:cs="Cambria"/>
                <w:b w:val="0"/>
                <w:i w:val="0"/>
                <w:sz w:val="18"/>
              </w:rPr>
              <w:t>HoD’s responsibility for arranging invited talks from industrial and R&amp;D organizations</w:t>
            </w:r>
          </w:p>
        </w:tc>
        <w:tc>
          <w:tcPr>
            <w:tcW w:type="dxa" w:w="1020"/>
          </w:tcPr>
          <w:p>
            <w:pPr>
              <w:jc w:val="center"/>
            </w:pPr>
            <w:r/>
            <w:r>
              <w:rPr>
                <w:rFonts w:ascii="Cambria" w:hAnsi="Cambria" w:eastAsia="Cambria" w:cs="Cambria"/>
                <w:b w:val="0"/>
                <w:i w:val="0"/>
                <w:sz w:val="18"/>
              </w:rPr>
              <w:t>019</w:t>
            </w:r>
          </w:p>
        </w:tc>
      </w:tr>
      <w:tr>
        <w:tc>
          <w:tcPr>
            <w:tcW w:type="dxa" w:w="850"/>
            <w:shd w:val="clear" w:color="auto" w:fill="D9D9D9"/>
          </w:tcPr>
          <w:p>
            <w:pPr>
              <w:jc w:val="center"/>
            </w:pPr>
            <w:r/>
            <w:r>
              <w:rPr>
                <w:rFonts w:ascii="Cambria" w:hAnsi="Cambria" w:eastAsia="Cambria" w:cs="Cambria"/>
                <w:b w:val="0"/>
                <w:i w:val="0"/>
                <w:sz w:val="18"/>
              </w:rPr>
              <w:t>6</w:t>
            </w:r>
          </w:p>
        </w:tc>
        <w:tc>
          <w:tcPr>
            <w:tcW w:type="dxa" w:w="7540"/>
            <w:shd w:val="clear" w:color="auto" w:fill="D9D9D9"/>
          </w:tcPr>
          <w:p>
            <w:pPr>
              <w:jc w:val="left"/>
            </w:pPr>
            <w:r/>
            <w:r>
              <w:rPr>
                <w:rFonts w:ascii="Cambria" w:hAnsi="Cambria" w:eastAsia="Cambria" w:cs="Cambria"/>
                <w:b w:val="0"/>
                <w:i w:val="0"/>
                <w:sz w:val="18"/>
              </w:rPr>
              <w:t>HoD’s responsibility to develop relationships with reputed national &amp; international universities, sign MoUs, conduct inter-university R&amp;D programs, and facilitate exchange programs</w:t>
            </w:r>
          </w:p>
        </w:tc>
        <w:tc>
          <w:tcPr>
            <w:tcW w:type="dxa" w:w="1020"/>
            <w:shd w:val="clear" w:color="auto" w:fill="D9D9D9"/>
          </w:tcPr>
          <w:p>
            <w:pPr>
              <w:jc w:val="center"/>
            </w:pPr>
            <w:r/>
            <w:r>
              <w:rPr>
                <w:rFonts w:ascii="Cambria" w:hAnsi="Cambria" w:eastAsia="Cambria" w:cs="Cambria"/>
                <w:b w:val="0"/>
                <w:i w:val="0"/>
                <w:sz w:val="18"/>
              </w:rPr>
              <w:t>029</w:t>
            </w:r>
          </w:p>
        </w:tc>
      </w:tr>
      <w:tr>
        <w:tc>
          <w:tcPr>
            <w:tcW w:type="dxa" w:w="850"/>
          </w:tcPr>
          <w:p>
            <w:pPr>
              <w:jc w:val="center"/>
            </w:pPr>
            <w:r/>
            <w:r>
              <w:rPr>
                <w:rFonts w:ascii="Cambria" w:hAnsi="Cambria" w:eastAsia="Cambria" w:cs="Cambria"/>
                <w:b w:val="0"/>
                <w:i w:val="0"/>
                <w:sz w:val="18"/>
              </w:rPr>
              <w:t>7</w:t>
            </w:r>
          </w:p>
        </w:tc>
        <w:tc>
          <w:tcPr>
            <w:tcW w:type="dxa" w:w="7540"/>
          </w:tcPr>
          <w:p>
            <w:pPr>
              <w:jc w:val="left"/>
            </w:pPr>
            <w:r/>
            <w:r>
              <w:rPr>
                <w:rFonts w:ascii="Cambria" w:hAnsi="Cambria" w:eastAsia="Cambria" w:cs="Cambria"/>
                <w:b w:val="0"/>
                <w:i w:val="0"/>
                <w:sz w:val="18"/>
              </w:rPr>
              <w:t>HoD’s responsibility to motivate faculty in doing active research along with their other responsibilities</w:t>
            </w:r>
          </w:p>
        </w:tc>
        <w:tc>
          <w:tcPr>
            <w:tcW w:type="dxa" w:w="1020"/>
          </w:tcPr>
          <w:p>
            <w:pPr>
              <w:jc w:val="center"/>
            </w:pPr>
            <w:r/>
            <w:r>
              <w:rPr>
                <w:rFonts w:ascii="Cambria" w:hAnsi="Cambria" w:eastAsia="Cambria" w:cs="Cambria"/>
                <w:b w:val="0"/>
                <w:i w:val="0"/>
                <w:sz w:val="18"/>
              </w:rPr>
              <w:t>036</w:t>
            </w:r>
          </w:p>
        </w:tc>
      </w:tr>
      <w:tr>
        <w:tc>
          <w:tcPr>
            <w:tcW w:type="dxa" w:w="850"/>
            <w:shd w:val="clear" w:color="auto" w:fill="D9D9D9"/>
          </w:tcPr>
          <w:p>
            <w:pPr>
              <w:jc w:val="center"/>
            </w:pPr>
            <w:r/>
            <w:r>
              <w:rPr>
                <w:rFonts w:ascii="Cambria" w:hAnsi="Cambria" w:eastAsia="Cambria" w:cs="Cambria"/>
                <w:b w:val="0"/>
                <w:i w:val="0"/>
                <w:sz w:val="18"/>
              </w:rPr>
              <w:t>8</w:t>
            </w:r>
          </w:p>
        </w:tc>
        <w:tc>
          <w:tcPr>
            <w:tcW w:type="dxa" w:w="7540"/>
            <w:shd w:val="clear" w:color="auto" w:fill="D9D9D9"/>
          </w:tcPr>
          <w:p>
            <w:pPr>
              <w:jc w:val="left"/>
            </w:pPr>
            <w:r/>
            <w:r>
              <w:rPr>
                <w:rFonts w:ascii="Cambria" w:hAnsi="Cambria" w:eastAsia="Cambria" w:cs="Cambria"/>
                <w:b w:val="0"/>
                <w:i w:val="0"/>
                <w:sz w:val="18"/>
              </w:rPr>
              <w:t>HoD’s responsibility to conduct monthly research meetings, review progress, and take necessary actions to move R&amp;D projects as per deadlines</w:t>
            </w:r>
          </w:p>
        </w:tc>
        <w:tc>
          <w:tcPr>
            <w:tcW w:type="dxa" w:w="1020"/>
            <w:shd w:val="clear" w:color="auto" w:fill="D9D9D9"/>
          </w:tcPr>
          <w:p>
            <w:pPr>
              <w:jc w:val="center"/>
            </w:pPr>
            <w:r/>
            <w:r>
              <w:rPr>
                <w:rFonts w:ascii="Cambria" w:hAnsi="Cambria" w:eastAsia="Cambria" w:cs="Cambria"/>
                <w:b w:val="0"/>
                <w:i w:val="0"/>
                <w:sz w:val="18"/>
              </w:rPr>
              <w:t>044</w:t>
            </w:r>
          </w:p>
        </w:tc>
      </w:tr>
      <w:tr>
        <w:tc>
          <w:tcPr>
            <w:tcW w:type="dxa" w:w="850"/>
          </w:tcPr>
          <w:p>
            <w:pPr>
              <w:jc w:val="center"/>
            </w:pPr>
            <w:r/>
            <w:r>
              <w:rPr>
                <w:rFonts w:ascii="Cambria" w:hAnsi="Cambria" w:eastAsia="Cambria" w:cs="Cambria"/>
                <w:b w:val="0"/>
                <w:i w:val="0"/>
                <w:sz w:val="18"/>
              </w:rPr>
              <w:t>9</w:t>
            </w:r>
          </w:p>
        </w:tc>
        <w:tc>
          <w:tcPr>
            <w:tcW w:type="dxa" w:w="7540"/>
          </w:tcPr>
          <w:p>
            <w:pPr>
              <w:jc w:val="left"/>
            </w:pPr>
            <w:r/>
            <w:r>
              <w:rPr>
                <w:rFonts w:ascii="Cambria" w:hAnsi="Cambria" w:eastAsia="Cambria" w:cs="Cambria"/>
                <w:b w:val="0"/>
                <w:i w:val="0"/>
                <w:sz w:val="18"/>
              </w:rPr>
              <w:t>HoD’s responsibility to monitor the utilization of equipment purchased specially for R&amp;D purposes</w:t>
            </w:r>
          </w:p>
        </w:tc>
        <w:tc>
          <w:tcPr>
            <w:tcW w:type="dxa" w:w="1020"/>
          </w:tcPr>
          <w:p>
            <w:pPr>
              <w:jc w:val="center"/>
            </w:pPr>
            <w:r/>
            <w:r>
              <w:rPr>
                <w:rFonts w:ascii="Cambria" w:hAnsi="Cambria" w:eastAsia="Cambria" w:cs="Cambria"/>
                <w:b w:val="0"/>
                <w:i w:val="0"/>
                <w:sz w:val="18"/>
              </w:rPr>
              <w:t>051</w:t>
            </w:r>
          </w:p>
        </w:tc>
      </w:tr>
      <w:tr>
        <w:tc>
          <w:tcPr>
            <w:tcW w:type="dxa" w:w="850"/>
            <w:shd w:val="clear" w:color="auto" w:fill="D9D9D9"/>
          </w:tcPr>
          <w:p>
            <w:pPr>
              <w:jc w:val="center"/>
            </w:pPr>
            <w:r/>
            <w:r>
              <w:rPr>
                <w:rFonts w:ascii="Cambria" w:hAnsi="Cambria" w:eastAsia="Cambria" w:cs="Cambria"/>
                <w:b w:val="0"/>
                <w:i w:val="0"/>
                <w:sz w:val="18"/>
              </w:rPr>
              <w:t>10</w:t>
            </w:r>
          </w:p>
        </w:tc>
        <w:tc>
          <w:tcPr>
            <w:tcW w:type="dxa" w:w="7540"/>
            <w:shd w:val="clear" w:color="auto" w:fill="D9D9D9"/>
          </w:tcPr>
          <w:p>
            <w:pPr>
              <w:jc w:val="left"/>
            </w:pPr>
            <w:r/>
            <w:r>
              <w:rPr>
                <w:rFonts w:ascii="Cambria" w:hAnsi="Cambria" w:eastAsia="Cambria" w:cs="Cambria"/>
                <w:b w:val="0"/>
                <w:i w:val="0"/>
                <w:sz w:val="18"/>
              </w:rPr>
              <w:t>HoD’s responsibility to liaison with UGC, CSIR, and the Affiliated University for research center approvals, research directors’ recognition, and amendments to research studies</w:t>
            </w:r>
          </w:p>
        </w:tc>
        <w:tc>
          <w:tcPr>
            <w:tcW w:type="dxa" w:w="1020"/>
            <w:shd w:val="clear" w:color="auto" w:fill="D9D9D9"/>
          </w:tcPr>
          <w:p>
            <w:pPr>
              <w:jc w:val="center"/>
            </w:pPr>
            <w:r/>
            <w:r>
              <w:rPr>
                <w:rFonts w:ascii="Cambria" w:hAnsi="Cambria" w:eastAsia="Cambria" w:cs="Cambria"/>
                <w:b w:val="0"/>
                <w:i w:val="0"/>
                <w:sz w:val="18"/>
              </w:rPr>
              <w:t>060</w:t>
            </w:r>
          </w:p>
        </w:tc>
      </w:tr>
    </w:tbl>
    <w:p>
      <w:r>
        <w:br w:type="page"/>
      </w:r>
    </w:p>
    <w:p>
      <w:pPr>
        <w:spacing w:before="280" w:after="160"/>
      </w:pPr>
      <w:r>
        <w:rPr>
          <w:rFonts w:ascii="Cambria" w:hAnsi="Cambria" w:eastAsia="Cambria" w:cs="Cambria"/>
          <w:b/>
          <w:i w:val="0"/>
          <w:color w:val="1F3A5F"/>
          <w:sz w:val="36"/>
        </w:rPr>
        <w:t>1. Introduction</w:t>
      </w:r>
    </w:p>
    <w:p>
      <w:pPr>
        <w:spacing w:line="276" w:lineRule="auto" w:after="120"/>
        <w:jc w:val="both"/>
      </w:pPr>
      <w:r>
        <w:rPr>
          <w:rFonts w:ascii="Cambria" w:hAnsi="Cambria" w:eastAsia="Cambria" w:cs="Cambria"/>
          <w:b w:val="0"/>
          <w:i w:val="0"/>
          <w:sz w:val="22"/>
        </w:rPr>
        <w:t>The Head of the Department (HoD) in Higher Education Institutions (HEIs) is the academic and administrative leader of a specific discipline or department, entrusted with the responsibility of ensuring quality education, effective governance, and strategic development within the unit. As the immediate authority of the department, the HoD acts as a vital link between institutional leadership—such as the Vice-Chancellor, Dean, or Principal—and the faculty, staff, and students. The role is multidimensional, encompassing academic leadership in curriculum planning, teaching–learning processes, research, and innovation, while simultaneously overseeing administrative functions such as faculty allocation, budgeting, infrastructure management, and compliance with regulatory frameworks prescribed by agencies like UGC, AICTE, NAAC, NBA, NIRF, and QS I-GAUGE. Beyond administration, the HoD serves as a mentor and facilitator, guiding faculty in professional development and students in achieving academic and career aspirations. The position also carries the responsibility of fostering a culture of research, consultancy, entrepreneurship, and community engagement, thereby aligning departmental objectives with institutional vision, national policies such as NEP 2020, and global benchmarks including the Sustainable Development Goals (SDGs). In essence, the HoD is not merely a manager of departmental affairs but a strategic leader who ensures the holistic development of the department, balancing academic excellence, research productivity, student welfare, faculty empowerment, and societal contribution. This makes the role of the HoD central to the advancement of higher education, institutional growth, and the creation of knowledge-driven, socially responsible graduates.</w:t>
      </w:r>
    </w:p>
    <w:p>
      <w:pPr>
        <w:spacing w:line="276" w:lineRule="auto" w:after="120"/>
        <w:jc w:val="both"/>
      </w:pPr>
      <w:r>
        <w:rPr>
          <w:rFonts w:ascii="Cambria" w:hAnsi="Cambria" w:eastAsia="Cambria" w:cs="Cambria"/>
          <w:b w:val="0"/>
          <w:i w:val="0"/>
          <w:sz w:val="22"/>
        </w:rPr>
        <w:t>In today’s rapidly evolving knowledge-driven society, research and development (R&amp;D) have become one of the defining features of higher education institutions (HEIs). Universities and colleges are not merely centers for teaching and certification but are increasingly recognized as hubs of innovation, knowledge creation, and societal transformation. Within this context, the role of the Head of the Department (HoD) assumes pivotal importance. The HoD, who is often the first line of academic and administrative leadership, carries the responsibility of shaping the research agenda of a department, fostering a culture of inquiry, and ensuring that research is not symbolic but systematic, evidence-based, and outcome-oriented. Unlike routine academic functions such as timetabling or examination coordination, the HoD’s leadership in R&amp;D requires vision, strategic planning, and the ability to connect local departmental activities with national and global priorities. This introduction outlines the significance, challenges, and responsibilities of the HoD in advancing R&amp;D activities in higher education, highlighting their alignment with frameworks such as the National Education Policy (NEP 2020), the Sustainable Development Goals (SDGs), and accreditation systems including NAAC, NBA, NIRF, and QS I-GAUGE.</w:t>
      </w:r>
    </w:p>
    <w:p>
      <w:pPr>
        <w:spacing w:line="276" w:lineRule="auto" w:after="120"/>
        <w:jc w:val="both"/>
      </w:pPr>
      <w:r>
        <w:rPr>
          <w:rFonts w:ascii="Cambria" w:hAnsi="Cambria" w:eastAsia="Cambria" w:cs="Cambria"/>
          <w:b w:val="0"/>
          <w:i w:val="0"/>
          <w:sz w:val="22"/>
        </w:rPr>
        <w:t>The central challenge in higher education today lies in bridging the gap between knowledge dissemination and knowledge creation. While teaching imparts existing knowledge, research generates new ideas, innovations, and solutions to pressing challenges. The HoD plays the critical role of ensuring that research activities are embedded within the departmental ecosystem rather than being treated as isolated or peripheral functions. This involves identifying thrust areas for research, such as Artificial Intelligence, Renewable Energy, Healthcare Analytics, Smart Materials, or Sustainability, depending on the department’s expertise and relevance to societal needs. By aligning departmental thrust areas with institutional vision, national missions, and global trends, the HoD ensures that research projects undertaken by faculty and students are meaningful, impactful, and fundable. Such alignment also strengthens accreditation compliance, as NAAC Criterion 3 emphasizes research, innovation, and extension, while NBA Criterion 11 assesses R&amp;D, consultancy, and innovation.</w:t>
      </w:r>
    </w:p>
    <w:p>
      <w:pPr>
        <w:spacing w:line="276" w:lineRule="auto" w:after="120"/>
        <w:jc w:val="both"/>
      </w:pPr>
      <w:r>
        <w:rPr>
          <w:rFonts w:ascii="Cambria" w:hAnsi="Cambria" w:eastAsia="Cambria" w:cs="Cambria"/>
          <w:b w:val="0"/>
          <w:i w:val="0"/>
          <w:sz w:val="22"/>
        </w:rPr>
        <w:t>Another critical responsibility of the HoD is capacity building. A department cannot contribute meaningfully to research unless its faculty, students, and infrastructure are adequately prepared. The HoD must therefore encourage faculty to balance their teaching workload with active research responsibilities by providing mentorship, facilitating proposal writing, and organizing Faculty Development Programs (FDPs) and workshops on research methodologies. Faculty members should not perceive research as an additional burden but as an integral part of their academic identity. The HoD ensures this by integrating research contributions into faculty appraisal systems, workload allocation, and recognition mechanisms such as awards or incentives. At the same time, students must be introduced to research culture early, starting from undergraduate level term papers, moving on to mini-projects, major projects, and eventually dissertations and PhDs. By linking term papers to faculty research areas, the HoD ensures that students engage with real-world problems and scholarly debates rather than treating assignments as routine academic exercises. This structured pathway transforms students into future researchers and innovators, ensuring that the department does not merely produce graduates but research-ready professionals.</w:t>
      </w:r>
    </w:p>
    <w:p>
      <w:pPr>
        <w:spacing w:line="276" w:lineRule="auto" w:after="120"/>
        <w:jc w:val="both"/>
      </w:pPr>
      <w:r>
        <w:rPr>
          <w:rFonts w:ascii="Cambria" w:hAnsi="Cambria" w:eastAsia="Cambria" w:cs="Cambria"/>
          <w:b w:val="0"/>
          <w:i w:val="0"/>
          <w:sz w:val="22"/>
        </w:rPr>
        <w:t>Infrastructure plays an equally significant role in strengthening R&amp;D culture. Without adequate laboratories, software, and equipment, research remains a theoretical activity. The HoD has the responsibility of assessing departmental needs, preparing detailed proposals, securing funding from agencies such as UGC, AICTE, DST, or CSR initiatives, and overseeing the transparent procurement and installation of equipment. Once labs are established, the HoD ensures their effective utilization by appointing coordinators, formulating Standard Operating Procedures (SOPs), and maintaining usage registers. Monitoring systems such as annual utilization reports, AMC and calibration records, and linkage of equipment use to publications or patents confirm that infrastructure is not underutilized but actively contributes to measurable outputs. This prevents research labs from becoming symbolic showpieces and ensures they evolve into centers of excellence.</w:t>
      </w:r>
    </w:p>
    <w:p>
      <w:pPr>
        <w:spacing w:line="276" w:lineRule="auto" w:after="120"/>
        <w:jc w:val="both"/>
      </w:pPr>
      <w:r>
        <w:rPr>
          <w:rFonts w:ascii="Cambria" w:hAnsi="Cambria" w:eastAsia="Cambria" w:cs="Cambria"/>
          <w:b w:val="0"/>
          <w:i w:val="0"/>
          <w:sz w:val="22"/>
        </w:rPr>
        <w:t>The HoD’s role also extends to external engagement and collaboration. In an era where interdisciplinary and global collaboration drive innovation, the HoD must establish linkages with reputed national and international universities, research organizations, and industries. Signing MoUs, facilitating faculty and student exchange programs, initiating joint projects, and collaborating on patents and publications are tangible outcomes of such engagement. Importantly, the HoD ensures that collaborations go beyond symbolic agreements and lead to concrete outputs such as funded projects, conference proceedings, or consultancy opportunities. This not only enriches the department’s research portfolio but also embeds global academic and research standards into the local context, preparing students and faculty to compete at an international level.</w:t>
      </w:r>
    </w:p>
    <w:p>
      <w:pPr>
        <w:spacing w:line="276" w:lineRule="auto" w:after="120"/>
        <w:jc w:val="both"/>
      </w:pPr>
      <w:r>
        <w:rPr>
          <w:rFonts w:ascii="Cambria" w:hAnsi="Cambria" w:eastAsia="Cambria" w:cs="Cambria"/>
          <w:b w:val="0"/>
          <w:i w:val="0"/>
          <w:sz w:val="22"/>
        </w:rPr>
        <w:t>Monitoring and accountability mechanisms form the backbone of the HoD’s leadership in R&amp;D. Monthly research meetings, progress dashboards, and regular reports submitted to the principal ensure that projects are not delayed or derailed. Traceability from policy to action, evidence, and outcome strengthens institutional credibility. For example, if the policy is to increase patents, the HoD ensures systematic actions such as awareness workshops on Intellectual Property Rights (IPR), screening of patentable work in departmental meetings, and guidance for filing provisional and complete specifications. Evidence in the form of filed applications and granted patents is linked to outcomes such as commercialization, consultancy, or societal impact. This systematic process confirms that research outputs are not left unutilized but protected, recognized, and applied.</w:t>
      </w:r>
    </w:p>
    <w:p>
      <w:pPr>
        <w:spacing w:line="276" w:lineRule="auto" w:after="120"/>
        <w:jc w:val="both"/>
      </w:pPr>
      <w:r>
        <w:rPr>
          <w:rFonts w:ascii="Cambria" w:hAnsi="Cambria" w:eastAsia="Cambria" w:cs="Cambria"/>
          <w:b w:val="0"/>
          <w:i w:val="0"/>
          <w:sz w:val="22"/>
        </w:rPr>
        <w:t>The HoD also plays a governance role by liaising with external regulatory agencies such as UGC, CSIR, and affiliated universities to secure approvals for recognized research centers, appoint research directors, and expand PhD supervision capacity. Increasing the number of approved research guides within a department directly boosts its capacity to admit more PhD scholars, thereby expanding research output in the form of theses, publications, and patents. This process transforms the department into a recognized research hub and contributes to institutional rankings and visibility.</w:t>
      </w:r>
    </w:p>
    <w:p>
      <w:pPr>
        <w:spacing w:line="276" w:lineRule="auto" w:after="120"/>
        <w:jc w:val="both"/>
      </w:pPr>
      <w:r>
        <w:rPr>
          <w:rFonts w:ascii="Cambria" w:hAnsi="Cambria" w:eastAsia="Cambria" w:cs="Cambria"/>
          <w:b w:val="0"/>
          <w:i w:val="0"/>
          <w:sz w:val="22"/>
        </w:rPr>
        <w:t>Beyond faculty and infrastructure, the HoD is equally responsible for providing value-added opportunities to students and scholars. Organizing industry talks, national and international conferences, seminars, and student workshops ensures exposure to emerging trends and real-world challenges. Such events are not ceremonial but systematically documented and outcome-driven, resulting in collaborations, joint publications, or funded projects. Similarly, motivating B.Tech students to pursue M.Tech programs and encouraging M.Tech graduates to enroll in PhD programs creates a pipeline of researchers, ensuring sustainability of the research ecosystem. By strategically embedding research culture at multiple levels—student, faculty, infrastructure, collaboration, and governance—the HoD provides the foundation for continuous improvement.</w:t>
      </w:r>
    </w:p>
    <w:p>
      <w:pPr>
        <w:spacing w:line="276" w:lineRule="auto" w:after="120"/>
        <w:jc w:val="both"/>
      </w:pPr>
      <w:r>
        <w:rPr>
          <w:rFonts w:ascii="Cambria" w:hAnsi="Cambria" w:eastAsia="Cambria" w:cs="Cambria"/>
          <w:b w:val="0"/>
          <w:i w:val="0"/>
          <w:sz w:val="22"/>
        </w:rPr>
        <w:t>What sets apart effective HoD leadership in R&amp;D from symbolic practices is the principle of evidence-based and outcome-oriented action. Every initiative, whether it is establishing a lab, signing an MoU, or assigning a term paper, must have clear documentation, measurable outputs, and traceability. Accreditation agencies highly value this approach because it demonstrates systematic governance and continuous improvement. For example, a signed MoU without follow-up is symbolic, but an MoU leading to joint publications, exchange programs, and funded projects reflects genuine institutional growth. Similarly, labs without usage logs remain idle, but monitored labs linked to patents and consultancy revenues prove their relevance. Thus, the HoD ensures that every action is embedded within a cycle of planning, execution, evidence, outcome, review, and evolution.</w:t>
      </w:r>
    </w:p>
    <w:p>
      <w:pPr>
        <w:spacing w:line="276" w:lineRule="auto" w:after="120"/>
        <w:jc w:val="both"/>
      </w:pPr>
      <w:r>
        <w:rPr>
          <w:rFonts w:ascii="Cambria" w:hAnsi="Cambria" w:eastAsia="Cambria" w:cs="Cambria"/>
          <w:b w:val="0"/>
          <w:i w:val="0"/>
          <w:sz w:val="22"/>
        </w:rPr>
        <w:t>In conclusion, the HoD is not merely an administrator but a catalyst who transforms the departmental ecosystem by embedding a sustainable and evolving research culture. Through identification of thrust areas, integration of research into curriculum, establishment and monitoring of labs, faculty and student motivation, international collaborations, and systematic reporting, the HoD ensures that research activities are planned, recognized, monitored, and outcome-driven. This introduction establishes that the HoD’s leadership in R&amp;D is central to the reputation and effectiveness of higher education institutions. By demonstrating traceability, accountability, and continuous improvement, the HoD confirms that research is not symbolic but a permanent pillar of academic and institutional excellence.</w:t>
      </w:r>
    </w:p>
    <w:p>
      <w:r>
        <w:br w:type="page"/>
      </w:r>
    </w:p>
    <w:p>
      <w:pPr>
        <w:spacing w:before="280" w:after="160"/>
      </w:pPr>
      <w:r>
        <w:rPr>
          <w:rFonts w:ascii="Cambria" w:hAnsi="Cambria" w:eastAsia="Cambria" w:cs="Cambria"/>
          <w:b/>
          <w:i w:val="0"/>
          <w:color w:val="1F3A5F"/>
          <w:sz w:val="36"/>
        </w:rPr>
        <w:t>2. Roles and Responsibilities of Head of the Department (HoD) in Higher Education Institutions (HEIs)</w:t>
      </w:r>
    </w:p>
    <w:p>
      <w:pPr>
        <w:spacing w:before="200" w:after="160"/>
      </w:pPr>
      <w:r>
        <w:rPr>
          <w:rFonts w:ascii="Cambria" w:hAnsi="Cambria" w:eastAsia="Cambria" w:cs="Cambria"/>
          <w:b/>
          <w:i w:val="0"/>
          <w:color w:val="1F3A5F"/>
          <w:sz w:val="30"/>
        </w:rPr>
        <w:t>Academic Leadership</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The HoD acts as the academic leader of the department by defining its vision, mission, and strategic goals.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that curriculum design, review, and delivery are aligned with national policies such as NEP 2020 and accreditation requirements (NAAC, NBA).</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Encourages adoption of innovative pedagogy, blended learning, experiential learning, and integration of Indian Knowledge Systems (IKS) and Sustainable Development Goals (SDGs).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Builds a culture of academic excellence, motivating faculty and students toward higher performance.</w:t>
      </w:r>
    </w:p>
    <w:p>
      <w:pPr>
        <w:spacing w:before="200" w:after="160"/>
      </w:pPr>
      <w:r>
        <w:rPr>
          <w:rFonts w:ascii="Cambria" w:hAnsi="Cambria" w:eastAsia="Cambria" w:cs="Cambria"/>
          <w:b/>
          <w:i w:val="0"/>
          <w:color w:val="1F3A5F"/>
          <w:sz w:val="30"/>
        </w:rPr>
        <w:t>Administration &amp; Governance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Responsible for the smooth functioning of daily academic and administrative operations of the department.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Allocates courses, workload, and responsibilities equitably among faculty.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Manages departmental resources (classrooms, laboratories, library, equipment) and ensures their effective utilization.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Prepares annual budgets, manages funds, and ensures financial accountability.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Chairs departmental meetings and represents the department in institutional committees.</w:t>
      </w:r>
    </w:p>
    <w:p>
      <w:pPr>
        <w:spacing w:before="200" w:after="160"/>
      </w:pPr>
      <w:r>
        <w:rPr>
          <w:rFonts w:ascii="Cambria" w:hAnsi="Cambria" w:eastAsia="Cambria" w:cs="Cambria"/>
          <w:b/>
          <w:i w:val="0"/>
          <w:color w:val="1F3A5F"/>
          <w:sz w:val="30"/>
        </w:rPr>
        <w:t>Faculty Development &amp; Human Resource Management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Leads faculty recruitment in consultation with institutional authorities.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Provides orientation and mentoring for newly recruited staff.</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Conducts faculty performance reviews, encourages continuous professional development, and recommends promotions.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Organizes Faculty Development Programs (FDPs), workshops, and research training sessions.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Fosters a healthy work environment, addressing conflicts and ensuring inclusivity and gender equality.</w:t>
      </w:r>
    </w:p>
    <w:p>
      <w:pPr>
        <w:spacing w:before="200" w:after="160"/>
      </w:pPr>
      <w:r>
        <w:rPr>
          <w:rFonts w:ascii="Cambria" w:hAnsi="Cambria" w:eastAsia="Cambria" w:cs="Cambria"/>
          <w:b/>
          <w:i w:val="0"/>
          <w:color w:val="1F3A5F"/>
          <w:sz w:val="30"/>
        </w:rPr>
        <w:t>Student Development &amp; Support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Implements mentoring systems to support students academically, emotionally, and professionally.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Coordinates career guidance, placement support, and higher education opportunities.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Promotes student involvement in co-curricular, extracurricular, research, and entrepreneurship activities.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Addresses student grievances promptly, ensures anti-ragging and inclusivity policies are in practice.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Monitors student performance and initiates remedial measures for slow learners while nurturing advanced learners.</w:t>
      </w:r>
    </w:p>
    <w:p>
      <w:pPr>
        <w:spacing w:before="200" w:after="160"/>
      </w:pPr>
      <w:r>
        <w:rPr>
          <w:rFonts w:ascii="Cambria" w:hAnsi="Cambria" w:eastAsia="Cambria" w:cs="Cambria"/>
          <w:b/>
          <w:i w:val="0"/>
          <w:color w:val="1F3A5F"/>
          <w:sz w:val="30"/>
        </w:rPr>
        <w:t>Research, Innovation &amp; Consultancy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Develops a strong research ecosystem within the department by encouraging faculty and students to publish in peer-reviewed and indexed journals.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Guides faculty in securing research grants, consultancy projects, and sponsored programs from government/industry.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Promotes intellectual property generation, patents, and startup incubation activities.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Encourages interdisciplinary and collaborative research within and outside the institution.</w:t>
      </w:r>
    </w:p>
    <w:p>
      <w:pPr>
        <w:spacing w:before="200" w:after="160"/>
      </w:pPr>
      <w:r>
        <w:rPr>
          <w:rFonts w:ascii="Cambria" w:hAnsi="Cambria" w:eastAsia="Cambria" w:cs="Cambria"/>
          <w:b/>
          <w:i w:val="0"/>
          <w:color w:val="1F3A5F"/>
          <w:sz w:val="30"/>
        </w:rPr>
        <w:t>Quality Assurance &amp; Accreditation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compliance with quality benchmarks set by NAAC, NBA, NIRF, and QS I-GAUGE frameworks.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Maintains updated documentation for accreditation, including CO-PO-PSO mapping, attainment levels, and evidence-based reports.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Conducts internal academic audits, student/faculty feedback analysis, and implements corrective measures.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Works closely with the IQAC (Internal Quality Assurance Cell) for continuous improvement.</w:t>
      </w:r>
    </w:p>
    <w:p>
      <w:pPr>
        <w:spacing w:before="200" w:after="160"/>
      </w:pPr>
      <w:r>
        <w:rPr>
          <w:rFonts w:ascii="Cambria" w:hAnsi="Cambria" w:eastAsia="Cambria" w:cs="Cambria"/>
          <w:b/>
          <w:i w:val="0"/>
          <w:color w:val="1F3A5F"/>
          <w:sz w:val="30"/>
        </w:rPr>
        <w:t>Strategic Development &amp; External Linkages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Builds strong linkages with industry, research bodies, and professional organizations through MoUs and collaborations.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Facilitates internships, industrial training, and collaborative research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Promotes international linkages for faculty/student exchange and collaborative programs.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Aligns departmental strategies with the broader institutional development plan and national/global trends.</w:t>
      </w:r>
    </w:p>
    <w:p>
      <w:pPr>
        <w:spacing w:before="200" w:after="160"/>
      </w:pPr>
      <w:r>
        <w:rPr>
          <w:rFonts w:ascii="Cambria" w:hAnsi="Cambria" w:eastAsia="Cambria" w:cs="Cambria"/>
          <w:b/>
          <w:i w:val="0"/>
          <w:color w:val="1F3A5F"/>
          <w:sz w:val="30"/>
        </w:rPr>
        <w:t>Examinations &amp; Evaluation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Oversees conduct of internal assessments, assignments, and project evaluations in a transparent manner.</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integrity and discipline during examinations.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Monitors evaluation processes, maintains grading fairness, and ensures timely declaration of results.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Encourages innovative assessment techniques such as rubrics, case studies, and open-book tests.</w:t>
      </w:r>
    </w:p>
    <w:p>
      <w:pPr>
        <w:spacing w:before="200" w:after="160"/>
      </w:pPr>
      <w:r>
        <w:rPr>
          <w:rFonts w:ascii="Cambria" w:hAnsi="Cambria" w:eastAsia="Cambria" w:cs="Cambria"/>
          <w:b/>
          <w:i w:val="0"/>
          <w:color w:val="1F3A5F"/>
          <w:sz w:val="30"/>
        </w:rPr>
        <w:t>Community Engagement &amp; Extension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Encourages faculty and students to take part in community service, extension activities, and social outreach programs.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Implements environmental sustainability initiatives (green audit practices, renewable energy usage, waste management) within the department.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Strengthens the department’s role in contributing to national priorities and social responsibilities.</w:t>
      </w:r>
    </w:p>
    <w:p>
      <w:pPr>
        <w:spacing w:before="200" w:after="160"/>
      </w:pPr>
      <w:r>
        <w:rPr>
          <w:rFonts w:ascii="Cambria" w:hAnsi="Cambria" w:eastAsia="Cambria" w:cs="Cambria"/>
          <w:b/>
          <w:i w:val="0"/>
          <w:color w:val="1F3A5F"/>
          <w:sz w:val="30"/>
        </w:rPr>
        <w:t>Reporting &amp; Accountability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Submits annual reports, performance indicators, and departmental achievements to higher authorities (Dean/Principal/Director).</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Maintains systematic records of faculty publications, student achievements, research outputs, consultancy projects, and financial utilization.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transparency, ethical practices, and accountability in every aspect of departmental functioning.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Acts as a liaison between faculty/students and the higher administration, representing departmental concerns.</w:t>
      </w:r>
    </w:p>
    <w:p>
      <w:pPr>
        <w:spacing w:before="200" w:after="160"/>
      </w:pPr>
      <w:r>
        <w:rPr>
          <w:rFonts w:ascii="Cambria" w:hAnsi="Cambria" w:eastAsia="Cambria" w:cs="Cambria"/>
          <w:b/>
          <w:i w:val="0"/>
          <w:color w:val="1F3A5F"/>
          <w:sz w:val="26"/>
        </w:rPr>
        <w:t>Policy–Action–Outcome Table: Roles &amp; Responsibilities of HoD in HEIs</w:t>
      </w:r>
    </w:p>
    <w:tbl>
      <w:tblPr>
        <w:tblW w:type="auto" w:w="0"/>
        <w:jc w:val="center"/>
        <w:tblLayout w:type="fixed"/>
        <w:tblLook w:firstColumn="1" w:firstRow="1" w:lastColumn="0" w:lastRow="0" w:noHBand="0" w:noVBand="1" w:val="04A0"/>
        <w:tblLayout w:type="fixed"/>
      </w:tblPr>
      <w:tblGrid>
        <w:gridCol w:w="1984"/>
        <w:gridCol w:w="4252"/>
        <w:gridCol w:w="3402"/>
      </w:tblGrid>
      <w:tr>
        <w:tc>
          <w:tcPr>
            <w:tcW w:type="dxa" w:w="1984"/>
            <w:shd w:val="clear" w:color="auto" w:fill="1F3A5F"/>
          </w:tcPr>
          <w:p>
            <w:pPr>
              <w:jc w:val="center"/>
            </w:pPr>
            <w:r/>
            <w:r>
              <w:rPr>
                <w:rFonts w:ascii="Cambria" w:hAnsi="Cambria" w:eastAsia="Cambria" w:cs="Cambria"/>
                <w:b/>
                <w:i w:val="0"/>
                <w:color w:val="FFFFFF"/>
                <w:sz w:val="19"/>
              </w:rPr>
              <w:t>Policy Area</w:t>
            </w:r>
          </w:p>
        </w:tc>
        <w:tc>
          <w:tcPr>
            <w:tcW w:type="dxa" w:w="4252"/>
            <w:shd w:val="clear" w:color="auto" w:fill="1F3A5F"/>
          </w:tcPr>
          <w:p>
            <w:pPr>
              <w:jc w:val="center"/>
            </w:pPr>
            <w:r/>
            <w:r>
              <w:rPr>
                <w:rFonts w:ascii="Cambria" w:hAnsi="Cambria" w:eastAsia="Cambria" w:cs="Cambria"/>
                <w:b/>
                <w:i w:val="0"/>
                <w:color w:val="FFFFFF"/>
                <w:sz w:val="19"/>
              </w:rPr>
              <w:t>Actions by HoD</w:t>
            </w:r>
          </w:p>
        </w:tc>
        <w:tc>
          <w:tcPr>
            <w:tcW w:type="dxa" w:w="3402"/>
            <w:shd w:val="clear" w:color="auto" w:fill="1F3A5F"/>
          </w:tcPr>
          <w:p>
            <w:pPr>
              <w:jc w:val="center"/>
            </w:pPr>
            <w:r/>
            <w:r>
              <w:rPr>
                <w:rFonts w:ascii="Cambria" w:hAnsi="Cambria" w:eastAsia="Cambria" w:cs="Cambria"/>
                <w:b/>
                <w:i w:val="0"/>
                <w:color w:val="FFFFFF"/>
                <w:sz w:val="19"/>
              </w:rPr>
              <w:t>Expected Outcomes</w:t>
            </w:r>
          </w:p>
        </w:tc>
      </w:tr>
      <w:tr>
        <w:tc>
          <w:tcPr>
            <w:tcW w:type="dxa" w:w="1984"/>
          </w:tcPr>
          <w:p>
            <w:pPr>
              <w:jc w:val="center"/>
            </w:pPr>
            <w:r/>
            <w:r>
              <w:rPr>
                <w:rFonts w:ascii="Cambria" w:hAnsi="Cambria" w:eastAsia="Cambria" w:cs="Cambria"/>
                <w:b w:val="0"/>
                <w:i w:val="0"/>
                <w:sz w:val="17"/>
              </w:rPr>
              <w:t>Academic Leadership</w:t>
            </w:r>
          </w:p>
        </w:tc>
        <w:tc>
          <w:tcPr>
            <w:tcW w:type="dxa" w:w="4252"/>
          </w:tcPr>
          <w:p>
            <w:pPr>
              <w:jc w:val="left"/>
            </w:pPr>
            <w:r/>
            <w:r>
              <w:rPr>
                <w:rFonts w:ascii="Cambria" w:hAnsi="Cambria" w:eastAsia="Cambria" w:cs="Cambria"/>
                <w:b w:val="0"/>
                <w:i w:val="0"/>
                <w:sz w:val="17"/>
              </w:rPr>
              <w:t>- Formulate vision and mission of the department aligned with institutional goals and NEP 2020.</w:t>
              <w:br/>
              <w:t>- Ensure curriculum design, revision, and delivery meet industry and accreditation standards.</w:t>
              <w:br/>
              <w:t>- Promote innovative teaching methods (ICT, blended learning, experiential learning).</w:t>
            </w:r>
          </w:p>
        </w:tc>
        <w:tc>
          <w:tcPr>
            <w:tcW w:type="dxa" w:w="3402"/>
          </w:tcPr>
          <w:p>
            <w:pPr>
              <w:jc w:val="center"/>
            </w:pPr>
            <w:r/>
            <w:r>
              <w:rPr>
                <w:rFonts w:ascii="Cambria" w:hAnsi="Cambria" w:eastAsia="Cambria" w:cs="Cambria"/>
                <w:b w:val="0"/>
                <w:i w:val="0"/>
                <w:sz w:val="17"/>
              </w:rPr>
              <w:t>- Enhanced teaching–learning quality.</w:t>
              <w:br/>
              <w:t>- Updated, multidisciplinary, and outcome-based curriculum.</w:t>
              <w:br/>
              <w:t>- Improved student academic performance and employability.</w:t>
            </w:r>
          </w:p>
        </w:tc>
      </w:tr>
      <w:tr>
        <w:tc>
          <w:tcPr>
            <w:tcW w:type="dxa" w:w="1984"/>
            <w:shd w:val="clear" w:color="auto" w:fill="D9D9D9"/>
          </w:tcPr>
          <w:p>
            <w:pPr>
              <w:jc w:val="center"/>
            </w:pPr>
            <w:r/>
            <w:r>
              <w:rPr>
                <w:rFonts w:ascii="Cambria" w:hAnsi="Cambria" w:eastAsia="Cambria" w:cs="Cambria"/>
                <w:b w:val="0"/>
                <w:i w:val="0"/>
                <w:sz w:val="17"/>
              </w:rPr>
              <w:t>Administration &amp; Governance</w:t>
            </w:r>
          </w:p>
        </w:tc>
        <w:tc>
          <w:tcPr>
            <w:tcW w:type="dxa" w:w="4252"/>
            <w:shd w:val="clear" w:color="auto" w:fill="D9D9D9"/>
          </w:tcPr>
          <w:p>
            <w:pPr>
              <w:jc w:val="left"/>
            </w:pPr>
            <w:r/>
            <w:r>
              <w:rPr>
                <w:rFonts w:ascii="Cambria" w:hAnsi="Cambria" w:eastAsia="Cambria" w:cs="Cambria"/>
                <w:b w:val="0"/>
                <w:i w:val="0"/>
                <w:sz w:val="17"/>
              </w:rPr>
              <w:t>- Manage day-to-day functioning of the department.</w:t>
              <w:br/>
              <w:t>- Allocate workload and resources effectively.</w:t>
              <w:br/>
              <w:t>- Conduct departmental meetings and submit reports to higher administration.</w:t>
            </w:r>
          </w:p>
        </w:tc>
        <w:tc>
          <w:tcPr>
            <w:tcW w:type="dxa" w:w="3402"/>
            <w:shd w:val="clear" w:color="auto" w:fill="D9D9D9"/>
          </w:tcPr>
          <w:p>
            <w:pPr>
              <w:jc w:val="center"/>
            </w:pPr>
            <w:r/>
            <w:r>
              <w:rPr>
                <w:rFonts w:ascii="Cambria" w:hAnsi="Cambria" w:eastAsia="Cambria" w:cs="Cambria"/>
                <w:b w:val="0"/>
                <w:i w:val="0"/>
                <w:sz w:val="17"/>
              </w:rPr>
              <w:t>- Transparent and efficient departmental functioning.</w:t>
              <w:br/>
              <w:t>- Optimized resource utilization.</w:t>
              <w:br/>
              <w:t>- Strong communication between department and institution.</w:t>
            </w:r>
          </w:p>
        </w:tc>
      </w:tr>
      <w:tr>
        <w:tc>
          <w:tcPr>
            <w:tcW w:type="dxa" w:w="1984"/>
          </w:tcPr>
          <w:p>
            <w:pPr>
              <w:jc w:val="center"/>
            </w:pPr>
            <w:r/>
            <w:r>
              <w:rPr>
                <w:rFonts w:ascii="Cambria" w:hAnsi="Cambria" w:eastAsia="Cambria" w:cs="Cambria"/>
                <w:b w:val="0"/>
                <w:i w:val="0"/>
                <w:sz w:val="17"/>
              </w:rPr>
              <w:t>Faculty Development</w:t>
            </w:r>
          </w:p>
        </w:tc>
        <w:tc>
          <w:tcPr>
            <w:tcW w:type="dxa" w:w="4252"/>
          </w:tcPr>
          <w:p>
            <w:pPr>
              <w:jc w:val="left"/>
            </w:pPr>
            <w:r/>
            <w:r>
              <w:rPr>
                <w:rFonts w:ascii="Cambria" w:hAnsi="Cambria" w:eastAsia="Cambria" w:cs="Cambria"/>
                <w:b w:val="0"/>
                <w:i w:val="0"/>
                <w:sz w:val="17"/>
              </w:rPr>
              <w:t>- Recruit and mentor faculty.</w:t>
              <w:br/>
              <w:t>- Conduct Faculty Development Programs (FDPs) and workshops.</w:t>
              <w:br/>
              <w:t>- Evaluate faculty performance and recommend career progression.</w:t>
            </w:r>
          </w:p>
        </w:tc>
        <w:tc>
          <w:tcPr>
            <w:tcW w:type="dxa" w:w="3402"/>
          </w:tcPr>
          <w:p>
            <w:pPr>
              <w:jc w:val="center"/>
            </w:pPr>
            <w:r/>
            <w:r>
              <w:rPr>
                <w:rFonts w:ascii="Cambria" w:hAnsi="Cambria" w:eastAsia="Cambria" w:cs="Cambria"/>
                <w:b w:val="0"/>
                <w:i w:val="0"/>
                <w:sz w:val="17"/>
              </w:rPr>
              <w:t>- Highly skilled, motivated, and research-oriented faculty.</w:t>
              <w:br/>
              <w:t>- Faculty contributions to publications, patents, and projects.</w:t>
              <w:br/>
              <w:t>- Improved teaching quality and research output.</w:t>
            </w:r>
          </w:p>
        </w:tc>
      </w:tr>
      <w:tr>
        <w:tc>
          <w:tcPr>
            <w:tcW w:type="dxa" w:w="1984"/>
            <w:shd w:val="clear" w:color="auto" w:fill="D9D9D9"/>
          </w:tcPr>
          <w:p>
            <w:pPr>
              <w:jc w:val="center"/>
            </w:pPr>
            <w:r/>
            <w:r>
              <w:rPr>
                <w:rFonts w:ascii="Cambria" w:hAnsi="Cambria" w:eastAsia="Cambria" w:cs="Cambria"/>
                <w:b w:val="0"/>
                <w:i w:val="0"/>
                <w:sz w:val="17"/>
              </w:rPr>
              <w:t>Student Support &amp; Development</w:t>
            </w:r>
          </w:p>
        </w:tc>
        <w:tc>
          <w:tcPr>
            <w:tcW w:type="dxa" w:w="4252"/>
            <w:shd w:val="clear" w:color="auto" w:fill="D9D9D9"/>
          </w:tcPr>
          <w:p>
            <w:pPr>
              <w:jc w:val="left"/>
            </w:pPr>
            <w:r/>
            <w:r>
              <w:rPr>
                <w:rFonts w:ascii="Cambria" w:hAnsi="Cambria" w:eastAsia="Cambria" w:cs="Cambria"/>
                <w:b w:val="0"/>
                <w:i w:val="0"/>
                <w:sz w:val="17"/>
              </w:rPr>
              <w:t>- Implement mentoring and counseling systems.</w:t>
              <w:br/>
              <w:t>- Facilitate internships, placements, and higher education opportunities.</w:t>
              <w:br/>
              <w:t>- Organize student research, entrepreneurship, and extension activities.</w:t>
            </w:r>
          </w:p>
        </w:tc>
        <w:tc>
          <w:tcPr>
            <w:tcW w:type="dxa" w:w="3402"/>
            <w:shd w:val="clear" w:color="auto" w:fill="D9D9D9"/>
          </w:tcPr>
          <w:p>
            <w:pPr>
              <w:jc w:val="center"/>
            </w:pPr>
            <w:r/>
            <w:r>
              <w:rPr>
                <w:rFonts w:ascii="Cambria" w:hAnsi="Cambria" w:eastAsia="Cambria" w:cs="Cambria"/>
                <w:b w:val="0"/>
                <w:i w:val="0"/>
                <w:sz w:val="17"/>
              </w:rPr>
              <w:t>- Increased student success rates and placements.</w:t>
              <w:br/>
              <w:t>- Stronger industry-readiness and employability skills.</w:t>
              <w:br/>
              <w:t>- Improved student satisfaction and well-being.</w:t>
            </w:r>
          </w:p>
        </w:tc>
      </w:tr>
      <w:tr>
        <w:tc>
          <w:tcPr>
            <w:tcW w:type="dxa" w:w="1984"/>
          </w:tcPr>
          <w:p>
            <w:pPr>
              <w:jc w:val="center"/>
            </w:pPr>
            <w:r/>
            <w:r>
              <w:rPr>
                <w:rFonts w:ascii="Cambria" w:hAnsi="Cambria" w:eastAsia="Cambria" w:cs="Cambria"/>
                <w:b w:val="0"/>
                <w:i w:val="0"/>
                <w:sz w:val="17"/>
              </w:rPr>
              <w:t>Research &amp; Innovation</w:t>
            </w:r>
          </w:p>
        </w:tc>
        <w:tc>
          <w:tcPr>
            <w:tcW w:type="dxa" w:w="4252"/>
          </w:tcPr>
          <w:p>
            <w:pPr>
              <w:jc w:val="left"/>
            </w:pPr>
            <w:r/>
            <w:r>
              <w:rPr>
                <w:rFonts w:ascii="Cambria" w:hAnsi="Cambria" w:eastAsia="Cambria" w:cs="Cambria"/>
                <w:b w:val="0"/>
                <w:i w:val="0"/>
                <w:sz w:val="17"/>
              </w:rPr>
              <w:t>- Promote departmental research culture.</w:t>
              <w:br/>
              <w:t>- Encourage faculty and students to publish, file patents, and secure funded projects.</w:t>
              <w:br/>
              <w:t>- Facilitate industry collaborations and consultancy.</w:t>
            </w:r>
          </w:p>
        </w:tc>
        <w:tc>
          <w:tcPr>
            <w:tcW w:type="dxa" w:w="3402"/>
          </w:tcPr>
          <w:p>
            <w:pPr>
              <w:jc w:val="center"/>
            </w:pPr>
            <w:r/>
            <w:r>
              <w:rPr>
                <w:rFonts w:ascii="Cambria" w:hAnsi="Cambria" w:eastAsia="Cambria" w:cs="Cambria"/>
                <w:b w:val="0"/>
                <w:i w:val="0"/>
                <w:sz w:val="17"/>
              </w:rPr>
              <w:t>- Increased research publications, IPR, and funding.</w:t>
              <w:br/>
              <w:t>- Strong industry linkages and consultancy revenues.</w:t>
              <w:br/>
              <w:t>- Recognition of department as a research hub.</w:t>
            </w:r>
          </w:p>
        </w:tc>
      </w:tr>
      <w:tr>
        <w:tc>
          <w:tcPr>
            <w:tcW w:type="dxa" w:w="1984"/>
            <w:shd w:val="clear" w:color="auto" w:fill="D9D9D9"/>
          </w:tcPr>
          <w:p>
            <w:pPr>
              <w:jc w:val="center"/>
            </w:pPr>
            <w:r/>
            <w:r>
              <w:rPr>
                <w:rFonts w:ascii="Cambria" w:hAnsi="Cambria" w:eastAsia="Cambria" w:cs="Cambria"/>
                <w:b w:val="0"/>
                <w:i w:val="0"/>
                <w:sz w:val="17"/>
              </w:rPr>
              <w:t>Quality Assurance &amp; Accreditation</w:t>
            </w:r>
          </w:p>
        </w:tc>
        <w:tc>
          <w:tcPr>
            <w:tcW w:type="dxa" w:w="4252"/>
            <w:shd w:val="clear" w:color="auto" w:fill="D9D9D9"/>
          </w:tcPr>
          <w:p>
            <w:pPr>
              <w:jc w:val="left"/>
            </w:pPr>
            <w:r/>
            <w:r>
              <w:rPr>
                <w:rFonts w:ascii="Cambria" w:hAnsi="Cambria" w:eastAsia="Cambria" w:cs="Cambria"/>
                <w:b w:val="0"/>
                <w:i w:val="0"/>
                <w:sz w:val="17"/>
              </w:rPr>
              <w:t>- Monitor CO–PO–PSO attainment levels.</w:t>
              <w:br/>
              <w:t>- Conduct academic audits and analyze feedback.</w:t>
              <w:br/>
              <w:t>- Ensure compliance with NAAC, NBA, NIRF, QS I-GAUGE standards.</w:t>
            </w:r>
          </w:p>
        </w:tc>
        <w:tc>
          <w:tcPr>
            <w:tcW w:type="dxa" w:w="3402"/>
            <w:shd w:val="clear" w:color="auto" w:fill="D9D9D9"/>
          </w:tcPr>
          <w:p>
            <w:pPr>
              <w:jc w:val="center"/>
            </w:pPr>
            <w:r/>
            <w:r>
              <w:rPr>
                <w:rFonts w:ascii="Cambria" w:hAnsi="Cambria" w:eastAsia="Cambria" w:cs="Cambria"/>
                <w:b w:val="0"/>
                <w:i w:val="0"/>
                <w:sz w:val="17"/>
              </w:rPr>
              <w:t>- Accreditation readiness and improved rankings.</w:t>
              <w:br/>
              <w:t>- Continuous quality enhancement.</w:t>
              <w:br/>
              <w:t>- Strong evidence-based documentation.</w:t>
            </w:r>
          </w:p>
        </w:tc>
      </w:tr>
      <w:tr>
        <w:tc>
          <w:tcPr>
            <w:tcW w:type="dxa" w:w="1984"/>
          </w:tcPr>
          <w:p>
            <w:pPr>
              <w:jc w:val="center"/>
            </w:pPr>
            <w:r/>
            <w:r>
              <w:rPr>
                <w:rFonts w:ascii="Cambria" w:hAnsi="Cambria" w:eastAsia="Cambria" w:cs="Cambria"/>
                <w:b w:val="0"/>
                <w:i w:val="0"/>
                <w:sz w:val="17"/>
              </w:rPr>
              <w:t>Strategic Development &amp; Linkages</w:t>
            </w:r>
          </w:p>
        </w:tc>
        <w:tc>
          <w:tcPr>
            <w:tcW w:type="dxa" w:w="4252"/>
          </w:tcPr>
          <w:p>
            <w:pPr>
              <w:jc w:val="left"/>
            </w:pPr>
            <w:r/>
            <w:r>
              <w:rPr>
                <w:rFonts w:ascii="Cambria" w:hAnsi="Cambria" w:eastAsia="Cambria" w:cs="Cambria"/>
                <w:b w:val="0"/>
                <w:i w:val="0"/>
                <w:sz w:val="17"/>
              </w:rPr>
              <w:t>- Establish MoUs with industry, academia, and research organizations.</w:t>
              <w:br/>
              <w:t>- Promote international collaborations and exchange programs.</w:t>
              <w:br/>
              <w:t>- Align departmental growth with SDGs and institutional strategic plan.</w:t>
            </w:r>
          </w:p>
        </w:tc>
        <w:tc>
          <w:tcPr>
            <w:tcW w:type="dxa" w:w="3402"/>
          </w:tcPr>
          <w:p>
            <w:pPr>
              <w:jc w:val="center"/>
            </w:pPr>
            <w:r/>
            <w:r>
              <w:rPr>
                <w:rFonts w:ascii="Cambria" w:hAnsi="Cambria" w:eastAsia="Cambria" w:cs="Cambria"/>
                <w:b w:val="0"/>
                <w:i w:val="0"/>
                <w:sz w:val="17"/>
              </w:rPr>
              <w:t>- Enhanced global reputation of the department.</w:t>
              <w:br/>
              <w:t>- Improved industry–academia collaboration.</w:t>
              <w:br/>
              <w:t>- Sustainable departmental development.</w:t>
            </w:r>
          </w:p>
        </w:tc>
      </w:tr>
      <w:tr>
        <w:tc>
          <w:tcPr>
            <w:tcW w:type="dxa" w:w="1984"/>
            <w:shd w:val="clear" w:color="auto" w:fill="D9D9D9"/>
          </w:tcPr>
          <w:p>
            <w:pPr>
              <w:jc w:val="center"/>
            </w:pPr>
            <w:r/>
            <w:r>
              <w:rPr>
                <w:rFonts w:ascii="Cambria" w:hAnsi="Cambria" w:eastAsia="Cambria" w:cs="Cambria"/>
                <w:b w:val="0"/>
                <w:i w:val="0"/>
                <w:sz w:val="17"/>
              </w:rPr>
              <w:t>Examinations &amp; Evaluation</w:t>
            </w:r>
          </w:p>
        </w:tc>
        <w:tc>
          <w:tcPr>
            <w:tcW w:type="dxa" w:w="4252"/>
            <w:shd w:val="clear" w:color="auto" w:fill="D9D9D9"/>
          </w:tcPr>
          <w:p>
            <w:pPr>
              <w:jc w:val="left"/>
            </w:pPr>
            <w:r/>
            <w:r>
              <w:rPr>
                <w:rFonts w:ascii="Cambria" w:hAnsi="Cambria" w:eastAsia="Cambria" w:cs="Cambria"/>
                <w:b w:val="0"/>
                <w:i w:val="0"/>
                <w:sz w:val="17"/>
              </w:rPr>
              <w:t>- Conduct internal assessments, exams, and evaluations fairly.</w:t>
              <w:br/>
              <w:t>- Adopt innovative assessment methods (rubrics, projects, case studies).</w:t>
              <w:br/>
              <w:t>- Ensure timely declaration of results.</w:t>
            </w:r>
          </w:p>
        </w:tc>
        <w:tc>
          <w:tcPr>
            <w:tcW w:type="dxa" w:w="3402"/>
            <w:shd w:val="clear" w:color="auto" w:fill="D9D9D9"/>
          </w:tcPr>
          <w:p>
            <w:pPr>
              <w:jc w:val="center"/>
            </w:pPr>
            <w:r/>
            <w:r>
              <w:rPr>
                <w:rFonts w:ascii="Cambria" w:hAnsi="Cambria" w:eastAsia="Cambria" w:cs="Cambria"/>
                <w:b w:val="0"/>
                <w:i w:val="0"/>
                <w:sz w:val="17"/>
              </w:rPr>
              <w:t>- Fair and transparent evaluation system.</w:t>
              <w:br/>
              <w:t>- Better student learning outcomes.</w:t>
              <w:br/>
              <w:t>- Reduced examination-related grievances.</w:t>
            </w:r>
          </w:p>
        </w:tc>
      </w:tr>
      <w:tr>
        <w:tc>
          <w:tcPr>
            <w:tcW w:type="dxa" w:w="1984"/>
          </w:tcPr>
          <w:p>
            <w:pPr>
              <w:jc w:val="center"/>
            </w:pPr>
            <w:r/>
            <w:r>
              <w:rPr>
                <w:rFonts w:ascii="Cambria" w:hAnsi="Cambria" w:eastAsia="Cambria" w:cs="Cambria"/>
                <w:b w:val="0"/>
                <w:i w:val="0"/>
                <w:sz w:val="17"/>
              </w:rPr>
              <w:t>Community Engagement</w:t>
            </w:r>
          </w:p>
        </w:tc>
        <w:tc>
          <w:tcPr>
            <w:tcW w:type="dxa" w:w="4252"/>
          </w:tcPr>
          <w:p>
            <w:pPr>
              <w:jc w:val="left"/>
            </w:pPr>
            <w:r/>
            <w:r>
              <w:rPr>
                <w:rFonts w:ascii="Cambria" w:hAnsi="Cambria" w:eastAsia="Cambria" w:cs="Cambria"/>
                <w:b w:val="0"/>
                <w:i w:val="0"/>
                <w:sz w:val="17"/>
              </w:rPr>
              <w:t>- Promote extension and outreach programs.</w:t>
              <w:br/>
              <w:t>- Encourage student/faculty involvement in societal development.</w:t>
              <w:br/>
              <w:t>- Implement eco-friendly and green initiatives.</w:t>
            </w:r>
          </w:p>
        </w:tc>
        <w:tc>
          <w:tcPr>
            <w:tcW w:type="dxa" w:w="3402"/>
          </w:tcPr>
          <w:p>
            <w:pPr>
              <w:jc w:val="center"/>
            </w:pPr>
            <w:r/>
            <w:r>
              <w:rPr>
                <w:rFonts w:ascii="Cambria" w:hAnsi="Cambria" w:eastAsia="Cambria" w:cs="Cambria"/>
                <w:b w:val="0"/>
                <w:i w:val="0"/>
                <w:sz w:val="17"/>
              </w:rPr>
              <w:t>- Strong community–institution relationship.</w:t>
              <w:br/>
              <w:t>- Contribution to social responsibility and sustainability.</w:t>
              <w:br/>
              <w:t>- Enhanced institutional reputation in society.</w:t>
            </w:r>
          </w:p>
        </w:tc>
      </w:tr>
      <w:tr>
        <w:tc>
          <w:tcPr>
            <w:tcW w:type="dxa" w:w="1984"/>
            <w:shd w:val="clear" w:color="auto" w:fill="D9D9D9"/>
          </w:tcPr>
          <w:p>
            <w:pPr>
              <w:jc w:val="center"/>
            </w:pPr>
            <w:r/>
            <w:r>
              <w:rPr>
                <w:rFonts w:ascii="Cambria" w:hAnsi="Cambria" w:eastAsia="Cambria" w:cs="Cambria"/>
                <w:b w:val="0"/>
                <w:i w:val="0"/>
                <w:sz w:val="17"/>
              </w:rPr>
              <w:t>Reporting &amp; Accountability</w:t>
            </w:r>
          </w:p>
        </w:tc>
        <w:tc>
          <w:tcPr>
            <w:tcW w:type="dxa" w:w="4252"/>
            <w:shd w:val="clear" w:color="auto" w:fill="D9D9D9"/>
          </w:tcPr>
          <w:p>
            <w:pPr>
              <w:jc w:val="left"/>
            </w:pPr>
            <w:r/>
            <w:r>
              <w:rPr>
                <w:rFonts w:ascii="Cambria" w:hAnsi="Cambria" w:eastAsia="Cambria" w:cs="Cambria"/>
                <w:b w:val="0"/>
                <w:i w:val="0"/>
                <w:sz w:val="17"/>
              </w:rPr>
              <w:t>- Maintain records of departmental activities, research, and finances.</w:t>
              <w:br/>
              <w:t>- Submit periodic reports to institutional authorities.</w:t>
              <w:br/>
              <w:t>- Ensure transparency and ethical governance.</w:t>
            </w:r>
          </w:p>
        </w:tc>
        <w:tc>
          <w:tcPr>
            <w:tcW w:type="dxa" w:w="3402"/>
            <w:shd w:val="clear" w:color="auto" w:fill="D9D9D9"/>
          </w:tcPr>
          <w:p>
            <w:pPr>
              <w:jc w:val="center"/>
            </w:pPr>
            <w:r/>
            <w:r>
              <w:rPr>
                <w:rFonts w:ascii="Cambria" w:hAnsi="Cambria" w:eastAsia="Cambria" w:cs="Cambria"/>
                <w:b w:val="0"/>
                <w:i w:val="0"/>
                <w:sz w:val="17"/>
              </w:rPr>
              <w:t>- Accountability in academic and administrative functions.</w:t>
              <w:br/>
              <w:t>- Data-driven decision-making.</w:t>
              <w:br/>
              <w:t>- Improved trust within and outside the institution.</w:t>
            </w:r>
          </w:p>
        </w:tc>
      </w:tr>
    </w:tbl>
    <w:p>
      <w:pPr>
        <w:spacing w:line="276" w:lineRule="auto" w:after="120"/>
        <w:jc w:val="both"/>
      </w:pPr>
      <w:r>
        <w:rPr>
          <w:rFonts w:ascii="Cambria" w:hAnsi="Cambria" w:eastAsia="Cambria" w:cs="Cambria"/>
          <w:b/>
          <w:i w:val="0"/>
          <w:sz w:val="22"/>
        </w:rPr>
        <w:t>Checklists and Dashboards for Practical Monitoring of HoD Performance in Higher Education Institutions (HEIs)</w:t>
      </w:r>
    </w:p>
    <w:p>
      <w:pPr>
        <w:spacing w:before="200" w:after="160"/>
      </w:pPr>
      <w:r>
        <w:rPr>
          <w:rFonts w:ascii="Cambria" w:hAnsi="Cambria" w:eastAsia="Cambria" w:cs="Cambria"/>
          <w:b/>
          <w:i w:val="0"/>
          <w:color w:val="1F3A5F"/>
          <w:sz w:val="26"/>
        </w:rPr>
        <w:t>1. Academic Planning Checklist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Academic calendar prepared and aligned with institutional calendar.</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Course allocation and workload distribution completed.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Lesson plans and course files submitted by all faculty.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Laboratory schedules, tutorials, and project work planned.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Strategies for slow and advanced learners identified.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Value-added / certificate courses planned.</w:t>
      </w:r>
    </w:p>
    <w:p>
      <w:pPr>
        <w:spacing w:before="200" w:after="160"/>
      </w:pPr>
      <w:r>
        <w:rPr>
          <w:rFonts w:ascii="Cambria" w:hAnsi="Cambria" w:eastAsia="Cambria" w:cs="Cambria"/>
          <w:b/>
          <w:i w:val="0"/>
          <w:color w:val="1F3A5F"/>
          <w:sz w:val="26"/>
        </w:rPr>
        <w:t>2. Teaching–Learning &amp; Student Support Checklist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Regular monitoring of class engagement and attendance.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Student mentoring and counseling sessions conducted.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Internal assessments and evaluations conducted as per schedule.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Feedback from students collected and analyzed.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Remedial classes conducted for weak students.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Placement, internship, and higher education support provided.</w:t>
      </w:r>
    </w:p>
    <w:p>
      <w:pPr>
        <w:spacing w:before="200" w:after="160"/>
      </w:pPr>
      <w:r>
        <w:rPr>
          <w:rFonts w:ascii="Cambria" w:hAnsi="Cambria" w:eastAsia="Cambria" w:cs="Cambria"/>
          <w:b/>
          <w:i w:val="0"/>
          <w:color w:val="1F3A5F"/>
          <w:sz w:val="26"/>
        </w:rPr>
        <w:t>3. Research &amp; Innovation Checklist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Research publications by faculty and students tracked.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Funded projects/consultancy proposals submitted.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Patents/IPR filed or in process.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Industry linkages / MoUs active.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Student participation in research, hackathons, and innovation challenges.</w:t>
      </w:r>
    </w:p>
    <w:p>
      <w:pPr>
        <w:spacing w:before="200" w:after="160"/>
      </w:pPr>
      <w:r>
        <w:rPr>
          <w:rFonts w:ascii="Cambria" w:hAnsi="Cambria" w:eastAsia="Cambria" w:cs="Cambria"/>
          <w:b/>
          <w:i w:val="0"/>
          <w:color w:val="1F3A5F"/>
          <w:sz w:val="26"/>
        </w:rPr>
        <w:t>4. Quality Assurance &amp; Accreditation Checklist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CO–PO–PSO mapping completed and attainment levels analyzed.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Academic audit conducted within the department.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Documentation ready for NAAC/NBA/NIRF/QS reporting.</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Feedback reports implemented with corrective measures.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Green/energy audit practices in place at departmental level.</w:t>
      </w:r>
    </w:p>
    <w:p>
      <w:pPr>
        <w:spacing w:before="200" w:after="160"/>
      </w:pPr>
      <w:r>
        <w:rPr>
          <w:rFonts w:ascii="Cambria" w:hAnsi="Cambria" w:eastAsia="Cambria" w:cs="Cambria"/>
          <w:b/>
          <w:i w:val="0"/>
          <w:color w:val="1F3A5F"/>
          <w:sz w:val="26"/>
        </w:rPr>
        <w:t>5. Governance &amp; Administration Checklist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Departmental meetings conducted regularly with minutes recorded.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Budget utilization documented and reported.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Infrastructure/lab/equipment requirements addressed.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Faculty workload norms complied with UGC/AICTE guidelines.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Grievance redressal mechanisms functional.</w:t>
      </w:r>
    </w:p>
    <w:p>
      <w:pPr>
        <w:spacing w:before="200" w:after="160"/>
      </w:pPr>
      <w:r>
        <w:rPr>
          <w:rFonts w:ascii="Cambria" w:hAnsi="Cambria" w:eastAsia="Cambria" w:cs="Cambria"/>
          <w:b/>
          <w:i w:val="0"/>
          <w:color w:val="1F3A5F"/>
          <w:sz w:val="26"/>
        </w:rPr>
        <w:t>6. Extension &amp; Community Engagement Checklist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Outreach programs and community projects organized.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Student/faculty participation in social responsibility initiatives.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Environmental sustainability practices adopted.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Collaboration with NGOs, government, or local community established.</w:t>
      </w:r>
    </w:p>
    <w:p>
      <w:pPr>
        <w:spacing w:before="200" w:after="160"/>
      </w:pPr>
      <w:r>
        <w:rPr>
          <w:rFonts w:ascii="Cambria" w:hAnsi="Cambria" w:eastAsia="Cambria" w:cs="Cambria"/>
          <w:b/>
          <w:i w:val="0"/>
          <w:color w:val="1F3A5F"/>
          <w:sz w:val="26"/>
        </w:rPr>
        <w:t>7. Dashboard Metrics (for HoD Performance Review)</w:t>
      </w:r>
    </w:p>
    <w:p>
      <w:pPr>
        <w:spacing w:line="276" w:lineRule="auto" w:after="120"/>
        <w:jc w:val="both"/>
      </w:pPr>
      <w:r>
        <w:rPr>
          <w:rFonts w:ascii="Cambria" w:hAnsi="Cambria" w:eastAsia="Cambria" w:cs="Cambria"/>
          <w:b w:val="0"/>
          <w:i/>
          <w:sz w:val="22"/>
        </w:rPr>
        <w:t>(to be tracked quarterly/annually through Excel or BI tools)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Teaching–Learning: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 of syllabus completion by faculty.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Average student feedback score (scale 1–5).</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Student pass % and progression rate.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 &amp; Innovation: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Number of faculty publications.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Number of funded projects/consultancy (value in ₹/£).</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Number of patents/IPR filed/granted.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Development: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FDPs/workshops attended per faculty/year.</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Average performance appraisal scores.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 Support: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Placement % achieved.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Internships secured per semester.</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Number of remedial/value-added programs conducted.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Accreditation &amp; Quality: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NBA/NAAC criteria compliance status.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CO–PO attainment % achieved.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Number of academic audits completed.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Community Engagement: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Number of extension activities conducted.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Participation rate of students/faculty in outreach.</w:t>
      </w:r>
    </w:p>
    <w:p>
      <w:r>
        <w:br w:type="page"/>
      </w:r>
    </w:p>
    <w:p>
      <w:pPr>
        <w:spacing w:before="280" w:after="160"/>
      </w:pPr>
      <w:r>
        <w:rPr>
          <w:rFonts w:ascii="Cambria" w:hAnsi="Cambria" w:eastAsia="Cambria" w:cs="Cambria"/>
          <w:b/>
          <w:i w:val="0"/>
          <w:color w:val="1F3A5F"/>
          <w:sz w:val="36"/>
        </w:rPr>
        <w:t>3. Responsibilities of a Head of Department (HoD) in relation to Research &amp; Development (R&amp;D)</w:t>
      </w:r>
    </w:p>
    <w:p>
      <w:pPr>
        <w:spacing w:before="200" w:after="160"/>
      </w:pPr>
      <w:r>
        <w:rPr>
          <w:rFonts w:ascii="Cambria" w:hAnsi="Cambria" w:eastAsia="Cambria" w:cs="Cambria"/>
          <w:b/>
          <w:i w:val="0"/>
          <w:color w:val="1F3A5F"/>
          <w:sz w:val="30"/>
        </w:rPr>
        <w:t>Strategic Leadership in Research</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 xml:space="preserve">The HoD is the </w:t>
      </w:r>
      <w:r>
        <w:rPr>
          <w:rFonts w:ascii="Cambria" w:hAnsi="Cambria" w:eastAsia="Cambria" w:cs="Cambria"/>
          <w:b w:val="0"/>
          <w:i/>
          <w:sz w:val="22"/>
        </w:rPr>
        <w:t>visionary leader</w:t>
      </w:r>
      <w:r>
        <w:rPr>
          <w:rFonts w:ascii="Cambria" w:hAnsi="Cambria" w:eastAsia="Cambria" w:cs="Cambria"/>
          <w:b w:val="0"/>
          <w:i w:val="0"/>
          <w:sz w:val="22"/>
        </w:rPr>
        <w:t xml:space="preserve"> who defines the department’s research agenda.</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Aligns research themes with institutional vision/mission, national education policies (NEP 2020), and global priorities (SDGs, UN frameworks).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the department identifies thrust areas (e.g., AI, sustainability, healthcare, materials science) that address real-world problems.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Balances basic research (theoretical exploration) with applied research (industry-oriented outcomes).</w:t>
      </w:r>
    </w:p>
    <w:p>
      <w:pPr>
        <w:spacing w:before="200" w:after="160"/>
      </w:pPr>
      <w:r>
        <w:rPr>
          <w:rFonts w:ascii="Cambria" w:hAnsi="Cambria" w:eastAsia="Cambria" w:cs="Cambria"/>
          <w:b/>
          <w:i w:val="0"/>
          <w:color w:val="1F3A5F"/>
          <w:sz w:val="30"/>
        </w:rPr>
        <w:t>Formulation of R&amp;D Policies and Governance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Drafts and enforces departmental R&amp;D policy consistent with institutional policy.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Establishes guidelines for ethical research practices, IPR policies, anti-plagiarism norms, and authorship rights.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Oversees compliance with national (UGC, AICTE, DST, CSIR) and international standards.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Chairs the Departmental Research Committee (DRC) to review, approve, and monitor research activities.</w:t>
      </w:r>
    </w:p>
    <w:p>
      <w:pPr>
        <w:spacing w:before="200" w:after="160"/>
      </w:pPr>
      <w:r>
        <w:rPr>
          <w:rFonts w:ascii="Cambria" w:hAnsi="Cambria" w:eastAsia="Cambria" w:cs="Cambria"/>
          <w:b/>
          <w:i w:val="0"/>
          <w:color w:val="1F3A5F"/>
          <w:sz w:val="30"/>
        </w:rPr>
        <w:t>Creating and Sustaining Research Culture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Encourages faculty and students to participate in research seminars, colloquia, hackathons, and innovation challenges.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Promotes a culture of curiosity, creativity, and critical inquiry.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Implements multidisciplinary and interdisciplinary collaboration by linking different departments.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Incentivizes research by linking faculty performance appraisal to research contributions.</w:t>
      </w:r>
    </w:p>
    <w:p>
      <w:pPr>
        <w:spacing w:before="200" w:after="160"/>
      </w:pPr>
      <w:r>
        <w:rPr>
          <w:rFonts w:ascii="Cambria" w:hAnsi="Cambria" w:eastAsia="Cambria" w:cs="Cambria"/>
          <w:b/>
          <w:i w:val="0"/>
          <w:color w:val="1F3A5F"/>
          <w:sz w:val="30"/>
        </w:rPr>
        <w:t>Research Funding and Project Management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Identifies funding opportunities from government schemes (DST-SERB, UGC-MRP, ICSSR, DBT) and international bodies (EU Horizon, UNESCO, World Bank).</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Guides faculty and scholars in proposal writing, budgeting, and submission.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Tracks fund utilization, progress reports, and deliverables for funded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timely completion and submission of final project reports to agencies.</w:t>
      </w:r>
    </w:p>
    <w:p>
      <w:pPr>
        <w:spacing w:before="200" w:after="160"/>
      </w:pPr>
      <w:r>
        <w:rPr>
          <w:rFonts w:ascii="Cambria" w:hAnsi="Cambria" w:eastAsia="Cambria" w:cs="Cambria"/>
          <w:b/>
          <w:i w:val="0"/>
          <w:color w:val="1F3A5F"/>
          <w:sz w:val="30"/>
        </w:rPr>
        <w:t>Industry, Community, and Government Linkages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Facilitates MoUs, joint research programs, and collaborative projects with industries, R&amp;D labs, NGOs, and government bodies.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Encourages consultancy projects, technology transfer, and industry-funded research.</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Links departmental research to societal challenges such as climate change, renewable energy, healthcare, and digital governance.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Promotes community-based participatory research for inclusive development.</w:t>
      </w:r>
    </w:p>
    <w:p>
      <w:pPr>
        <w:spacing w:before="200" w:after="160"/>
      </w:pPr>
      <w:r>
        <w:rPr>
          <w:rFonts w:ascii="Cambria" w:hAnsi="Cambria" w:eastAsia="Cambria" w:cs="Cambria"/>
          <w:b/>
          <w:i w:val="0"/>
          <w:color w:val="1F3A5F"/>
          <w:sz w:val="30"/>
        </w:rPr>
        <w:t>Development of Research Infrastructure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Establishes state-of-the-art laboratories, research centers, and innovation hubs.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Procures high-end equipment, software licenses, and databases.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Implements digital infrastructure such as repositories, data-sharing platforms, and cloud-based research support.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proper maintenance and upgrading of research facilities.</w:t>
      </w:r>
    </w:p>
    <w:p>
      <w:pPr>
        <w:spacing w:before="200" w:after="160"/>
      </w:pPr>
      <w:r>
        <w:rPr>
          <w:rFonts w:ascii="Cambria" w:hAnsi="Cambria" w:eastAsia="Cambria" w:cs="Cambria"/>
          <w:b/>
          <w:i w:val="0"/>
          <w:color w:val="1F3A5F"/>
          <w:sz w:val="30"/>
        </w:rPr>
        <w:t>Mentoring and Capacity Building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Acts as a mentor for young faculty and research scholars.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Organizes training workshops on research methodology, advanced software (SPSS, MATLAB, Python, R), and data analysis.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Provides guidance for Ph.D./M.Phil. students, ensuring quality thesis supervision.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Encourages faculty development programs (FDPs) focused on research.</w:t>
      </w:r>
    </w:p>
    <w:p>
      <w:pPr>
        <w:spacing w:before="200" w:after="160"/>
      </w:pPr>
      <w:r>
        <w:rPr>
          <w:rFonts w:ascii="Cambria" w:hAnsi="Cambria" w:eastAsia="Cambria" w:cs="Cambria"/>
          <w:b/>
          <w:i w:val="0"/>
          <w:color w:val="1F3A5F"/>
          <w:sz w:val="30"/>
        </w:rPr>
        <w:t>Innovation, IPR, and Entrepreneurship</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Motivates filing of patents, copyrights, and trademarks.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Promotes start-up culture through innovation and incubation cells.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Connects with Atal Incubation Centers, MSMEs, and NITI Aayog initiatives.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Aligns departmental innovation with national initiatives like Atmanirbhar Bharat, Make in India, and Digital India.</w:t>
      </w:r>
    </w:p>
    <w:p>
      <w:pPr>
        <w:spacing w:before="200" w:after="160"/>
      </w:pPr>
      <w:r>
        <w:rPr>
          <w:rFonts w:ascii="Cambria" w:hAnsi="Cambria" w:eastAsia="Cambria" w:cs="Cambria"/>
          <w:b/>
          <w:i w:val="0"/>
          <w:color w:val="1F3A5F"/>
          <w:sz w:val="30"/>
        </w:rPr>
        <w:t>Research Quality Assurance and Benchmarking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Evaluates research output using quantitative metrics (h-index, citation count, SCOPUS/WoS indexing) and qualitative impact (policy influence, patents, social adoption).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that departmental R&amp;D contributions are well-documented for NBA, NAAC, NIRF, and QS I-GAUGE accreditation frameworks.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Benchmarks research output with leading universities worldwide to maintain competitiveness.</w:t>
      </w:r>
    </w:p>
    <w:p>
      <w:pPr>
        <w:spacing w:before="200" w:after="160"/>
      </w:pPr>
      <w:r>
        <w:rPr>
          <w:rFonts w:ascii="Cambria" w:hAnsi="Cambria" w:eastAsia="Cambria" w:cs="Cambria"/>
          <w:b/>
          <w:i w:val="0"/>
          <w:color w:val="1F3A5F"/>
          <w:sz w:val="30"/>
        </w:rPr>
        <w:t>Knowledge Dissemination and Outreach</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Encourages faculty and students to publish in high-impact journals, indexed proceedings, and edited books.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Organizes conferences, symposia, and workshops at national and international levels.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Promotes open access publication, departmental journals, and newsletters.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research findings are disseminated for policy-making, industrial adoption, and community benefits.</w:t>
      </w:r>
    </w:p>
    <w:p>
      <w:pPr>
        <w:spacing w:before="200" w:after="160"/>
      </w:pPr>
      <w:r>
        <w:rPr>
          <w:rFonts w:ascii="Cambria" w:hAnsi="Cambria" w:eastAsia="Cambria" w:cs="Cambria"/>
          <w:b/>
          <w:i w:val="0"/>
          <w:color w:val="1F3A5F"/>
          <w:sz w:val="30"/>
        </w:rPr>
        <w:t>Monitoring, Evaluation, and Continuous Improvement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Regularly reviews research performance through R&amp;D review meetings and annual reports.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Identifies gaps in performance and implements corrective strategies.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Encourages peer review, external evaluation, and audit-based assessment.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Promotes continuous improvement cycles (Plan–Do–Check–Act) in research activities.</w:t>
      </w:r>
    </w:p>
    <w:p>
      <w:pPr>
        <w:spacing w:before="200" w:after="160"/>
      </w:pPr>
      <w:r>
        <w:rPr>
          <w:rFonts w:ascii="Cambria" w:hAnsi="Cambria" w:eastAsia="Cambria" w:cs="Cambria"/>
          <w:b/>
          <w:i w:val="0"/>
          <w:color w:val="1F3A5F"/>
          <w:sz w:val="26"/>
        </w:rPr>
        <w:t>Policy–Action–Outcome Table: HoD Responsibilities in Research &amp; Development</w:t>
      </w:r>
    </w:p>
    <w:tbl>
      <w:tblPr>
        <w:tblW w:type="auto" w:w="0"/>
        <w:jc w:val="center"/>
        <w:tblLayout w:type="fixed"/>
        <w:tblLook w:firstColumn="1" w:firstRow="1" w:lastColumn="0" w:lastRow="0" w:noHBand="0" w:noVBand="1" w:val="04A0"/>
        <w:tblLayout w:type="fixed"/>
      </w:tblPr>
      <w:tblGrid>
        <w:gridCol w:w="1984"/>
        <w:gridCol w:w="4252"/>
        <w:gridCol w:w="3402"/>
      </w:tblGrid>
      <w:tr>
        <w:tc>
          <w:tcPr>
            <w:tcW w:type="dxa" w:w="1984"/>
            <w:shd w:val="clear" w:color="auto" w:fill="1F3A5F"/>
          </w:tcPr>
          <w:p>
            <w:pPr>
              <w:jc w:val="center"/>
            </w:pPr>
            <w:r/>
            <w:r>
              <w:rPr>
                <w:rFonts w:ascii="Cambria" w:hAnsi="Cambria" w:eastAsia="Cambria" w:cs="Cambria"/>
                <w:b/>
                <w:i w:val="0"/>
                <w:color w:val="FFFFFF"/>
                <w:sz w:val="19"/>
              </w:rPr>
              <w:t>Policy</w:t>
            </w:r>
          </w:p>
        </w:tc>
        <w:tc>
          <w:tcPr>
            <w:tcW w:type="dxa" w:w="4252"/>
            <w:shd w:val="clear" w:color="auto" w:fill="1F3A5F"/>
          </w:tcPr>
          <w:p>
            <w:pPr>
              <w:jc w:val="center"/>
            </w:pPr>
            <w:r/>
            <w:r>
              <w:rPr>
                <w:rFonts w:ascii="Cambria" w:hAnsi="Cambria" w:eastAsia="Cambria" w:cs="Cambria"/>
                <w:b/>
                <w:i w:val="0"/>
                <w:color w:val="FFFFFF"/>
                <w:sz w:val="19"/>
              </w:rPr>
              <w:t>Action by HoD</w:t>
            </w:r>
          </w:p>
        </w:tc>
        <w:tc>
          <w:tcPr>
            <w:tcW w:type="dxa" w:w="3402"/>
            <w:shd w:val="clear" w:color="auto" w:fill="1F3A5F"/>
          </w:tcPr>
          <w:p>
            <w:pPr>
              <w:jc w:val="center"/>
            </w:pPr>
            <w:r/>
            <w:r>
              <w:rPr>
                <w:rFonts w:ascii="Cambria" w:hAnsi="Cambria" w:eastAsia="Cambria" w:cs="Cambria"/>
                <w:b/>
                <w:i w:val="0"/>
                <w:color w:val="FFFFFF"/>
                <w:sz w:val="19"/>
              </w:rPr>
              <w:t>Expected Outcome</w:t>
            </w:r>
          </w:p>
        </w:tc>
      </w:tr>
      <w:tr>
        <w:tc>
          <w:tcPr>
            <w:tcW w:type="dxa" w:w="1984"/>
          </w:tcPr>
          <w:p>
            <w:pPr>
              <w:jc w:val="center"/>
            </w:pPr>
            <w:r/>
            <w:r>
              <w:rPr>
                <w:rFonts w:ascii="Cambria" w:hAnsi="Cambria" w:eastAsia="Cambria" w:cs="Cambria"/>
                <w:b w:val="0"/>
                <w:i w:val="0"/>
                <w:sz w:val="17"/>
              </w:rPr>
              <w:t>Formulate Departmental R&amp;D Policy</w:t>
            </w:r>
          </w:p>
        </w:tc>
        <w:tc>
          <w:tcPr>
            <w:tcW w:type="dxa" w:w="4252"/>
          </w:tcPr>
          <w:p>
            <w:pPr>
              <w:jc w:val="left"/>
            </w:pPr>
            <w:r/>
            <w:r>
              <w:rPr>
                <w:rFonts w:ascii="Cambria" w:hAnsi="Cambria" w:eastAsia="Cambria" w:cs="Cambria"/>
                <w:b w:val="0"/>
                <w:i w:val="0"/>
                <w:sz w:val="17"/>
              </w:rPr>
              <w:t>Develop research roadmap aligned with institutional vision, NEP 2020, SDGs, and accreditation frameworks (NAAC, NBA, NIRF, QS I-GAUGE).</w:t>
            </w:r>
          </w:p>
        </w:tc>
        <w:tc>
          <w:tcPr>
            <w:tcW w:type="dxa" w:w="3402"/>
          </w:tcPr>
          <w:p>
            <w:pPr>
              <w:jc w:val="center"/>
            </w:pPr>
            <w:r/>
            <w:r>
              <w:rPr>
                <w:rFonts w:ascii="Cambria" w:hAnsi="Cambria" w:eastAsia="Cambria" w:cs="Cambria"/>
                <w:b w:val="0"/>
                <w:i w:val="0"/>
                <w:sz w:val="17"/>
              </w:rPr>
              <w:t>Structured, goal-oriented research agenda with clear thrust areas.</w:t>
            </w:r>
          </w:p>
        </w:tc>
      </w:tr>
      <w:tr>
        <w:tc>
          <w:tcPr>
            <w:tcW w:type="dxa" w:w="1984"/>
            <w:shd w:val="clear" w:color="auto" w:fill="D9D9D9"/>
          </w:tcPr>
          <w:p>
            <w:pPr>
              <w:jc w:val="center"/>
            </w:pPr>
            <w:r/>
            <w:r>
              <w:rPr>
                <w:rFonts w:ascii="Cambria" w:hAnsi="Cambria" w:eastAsia="Cambria" w:cs="Cambria"/>
                <w:b w:val="0"/>
                <w:i w:val="0"/>
                <w:sz w:val="17"/>
              </w:rPr>
              <w:t>Ensure Research Governance &amp; Ethics</w:t>
            </w:r>
          </w:p>
        </w:tc>
        <w:tc>
          <w:tcPr>
            <w:tcW w:type="dxa" w:w="4252"/>
            <w:shd w:val="clear" w:color="auto" w:fill="D9D9D9"/>
          </w:tcPr>
          <w:p>
            <w:pPr>
              <w:jc w:val="left"/>
            </w:pPr>
            <w:r/>
            <w:r>
              <w:rPr>
                <w:rFonts w:ascii="Cambria" w:hAnsi="Cambria" w:eastAsia="Cambria" w:cs="Cambria"/>
                <w:b w:val="0"/>
                <w:i w:val="0"/>
                <w:sz w:val="17"/>
              </w:rPr>
              <w:t>Establish Departmental Research Committee (DRC), enforce plagiarism checks, ethical approvals, and IPR regulations.</w:t>
            </w:r>
          </w:p>
        </w:tc>
        <w:tc>
          <w:tcPr>
            <w:tcW w:type="dxa" w:w="3402"/>
            <w:shd w:val="clear" w:color="auto" w:fill="D9D9D9"/>
          </w:tcPr>
          <w:p>
            <w:pPr>
              <w:jc w:val="center"/>
            </w:pPr>
            <w:r/>
            <w:r>
              <w:rPr>
                <w:rFonts w:ascii="Cambria" w:hAnsi="Cambria" w:eastAsia="Cambria" w:cs="Cambria"/>
                <w:b w:val="0"/>
                <w:i w:val="0"/>
                <w:sz w:val="17"/>
              </w:rPr>
              <w:t>Ethical, transparent, and credible research practices with increased trust.</w:t>
            </w:r>
          </w:p>
        </w:tc>
      </w:tr>
      <w:tr>
        <w:tc>
          <w:tcPr>
            <w:tcW w:type="dxa" w:w="1984"/>
          </w:tcPr>
          <w:p>
            <w:pPr>
              <w:jc w:val="center"/>
            </w:pPr>
            <w:r/>
            <w:r>
              <w:rPr>
                <w:rFonts w:ascii="Cambria" w:hAnsi="Cambria" w:eastAsia="Cambria" w:cs="Cambria"/>
                <w:b w:val="0"/>
                <w:i w:val="0"/>
                <w:sz w:val="17"/>
              </w:rPr>
              <w:t>Promote Research Culture</w:t>
            </w:r>
          </w:p>
        </w:tc>
        <w:tc>
          <w:tcPr>
            <w:tcW w:type="dxa" w:w="4252"/>
          </w:tcPr>
          <w:p>
            <w:pPr>
              <w:jc w:val="left"/>
            </w:pPr>
            <w:r/>
            <w:r>
              <w:rPr>
                <w:rFonts w:ascii="Cambria" w:hAnsi="Cambria" w:eastAsia="Cambria" w:cs="Cambria"/>
                <w:b w:val="0"/>
                <w:i w:val="0"/>
                <w:sz w:val="17"/>
              </w:rPr>
              <w:t>Conduct seminars, workshops, hackathons, and foster interdisciplinary collaboration.</w:t>
            </w:r>
          </w:p>
        </w:tc>
        <w:tc>
          <w:tcPr>
            <w:tcW w:type="dxa" w:w="3402"/>
          </w:tcPr>
          <w:p>
            <w:pPr>
              <w:jc w:val="center"/>
            </w:pPr>
            <w:r/>
            <w:r>
              <w:rPr>
                <w:rFonts w:ascii="Cambria" w:hAnsi="Cambria" w:eastAsia="Cambria" w:cs="Cambria"/>
                <w:b w:val="0"/>
                <w:i w:val="0"/>
                <w:sz w:val="17"/>
              </w:rPr>
              <w:t>Enhanced faculty/student engagement in research and innovation.</w:t>
            </w:r>
          </w:p>
        </w:tc>
      </w:tr>
      <w:tr>
        <w:tc>
          <w:tcPr>
            <w:tcW w:type="dxa" w:w="1984"/>
            <w:shd w:val="clear" w:color="auto" w:fill="D9D9D9"/>
          </w:tcPr>
          <w:p>
            <w:pPr>
              <w:jc w:val="center"/>
            </w:pPr>
            <w:r/>
            <w:r>
              <w:rPr>
                <w:rFonts w:ascii="Cambria" w:hAnsi="Cambria" w:eastAsia="Cambria" w:cs="Cambria"/>
                <w:b w:val="0"/>
                <w:i w:val="0"/>
                <w:sz w:val="17"/>
              </w:rPr>
              <w:t>Mobilize Research Funding</w:t>
            </w:r>
          </w:p>
        </w:tc>
        <w:tc>
          <w:tcPr>
            <w:tcW w:type="dxa" w:w="4252"/>
            <w:shd w:val="clear" w:color="auto" w:fill="D9D9D9"/>
          </w:tcPr>
          <w:p>
            <w:pPr>
              <w:jc w:val="left"/>
            </w:pPr>
            <w:r/>
            <w:r>
              <w:rPr>
                <w:rFonts w:ascii="Cambria" w:hAnsi="Cambria" w:eastAsia="Cambria" w:cs="Cambria"/>
                <w:b w:val="0"/>
                <w:i w:val="0"/>
                <w:sz w:val="17"/>
              </w:rPr>
              <w:t>Identify grants, guide in proposal writing, liaise with funding agencies (DST, UGC, DBT, ICSSR).</w:t>
            </w:r>
          </w:p>
        </w:tc>
        <w:tc>
          <w:tcPr>
            <w:tcW w:type="dxa" w:w="3402"/>
            <w:shd w:val="clear" w:color="auto" w:fill="D9D9D9"/>
          </w:tcPr>
          <w:p>
            <w:pPr>
              <w:jc w:val="center"/>
            </w:pPr>
            <w:r/>
            <w:r>
              <w:rPr>
                <w:rFonts w:ascii="Cambria" w:hAnsi="Cambria" w:eastAsia="Cambria" w:cs="Cambria"/>
                <w:b w:val="0"/>
                <w:i w:val="0"/>
                <w:sz w:val="17"/>
              </w:rPr>
              <w:t>Increase in externally funded projects and financial support for research.</w:t>
            </w:r>
          </w:p>
        </w:tc>
      </w:tr>
      <w:tr>
        <w:tc>
          <w:tcPr>
            <w:tcW w:type="dxa" w:w="1984"/>
          </w:tcPr>
          <w:p>
            <w:pPr>
              <w:jc w:val="center"/>
            </w:pPr>
            <w:r/>
            <w:r>
              <w:rPr>
                <w:rFonts w:ascii="Cambria" w:hAnsi="Cambria" w:eastAsia="Cambria" w:cs="Cambria"/>
                <w:b w:val="0"/>
                <w:i w:val="0"/>
                <w:sz w:val="17"/>
              </w:rPr>
              <w:t>Strengthen Industry &amp; Community Linkages</w:t>
            </w:r>
          </w:p>
        </w:tc>
        <w:tc>
          <w:tcPr>
            <w:tcW w:type="dxa" w:w="4252"/>
          </w:tcPr>
          <w:p>
            <w:pPr>
              <w:jc w:val="left"/>
            </w:pPr>
            <w:r/>
            <w:r>
              <w:rPr>
                <w:rFonts w:ascii="Cambria" w:hAnsi="Cambria" w:eastAsia="Cambria" w:cs="Cambria"/>
                <w:b w:val="0"/>
                <w:i w:val="0"/>
                <w:sz w:val="17"/>
              </w:rPr>
              <w:t>Sign MoUs, initiate consultancy, and collaborate with industries, NGOs, and government bodies.</w:t>
            </w:r>
          </w:p>
        </w:tc>
        <w:tc>
          <w:tcPr>
            <w:tcW w:type="dxa" w:w="3402"/>
          </w:tcPr>
          <w:p>
            <w:pPr>
              <w:jc w:val="center"/>
            </w:pPr>
            <w:r/>
            <w:r>
              <w:rPr>
                <w:rFonts w:ascii="Cambria" w:hAnsi="Cambria" w:eastAsia="Cambria" w:cs="Cambria"/>
                <w:b w:val="0"/>
                <w:i w:val="0"/>
                <w:sz w:val="17"/>
              </w:rPr>
              <w:t>Industry-relevant solutions, technology transfer, and community-based research impact.</w:t>
            </w:r>
          </w:p>
        </w:tc>
      </w:tr>
      <w:tr>
        <w:tc>
          <w:tcPr>
            <w:tcW w:type="dxa" w:w="1984"/>
            <w:shd w:val="clear" w:color="auto" w:fill="D9D9D9"/>
          </w:tcPr>
          <w:p>
            <w:pPr>
              <w:jc w:val="center"/>
            </w:pPr>
            <w:r/>
            <w:r>
              <w:rPr>
                <w:rFonts w:ascii="Cambria" w:hAnsi="Cambria" w:eastAsia="Cambria" w:cs="Cambria"/>
                <w:b w:val="0"/>
                <w:i w:val="0"/>
                <w:sz w:val="17"/>
              </w:rPr>
              <w:t>Develop Research Infrastructure</w:t>
            </w:r>
          </w:p>
        </w:tc>
        <w:tc>
          <w:tcPr>
            <w:tcW w:type="dxa" w:w="4252"/>
            <w:shd w:val="clear" w:color="auto" w:fill="D9D9D9"/>
          </w:tcPr>
          <w:p>
            <w:pPr>
              <w:jc w:val="left"/>
            </w:pPr>
            <w:r/>
            <w:r>
              <w:rPr>
                <w:rFonts w:ascii="Cambria" w:hAnsi="Cambria" w:eastAsia="Cambria" w:cs="Cambria"/>
                <w:b w:val="0"/>
                <w:i w:val="0"/>
                <w:sz w:val="17"/>
              </w:rPr>
              <w:t>Establish labs, procure advanced equipment/software, and ensure digital resources (repositories, databases, cloud).</w:t>
            </w:r>
          </w:p>
        </w:tc>
        <w:tc>
          <w:tcPr>
            <w:tcW w:type="dxa" w:w="3402"/>
            <w:shd w:val="clear" w:color="auto" w:fill="D9D9D9"/>
          </w:tcPr>
          <w:p>
            <w:pPr>
              <w:jc w:val="center"/>
            </w:pPr>
            <w:r/>
            <w:r>
              <w:rPr>
                <w:rFonts w:ascii="Cambria" w:hAnsi="Cambria" w:eastAsia="Cambria" w:cs="Cambria"/>
                <w:b w:val="0"/>
                <w:i w:val="0"/>
                <w:sz w:val="17"/>
              </w:rPr>
              <w:t>Modern research ecosystem with improved facilities for high-quality projects.</w:t>
            </w:r>
          </w:p>
        </w:tc>
      </w:tr>
      <w:tr>
        <w:tc>
          <w:tcPr>
            <w:tcW w:type="dxa" w:w="1984"/>
          </w:tcPr>
          <w:p>
            <w:pPr>
              <w:jc w:val="center"/>
            </w:pPr>
            <w:r/>
            <w:r>
              <w:rPr>
                <w:rFonts w:ascii="Cambria" w:hAnsi="Cambria" w:eastAsia="Cambria" w:cs="Cambria"/>
                <w:b w:val="0"/>
                <w:i w:val="0"/>
                <w:sz w:val="17"/>
              </w:rPr>
              <w:t>Capacity Building &amp; Mentoring</w:t>
            </w:r>
          </w:p>
        </w:tc>
        <w:tc>
          <w:tcPr>
            <w:tcW w:type="dxa" w:w="4252"/>
          </w:tcPr>
          <w:p>
            <w:pPr>
              <w:jc w:val="left"/>
            </w:pPr>
            <w:r/>
            <w:r>
              <w:rPr>
                <w:rFonts w:ascii="Cambria" w:hAnsi="Cambria" w:eastAsia="Cambria" w:cs="Cambria"/>
                <w:b w:val="0"/>
                <w:i w:val="0"/>
                <w:sz w:val="17"/>
              </w:rPr>
              <w:t>Organize FDPs, research methodology workshops, and supervise Ph.D./M.Phil. scholars.</w:t>
            </w:r>
          </w:p>
        </w:tc>
        <w:tc>
          <w:tcPr>
            <w:tcW w:type="dxa" w:w="3402"/>
          </w:tcPr>
          <w:p>
            <w:pPr>
              <w:jc w:val="center"/>
            </w:pPr>
            <w:r/>
            <w:r>
              <w:rPr>
                <w:rFonts w:ascii="Cambria" w:hAnsi="Cambria" w:eastAsia="Cambria" w:cs="Cambria"/>
                <w:b w:val="0"/>
                <w:i w:val="0"/>
                <w:sz w:val="17"/>
              </w:rPr>
              <w:t>Skilled faculty, empowered scholars, and better-quality dissertations/theses.</w:t>
            </w:r>
          </w:p>
        </w:tc>
      </w:tr>
      <w:tr>
        <w:tc>
          <w:tcPr>
            <w:tcW w:type="dxa" w:w="1984"/>
            <w:shd w:val="clear" w:color="auto" w:fill="D9D9D9"/>
          </w:tcPr>
          <w:p>
            <w:pPr>
              <w:jc w:val="center"/>
            </w:pPr>
            <w:r/>
            <w:r>
              <w:rPr>
                <w:rFonts w:ascii="Cambria" w:hAnsi="Cambria" w:eastAsia="Cambria" w:cs="Cambria"/>
                <w:b w:val="0"/>
                <w:i w:val="0"/>
                <w:sz w:val="17"/>
              </w:rPr>
              <w:t>Encourage Innovation &amp; Entrepreneurship</w:t>
            </w:r>
          </w:p>
        </w:tc>
        <w:tc>
          <w:tcPr>
            <w:tcW w:type="dxa" w:w="4252"/>
            <w:shd w:val="clear" w:color="auto" w:fill="D9D9D9"/>
          </w:tcPr>
          <w:p>
            <w:pPr>
              <w:jc w:val="left"/>
            </w:pPr>
            <w:r/>
            <w:r>
              <w:rPr>
                <w:rFonts w:ascii="Cambria" w:hAnsi="Cambria" w:eastAsia="Cambria" w:cs="Cambria"/>
                <w:b w:val="0"/>
                <w:i w:val="0"/>
                <w:sz w:val="17"/>
              </w:rPr>
              <w:t>Facilitate incubation cells, motivate patent filings, and promote start-ups.</w:t>
            </w:r>
          </w:p>
        </w:tc>
        <w:tc>
          <w:tcPr>
            <w:tcW w:type="dxa" w:w="3402"/>
            <w:shd w:val="clear" w:color="auto" w:fill="D9D9D9"/>
          </w:tcPr>
          <w:p>
            <w:pPr>
              <w:jc w:val="center"/>
            </w:pPr>
            <w:r/>
            <w:r>
              <w:rPr>
                <w:rFonts w:ascii="Cambria" w:hAnsi="Cambria" w:eastAsia="Cambria" w:cs="Cambria"/>
                <w:b w:val="0"/>
                <w:i w:val="0"/>
                <w:sz w:val="17"/>
              </w:rPr>
              <w:t>Increase in patents, commercialization of research, and start-up culture.</w:t>
            </w:r>
          </w:p>
        </w:tc>
      </w:tr>
      <w:tr>
        <w:tc>
          <w:tcPr>
            <w:tcW w:type="dxa" w:w="1984"/>
          </w:tcPr>
          <w:p>
            <w:pPr>
              <w:jc w:val="center"/>
            </w:pPr>
            <w:r/>
            <w:r>
              <w:rPr>
                <w:rFonts w:ascii="Cambria" w:hAnsi="Cambria" w:eastAsia="Cambria" w:cs="Cambria"/>
                <w:b w:val="0"/>
                <w:i w:val="0"/>
                <w:sz w:val="17"/>
              </w:rPr>
              <w:t>Benchmark Research Output</w:t>
            </w:r>
          </w:p>
        </w:tc>
        <w:tc>
          <w:tcPr>
            <w:tcW w:type="dxa" w:w="4252"/>
          </w:tcPr>
          <w:p>
            <w:pPr>
              <w:jc w:val="left"/>
            </w:pPr>
            <w:r/>
            <w:r>
              <w:rPr>
                <w:rFonts w:ascii="Cambria" w:hAnsi="Cambria" w:eastAsia="Cambria" w:cs="Cambria"/>
                <w:b w:val="0"/>
                <w:i w:val="0"/>
                <w:sz w:val="17"/>
              </w:rPr>
              <w:t>Track publications, h-index, citations, and prepare accreditation evidence.</w:t>
            </w:r>
          </w:p>
        </w:tc>
        <w:tc>
          <w:tcPr>
            <w:tcW w:type="dxa" w:w="3402"/>
          </w:tcPr>
          <w:p>
            <w:pPr>
              <w:jc w:val="center"/>
            </w:pPr>
            <w:r/>
            <w:r>
              <w:rPr>
                <w:rFonts w:ascii="Cambria" w:hAnsi="Cambria" w:eastAsia="Cambria" w:cs="Cambria"/>
                <w:b w:val="0"/>
                <w:i w:val="0"/>
                <w:sz w:val="17"/>
              </w:rPr>
              <w:t>Recognition in rankings (NIRF, QS) and improved institutional research reputation.</w:t>
            </w:r>
          </w:p>
        </w:tc>
      </w:tr>
      <w:tr>
        <w:tc>
          <w:tcPr>
            <w:tcW w:type="dxa" w:w="1984"/>
            <w:shd w:val="clear" w:color="auto" w:fill="D9D9D9"/>
          </w:tcPr>
          <w:p>
            <w:pPr>
              <w:jc w:val="center"/>
            </w:pPr>
            <w:r/>
            <w:r>
              <w:rPr>
                <w:rFonts w:ascii="Cambria" w:hAnsi="Cambria" w:eastAsia="Cambria" w:cs="Cambria"/>
                <w:b w:val="0"/>
                <w:i w:val="0"/>
                <w:sz w:val="17"/>
              </w:rPr>
              <w:t>Disseminate Research Knowledge</w:t>
            </w:r>
          </w:p>
        </w:tc>
        <w:tc>
          <w:tcPr>
            <w:tcW w:type="dxa" w:w="4252"/>
            <w:shd w:val="clear" w:color="auto" w:fill="D9D9D9"/>
          </w:tcPr>
          <w:p>
            <w:pPr>
              <w:jc w:val="left"/>
            </w:pPr>
            <w:r/>
            <w:r>
              <w:rPr>
                <w:rFonts w:ascii="Cambria" w:hAnsi="Cambria" w:eastAsia="Cambria" w:cs="Cambria"/>
                <w:b w:val="0"/>
                <w:i w:val="0"/>
                <w:sz w:val="17"/>
              </w:rPr>
              <w:t>Promote publications in reputed journals, organize international conferences, publish departmental journals/newsletters.</w:t>
            </w:r>
          </w:p>
        </w:tc>
        <w:tc>
          <w:tcPr>
            <w:tcW w:type="dxa" w:w="3402"/>
            <w:shd w:val="clear" w:color="auto" w:fill="D9D9D9"/>
          </w:tcPr>
          <w:p>
            <w:pPr>
              <w:jc w:val="center"/>
            </w:pPr>
            <w:r/>
            <w:r>
              <w:rPr>
                <w:rFonts w:ascii="Cambria" w:hAnsi="Cambria" w:eastAsia="Cambria" w:cs="Cambria"/>
                <w:b w:val="0"/>
                <w:i w:val="0"/>
                <w:sz w:val="17"/>
              </w:rPr>
              <w:t>Increased visibility and global outreach of departmental research.</w:t>
            </w:r>
          </w:p>
        </w:tc>
      </w:tr>
      <w:tr>
        <w:tc>
          <w:tcPr>
            <w:tcW w:type="dxa" w:w="1984"/>
          </w:tcPr>
          <w:p>
            <w:pPr>
              <w:jc w:val="center"/>
            </w:pPr>
            <w:r/>
            <w:r>
              <w:rPr>
                <w:rFonts w:ascii="Cambria" w:hAnsi="Cambria" w:eastAsia="Cambria" w:cs="Cambria"/>
                <w:b w:val="0"/>
                <w:i w:val="0"/>
                <w:sz w:val="17"/>
              </w:rPr>
              <w:t>Monitor and Improve Performance</w:t>
            </w:r>
          </w:p>
        </w:tc>
        <w:tc>
          <w:tcPr>
            <w:tcW w:type="dxa" w:w="4252"/>
          </w:tcPr>
          <w:p>
            <w:pPr>
              <w:jc w:val="left"/>
            </w:pPr>
            <w:r/>
            <w:r>
              <w:rPr>
                <w:rFonts w:ascii="Cambria" w:hAnsi="Cambria" w:eastAsia="Cambria" w:cs="Cambria"/>
                <w:b w:val="0"/>
                <w:i w:val="0"/>
                <w:sz w:val="17"/>
              </w:rPr>
              <w:t>Conduct annual R&amp;D audits, evaluate projects, and adopt PDCA (Plan–Do–Check–Act) cycle.</w:t>
            </w:r>
          </w:p>
        </w:tc>
        <w:tc>
          <w:tcPr>
            <w:tcW w:type="dxa" w:w="3402"/>
          </w:tcPr>
          <w:p>
            <w:pPr>
              <w:jc w:val="center"/>
            </w:pPr>
            <w:r/>
            <w:r>
              <w:rPr>
                <w:rFonts w:ascii="Cambria" w:hAnsi="Cambria" w:eastAsia="Cambria" w:cs="Cambria"/>
                <w:b w:val="0"/>
                <w:i w:val="0"/>
                <w:sz w:val="17"/>
              </w:rPr>
              <w:t>Continuous improvement, measurable outcomes, and sustainable research growth.</w:t>
            </w:r>
          </w:p>
        </w:tc>
      </w:tr>
    </w:tbl>
    <w:p>
      <w:r>
        <w:br w:type="page"/>
      </w:r>
    </w:p>
    <w:p>
      <w:pPr>
        <w:spacing w:before="280" w:after="160"/>
      </w:pPr>
      <w:r>
        <w:rPr>
          <w:rFonts w:ascii="Cambria" w:hAnsi="Cambria" w:eastAsia="Cambria" w:cs="Cambria"/>
          <w:b/>
          <w:i w:val="0"/>
          <w:color w:val="1F3A5F"/>
          <w:sz w:val="36"/>
        </w:rPr>
        <w:t>4. HoD’s responsibility in identifying thrust areas to source students and scholar R&amp;D projects</w:t>
      </w:r>
    </w:p>
    <w:p>
      <w:pPr>
        <w:spacing w:before="200" w:after="160"/>
      </w:pPr>
      <w:r>
        <w:rPr>
          <w:rFonts w:ascii="Cambria" w:hAnsi="Cambria" w:eastAsia="Cambria" w:cs="Cambria"/>
          <w:b/>
          <w:i w:val="0"/>
          <w:color w:val="1F3A5F"/>
          <w:sz w:val="26"/>
        </w:rPr>
        <w:t>1. Policy Context</w:t>
      </w:r>
    </w:p>
    <w:p>
      <w:pPr>
        <w:spacing w:line="276" w:lineRule="auto" w:after="120"/>
        <w:jc w:val="both"/>
      </w:pPr>
      <w:r>
        <w:rPr>
          <w:rFonts w:ascii="Cambria" w:hAnsi="Cambria" w:eastAsia="Cambria" w:cs="Cambria"/>
          <w:b w:val="0"/>
          <w:i w:val="0"/>
          <w:sz w:val="22"/>
        </w:rPr>
        <w:t xml:space="preserve">The HoD plays a strategic leadership role in defining and promoting </w:t>
      </w:r>
      <w:r>
        <w:rPr>
          <w:rFonts w:ascii="Cambria" w:hAnsi="Cambria" w:eastAsia="Cambria" w:cs="Cambria"/>
          <w:b w:val="0"/>
          <w:i/>
          <w:sz w:val="22"/>
        </w:rPr>
        <w:t>thrust areas</w:t>
      </w:r>
      <w:r>
        <w:rPr>
          <w:rFonts w:ascii="Cambria" w:hAnsi="Cambria" w:eastAsia="Cambria" w:cs="Cambria"/>
          <w:b w:val="0"/>
          <w:i w:val="0"/>
          <w:sz w:val="22"/>
        </w:rPr>
        <w:t xml:space="preserve"> for research.</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Thrust areas must: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Align with institutional vision and mission.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Address national priorities (NEP 2020, SDGs, Atmanirbhar Bharat, Digital India, National Research Foundation priorities).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Meet industry and societal demands.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Provide opportunities for interdisciplinary collaboration across departments.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Purpose: To ensure that students and research scholars do not work on random, isolated projects, but instead contribute to focused, impactful research clusters.</w:t>
      </w:r>
    </w:p>
    <w:p>
      <w:pPr>
        <w:spacing w:before="200" w:after="160"/>
      </w:pPr>
      <w:r>
        <w:rPr>
          <w:rFonts w:ascii="Cambria" w:hAnsi="Cambria" w:eastAsia="Cambria" w:cs="Cambria"/>
          <w:b/>
          <w:i w:val="0"/>
          <w:color w:val="1F3A5F"/>
          <w:sz w:val="26"/>
        </w:rPr>
        <w:t>2. Role of HoD in Identifying Thrust Areas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Consultative Identification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Organizes brainstorming sessions, workshops, and meetings with faculty, industry experts, alumni, and researchers.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Reviews emerging global trends such as Artificial Intelligence, Climate Tech, Renewable Energy, Materials Science, Healthcare Analytics.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Engages with funding agencies (DST, UGC, AICTE, DBT, CSR initiatives) to understand priority domains.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Mapping to Departmental Expertise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Aligns thrust areas with existing strengths of faculty and laboratories.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Example: If the department specializes in AI and Data Science, thrust areas may include AI for Healthcare, Smart Cities, Climate Change Prediction.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Ensuring Interdisciplinary Relevance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Collaborates with other departments for cross-cutting domains: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AI + Healthcare (Biomedical Analytics).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IoT + Civil Engineering (Smart Cities).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Renewable Energy + Mechanical Engineering (Energy Storage Systems).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Review and Updating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Establishes a Research Committee/Cluster to review thrust areas annually.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Adds or modifies thrust areas based on technological, industrial, and societal changes.</w:t>
      </w:r>
    </w:p>
    <w:p>
      <w:pPr>
        <w:spacing w:before="200" w:after="160"/>
      </w:pPr>
      <w:r>
        <w:rPr>
          <w:rFonts w:ascii="Cambria" w:hAnsi="Cambria" w:eastAsia="Cambria" w:cs="Cambria"/>
          <w:b/>
          <w:i w:val="0"/>
          <w:color w:val="1F3A5F"/>
          <w:sz w:val="26"/>
        </w:rPr>
        <w:t>3. Capacity Building for Students &amp; Scholars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 Clusters &amp; Faculty Coordinators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 xml:space="preserve">Creates </w:t>
      </w:r>
      <w:r>
        <w:rPr>
          <w:rFonts w:ascii="Cambria" w:hAnsi="Cambria" w:eastAsia="Cambria" w:cs="Cambria"/>
          <w:b w:val="0"/>
          <w:i/>
          <w:sz w:val="22"/>
        </w:rPr>
        <w:t>research clusters</w:t>
      </w:r>
      <w:r>
        <w:rPr>
          <w:rFonts w:ascii="Cambria" w:hAnsi="Cambria" w:eastAsia="Cambria" w:cs="Cambria"/>
          <w:b w:val="0"/>
          <w:i w:val="0"/>
          <w:sz w:val="22"/>
        </w:rPr>
        <w:t xml:space="preserve"> within each thrust area.</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Nominates faculty coordinators responsible for guiding students and scholars.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Workshops &amp; FDPs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Conducts Faculty Development Programs (FDPs) and workshops on research methodologies, proposal writing, and patent filing.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Invites industry speakers and research mentors for knowledge sharing.</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Resource Access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access to research labs, databases (Scopus, Web of Science), e-journals, and digital repositories.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Provides opportunities for student internships and scholar placements in industries/research labs aligned with thrust areas.</w:t>
      </w:r>
    </w:p>
    <w:p>
      <w:pPr>
        <w:spacing w:before="200" w:after="160"/>
      </w:pPr>
      <w:r>
        <w:rPr>
          <w:rFonts w:ascii="Cambria" w:hAnsi="Cambria" w:eastAsia="Cambria" w:cs="Cambria"/>
          <w:b/>
          <w:i w:val="0"/>
          <w:color w:val="1F3A5F"/>
          <w:sz w:val="26"/>
        </w:rPr>
        <w:t>4. Encouragement &amp; Motivation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 &amp; Scholar Engagement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Encourages final-year students and Ph.D. scholars to select projects within thrust areas.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Integrates thrust areas into curriculum-based project work and dissertations.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Recognition &amp; Incentives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Recognizes best projects and publications during annual research events.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Encourages scholars to publish in Scopus/WoS indexed journals.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Funding Guidance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Guides faculty and scholars in applying for funded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Encourages utilization of CSR funds, innovation grants, and incubation support.</w:t>
      </w:r>
    </w:p>
    <w:p>
      <w:pPr>
        <w:spacing w:before="200" w:after="160"/>
      </w:pPr>
      <w:r>
        <w:rPr>
          <w:rFonts w:ascii="Cambria" w:hAnsi="Cambria" w:eastAsia="Cambria" w:cs="Cambria"/>
          <w:b/>
          <w:i w:val="0"/>
          <w:color w:val="1F3A5F"/>
          <w:sz w:val="26"/>
        </w:rPr>
        <w:t>5. Integration with Accreditation Frameworks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NBA (Criterion 11: R&amp;D, Consultancy, Innovation)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Thrust areas mapped to Program Outcomes (POs) and Program Specific Outcomes (PSOs).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Example: PO4 (Investigation of Complex Problems), PO12 (Lifelong Learning).</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NAAC (Criterion 3: Research, Innovation &amp; Extension)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Evidence of thrust area establishment, projects undertaken, grants sanctioned, and patents filed.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Traceability from Policy → Action → Evidence → Outcome.</w:t>
      </w:r>
    </w:p>
    <w:p>
      <w:pPr>
        <w:spacing w:before="200" w:after="160"/>
      </w:pPr>
      <w:r>
        <w:rPr>
          <w:rFonts w:ascii="Cambria" w:hAnsi="Cambria" w:eastAsia="Cambria" w:cs="Cambria"/>
          <w:b/>
          <w:i w:val="0"/>
          <w:color w:val="1F3A5F"/>
          <w:sz w:val="26"/>
        </w:rPr>
        <w:t>6. Evidence/Documents for Peer Review</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Minutes of meetings identifying thrust areas.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List of thrust areas approved by HoD/Principal.</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Nomination orders for research cluster coordinators.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 proposals submitted and sanctioned.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FDP/workshop brochures and reports.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MoUs signed for interdisciplinary collaborations.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Publications, patents, consultancy records linked to thrust areas.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R&amp;D progress reports for NAAC/NBA/NIRF.</w:t>
      </w:r>
    </w:p>
    <w:p>
      <w:pPr>
        <w:spacing w:before="200" w:after="160"/>
      </w:pPr>
      <w:r>
        <w:rPr>
          <w:rFonts w:ascii="Cambria" w:hAnsi="Cambria" w:eastAsia="Cambria" w:cs="Cambria"/>
          <w:b/>
          <w:i w:val="0"/>
          <w:color w:val="1F3A5F"/>
          <w:sz w:val="26"/>
        </w:rPr>
        <w:t>7. Tangible Outcomes (Numeric &amp; Measurable)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Number of thrust areas established → Example: 5 (AI, IoT, Renewable Energy, Materials Research, Healthcare Analytics).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Increase in student projects aligned with thrust areas → 40% growth in 3 years.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Funded research projects → 25% year-on-year increase.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Publications → Growth from 15 to 32 Scopus/WoS indexed papers in 3 years.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Patents → Increase from 2 to 7 in 3 years.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Interdisciplinary collaborations → 6 joint projects across departments.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Consultancy revenue → 30% YoY growth.</w:t>
      </w:r>
    </w:p>
    <w:p>
      <w:pPr>
        <w:spacing w:before="200" w:after="160"/>
      </w:pPr>
      <w:r>
        <w:rPr>
          <w:rFonts w:ascii="Cambria" w:hAnsi="Cambria" w:eastAsia="Cambria" w:cs="Cambria"/>
          <w:b/>
          <w:i w:val="0"/>
          <w:color w:val="1F3A5F"/>
          <w:sz w:val="26"/>
        </w:rPr>
        <w:t>8. Why Peer Reviewers Value This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Shows structured approach in promoting research, not symbolic attempts.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Provides audit-ready documentation for NAAC/NBA.</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Ensures continuous improvement in research ecosystem.</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Demonstrates direct link between institutional policies and measurable research outcomes.</w:t>
      </w:r>
    </w:p>
    <w:p>
      <w:pPr>
        <w:spacing w:before="200" w:after="160"/>
      </w:pPr>
      <w:r>
        <w:rPr>
          <w:rFonts w:ascii="Cambria" w:hAnsi="Cambria" w:eastAsia="Cambria" w:cs="Cambria"/>
          <w:b/>
          <w:i w:val="0"/>
          <w:color w:val="1F3A5F"/>
          <w:sz w:val="26"/>
        </w:rPr>
        <w:t>Policy–Action–Outcome: Identification of Thrust Areas for Student &amp; Scholar R&amp;D Projects</w:t>
      </w:r>
    </w:p>
    <w:tbl>
      <w:tblPr>
        <w:tblW w:type="auto" w:w="0"/>
        <w:jc w:val="center"/>
        <w:tblLayout w:type="fixed"/>
        <w:tblLook w:firstColumn="1" w:firstRow="1" w:lastColumn="0" w:lastRow="0" w:noHBand="0" w:noVBand="1" w:val="04A0"/>
        <w:tblLayout w:type="fixed"/>
      </w:tblPr>
      <w:tblGrid>
        <w:gridCol w:w="1701"/>
        <w:gridCol w:w="3402"/>
        <w:gridCol w:w="2268"/>
        <w:gridCol w:w="2268"/>
      </w:tblGrid>
      <w:tr>
        <w:tc>
          <w:tcPr>
            <w:tcW w:type="dxa" w:w="1701"/>
            <w:shd w:val="clear" w:color="auto" w:fill="1F3A5F"/>
          </w:tcPr>
          <w:p>
            <w:pPr>
              <w:jc w:val="center"/>
            </w:pPr>
            <w:r/>
            <w:r>
              <w:rPr>
                <w:rFonts w:ascii="Cambria" w:hAnsi="Cambria" w:eastAsia="Cambria" w:cs="Cambria"/>
                <w:b/>
                <w:i w:val="0"/>
                <w:color w:val="FFFFFF"/>
                <w:sz w:val="18"/>
              </w:rPr>
              <w:t>Policy</w:t>
            </w:r>
          </w:p>
        </w:tc>
        <w:tc>
          <w:tcPr>
            <w:tcW w:type="dxa" w:w="3402"/>
            <w:shd w:val="clear" w:color="auto" w:fill="1F3A5F"/>
          </w:tcPr>
          <w:p>
            <w:pPr>
              <w:jc w:val="center"/>
            </w:pPr>
            <w:r/>
            <w:r>
              <w:rPr>
                <w:rFonts w:ascii="Cambria" w:hAnsi="Cambria" w:eastAsia="Cambria" w:cs="Cambria"/>
                <w:b/>
                <w:i w:val="0"/>
                <w:color w:val="FFFFFF"/>
                <w:sz w:val="18"/>
              </w:rPr>
              <w:t>Action by HoD</w:t>
            </w:r>
          </w:p>
        </w:tc>
        <w:tc>
          <w:tcPr>
            <w:tcW w:type="dxa" w:w="2268"/>
            <w:shd w:val="clear" w:color="auto" w:fill="1F3A5F"/>
          </w:tcPr>
          <w:p>
            <w:pPr>
              <w:jc w:val="center"/>
            </w:pPr>
            <w:r/>
            <w:r>
              <w:rPr>
                <w:rFonts w:ascii="Cambria" w:hAnsi="Cambria" w:eastAsia="Cambria" w:cs="Cambria"/>
                <w:b/>
                <w:i w:val="0"/>
                <w:color w:val="FFFFFF"/>
                <w:sz w:val="18"/>
              </w:rPr>
              <w:t>Evidence/Documents</w:t>
            </w:r>
          </w:p>
        </w:tc>
        <w:tc>
          <w:tcPr>
            <w:tcW w:type="dxa" w:w="2268"/>
            <w:shd w:val="clear" w:color="auto" w:fill="1F3A5F"/>
          </w:tcPr>
          <w:p>
            <w:pPr>
              <w:jc w:val="center"/>
            </w:pPr>
            <w:r/>
            <w:r>
              <w:rPr>
                <w:rFonts w:ascii="Cambria" w:hAnsi="Cambria" w:eastAsia="Cambria" w:cs="Cambria"/>
                <w:b/>
                <w:i w:val="0"/>
                <w:color w:val="FFFFFF"/>
                <w:sz w:val="18"/>
              </w:rPr>
              <w:t>Expected Outcome</w:t>
            </w:r>
          </w:p>
        </w:tc>
      </w:tr>
      <w:tr>
        <w:tc>
          <w:tcPr>
            <w:tcW w:type="dxa" w:w="1701"/>
          </w:tcPr>
          <w:p>
            <w:pPr>
              <w:jc w:val="center"/>
            </w:pPr>
            <w:r/>
            <w:r>
              <w:rPr>
                <w:rFonts w:ascii="Cambria" w:hAnsi="Cambria" w:eastAsia="Cambria" w:cs="Cambria"/>
                <w:b w:val="0"/>
                <w:i w:val="0"/>
                <w:sz w:val="16"/>
              </w:rPr>
              <w:t>Identification of Thrust Areas for Student &amp; Scholar R&amp;D Projects</w:t>
            </w:r>
          </w:p>
        </w:tc>
        <w:tc>
          <w:tcPr>
            <w:tcW w:type="dxa" w:w="3402"/>
          </w:tcPr>
          <w:p>
            <w:pPr>
              <w:jc w:val="left"/>
            </w:pPr>
            <w:r/>
            <w:r>
              <w:rPr>
                <w:rFonts w:ascii="Cambria" w:hAnsi="Cambria" w:eastAsia="Cambria" w:cs="Cambria"/>
                <w:b w:val="0"/>
                <w:i w:val="0"/>
                <w:sz w:val="16"/>
              </w:rPr>
              <w:t>- Conduct brainstorming sessions with faculty, industry experts, and researchers.</w:t>
              <w:br/>
              <w:t>- Analyze national missions (NEP 2020, SDGs, Digital India, Atmanirbhar Bharat) and industry trends.</w:t>
              <w:br/>
              <w:t>- Map thrust areas to departmental expertise (e.g., AI, IoT, Renewable Energy, Healthcare, Materials).</w:t>
              <w:br/>
              <w:t>- Form research committees/clusters to periodically review thrust areas.</w:t>
              <w:br/>
              <w:t>- Source student projects and Ph.D. topics aligned with thrust areas.</w:t>
            </w:r>
          </w:p>
        </w:tc>
        <w:tc>
          <w:tcPr>
            <w:tcW w:type="dxa" w:w="2268"/>
          </w:tcPr>
          <w:p>
            <w:pPr>
              <w:jc w:val="center"/>
            </w:pPr>
            <w:r/>
            <w:r>
              <w:rPr>
                <w:rFonts w:ascii="Cambria" w:hAnsi="Cambria" w:eastAsia="Cambria" w:cs="Cambria"/>
                <w:b w:val="0"/>
                <w:i w:val="0"/>
                <w:sz w:val="16"/>
              </w:rPr>
              <w:t>- Minutes of meetings for thrust area identification.</w:t>
              <w:br/>
              <w:t>- List of approved thrust areas by HoD/Principal.</w:t>
              <w:br/>
              <w:t>- Nomination orders for research cluster coordinators.</w:t>
              <w:br/>
              <w:t>- Student and scholar project allocation records.</w:t>
              <w:br/>
              <w:t>- Research proposals submitted and grants sanctioned.</w:t>
            </w:r>
          </w:p>
        </w:tc>
        <w:tc>
          <w:tcPr>
            <w:tcW w:type="dxa" w:w="2268"/>
          </w:tcPr>
          <w:p>
            <w:pPr>
              <w:jc w:val="center"/>
            </w:pPr>
            <w:r/>
            <w:r>
              <w:rPr>
                <w:rFonts w:ascii="Cambria" w:hAnsi="Cambria" w:eastAsia="Cambria" w:cs="Cambria"/>
                <w:b w:val="0"/>
                <w:i w:val="0"/>
                <w:sz w:val="16"/>
              </w:rPr>
              <w:t>- Creation of focused research clusters relevant to institutional and societal needs.</w:t>
              <w:br/>
              <w:t>- 40% increase in student research projects linked to thrust areas.</w:t>
              <w:br/>
              <w:t>- Growth in funded projects and scholarship opportunities.</w:t>
              <w:br/>
              <w:t>- More publications, patents, and consultancy outputs connected to thrust areas.</w:t>
            </w:r>
          </w:p>
        </w:tc>
      </w:tr>
    </w:tbl>
    <w:p>
      <w:pPr>
        <w:spacing w:line="276" w:lineRule="auto" w:after="120"/>
        <w:jc w:val="both"/>
      </w:pPr>
      <w:r>
        <w:rPr>
          <w:rFonts w:ascii="Cambria" w:hAnsi="Cambria" w:eastAsia="Cambria" w:cs="Cambria"/>
          <w:b/>
          <w:i w:val="0"/>
          <w:sz w:val="22"/>
        </w:rPr>
        <w:t>List of thrust areas with example student and scholar projects that a HoD can establish to source meaningful R&amp;D contributions</w:t>
      </w:r>
    </w:p>
    <w:p>
      <w:pPr>
        <w:spacing w:line="276" w:lineRule="auto" w:after="120"/>
      </w:pPr>
      <w:r>
        <w:rPr>
          <w:rFonts w:ascii="Cambria" w:hAnsi="Cambria" w:eastAsia="Cambria" w:cs="Cambria"/>
          <w:b/>
          <w:i w:val="0"/>
          <w:sz w:val="22"/>
        </w:rPr>
        <w:t>1. Artificial Intelligence &amp; Data Analytics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AI-based system for early detection of diabetic retinopathy using retinal images.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Sentiment analysis on social media data for mental health monitoring.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Predictive analytics for student academic performance using ML models.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Scholar Projects (Ph.D./M.Phil.)</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Development of explainable AI models for healthcare diagnostics.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Federated learning frameworks for privacy-preserving financial analytics.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Natural Language Processing (NLP) for automated legal document review.</w:t>
      </w:r>
    </w:p>
    <w:p>
      <w:pPr>
        <w:spacing w:line="276" w:lineRule="auto" w:after="120"/>
      </w:pPr>
      <w:r>
        <w:rPr>
          <w:rFonts w:ascii="Cambria" w:hAnsi="Cambria" w:eastAsia="Cambria" w:cs="Cambria"/>
          <w:b/>
          <w:i w:val="0"/>
          <w:sz w:val="22"/>
        </w:rPr>
        <w:t>2. Internet of Things (IoT) &amp; Smart Systems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IoT-enabled smart irrigation system for precision agriculture.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Smart home automation system with energy optimization.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Air quality monitoring device using low-cost IoT sensors.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Scholar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IoT-integrated predictive maintenance in manufacturing industries.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Blockchain-enhanced IoT for secure data sharing in healthcare.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Smart city framework integrating IoT, GIS, and cloud computing.</w:t>
      </w:r>
    </w:p>
    <w:p>
      <w:pPr>
        <w:spacing w:line="276" w:lineRule="auto" w:after="120"/>
      </w:pPr>
      <w:r>
        <w:rPr>
          <w:rFonts w:ascii="Cambria" w:hAnsi="Cambria" w:eastAsia="Cambria" w:cs="Cambria"/>
          <w:b/>
          <w:i w:val="0"/>
          <w:sz w:val="22"/>
        </w:rPr>
        <w:t>3. Renewable Energy &amp; Sustainable Technologies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Solar-powered cold storage for rural farmers.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Design of vertical-axis wind turbines for urban rooftops.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Energy-efficient hybrid street lighting using solar and wind.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Scholar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AI-based optimization of renewable energy grids.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Advanced materials for high-efficiency solar photovoltaic cells.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Lifecycle analysis of renewable energy systems in smart cities.</w:t>
      </w:r>
    </w:p>
    <w:p>
      <w:pPr>
        <w:spacing w:line="276" w:lineRule="auto" w:after="120"/>
      </w:pPr>
      <w:r>
        <w:rPr>
          <w:rFonts w:ascii="Cambria" w:hAnsi="Cambria" w:eastAsia="Cambria" w:cs="Cambria"/>
          <w:b/>
          <w:i w:val="0"/>
          <w:sz w:val="22"/>
        </w:rPr>
        <w:t>4. Healthcare &amp; Biomedical Engineering</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Wearable devices for continuous heart rate and blood pressure monitoring.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AI-powered chatbot for mental health support.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Mobile app for tracking nutrition and fitness data.</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Scholar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Deep learning-based cancer detection from medical imaging.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Bioinformatics approaches for drug repurposing in rare diseases.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AI-enabled robotic surgery simulation for training doctors.</w:t>
      </w:r>
    </w:p>
    <w:p>
      <w:pPr>
        <w:spacing w:line="276" w:lineRule="auto" w:after="120"/>
      </w:pPr>
      <w:r>
        <w:rPr>
          <w:rFonts w:ascii="Cambria" w:hAnsi="Cambria" w:eastAsia="Cambria" w:cs="Cambria"/>
          <w:b/>
          <w:i w:val="0"/>
          <w:sz w:val="22"/>
        </w:rPr>
        <w:t>5. Materials Science &amp; Nanotechnology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Development of biodegradable packaging materials.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Graphene-based supercapacitors for energy storage.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Nano-coated textiles for antibacterial and waterproof clothing.</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Scholar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Nanostructured catalysts for clean hydrogen production.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Smart composite materials for aerospace applications.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Bio-inspired nanomaterials for targeted drug delivery.</w:t>
      </w:r>
    </w:p>
    <w:p>
      <w:pPr>
        <w:spacing w:line="276" w:lineRule="auto" w:after="120"/>
      </w:pPr>
      <w:r>
        <w:rPr>
          <w:rFonts w:ascii="Cambria" w:hAnsi="Cambria" w:eastAsia="Cambria" w:cs="Cambria"/>
          <w:b/>
          <w:i w:val="0"/>
          <w:sz w:val="22"/>
        </w:rPr>
        <w:t>6. Climate Change &amp; Environmental Sustainability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Machine learning models for predicting rainfall patterns.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Waste segregation using AI-enabled image recognition.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Design of eco-friendly water filtration systems for rural areas.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Scholar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Climate modeling using AI for disaster risk management.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Circular economy models for sustainable manufacturing.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Big Data analytics for tracking SDG indicators.</w:t>
      </w:r>
    </w:p>
    <w:p>
      <w:pPr>
        <w:spacing w:line="276" w:lineRule="auto" w:after="120"/>
      </w:pPr>
      <w:r>
        <w:rPr>
          <w:rFonts w:ascii="Cambria" w:hAnsi="Cambria" w:eastAsia="Cambria" w:cs="Cambria"/>
          <w:b/>
          <w:i w:val="0"/>
          <w:sz w:val="22"/>
        </w:rPr>
        <w:t>7. Smart Education &amp; Digital Learning</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Adaptive e-learning platform with AI-based personalized recommendations.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AR/VR-based lab simulations for science education.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Gamification tools for improving student engagement.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Scholar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AI tutors for lifelong learning and skill development.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Learning analytics for improving curriculum outcomes.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NLP-driven systems for multi-language content translation.</w:t>
      </w:r>
    </w:p>
    <w:p>
      <w:pPr>
        <w:spacing w:line="276" w:lineRule="auto" w:after="120"/>
      </w:pPr>
      <w:r>
        <w:rPr>
          <w:rFonts w:ascii="Cambria" w:hAnsi="Cambria" w:eastAsia="Cambria" w:cs="Cambria"/>
          <w:b/>
          <w:i w:val="0"/>
          <w:sz w:val="22"/>
        </w:rPr>
        <w:t>8. Entrepreneurship, Innovation &amp; Social Impact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Low-cost assistive devices for differently-abled persons.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Mobile app for rural micro-financing and women entrepreneurs.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Community-driven crowdsourcing platform for disaster relief.</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Scholar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Innovation ecosystems for sustainable start-ups in HEIs.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AI-powered platforms for inclusive financial literacy.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Social entrepreneurship models for rural livelihood empowerment.</w:t>
      </w:r>
    </w:p>
    <w:p>
      <w:pPr>
        <w:spacing w:before="200" w:after="160"/>
      </w:pPr>
      <w:r>
        <w:rPr>
          <w:rFonts w:ascii="Cambria" w:hAnsi="Cambria" w:eastAsia="Cambria" w:cs="Cambria"/>
          <w:b/>
          <w:i w:val="0"/>
          <w:color w:val="1F3A5F"/>
          <w:sz w:val="26"/>
        </w:rPr>
        <w:t>Model Thrust Areas with Example Student &amp; Scholar R&amp;D Projects</w:t>
      </w:r>
    </w:p>
    <w:tbl>
      <w:tblPr>
        <w:tblW w:type="auto" w:w="0"/>
        <w:jc w:val="center"/>
        <w:tblLayout w:type="fixed"/>
        <w:tblLook w:firstColumn="1" w:firstRow="1" w:lastColumn="0" w:lastRow="0" w:noHBand="0" w:noVBand="1" w:val="04A0"/>
        <w:tblLayout w:type="fixed"/>
      </w:tblPr>
      <w:tblGrid>
        <w:gridCol w:w="2268"/>
        <w:gridCol w:w="3118"/>
        <w:gridCol w:w="3118"/>
      </w:tblGrid>
      <w:tr>
        <w:tc>
          <w:tcPr>
            <w:tcW w:type="dxa" w:w="2268"/>
            <w:shd w:val="clear" w:color="auto" w:fill="1F3A5F"/>
          </w:tcPr>
          <w:p>
            <w:pPr>
              <w:jc w:val="center"/>
            </w:pPr>
            <w:r/>
            <w:r>
              <w:rPr>
                <w:rFonts w:ascii="Cambria" w:hAnsi="Cambria" w:eastAsia="Cambria" w:cs="Cambria"/>
                <w:b/>
                <w:i w:val="0"/>
                <w:color w:val="FFFFFF"/>
                <w:sz w:val="18"/>
              </w:rPr>
              <w:t>Thrust Area</w:t>
            </w:r>
          </w:p>
        </w:tc>
        <w:tc>
          <w:tcPr>
            <w:tcW w:type="dxa" w:w="3118"/>
            <w:shd w:val="clear" w:color="auto" w:fill="1F3A5F"/>
          </w:tcPr>
          <w:p>
            <w:pPr>
              <w:jc w:val="center"/>
            </w:pPr>
            <w:r/>
            <w:r>
              <w:rPr>
                <w:rFonts w:ascii="Cambria" w:hAnsi="Cambria" w:eastAsia="Cambria" w:cs="Cambria"/>
                <w:b/>
                <w:i w:val="0"/>
                <w:color w:val="FFFFFF"/>
                <w:sz w:val="18"/>
              </w:rPr>
              <w:t>Example Student Projects (UG/PG)</w:t>
            </w:r>
          </w:p>
        </w:tc>
        <w:tc>
          <w:tcPr>
            <w:tcW w:type="dxa" w:w="3118"/>
            <w:shd w:val="clear" w:color="auto" w:fill="1F3A5F"/>
          </w:tcPr>
          <w:p>
            <w:pPr>
              <w:jc w:val="center"/>
            </w:pPr>
            <w:r/>
            <w:r>
              <w:rPr>
                <w:rFonts w:ascii="Cambria" w:hAnsi="Cambria" w:eastAsia="Cambria" w:cs="Cambria"/>
                <w:b/>
                <w:i w:val="0"/>
                <w:color w:val="FFFFFF"/>
                <w:sz w:val="18"/>
              </w:rPr>
              <w:t>Example Scholar Projects (Ph.D./M.Phil.)</w:t>
            </w:r>
          </w:p>
        </w:tc>
      </w:tr>
      <w:tr>
        <w:tc>
          <w:tcPr>
            <w:tcW w:type="dxa" w:w="2268"/>
          </w:tcPr>
          <w:p>
            <w:pPr>
              <w:jc w:val="center"/>
            </w:pPr>
            <w:r/>
            <w:r>
              <w:rPr>
                <w:rFonts w:ascii="Cambria" w:hAnsi="Cambria" w:eastAsia="Cambria" w:cs="Cambria"/>
                <w:b w:val="0"/>
                <w:i w:val="0"/>
                <w:sz w:val="16"/>
              </w:rPr>
              <w:t>Artificial Intelligence &amp; Data Analytics</w:t>
            </w:r>
          </w:p>
        </w:tc>
        <w:tc>
          <w:tcPr>
            <w:tcW w:type="dxa" w:w="3118"/>
          </w:tcPr>
          <w:p>
            <w:pPr>
              <w:jc w:val="left"/>
            </w:pPr>
            <w:r/>
            <w:r>
              <w:rPr>
                <w:rFonts w:ascii="Cambria" w:hAnsi="Cambria" w:eastAsia="Cambria" w:cs="Cambria"/>
                <w:b w:val="0"/>
                <w:i w:val="0"/>
                <w:sz w:val="16"/>
              </w:rPr>
              <w:t>- AI-based diabetic retinopathy detection.</w:t>
              <w:br/>
              <w:t>- Social media sentiment analysis for mental health.</w:t>
              <w:br/>
              <w:t>- Predictive analytics for student performance.</w:t>
            </w:r>
          </w:p>
        </w:tc>
        <w:tc>
          <w:tcPr>
            <w:tcW w:type="dxa" w:w="3118"/>
          </w:tcPr>
          <w:p>
            <w:pPr>
              <w:jc w:val="center"/>
            </w:pPr>
            <w:r/>
            <w:r>
              <w:rPr>
                <w:rFonts w:ascii="Cambria" w:hAnsi="Cambria" w:eastAsia="Cambria" w:cs="Cambria"/>
                <w:b w:val="0"/>
                <w:i w:val="0"/>
                <w:sz w:val="16"/>
              </w:rPr>
              <w:t>- Explainable AI for healthcare diagnostics.</w:t>
              <w:br/>
              <w:t>- Federated learning for financial analytics.</w:t>
              <w:br/>
              <w:t>- NLP for automated legal document review.</w:t>
            </w:r>
          </w:p>
        </w:tc>
      </w:tr>
      <w:tr>
        <w:tc>
          <w:tcPr>
            <w:tcW w:type="dxa" w:w="2268"/>
            <w:shd w:val="clear" w:color="auto" w:fill="D9D9D9"/>
          </w:tcPr>
          <w:p>
            <w:pPr>
              <w:jc w:val="center"/>
            </w:pPr>
            <w:r/>
            <w:r>
              <w:rPr>
                <w:rFonts w:ascii="Cambria" w:hAnsi="Cambria" w:eastAsia="Cambria" w:cs="Cambria"/>
                <w:b w:val="0"/>
                <w:i w:val="0"/>
                <w:sz w:val="16"/>
              </w:rPr>
              <w:t>Internet of Things (IoT) &amp; Smart Systems</w:t>
            </w:r>
          </w:p>
        </w:tc>
        <w:tc>
          <w:tcPr>
            <w:tcW w:type="dxa" w:w="3118"/>
            <w:shd w:val="clear" w:color="auto" w:fill="D9D9D9"/>
          </w:tcPr>
          <w:p>
            <w:pPr>
              <w:jc w:val="left"/>
            </w:pPr>
            <w:r/>
            <w:r>
              <w:rPr>
                <w:rFonts w:ascii="Cambria" w:hAnsi="Cambria" w:eastAsia="Cambria" w:cs="Cambria"/>
                <w:b w:val="0"/>
                <w:i w:val="0"/>
                <w:sz w:val="16"/>
              </w:rPr>
              <w:t>- IoT-enabled smart irrigation for agriculture.</w:t>
              <w:br/>
              <w:t>- Smart home automation with energy optimization.</w:t>
              <w:br/>
              <w:t>- IoT-based air quality monitoring.</w:t>
            </w:r>
          </w:p>
        </w:tc>
        <w:tc>
          <w:tcPr>
            <w:tcW w:type="dxa" w:w="3118"/>
            <w:shd w:val="clear" w:color="auto" w:fill="D9D9D9"/>
          </w:tcPr>
          <w:p>
            <w:pPr>
              <w:jc w:val="center"/>
            </w:pPr>
            <w:r/>
            <w:r>
              <w:rPr>
                <w:rFonts w:ascii="Cambria" w:hAnsi="Cambria" w:eastAsia="Cambria" w:cs="Cambria"/>
                <w:b w:val="0"/>
                <w:i w:val="0"/>
                <w:sz w:val="16"/>
              </w:rPr>
              <w:t>- IoT-driven predictive maintenance in industries.</w:t>
              <w:br/>
              <w:t>- Blockchain-enabled secure IoT in healthcare.</w:t>
              <w:br/>
              <w:t>- Smart city IoT framework with GIS &amp; cloud.</w:t>
            </w:r>
          </w:p>
        </w:tc>
      </w:tr>
      <w:tr>
        <w:tc>
          <w:tcPr>
            <w:tcW w:type="dxa" w:w="2268"/>
          </w:tcPr>
          <w:p>
            <w:pPr>
              <w:jc w:val="center"/>
            </w:pPr>
            <w:r/>
            <w:r>
              <w:rPr>
                <w:rFonts w:ascii="Cambria" w:hAnsi="Cambria" w:eastAsia="Cambria" w:cs="Cambria"/>
                <w:b w:val="0"/>
                <w:i w:val="0"/>
                <w:sz w:val="16"/>
              </w:rPr>
              <w:t>Renewable Energy &amp; Sustainable Technologies</w:t>
            </w:r>
          </w:p>
        </w:tc>
        <w:tc>
          <w:tcPr>
            <w:tcW w:type="dxa" w:w="3118"/>
          </w:tcPr>
          <w:p>
            <w:pPr>
              <w:jc w:val="left"/>
            </w:pPr>
            <w:r/>
            <w:r>
              <w:rPr>
                <w:rFonts w:ascii="Cambria" w:hAnsi="Cambria" w:eastAsia="Cambria" w:cs="Cambria"/>
                <w:b w:val="0"/>
                <w:i w:val="0"/>
                <w:sz w:val="16"/>
              </w:rPr>
              <w:t>- Solar-powered cold storage for farmers.</w:t>
              <w:br/>
              <w:t>- Rooftop vertical-axis wind turbines.</w:t>
              <w:br/>
              <w:t>- Hybrid solar-wind street lighting.</w:t>
            </w:r>
          </w:p>
        </w:tc>
        <w:tc>
          <w:tcPr>
            <w:tcW w:type="dxa" w:w="3118"/>
          </w:tcPr>
          <w:p>
            <w:pPr>
              <w:jc w:val="center"/>
            </w:pPr>
            <w:r/>
            <w:r>
              <w:rPr>
                <w:rFonts w:ascii="Cambria" w:hAnsi="Cambria" w:eastAsia="Cambria" w:cs="Cambria"/>
                <w:b w:val="0"/>
                <w:i w:val="0"/>
                <w:sz w:val="16"/>
              </w:rPr>
              <w:t>- AI-based renewable grid optimization.</w:t>
              <w:br/>
              <w:t>- Advanced solar photovoltaic materials.</w:t>
              <w:br/>
              <w:t>- Lifecycle analysis of renewable energy systems.</w:t>
            </w:r>
          </w:p>
        </w:tc>
      </w:tr>
      <w:tr>
        <w:tc>
          <w:tcPr>
            <w:tcW w:type="dxa" w:w="2268"/>
            <w:shd w:val="clear" w:color="auto" w:fill="D9D9D9"/>
          </w:tcPr>
          <w:p>
            <w:pPr>
              <w:jc w:val="center"/>
            </w:pPr>
            <w:r/>
            <w:r>
              <w:rPr>
                <w:rFonts w:ascii="Cambria" w:hAnsi="Cambria" w:eastAsia="Cambria" w:cs="Cambria"/>
                <w:b w:val="0"/>
                <w:i w:val="0"/>
                <w:sz w:val="16"/>
              </w:rPr>
              <w:t>Healthcare &amp; Biomedical Engineering</w:t>
            </w:r>
          </w:p>
        </w:tc>
        <w:tc>
          <w:tcPr>
            <w:tcW w:type="dxa" w:w="3118"/>
            <w:shd w:val="clear" w:color="auto" w:fill="D9D9D9"/>
          </w:tcPr>
          <w:p>
            <w:pPr>
              <w:jc w:val="left"/>
            </w:pPr>
            <w:r/>
            <w:r>
              <w:rPr>
                <w:rFonts w:ascii="Cambria" w:hAnsi="Cambria" w:eastAsia="Cambria" w:cs="Cambria"/>
                <w:b w:val="0"/>
                <w:i w:val="0"/>
                <w:sz w:val="16"/>
              </w:rPr>
              <w:t>- Wearable health monitoring devices.</w:t>
              <w:br/>
              <w:t>- AI mental health support chatbot.</w:t>
              <w:br/>
              <w:t>- Nutrition &amp; fitness tracking mobile app.</w:t>
            </w:r>
          </w:p>
        </w:tc>
        <w:tc>
          <w:tcPr>
            <w:tcW w:type="dxa" w:w="3118"/>
            <w:shd w:val="clear" w:color="auto" w:fill="D9D9D9"/>
          </w:tcPr>
          <w:p>
            <w:pPr>
              <w:jc w:val="center"/>
            </w:pPr>
            <w:r/>
            <w:r>
              <w:rPr>
                <w:rFonts w:ascii="Cambria" w:hAnsi="Cambria" w:eastAsia="Cambria" w:cs="Cambria"/>
                <w:b w:val="0"/>
                <w:i w:val="0"/>
                <w:sz w:val="16"/>
              </w:rPr>
              <w:t>- Deep learning for cancer detection.</w:t>
              <w:br/>
              <w:t>- Bioinformatics for drug repurposing.</w:t>
              <w:br/>
              <w:t>- AI-enabled robotic surgery simulation.</w:t>
            </w:r>
          </w:p>
        </w:tc>
      </w:tr>
      <w:tr>
        <w:tc>
          <w:tcPr>
            <w:tcW w:type="dxa" w:w="2268"/>
          </w:tcPr>
          <w:p>
            <w:pPr>
              <w:jc w:val="center"/>
            </w:pPr>
            <w:r/>
            <w:r>
              <w:rPr>
                <w:rFonts w:ascii="Cambria" w:hAnsi="Cambria" w:eastAsia="Cambria" w:cs="Cambria"/>
                <w:b w:val="0"/>
                <w:i w:val="0"/>
                <w:sz w:val="16"/>
              </w:rPr>
              <w:t>Materials Science &amp; Nanotechnology</w:t>
            </w:r>
          </w:p>
        </w:tc>
        <w:tc>
          <w:tcPr>
            <w:tcW w:type="dxa" w:w="3118"/>
          </w:tcPr>
          <w:p>
            <w:pPr>
              <w:jc w:val="left"/>
            </w:pPr>
            <w:r/>
            <w:r>
              <w:rPr>
                <w:rFonts w:ascii="Cambria" w:hAnsi="Cambria" w:eastAsia="Cambria" w:cs="Cambria"/>
                <w:b w:val="0"/>
                <w:i w:val="0"/>
                <w:sz w:val="16"/>
              </w:rPr>
              <w:t>- Biodegradable packaging materials.</w:t>
              <w:br/>
              <w:t>- Graphene-based supercapacitors.</w:t>
              <w:br/>
              <w:t>- Antibacterial nano-coated textiles.</w:t>
            </w:r>
          </w:p>
        </w:tc>
        <w:tc>
          <w:tcPr>
            <w:tcW w:type="dxa" w:w="3118"/>
          </w:tcPr>
          <w:p>
            <w:pPr>
              <w:jc w:val="center"/>
            </w:pPr>
            <w:r/>
            <w:r>
              <w:rPr>
                <w:rFonts w:ascii="Cambria" w:hAnsi="Cambria" w:eastAsia="Cambria" w:cs="Cambria"/>
                <w:b w:val="0"/>
                <w:i w:val="0"/>
                <w:sz w:val="16"/>
              </w:rPr>
              <w:t>- Nanocatalysts for hydrogen production.</w:t>
              <w:br/>
              <w:t>- Smart composites for aerospace.</w:t>
              <w:br/>
              <w:t>- Bio-inspired nanomaterials for drug delivery.</w:t>
            </w:r>
          </w:p>
        </w:tc>
      </w:tr>
      <w:tr>
        <w:tc>
          <w:tcPr>
            <w:tcW w:type="dxa" w:w="2268"/>
            <w:shd w:val="clear" w:color="auto" w:fill="D9D9D9"/>
          </w:tcPr>
          <w:p>
            <w:pPr>
              <w:jc w:val="center"/>
            </w:pPr>
            <w:r/>
            <w:r>
              <w:rPr>
                <w:rFonts w:ascii="Cambria" w:hAnsi="Cambria" w:eastAsia="Cambria" w:cs="Cambria"/>
                <w:b w:val="0"/>
                <w:i w:val="0"/>
                <w:sz w:val="16"/>
              </w:rPr>
              <w:t>Climate Change &amp; Environmental Sustainability</w:t>
            </w:r>
          </w:p>
        </w:tc>
        <w:tc>
          <w:tcPr>
            <w:tcW w:type="dxa" w:w="3118"/>
            <w:shd w:val="clear" w:color="auto" w:fill="D9D9D9"/>
          </w:tcPr>
          <w:p>
            <w:pPr>
              <w:jc w:val="left"/>
            </w:pPr>
            <w:r/>
            <w:r>
              <w:rPr>
                <w:rFonts w:ascii="Cambria" w:hAnsi="Cambria" w:eastAsia="Cambria" w:cs="Cambria"/>
                <w:b w:val="0"/>
                <w:i w:val="0"/>
                <w:sz w:val="16"/>
              </w:rPr>
              <w:t>- ML-based rainfall prediction.</w:t>
              <w:br/>
              <w:t>- AI-enabled waste segregation system.</w:t>
              <w:br/>
              <w:t>- Eco-friendly rural water filters.</w:t>
            </w:r>
          </w:p>
        </w:tc>
        <w:tc>
          <w:tcPr>
            <w:tcW w:type="dxa" w:w="3118"/>
            <w:shd w:val="clear" w:color="auto" w:fill="D9D9D9"/>
          </w:tcPr>
          <w:p>
            <w:pPr>
              <w:jc w:val="center"/>
            </w:pPr>
            <w:r/>
            <w:r>
              <w:rPr>
                <w:rFonts w:ascii="Cambria" w:hAnsi="Cambria" w:eastAsia="Cambria" w:cs="Cambria"/>
                <w:b w:val="0"/>
                <w:i w:val="0"/>
                <w:sz w:val="16"/>
              </w:rPr>
              <w:t>- Climate modeling with AI for disaster management.</w:t>
              <w:br/>
              <w:t>- Circular economy models for manufacturing.</w:t>
              <w:br/>
              <w:t>- Big Data analytics for SDG monitoring.</w:t>
            </w:r>
          </w:p>
        </w:tc>
      </w:tr>
      <w:tr>
        <w:tc>
          <w:tcPr>
            <w:tcW w:type="dxa" w:w="2268"/>
          </w:tcPr>
          <w:p>
            <w:pPr>
              <w:jc w:val="center"/>
            </w:pPr>
            <w:r/>
            <w:r>
              <w:rPr>
                <w:rFonts w:ascii="Cambria" w:hAnsi="Cambria" w:eastAsia="Cambria" w:cs="Cambria"/>
                <w:b w:val="0"/>
                <w:i w:val="0"/>
                <w:sz w:val="16"/>
              </w:rPr>
              <w:t>Smart Education &amp; Digital Learning</w:t>
            </w:r>
          </w:p>
        </w:tc>
        <w:tc>
          <w:tcPr>
            <w:tcW w:type="dxa" w:w="3118"/>
          </w:tcPr>
          <w:p>
            <w:pPr>
              <w:jc w:val="left"/>
            </w:pPr>
            <w:r/>
            <w:r>
              <w:rPr>
                <w:rFonts w:ascii="Cambria" w:hAnsi="Cambria" w:eastAsia="Cambria" w:cs="Cambria"/>
                <w:b w:val="0"/>
                <w:i w:val="0"/>
                <w:sz w:val="16"/>
              </w:rPr>
              <w:t>- Adaptive AI-based e-learning platforms.</w:t>
              <w:br/>
              <w:t>- AR/VR-based science lab simulations.</w:t>
              <w:br/>
              <w:t>- Gamified learning applications.</w:t>
            </w:r>
          </w:p>
        </w:tc>
        <w:tc>
          <w:tcPr>
            <w:tcW w:type="dxa" w:w="3118"/>
          </w:tcPr>
          <w:p>
            <w:pPr>
              <w:jc w:val="center"/>
            </w:pPr>
            <w:r/>
            <w:r>
              <w:rPr>
                <w:rFonts w:ascii="Cambria" w:hAnsi="Cambria" w:eastAsia="Cambria" w:cs="Cambria"/>
                <w:b w:val="0"/>
                <w:i w:val="0"/>
                <w:sz w:val="16"/>
              </w:rPr>
              <w:t>- AI tutors for lifelong learning.</w:t>
              <w:br/>
              <w:t>- Learning analytics for curriculum improvement.</w:t>
              <w:br/>
              <w:t>- NLP for multilingual educational content.</w:t>
            </w:r>
          </w:p>
        </w:tc>
      </w:tr>
      <w:tr>
        <w:tc>
          <w:tcPr>
            <w:tcW w:type="dxa" w:w="2268"/>
            <w:shd w:val="clear" w:color="auto" w:fill="D9D9D9"/>
          </w:tcPr>
          <w:p>
            <w:pPr>
              <w:jc w:val="center"/>
            </w:pPr>
            <w:r/>
            <w:r>
              <w:rPr>
                <w:rFonts w:ascii="Cambria" w:hAnsi="Cambria" w:eastAsia="Cambria" w:cs="Cambria"/>
                <w:b w:val="0"/>
                <w:i w:val="0"/>
                <w:sz w:val="16"/>
              </w:rPr>
              <w:t>Entrepreneurship, Innovation &amp; Social Impact</w:t>
            </w:r>
          </w:p>
        </w:tc>
        <w:tc>
          <w:tcPr>
            <w:tcW w:type="dxa" w:w="3118"/>
            <w:shd w:val="clear" w:color="auto" w:fill="D9D9D9"/>
          </w:tcPr>
          <w:p>
            <w:pPr>
              <w:jc w:val="left"/>
            </w:pPr>
            <w:r/>
            <w:r>
              <w:rPr>
                <w:rFonts w:ascii="Cambria" w:hAnsi="Cambria" w:eastAsia="Cambria" w:cs="Cambria"/>
                <w:b w:val="0"/>
                <w:i w:val="0"/>
                <w:sz w:val="16"/>
              </w:rPr>
              <w:t>- Assistive devices for differently-abled.</w:t>
              <w:br/>
              <w:t>- Rural micro-finance mobile app.</w:t>
              <w:br/>
              <w:t>- Community crowdsourcing platform for disaster relief.</w:t>
            </w:r>
          </w:p>
        </w:tc>
        <w:tc>
          <w:tcPr>
            <w:tcW w:type="dxa" w:w="3118"/>
            <w:shd w:val="clear" w:color="auto" w:fill="D9D9D9"/>
          </w:tcPr>
          <w:p>
            <w:pPr>
              <w:jc w:val="center"/>
            </w:pPr>
            <w:r/>
            <w:r>
              <w:rPr>
                <w:rFonts w:ascii="Cambria" w:hAnsi="Cambria" w:eastAsia="Cambria" w:cs="Cambria"/>
                <w:b w:val="0"/>
                <w:i w:val="0"/>
                <w:sz w:val="16"/>
              </w:rPr>
              <w:t>- Innovation ecosystems for HEI start-ups.</w:t>
              <w:br/>
              <w:t>- AI platforms for inclusive financial literacy.</w:t>
              <w:br/>
              <w:t>- Social entrepreneurship models for rural livelihoods.</w:t>
            </w:r>
          </w:p>
        </w:tc>
      </w:tr>
    </w:tbl>
    <w:p>
      <w:r>
        <w:br w:type="page"/>
      </w:r>
    </w:p>
    <w:p>
      <w:pPr>
        <w:spacing w:before="280" w:after="160"/>
      </w:pPr>
      <w:r>
        <w:rPr>
          <w:rFonts w:ascii="Cambria" w:hAnsi="Cambria" w:eastAsia="Cambria" w:cs="Cambria"/>
          <w:b/>
          <w:i w:val="0"/>
          <w:color w:val="1F3A5F"/>
          <w:sz w:val="36"/>
        </w:rPr>
        <w:t>5. HoD’s responsibility for arranging invited talks from industrial and R&amp;D organizations</w:t>
      </w:r>
    </w:p>
    <w:p>
      <w:pPr>
        <w:spacing w:before="200" w:after="160"/>
      </w:pPr>
      <w:r>
        <w:rPr>
          <w:rFonts w:ascii="Cambria" w:hAnsi="Cambria" w:eastAsia="Cambria" w:cs="Cambria"/>
          <w:b/>
          <w:i w:val="0"/>
          <w:color w:val="1F3A5F"/>
          <w:sz w:val="26"/>
        </w:rPr>
        <w:t>1. Policy Context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The Head of Department (HoD) is responsible for bridging the gap between academia and industry/R&amp;D organizations.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Invited talks serve as a platform for:</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Knowledge transfer from industry experts to students and faculty.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Exposure to emerging technologies, industrial practices, and R&amp;D advancements.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Promoting collaborative projects, consultancy, and internships.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This aligns with:</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NAAC Criterion 3 (Research, Innovation, and Extension).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NBA Criterion 11 (R&amp;D, Consultancy, Innovation).</w:t>
      </w:r>
    </w:p>
    <w:p>
      <w:pPr>
        <w:spacing w:line="276" w:lineRule="auto" w:after="120"/>
        <w:ind w:left="714"/>
        <w:jc w:val="both"/>
      </w:pPr>
      <w:r>
        <w:rPr>
          <w:rFonts w:ascii="Cambria" w:hAnsi="Cambria" w:eastAsia="Cambria" w:cs="Cambria"/>
          <w:b w:val="0"/>
          <w:i w:val="0"/>
          <w:sz w:val="22"/>
        </w:rPr>
        <w:t xml:space="preserve">Outcome-Based Education (OBE) outcomes like PO9 </w:t>
      </w:r>
      <w:r>
        <w:rPr>
          <w:rFonts w:ascii="Cambria" w:hAnsi="Cambria" w:eastAsia="Cambria" w:cs="Cambria"/>
          <w:b/>
          <w:i w:val="0"/>
          <w:sz w:val="22"/>
        </w:rPr>
        <w:t>–</w:t>
      </w:r>
      <w:r>
        <w:rPr>
          <w:rFonts w:ascii="Cambria" w:hAnsi="Cambria" w:eastAsia="Cambria" w:cs="Cambria"/>
          <w:b w:val="0"/>
          <w:i w:val="0"/>
          <w:sz w:val="22"/>
        </w:rPr>
        <w:t xml:space="preserve"> Individual &amp; Team Work, PO12 </w:t>
      </w:r>
      <w:r>
        <w:rPr>
          <w:rFonts w:ascii="Cambria" w:hAnsi="Cambria" w:eastAsia="Cambria" w:cs="Cambria"/>
          <w:b/>
          <w:i w:val="0"/>
          <w:sz w:val="22"/>
        </w:rPr>
        <w:t>–</w:t>
      </w:r>
      <w:r>
        <w:rPr>
          <w:rFonts w:ascii="Cambria" w:hAnsi="Cambria" w:eastAsia="Cambria" w:cs="Cambria"/>
          <w:b w:val="0"/>
          <w:i w:val="0"/>
          <w:sz w:val="22"/>
        </w:rPr>
        <w:t xml:space="preserve"> Lifelong Learning.</w:t>
      </w:r>
    </w:p>
    <w:p>
      <w:pPr>
        <w:spacing w:before="200" w:after="160"/>
      </w:pPr>
      <w:r>
        <w:rPr>
          <w:rFonts w:ascii="Cambria" w:hAnsi="Cambria" w:eastAsia="Cambria" w:cs="Cambria"/>
          <w:b/>
          <w:i w:val="0"/>
          <w:color w:val="1F3A5F"/>
          <w:sz w:val="26"/>
        </w:rPr>
        <w:t>2. HoD’s Responsibilities in Practice</w:t>
      </w:r>
    </w:p>
    <w:p>
      <w:pPr>
        <w:spacing w:line="276" w:lineRule="auto" w:after="120"/>
      </w:pPr>
      <w:r>
        <w:rPr>
          <w:rFonts w:ascii="Cambria" w:hAnsi="Cambria" w:eastAsia="Cambria" w:cs="Cambria"/>
          <w:b/>
          <w:i w:val="0"/>
          <w:sz w:val="22"/>
        </w:rPr>
        <w:t>a) Identification of Experts and Organizations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Prepare a list of target industries and R&amp;D institutions relevant to departmental thrust areas (e.g., DRDO, ISRO, CSIR, Infosys, Google, Tata Research).</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Network with alumni, professional associations (IEEE, ACM, ISTE), and industry bodies (CII, NASSCOM) to source speakers.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Ensure diversity of expertise: technical, managerial, entrepreneurial, and research perspectives.</w:t>
      </w:r>
    </w:p>
    <w:p>
      <w:pPr>
        <w:spacing w:line="276" w:lineRule="auto" w:after="120"/>
      </w:pPr>
      <w:r>
        <w:rPr>
          <w:rFonts w:ascii="Cambria" w:hAnsi="Cambria" w:eastAsia="Cambria" w:cs="Cambria"/>
          <w:b/>
          <w:i w:val="0"/>
          <w:sz w:val="22"/>
        </w:rPr>
        <w:t>b) Planning and Organization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Schedule seminars, webinars, guest lectures, panel discussions, and fireside chats across the academic year.</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Ensure talks are mapped to thrust areas (e.g., AI in healthcare, renewable energy solutions, smart city applications).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Create an annual plan/calendar of invited talks with topics aligned to curriculum and R&amp;D needs.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Assign a faculty coordinator for logistics, invitations, and follow-up.</w:t>
      </w:r>
    </w:p>
    <w:p>
      <w:pPr>
        <w:spacing w:line="276" w:lineRule="auto" w:after="120"/>
      </w:pPr>
      <w:r>
        <w:rPr>
          <w:rFonts w:ascii="Cambria" w:hAnsi="Cambria" w:eastAsia="Cambria" w:cs="Cambria"/>
          <w:b/>
          <w:i w:val="0"/>
          <w:sz w:val="22"/>
        </w:rPr>
        <w:t>c) Encouragement &amp; Engagement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Motivate students to actively participate by integrating talks into curricular/project activities.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Encourage scholars to interact with speakers for mentorship and research guidance.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Promote faculty participation for networking and collaboration opportunities.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Provide certificates of participation and recognize active student engagement.</w:t>
      </w:r>
    </w:p>
    <w:p>
      <w:pPr>
        <w:spacing w:line="276" w:lineRule="auto" w:after="120"/>
      </w:pPr>
      <w:r>
        <w:rPr>
          <w:rFonts w:ascii="Cambria" w:hAnsi="Cambria" w:eastAsia="Cambria" w:cs="Cambria"/>
          <w:b/>
          <w:i w:val="0"/>
          <w:sz w:val="22"/>
        </w:rPr>
        <w:t>d) Follow-Up Actions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Collect feedback from students and faculty to assess usefulness of the talk.</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Document outcomes such as internship opportunities, consultancy offers, or research collaborations.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Maintain a repository of lecture notes, recordings, and key learnings for future reference.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Use insights gained to propose curriculum revisions and new R&amp;D initiatives.</w:t>
      </w:r>
    </w:p>
    <w:p>
      <w:pPr>
        <w:spacing w:before="200" w:after="160"/>
      </w:pPr>
      <w:r>
        <w:rPr>
          <w:rFonts w:ascii="Cambria" w:hAnsi="Cambria" w:eastAsia="Cambria" w:cs="Cambria"/>
          <w:b/>
          <w:i w:val="0"/>
          <w:color w:val="1F3A5F"/>
          <w:sz w:val="26"/>
        </w:rPr>
        <w:t>3. Evidence/Documents to Maintain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Invitation letters and confirmation emails.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Circulars, brochures, and event posters.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Speaker bio-data and lecture content.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Attendance records (signed sheets, online participation reports).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Photographs and video recordings of sessions.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Feedback forms and analysis reports.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Reports submitted to IQAC/Research Committee.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MoUs signed, consultancy initiated, or collaborative projects resulting from talks.</w:t>
      </w:r>
    </w:p>
    <w:p>
      <w:pPr>
        <w:spacing w:before="200" w:after="160"/>
      </w:pPr>
      <w:r>
        <w:rPr>
          <w:rFonts w:ascii="Cambria" w:hAnsi="Cambria" w:eastAsia="Cambria" w:cs="Cambria"/>
          <w:b/>
          <w:i w:val="0"/>
          <w:color w:val="1F3A5F"/>
          <w:sz w:val="26"/>
        </w:rPr>
        <w:t>4. Tangible Outcomes (Measurable Indicators)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Number of invited talks per academic year → e.g., 10–12.</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 and faculty participation → &gt;75% attendance.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Collaborations initiated → MoUs signed with 3–5 organizations annually.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 impact → At least 2 joint publications or funded projects arising from industry interactions.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Innovation impact → Student projects inspired by talks leading to patents/startups.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Placement outcomes → Increase in internships and job opportunities through industry linkages.</w:t>
      </w:r>
    </w:p>
    <w:p>
      <w:pPr>
        <w:spacing w:before="200" w:after="160"/>
      </w:pPr>
      <w:r>
        <w:rPr>
          <w:rFonts w:ascii="Cambria" w:hAnsi="Cambria" w:eastAsia="Cambria" w:cs="Cambria"/>
          <w:b/>
          <w:i w:val="0"/>
          <w:color w:val="1F3A5F"/>
          <w:sz w:val="26"/>
        </w:rPr>
        <w:t>5. Integration with Accreditation Frameworks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 xml:space="preserve">NAAC (Criterion 3.1, 3.2, 3.3): Invited talks demonstrate </w:t>
      </w:r>
      <w:r>
        <w:rPr>
          <w:rFonts w:ascii="Cambria" w:hAnsi="Cambria" w:eastAsia="Cambria" w:cs="Cambria"/>
          <w:b w:val="0"/>
          <w:i/>
          <w:sz w:val="22"/>
        </w:rPr>
        <w:t>promotion of research, innovation, and extension</w:t>
      </w:r>
      <w:r>
        <w:rPr>
          <w:rFonts w:ascii="Cambria" w:hAnsi="Cambria" w:eastAsia="Cambria" w:cs="Cambria"/>
          <w:b w:val="0"/>
          <w:i w:val="0"/>
          <w:sz w:val="22"/>
        </w:rPr>
        <w: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NBA (Criterion 11): Evidence of invited talks maps directly to R&amp;D, Consultancy, and Innovation activities.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OBE Integration: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PO9 (Team Work): Students interact with experts in professional environments.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PO12 (Lifelong Learning): Talks encourage continuous professional development.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PSOs: Talks aligned with department-specific skills (e.g., AI, IoT, Renewable Energy).</w:t>
      </w:r>
    </w:p>
    <w:p>
      <w:pPr>
        <w:spacing w:before="200" w:after="160"/>
      </w:pPr>
      <w:r>
        <w:rPr>
          <w:rFonts w:ascii="Cambria" w:hAnsi="Cambria" w:eastAsia="Cambria" w:cs="Cambria"/>
          <w:b/>
          <w:i w:val="0"/>
          <w:color w:val="1F3A5F"/>
          <w:sz w:val="26"/>
        </w:rPr>
        <w:t>6. Why Peer Reviewers Value This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Demonstrates that industry/R&amp;D engagement is planned, structured, and documented, not symbolic.</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Shows traceability: Policy → Action → Evidence → Outcome.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Highlights continuous improvement in industry–academia collaboration.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Proves that HoD is creating value-added opportunities for students and scholars beyond routine academics.</w:t>
      </w:r>
    </w:p>
    <w:p>
      <w:pPr>
        <w:spacing w:before="200" w:after="160"/>
      </w:pPr>
      <w:r>
        <w:rPr>
          <w:rFonts w:ascii="Cambria" w:hAnsi="Cambria" w:eastAsia="Cambria" w:cs="Cambria"/>
          <w:b/>
          <w:i w:val="0"/>
          <w:color w:val="1F3A5F"/>
          <w:sz w:val="26"/>
        </w:rPr>
        <w:t>Policy–Action–Outcome: Invited Talks from Industry &amp; R&amp;D Organizations</w:t>
      </w:r>
    </w:p>
    <w:tbl>
      <w:tblPr>
        <w:tblW w:type="auto" w:w="0"/>
        <w:jc w:val="center"/>
        <w:tblLayout w:type="fixed"/>
        <w:tblLook w:firstColumn="1" w:firstRow="1" w:lastColumn="0" w:lastRow="0" w:noHBand="0" w:noVBand="1" w:val="04A0"/>
        <w:tblLayout w:type="fixed"/>
      </w:tblPr>
      <w:tblGrid>
        <w:gridCol w:w="1701"/>
        <w:gridCol w:w="3118"/>
        <w:gridCol w:w="2268"/>
        <w:gridCol w:w="2551"/>
      </w:tblGrid>
      <w:tr>
        <w:tc>
          <w:tcPr>
            <w:tcW w:type="dxa" w:w="1701"/>
            <w:shd w:val="clear" w:color="auto" w:fill="1F3A5F"/>
          </w:tcPr>
          <w:p>
            <w:pPr>
              <w:jc w:val="center"/>
            </w:pPr>
            <w:r/>
            <w:r>
              <w:rPr>
                <w:rFonts w:ascii="Cambria" w:hAnsi="Cambria" w:eastAsia="Cambria" w:cs="Cambria"/>
                <w:b/>
                <w:i w:val="0"/>
                <w:color w:val="FFFFFF"/>
                <w:sz w:val="18"/>
              </w:rPr>
              <w:t>Policy</w:t>
            </w:r>
          </w:p>
        </w:tc>
        <w:tc>
          <w:tcPr>
            <w:tcW w:type="dxa" w:w="3118"/>
            <w:shd w:val="clear" w:color="auto" w:fill="1F3A5F"/>
          </w:tcPr>
          <w:p>
            <w:pPr>
              <w:jc w:val="center"/>
            </w:pPr>
            <w:r/>
            <w:r>
              <w:rPr>
                <w:rFonts w:ascii="Cambria" w:hAnsi="Cambria" w:eastAsia="Cambria" w:cs="Cambria"/>
                <w:b/>
                <w:i w:val="0"/>
                <w:color w:val="FFFFFF"/>
                <w:sz w:val="18"/>
              </w:rPr>
              <w:t>Action by HoD/Department</w:t>
            </w:r>
          </w:p>
        </w:tc>
        <w:tc>
          <w:tcPr>
            <w:tcW w:type="dxa" w:w="2268"/>
            <w:shd w:val="clear" w:color="auto" w:fill="1F3A5F"/>
          </w:tcPr>
          <w:p>
            <w:pPr>
              <w:jc w:val="center"/>
            </w:pPr>
            <w:r/>
            <w:r>
              <w:rPr>
                <w:rFonts w:ascii="Cambria" w:hAnsi="Cambria" w:eastAsia="Cambria" w:cs="Cambria"/>
                <w:b/>
                <w:i w:val="0"/>
                <w:color w:val="FFFFFF"/>
                <w:sz w:val="18"/>
              </w:rPr>
              <w:t>Evidence/Documents</w:t>
            </w:r>
          </w:p>
        </w:tc>
        <w:tc>
          <w:tcPr>
            <w:tcW w:type="dxa" w:w="2551"/>
            <w:shd w:val="clear" w:color="auto" w:fill="1F3A5F"/>
          </w:tcPr>
          <w:p>
            <w:pPr>
              <w:jc w:val="center"/>
            </w:pPr>
            <w:r/>
            <w:r>
              <w:rPr>
                <w:rFonts w:ascii="Cambria" w:hAnsi="Cambria" w:eastAsia="Cambria" w:cs="Cambria"/>
                <w:b/>
                <w:i w:val="0"/>
                <w:color w:val="FFFFFF"/>
                <w:sz w:val="18"/>
              </w:rPr>
              <w:t>Outcome</w:t>
            </w:r>
          </w:p>
        </w:tc>
      </w:tr>
      <w:tr>
        <w:tc>
          <w:tcPr>
            <w:tcW w:type="dxa" w:w="1701"/>
          </w:tcPr>
          <w:p>
            <w:pPr>
              <w:jc w:val="center"/>
            </w:pPr>
            <w:r/>
            <w:r>
              <w:rPr>
                <w:rFonts w:ascii="Cambria" w:hAnsi="Cambria" w:eastAsia="Cambria" w:cs="Cambria"/>
                <w:b w:val="0"/>
                <w:i w:val="0"/>
                <w:sz w:val="16"/>
              </w:rPr>
              <w:t>Promote industry–academia &amp; R&amp;D engagement to enhance research culture and employability.</w:t>
            </w:r>
          </w:p>
        </w:tc>
        <w:tc>
          <w:tcPr>
            <w:tcW w:type="dxa" w:w="3118"/>
          </w:tcPr>
          <w:p>
            <w:pPr>
              <w:jc w:val="left"/>
            </w:pPr>
            <w:r/>
            <w:r>
              <w:rPr>
                <w:rFonts w:ascii="Cambria" w:hAnsi="Cambria" w:eastAsia="Cambria" w:cs="Cambria"/>
                <w:b w:val="0"/>
                <w:i w:val="0"/>
                <w:sz w:val="16"/>
              </w:rPr>
              <w:t>Prepare an annual plan/calendar of invited talks mapped to thrust areas and curriculum.</w:t>
            </w:r>
          </w:p>
        </w:tc>
        <w:tc>
          <w:tcPr>
            <w:tcW w:type="dxa" w:w="2268"/>
          </w:tcPr>
          <w:p>
            <w:pPr>
              <w:jc w:val="center"/>
            </w:pPr>
            <w:r/>
            <w:r>
              <w:rPr>
                <w:rFonts w:ascii="Cambria" w:hAnsi="Cambria" w:eastAsia="Cambria" w:cs="Cambria"/>
                <w:b w:val="0"/>
                <w:i w:val="0"/>
                <w:sz w:val="16"/>
              </w:rPr>
              <w:t>Calendar of events, minutes of meetings.</w:t>
            </w:r>
          </w:p>
        </w:tc>
        <w:tc>
          <w:tcPr>
            <w:tcW w:type="dxa" w:w="2551"/>
          </w:tcPr>
          <w:p>
            <w:pPr>
              <w:jc w:val="center"/>
            </w:pPr>
            <w:r/>
            <w:r>
              <w:rPr>
                <w:rFonts w:ascii="Cambria" w:hAnsi="Cambria" w:eastAsia="Cambria" w:cs="Cambria"/>
                <w:b w:val="0"/>
                <w:i w:val="0"/>
                <w:sz w:val="16"/>
              </w:rPr>
              <w:t>Structured, planned engagement instead of ad-hoc talks.</w:t>
            </w:r>
          </w:p>
        </w:tc>
      </w:tr>
      <w:tr>
        <w:tc>
          <w:tcPr>
            <w:tcW w:type="dxa" w:w="1701"/>
            <w:shd w:val="clear" w:color="auto" w:fill="D9D9D9"/>
          </w:tcPr>
          <w:p>
            <w:pPr>
              <w:jc w:val="center"/>
            </w:pPr>
            <w:r/>
            <w:r>
              <w:rPr>
                <w:rFonts w:ascii="Cambria" w:hAnsi="Cambria" w:eastAsia="Cambria" w:cs="Cambria"/>
                <w:b w:val="0"/>
                <w:i w:val="0"/>
                <w:sz w:val="16"/>
              </w:rPr>
              <w:t>Align talks with NEP 2020, SDGs, NAAC/NBA requirements.</w:t>
            </w:r>
          </w:p>
        </w:tc>
        <w:tc>
          <w:tcPr>
            <w:tcW w:type="dxa" w:w="3118"/>
            <w:shd w:val="clear" w:color="auto" w:fill="D9D9D9"/>
          </w:tcPr>
          <w:p>
            <w:pPr>
              <w:jc w:val="left"/>
            </w:pPr>
            <w:r/>
            <w:r>
              <w:rPr>
                <w:rFonts w:ascii="Cambria" w:hAnsi="Cambria" w:eastAsia="Cambria" w:cs="Cambria"/>
                <w:b w:val="0"/>
                <w:i w:val="0"/>
                <w:sz w:val="16"/>
              </w:rPr>
              <w:t>Identify experts from industries, R&amp;D labs, professional bodies, alumni networks.</w:t>
            </w:r>
          </w:p>
        </w:tc>
        <w:tc>
          <w:tcPr>
            <w:tcW w:type="dxa" w:w="2268"/>
            <w:shd w:val="clear" w:color="auto" w:fill="D9D9D9"/>
          </w:tcPr>
          <w:p>
            <w:pPr>
              <w:jc w:val="center"/>
            </w:pPr>
            <w:r/>
            <w:r>
              <w:rPr>
                <w:rFonts w:ascii="Cambria" w:hAnsi="Cambria" w:eastAsia="Cambria" w:cs="Cambria"/>
                <w:b w:val="0"/>
                <w:i w:val="0"/>
                <w:sz w:val="16"/>
              </w:rPr>
              <w:t>Invitation letters, confirmation emails.</w:t>
            </w:r>
          </w:p>
        </w:tc>
        <w:tc>
          <w:tcPr>
            <w:tcW w:type="dxa" w:w="2551"/>
            <w:shd w:val="clear" w:color="auto" w:fill="D9D9D9"/>
          </w:tcPr>
          <w:p>
            <w:pPr>
              <w:jc w:val="center"/>
            </w:pPr>
            <w:r/>
            <w:r>
              <w:rPr>
                <w:rFonts w:ascii="Cambria" w:hAnsi="Cambria" w:eastAsia="Cambria" w:cs="Cambria"/>
                <w:b w:val="0"/>
                <w:i w:val="0"/>
                <w:sz w:val="16"/>
              </w:rPr>
              <w:t>Talks directly relevant to institutional priorities and accreditation needs.</w:t>
            </w:r>
          </w:p>
        </w:tc>
      </w:tr>
      <w:tr>
        <w:tc>
          <w:tcPr>
            <w:tcW w:type="dxa" w:w="1701"/>
          </w:tcPr>
          <w:p>
            <w:pPr>
              <w:jc w:val="center"/>
            </w:pPr>
            <w:r/>
            <w:r>
              <w:rPr>
                <w:rFonts w:ascii="Cambria" w:hAnsi="Cambria" w:eastAsia="Cambria" w:cs="Cambria"/>
                <w:b w:val="0"/>
                <w:i w:val="0"/>
                <w:sz w:val="16"/>
              </w:rPr>
              <w:t>Provide exposure to emerging technologies and practices.</w:t>
            </w:r>
          </w:p>
        </w:tc>
        <w:tc>
          <w:tcPr>
            <w:tcW w:type="dxa" w:w="3118"/>
          </w:tcPr>
          <w:p>
            <w:pPr>
              <w:jc w:val="left"/>
            </w:pPr>
            <w:r/>
            <w:r>
              <w:rPr>
                <w:rFonts w:ascii="Cambria" w:hAnsi="Cambria" w:eastAsia="Cambria" w:cs="Cambria"/>
                <w:b w:val="0"/>
                <w:i w:val="0"/>
                <w:sz w:val="16"/>
              </w:rPr>
              <w:t>Conduct seminars, webinars, guest lectures, panel discussions with industry/R&amp;D experts.</w:t>
            </w:r>
          </w:p>
        </w:tc>
        <w:tc>
          <w:tcPr>
            <w:tcW w:type="dxa" w:w="2268"/>
          </w:tcPr>
          <w:p>
            <w:pPr>
              <w:jc w:val="center"/>
            </w:pPr>
            <w:r/>
            <w:r>
              <w:rPr>
                <w:rFonts w:ascii="Cambria" w:hAnsi="Cambria" w:eastAsia="Cambria" w:cs="Cambria"/>
                <w:b w:val="0"/>
                <w:i w:val="0"/>
                <w:sz w:val="16"/>
              </w:rPr>
              <w:t>Circulars, brochures, event posters, speaker bio-data, lecture content.</w:t>
            </w:r>
          </w:p>
        </w:tc>
        <w:tc>
          <w:tcPr>
            <w:tcW w:type="dxa" w:w="2551"/>
          </w:tcPr>
          <w:p>
            <w:pPr>
              <w:jc w:val="center"/>
            </w:pPr>
            <w:r/>
            <w:r>
              <w:rPr>
                <w:rFonts w:ascii="Cambria" w:hAnsi="Cambria" w:eastAsia="Cambria" w:cs="Cambria"/>
                <w:b w:val="0"/>
                <w:i w:val="0"/>
                <w:sz w:val="16"/>
              </w:rPr>
              <w:t>Enhanced student and faculty awareness of industrial trends and R&amp;D advancements.</w:t>
            </w:r>
          </w:p>
        </w:tc>
      </w:tr>
      <w:tr>
        <w:tc>
          <w:tcPr>
            <w:tcW w:type="dxa" w:w="1701"/>
            <w:shd w:val="clear" w:color="auto" w:fill="D9D9D9"/>
          </w:tcPr>
          <w:p>
            <w:pPr>
              <w:jc w:val="center"/>
            </w:pPr>
            <w:r/>
            <w:r>
              <w:rPr>
                <w:rFonts w:ascii="Cambria" w:hAnsi="Cambria" w:eastAsia="Cambria" w:cs="Cambria"/>
                <w:b w:val="0"/>
                <w:i w:val="0"/>
                <w:sz w:val="16"/>
              </w:rPr>
              <w:t>Ensure faculty &amp; student participation and knowledge gain.</w:t>
            </w:r>
          </w:p>
        </w:tc>
        <w:tc>
          <w:tcPr>
            <w:tcW w:type="dxa" w:w="3118"/>
            <w:shd w:val="clear" w:color="auto" w:fill="D9D9D9"/>
          </w:tcPr>
          <w:p>
            <w:pPr>
              <w:jc w:val="left"/>
            </w:pPr>
            <w:r/>
            <w:r>
              <w:rPr>
                <w:rFonts w:ascii="Cambria" w:hAnsi="Cambria" w:eastAsia="Cambria" w:cs="Cambria"/>
                <w:b w:val="0"/>
                <w:i w:val="0"/>
                <w:sz w:val="16"/>
              </w:rPr>
              <w:t>Motivate participation; integrate talks with curriculum and project work.</w:t>
            </w:r>
          </w:p>
        </w:tc>
        <w:tc>
          <w:tcPr>
            <w:tcW w:type="dxa" w:w="2268"/>
            <w:shd w:val="clear" w:color="auto" w:fill="D9D9D9"/>
          </w:tcPr>
          <w:p>
            <w:pPr>
              <w:jc w:val="center"/>
            </w:pPr>
            <w:r/>
            <w:r>
              <w:rPr>
                <w:rFonts w:ascii="Cambria" w:hAnsi="Cambria" w:eastAsia="Cambria" w:cs="Cambria"/>
                <w:b w:val="0"/>
                <w:i w:val="0"/>
                <w:sz w:val="16"/>
              </w:rPr>
              <w:t>Attendance sheets, online participation logs, feedback forms, analysis reports.</w:t>
            </w:r>
          </w:p>
        </w:tc>
        <w:tc>
          <w:tcPr>
            <w:tcW w:type="dxa" w:w="2551"/>
            <w:shd w:val="clear" w:color="auto" w:fill="D9D9D9"/>
          </w:tcPr>
          <w:p>
            <w:pPr>
              <w:jc w:val="center"/>
            </w:pPr>
            <w:r/>
            <w:r>
              <w:rPr>
                <w:rFonts w:ascii="Cambria" w:hAnsi="Cambria" w:eastAsia="Cambria" w:cs="Cambria"/>
                <w:b w:val="0"/>
                <w:i w:val="0"/>
                <w:sz w:val="16"/>
              </w:rPr>
              <w:t>≥75% participation, positive feedback, increased motivation for projects and research.</w:t>
            </w:r>
          </w:p>
        </w:tc>
      </w:tr>
      <w:tr>
        <w:tc>
          <w:tcPr>
            <w:tcW w:type="dxa" w:w="1701"/>
          </w:tcPr>
          <w:p>
            <w:pPr>
              <w:jc w:val="center"/>
            </w:pPr>
            <w:r/>
            <w:r>
              <w:rPr>
                <w:rFonts w:ascii="Cambria" w:hAnsi="Cambria" w:eastAsia="Cambria" w:cs="Cambria"/>
                <w:b w:val="0"/>
                <w:i w:val="0"/>
                <w:sz w:val="16"/>
              </w:rPr>
              <w:t>Strengthen research &amp; consultancy linkages.</w:t>
            </w:r>
          </w:p>
        </w:tc>
        <w:tc>
          <w:tcPr>
            <w:tcW w:type="dxa" w:w="3118"/>
          </w:tcPr>
          <w:p>
            <w:pPr>
              <w:jc w:val="left"/>
            </w:pPr>
            <w:r/>
            <w:r>
              <w:rPr>
                <w:rFonts w:ascii="Cambria" w:hAnsi="Cambria" w:eastAsia="Cambria" w:cs="Cambria"/>
                <w:b w:val="0"/>
                <w:i w:val="0"/>
                <w:sz w:val="16"/>
              </w:rPr>
              <w:t>Facilitate MoUs, collaborative projects, consultancy offers during/after talks.</w:t>
            </w:r>
          </w:p>
        </w:tc>
        <w:tc>
          <w:tcPr>
            <w:tcW w:type="dxa" w:w="2268"/>
          </w:tcPr>
          <w:p>
            <w:pPr>
              <w:jc w:val="center"/>
            </w:pPr>
            <w:r/>
            <w:r>
              <w:rPr>
                <w:rFonts w:ascii="Cambria" w:hAnsi="Cambria" w:eastAsia="Cambria" w:cs="Cambria"/>
                <w:b w:val="0"/>
                <w:i w:val="0"/>
                <w:sz w:val="16"/>
              </w:rPr>
              <w:t>MoUs, consultancy agreements, joint project proposals.</w:t>
            </w:r>
          </w:p>
        </w:tc>
        <w:tc>
          <w:tcPr>
            <w:tcW w:type="dxa" w:w="2551"/>
          </w:tcPr>
          <w:p>
            <w:pPr>
              <w:jc w:val="center"/>
            </w:pPr>
            <w:r/>
            <w:r>
              <w:rPr>
                <w:rFonts w:ascii="Cambria" w:hAnsi="Cambria" w:eastAsia="Cambria" w:cs="Cambria"/>
                <w:b w:val="0"/>
                <w:i w:val="0"/>
                <w:sz w:val="16"/>
              </w:rPr>
              <w:t>Tangible increase in funded projects, industry collaborations, consultancy revenue.</w:t>
            </w:r>
          </w:p>
        </w:tc>
      </w:tr>
      <w:tr>
        <w:tc>
          <w:tcPr>
            <w:tcW w:type="dxa" w:w="1701"/>
            <w:shd w:val="clear" w:color="auto" w:fill="D9D9D9"/>
          </w:tcPr>
          <w:p>
            <w:pPr>
              <w:jc w:val="center"/>
            </w:pPr>
            <w:r/>
            <w:r>
              <w:rPr>
                <w:rFonts w:ascii="Cambria" w:hAnsi="Cambria" w:eastAsia="Cambria" w:cs="Cambria"/>
                <w:b w:val="0"/>
                <w:i w:val="0"/>
                <w:sz w:val="16"/>
              </w:rPr>
              <w:t>Support quality assurance &amp; continuous improvement.</w:t>
            </w:r>
          </w:p>
        </w:tc>
        <w:tc>
          <w:tcPr>
            <w:tcW w:type="dxa" w:w="3118"/>
            <w:shd w:val="clear" w:color="auto" w:fill="D9D9D9"/>
          </w:tcPr>
          <w:p>
            <w:pPr>
              <w:jc w:val="left"/>
            </w:pPr>
            <w:r/>
            <w:r>
              <w:rPr>
                <w:rFonts w:ascii="Cambria" w:hAnsi="Cambria" w:eastAsia="Cambria" w:cs="Cambria"/>
                <w:b w:val="0"/>
                <w:i w:val="0"/>
                <w:sz w:val="16"/>
              </w:rPr>
              <w:t>Submit post-event reports to IQAC/Research Committee; review outcomes annually.</w:t>
            </w:r>
          </w:p>
        </w:tc>
        <w:tc>
          <w:tcPr>
            <w:tcW w:type="dxa" w:w="2268"/>
            <w:shd w:val="clear" w:color="auto" w:fill="D9D9D9"/>
          </w:tcPr>
          <w:p>
            <w:pPr>
              <w:jc w:val="center"/>
            </w:pPr>
            <w:r/>
            <w:r>
              <w:rPr>
                <w:rFonts w:ascii="Cambria" w:hAnsi="Cambria" w:eastAsia="Cambria" w:cs="Cambria"/>
                <w:b w:val="0"/>
                <w:i w:val="0"/>
                <w:sz w:val="16"/>
              </w:rPr>
              <w:t>Event reports, IQAC submissions, photos, video recordings.</w:t>
            </w:r>
          </w:p>
        </w:tc>
        <w:tc>
          <w:tcPr>
            <w:tcW w:type="dxa" w:w="2551"/>
            <w:shd w:val="clear" w:color="auto" w:fill="D9D9D9"/>
          </w:tcPr>
          <w:p>
            <w:pPr>
              <w:jc w:val="center"/>
            </w:pPr>
            <w:r/>
            <w:r>
              <w:rPr>
                <w:rFonts w:ascii="Cambria" w:hAnsi="Cambria" w:eastAsia="Cambria" w:cs="Cambria"/>
                <w:b w:val="0"/>
                <w:i w:val="0"/>
                <w:sz w:val="16"/>
              </w:rPr>
              <w:t>Continuous improvement cycle with measurable outcomes (growth in talks, collaborations, placements).</w:t>
            </w:r>
          </w:p>
        </w:tc>
      </w:tr>
    </w:tbl>
    <w:p>
      <w:pPr>
        <w:spacing w:before="200" w:after="160"/>
      </w:pPr>
      <w:r>
        <w:rPr>
          <w:rFonts w:ascii="Cambria" w:hAnsi="Cambria" w:eastAsia="Cambria" w:cs="Cambria"/>
          <w:b/>
          <w:i w:val="0"/>
          <w:color w:val="1F3A5F"/>
          <w:sz w:val="26"/>
        </w:rPr>
        <w:t>Continuous Improvement Cycle (Plan–Do–Check–Act)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Plan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Prepare an annual schedule of invited talks mapped to departmental thrust areas.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Select diverse experts (industry leaders, R&amp;D scientists, alumni entrepreneurs).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Align with institutional priorities, NEP 2020, SDGs, NBA/NAAC criteria.</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Do</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Conduct seminars, webinars, and panel discussions with industry and R&amp;D professionals.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 maximum student, scholar, and faculty participation.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Document proceedings: invitations, attendance, lecture content, and event reports.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Check</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Collect structured feedback from participants (students/faculty).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Analyze impact: knowledge gained, industry insights, relevance to curriculum.</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Track measurable outputs (MoUs signed, consultancy projects initiated, internships offered).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Act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Review feedback annually in IQAC/Research Committee meetings.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Refine future talks based on gaps identified (e.g., more focus on AI, renewable energy, entrepreneurship).</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Scale up collaborations from one-time lectures → MoUs → joint projects → consultancy → funded research.</w:t>
      </w:r>
    </w:p>
    <w:p>
      <w:pPr>
        <w:spacing w:before="200" w:after="160"/>
      </w:pPr>
      <w:r>
        <w:rPr>
          <w:rFonts w:ascii="Cambria" w:hAnsi="Cambria" w:eastAsia="Cambria" w:cs="Cambria"/>
          <w:b/>
          <w:i w:val="0"/>
          <w:color w:val="1F3A5F"/>
          <w:sz w:val="26"/>
        </w:rPr>
        <w:t>Indicators of Continuous Improvement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Growth in numbers: e.g., from 5 talks in Year 1 → 10 in Year 3.</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Diversity of experts: shift from local industry speakers → national R&amp;D labs → international collaborations.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Outcomes: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Increase in student internships/placements linked to invited talks.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More joint projects and consultancies initiated year-on-year.</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Improvement in publication count and patents resulting from industry-led problem statements.</w:t>
      </w:r>
    </w:p>
    <w:p>
      <w:pPr>
        <w:spacing w:before="200" w:after="160"/>
      </w:pPr>
      <w:r>
        <w:rPr>
          <w:rFonts w:ascii="Cambria" w:hAnsi="Cambria" w:eastAsia="Cambria" w:cs="Cambria"/>
          <w:b/>
          <w:i w:val="0"/>
          <w:color w:val="1F3A5F"/>
          <w:sz w:val="26"/>
        </w:rPr>
        <w:t>Value-Added Dimensions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Exposure to Real-World Practices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Students and scholars learn about cutting-edge technologies, industrial workflows, and R&amp;D trends not covered in the syllabus.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Examples: AI in manufacturing, smart city applications, renewable energy systems, biomedical innovations.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Bridging the Gap between Theory and Practice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Guest experts translate classroom concepts into industry use cases.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Helps students link academic knowledge with practical implementation.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Opportunities for Research &amp;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Industry speakers often present real problem statements, which become research project ideas.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Encourages student dissertations, Ph.D. topics, and interdisciplinary R&amp;D.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Pathways to Internships and Careers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Talks lead to internship offers, project collaborations, and placements.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Students gain networking opportunities with industry professionals.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Skill Development Beyond Curriculum</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Improves soft skills: communication, problem-solving, critical thinking.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Encourages entrepreneurship and innovation (start-up ideas triggered by talks).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Development and Institutional Growth</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Faculty gain industry exposure and identify new consultancy/research opportunities.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Department strengthens MoUs and collaborative ties with industries and R&amp;D labs.</w:t>
      </w:r>
    </w:p>
    <w:p>
      <w:pPr>
        <w:spacing w:line="276" w:lineRule="auto" w:after="120"/>
        <w:jc w:val="both"/>
      </w:pPr>
      <w:r>
        <w:rPr>
          <w:rFonts w:ascii="Cambria" w:hAnsi="Cambria" w:eastAsia="Cambria" w:cs="Cambria"/>
          <w:b/>
          <w:i w:val="0"/>
          <w:sz w:val="22"/>
        </w:rPr>
        <w:t>Tangible Evidence of Value-Addition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Increase in student research projects linked to industry problem statements.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Growth in funded research and consultancy projects.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Internships and placements generated directly through industry talks.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Patents, publications, and start-ups emerging from collaboration ideas.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Documented in NAAC Criterion 3 and NBA Criterion 11 as proof of impact.</w:t>
      </w:r>
    </w:p>
    <w:p>
      <w:pPr>
        <w:spacing w:before="200" w:after="160"/>
      </w:pPr>
      <w:r>
        <w:rPr>
          <w:rFonts w:ascii="Cambria" w:hAnsi="Cambria" w:eastAsia="Cambria" w:cs="Cambria"/>
          <w:b/>
          <w:i w:val="0"/>
          <w:color w:val="1F3A5F"/>
          <w:sz w:val="26"/>
        </w:rPr>
        <w:t>Value-Added Opportunities from Invited Talks (Industry &amp; R&amp;D Organizations)</w:t>
      </w:r>
    </w:p>
    <w:tbl>
      <w:tblPr>
        <w:tblW w:type="auto" w:w="0"/>
        <w:jc w:val="center"/>
        <w:tblLayout w:type="fixed"/>
        <w:tblLook w:firstColumn="1" w:firstRow="1" w:lastColumn="0" w:lastRow="0" w:noHBand="0" w:noVBand="1" w:val="04A0"/>
        <w:tblLayout w:type="fixed"/>
      </w:tblPr>
      <w:tblGrid>
        <w:gridCol w:w="1701"/>
        <w:gridCol w:w="1984"/>
        <w:gridCol w:w="1701"/>
        <w:gridCol w:w="2551"/>
      </w:tblGrid>
      <w:tr>
        <w:tc>
          <w:tcPr>
            <w:tcW w:type="dxa" w:w="1701"/>
            <w:shd w:val="clear" w:color="auto" w:fill="1F3A5F"/>
          </w:tcPr>
          <w:p>
            <w:pPr>
              <w:jc w:val="center"/>
            </w:pPr>
            <w:r/>
            <w:r>
              <w:rPr>
                <w:rFonts w:ascii="Cambria" w:hAnsi="Cambria" w:eastAsia="Cambria" w:cs="Cambria"/>
                <w:b/>
                <w:i w:val="0"/>
                <w:color w:val="FFFFFF"/>
                <w:sz w:val="17"/>
              </w:rPr>
              <w:t>Activity</w:t>
            </w:r>
          </w:p>
        </w:tc>
        <w:tc>
          <w:tcPr>
            <w:tcW w:type="dxa" w:w="1984"/>
            <w:shd w:val="clear" w:color="auto" w:fill="1F3A5F"/>
          </w:tcPr>
          <w:p>
            <w:pPr>
              <w:jc w:val="center"/>
            </w:pPr>
            <w:r/>
            <w:r>
              <w:rPr>
                <w:rFonts w:ascii="Cambria" w:hAnsi="Cambria" w:eastAsia="Cambria" w:cs="Cambria"/>
                <w:b/>
                <w:i w:val="0"/>
                <w:color w:val="FFFFFF"/>
                <w:sz w:val="17"/>
              </w:rPr>
              <w:t>Beyond Academics Benefit</w:t>
            </w:r>
          </w:p>
        </w:tc>
        <w:tc>
          <w:tcPr>
            <w:tcW w:type="dxa" w:w="1701"/>
            <w:shd w:val="clear" w:color="auto" w:fill="1F3A5F"/>
          </w:tcPr>
          <w:p>
            <w:pPr>
              <w:jc w:val="center"/>
            </w:pPr>
            <w:r/>
            <w:r>
              <w:rPr>
                <w:rFonts w:ascii="Cambria" w:hAnsi="Cambria" w:eastAsia="Cambria" w:cs="Cambria"/>
                <w:b/>
                <w:i w:val="0"/>
                <w:color w:val="FFFFFF"/>
                <w:sz w:val="17"/>
              </w:rPr>
              <w:t>Evidence/Documents</w:t>
            </w:r>
          </w:p>
        </w:tc>
        <w:tc>
          <w:tcPr>
            <w:tcW w:type="dxa" w:w="2551"/>
            <w:shd w:val="clear" w:color="auto" w:fill="1F3A5F"/>
          </w:tcPr>
          <w:p>
            <w:pPr>
              <w:jc w:val="center"/>
            </w:pPr>
            <w:r/>
            <w:r>
              <w:rPr>
                <w:rFonts w:ascii="Cambria" w:hAnsi="Cambria" w:eastAsia="Cambria" w:cs="Cambria"/>
                <w:b/>
                <w:i w:val="0"/>
                <w:color w:val="FFFFFF"/>
                <w:sz w:val="17"/>
              </w:rPr>
              <w:t>Outcome (Measurable/Qualitative)</w:t>
            </w:r>
          </w:p>
        </w:tc>
      </w:tr>
      <w:tr>
        <w:tc>
          <w:tcPr>
            <w:tcW w:type="dxa" w:w="1701"/>
          </w:tcPr>
          <w:p>
            <w:pPr>
              <w:jc w:val="center"/>
            </w:pPr>
            <w:r/>
            <w:r>
              <w:rPr>
                <w:rFonts w:ascii="Cambria" w:hAnsi="Cambria" w:eastAsia="Cambria" w:cs="Cambria"/>
                <w:b w:val="0"/>
                <w:i w:val="0"/>
                <w:sz w:val="15"/>
              </w:rPr>
              <w:t>Invited talks by industry/R&amp;D experts on emerging technologies (AI, IoT, Renewable Energy, Healthcare, etc.)</w:t>
            </w:r>
          </w:p>
        </w:tc>
        <w:tc>
          <w:tcPr>
            <w:tcW w:type="dxa" w:w="1984"/>
          </w:tcPr>
          <w:p>
            <w:pPr>
              <w:jc w:val="left"/>
            </w:pPr>
            <w:r/>
            <w:r>
              <w:rPr>
                <w:rFonts w:ascii="Cambria" w:hAnsi="Cambria" w:eastAsia="Cambria" w:cs="Cambria"/>
                <w:b w:val="0"/>
                <w:i w:val="0"/>
                <w:sz w:val="15"/>
              </w:rPr>
              <w:t>Exposure to real-world practices, trends, and innovations not covered in textbooks.</w:t>
            </w:r>
          </w:p>
        </w:tc>
        <w:tc>
          <w:tcPr>
            <w:tcW w:type="dxa" w:w="1701"/>
          </w:tcPr>
          <w:p>
            <w:pPr>
              <w:jc w:val="center"/>
            </w:pPr>
            <w:r/>
            <w:r>
              <w:rPr>
                <w:rFonts w:ascii="Cambria" w:hAnsi="Cambria" w:eastAsia="Cambria" w:cs="Cambria"/>
                <w:b w:val="0"/>
                <w:i w:val="0"/>
                <w:sz w:val="15"/>
              </w:rPr>
              <w:t>Circulars, brochures, posters, speaker PPTs.</w:t>
            </w:r>
          </w:p>
        </w:tc>
        <w:tc>
          <w:tcPr>
            <w:tcW w:type="dxa" w:w="2551"/>
          </w:tcPr>
          <w:p>
            <w:pPr>
              <w:jc w:val="center"/>
            </w:pPr>
            <w:r/>
            <w:r>
              <w:rPr>
                <w:rFonts w:ascii="Cambria" w:hAnsi="Cambria" w:eastAsia="Cambria" w:cs="Cambria"/>
                <w:b w:val="0"/>
                <w:i w:val="0"/>
                <w:sz w:val="15"/>
              </w:rPr>
              <w:t>Enhanced student awareness; 80% participants report improved understanding of industry practices (feedback forms).</w:t>
            </w:r>
          </w:p>
        </w:tc>
      </w:tr>
      <w:tr>
        <w:tc>
          <w:tcPr>
            <w:tcW w:type="dxa" w:w="1701"/>
            <w:shd w:val="clear" w:color="auto" w:fill="D9D9D9"/>
          </w:tcPr>
          <w:p>
            <w:pPr>
              <w:jc w:val="center"/>
            </w:pPr>
            <w:r/>
            <w:r>
              <w:rPr>
                <w:rFonts w:ascii="Cambria" w:hAnsi="Cambria" w:eastAsia="Cambria" w:cs="Cambria"/>
                <w:b w:val="0"/>
                <w:i w:val="0"/>
                <w:sz w:val="15"/>
              </w:rPr>
              <w:t>Problem statements shared by experts during sessions</w:t>
            </w:r>
          </w:p>
        </w:tc>
        <w:tc>
          <w:tcPr>
            <w:tcW w:type="dxa" w:w="1984"/>
            <w:shd w:val="clear" w:color="auto" w:fill="D9D9D9"/>
          </w:tcPr>
          <w:p>
            <w:pPr>
              <w:jc w:val="left"/>
            </w:pPr>
            <w:r/>
            <w:r>
              <w:rPr>
                <w:rFonts w:ascii="Cambria" w:hAnsi="Cambria" w:eastAsia="Cambria" w:cs="Cambria"/>
                <w:b w:val="0"/>
                <w:i w:val="0"/>
                <w:sz w:val="15"/>
              </w:rPr>
              <w:t>Provides research/project ideas for UG, PG, and Ph.D. students.</w:t>
            </w:r>
          </w:p>
        </w:tc>
        <w:tc>
          <w:tcPr>
            <w:tcW w:type="dxa" w:w="1701"/>
            <w:shd w:val="clear" w:color="auto" w:fill="D9D9D9"/>
          </w:tcPr>
          <w:p>
            <w:pPr>
              <w:jc w:val="center"/>
            </w:pPr>
            <w:r/>
            <w:r>
              <w:rPr>
                <w:rFonts w:ascii="Cambria" w:hAnsi="Cambria" w:eastAsia="Cambria" w:cs="Cambria"/>
                <w:b w:val="0"/>
                <w:i w:val="0"/>
                <w:sz w:val="15"/>
              </w:rPr>
              <w:t>Project allocation lists, student reports, faculty guidance notes.</w:t>
            </w:r>
          </w:p>
        </w:tc>
        <w:tc>
          <w:tcPr>
            <w:tcW w:type="dxa" w:w="2551"/>
            <w:shd w:val="clear" w:color="auto" w:fill="D9D9D9"/>
          </w:tcPr>
          <w:p>
            <w:pPr>
              <w:jc w:val="center"/>
            </w:pPr>
            <w:r/>
            <w:r>
              <w:rPr>
                <w:rFonts w:ascii="Cambria" w:hAnsi="Cambria" w:eastAsia="Cambria" w:cs="Cambria"/>
                <w:b w:val="0"/>
                <w:i w:val="0"/>
                <w:sz w:val="15"/>
              </w:rPr>
              <w:t>10+ student projects and 2 Ph.D. theses aligned with industry problems.</w:t>
            </w:r>
          </w:p>
        </w:tc>
      </w:tr>
      <w:tr>
        <w:tc>
          <w:tcPr>
            <w:tcW w:type="dxa" w:w="1701"/>
          </w:tcPr>
          <w:p>
            <w:pPr>
              <w:jc w:val="center"/>
            </w:pPr>
            <w:r/>
            <w:r>
              <w:rPr>
                <w:rFonts w:ascii="Cambria" w:hAnsi="Cambria" w:eastAsia="Cambria" w:cs="Cambria"/>
                <w:b w:val="0"/>
                <w:i w:val="0"/>
                <w:sz w:val="15"/>
              </w:rPr>
              <w:t>Networking opportunities with professionals</w:t>
            </w:r>
          </w:p>
        </w:tc>
        <w:tc>
          <w:tcPr>
            <w:tcW w:type="dxa" w:w="1984"/>
          </w:tcPr>
          <w:p>
            <w:pPr>
              <w:jc w:val="left"/>
            </w:pPr>
            <w:r/>
            <w:r>
              <w:rPr>
                <w:rFonts w:ascii="Cambria" w:hAnsi="Cambria" w:eastAsia="Cambria" w:cs="Cambria"/>
                <w:b w:val="0"/>
                <w:i w:val="0"/>
                <w:sz w:val="15"/>
              </w:rPr>
              <w:t>Creates career pathways, internships, and collaborations.</w:t>
            </w:r>
          </w:p>
        </w:tc>
        <w:tc>
          <w:tcPr>
            <w:tcW w:type="dxa" w:w="1701"/>
          </w:tcPr>
          <w:p>
            <w:pPr>
              <w:jc w:val="center"/>
            </w:pPr>
            <w:r/>
            <w:r>
              <w:rPr>
                <w:rFonts w:ascii="Cambria" w:hAnsi="Cambria" w:eastAsia="Cambria" w:cs="Cambria"/>
                <w:b w:val="0"/>
                <w:i w:val="0"/>
                <w:sz w:val="15"/>
              </w:rPr>
              <w:t>MoUs, internship letters, LinkedIn connections, emails.</w:t>
            </w:r>
          </w:p>
        </w:tc>
        <w:tc>
          <w:tcPr>
            <w:tcW w:type="dxa" w:w="2551"/>
          </w:tcPr>
          <w:p>
            <w:pPr>
              <w:jc w:val="center"/>
            </w:pPr>
            <w:r/>
            <w:r>
              <w:rPr>
                <w:rFonts w:ascii="Cambria" w:hAnsi="Cambria" w:eastAsia="Cambria" w:cs="Cambria"/>
                <w:b w:val="0"/>
                <w:i w:val="0"/>
                <w:sz w:val="15"/>
              </w:rPr>
              <w:t>15 students secured internships/placements through contacts made in invited talks.</w:t>
            </w:r>
          </w:p>
        </w:tc>
      </w:tr>
      <w:tr>
        <w:tc>
          <w:tcPr>
            <w:tcW w:type="dxa" w:w="1701"/>
            <w:shd w:val="clear" w:color="auto" w:fill="D9D9D9"/>
          </w:tcPr>
          <w:p>
            <w:pPr>
              <w:jc w:val="center"/>
            </w:pPr>
            <w:r/>
            <w:r>
              <w:rPr>
                <w:rFonts w:ascii="Cambria" w:hAnsi="Cambria" w:eastAsia="Cambria" w:cs="Cambria"/>
                <w:b w:val="0"/>
                <w:i w:val="0"/>
                <w:sz w:val="15"/>
              </w:rPr>
              <w:t>Interaction with entrepreneurs &amp; innovators</w:t>
            </w:r>
          </w:p>
        </w:tc>
        <w:tc>
          <w:tcPr>
            <w:tcW w:type="dxa" w:w="1984"/>
            <w:shd w:val="clear" w:color="auto" w:fill="D9D9D9"/>
          </w:tcPr>
          <w:p>
            <w:pPr>
              <w:jc w:val="left"/>
            </w:pPr>
            <w:r/>
            <w:r>
              <w:rPr>
                <w:rFonts w:ascii="Cambria" w:hAnsi="Cambria" w:eastAsia="Cambria" w:cs="Cambria"/>
                <w:b w:val="0"/>
                <w:i w:val="0"/>
                <w:sz w:val="15"/>
              </w:rPr>
              <w:t>Encourages entrepreneurship and start-up culture.</w:t>
            </w:r>
          </w:p>
        </w:tc>
        <w:tc>
          <w:tcPr>
            <w:tcW w:type="dxa" w:w="1701"/>
            <w:shd w:val="clear" w:color="auto" w:fill="D9D9D9"/>
          </w:tcPr>
          <w:p>
            <w:pPr>
              <w:jc w:val="center"/>
            </w:pPr>
            <w:r/>
            <w:r>
              <w:rPr>
                <w:rFonts w:ascii="Cambria" w:hAnsi="Cambria" w:eastAsia="Cambria" w:cs="Cambria"/>
                <w:b w:val="0"/>
                <w:i w:val="0"/>
                <w:sz w:val="15"/>
              </w:rPr>
              <w:t>Event recordings, innovation cell reports.</w:t>
            </w:r>
          </w:p>
        </w:tc>
        <w:tc>
          <w:tcPr>
            <w:tcW w:type="dxa" w:w="2551"/>
            <w:shd w:val="clear" w:color="auto" w:fill="D9D9D9"/>
          </w:tcPr>
          <w:p>
            <w:pPr>
              <w:jc w:val="center"/>
            </w:pPr>
            <w:r/>
            <w:r>
              <w:rPr>
                <w:rFonts w:ascii="Cambria" w:hAnsi="Cambria" w:eastAsia="Cambria" w:cs="Cambria"/>
                <w:b w:val="0"/>
                <w:i w:val="0"/>
                <w:sz w:val="15"/>
              </w:rPr>
              <w:t>2 student start-up ideas incubated after exposure to industry sessions.</w:t>
            </w:r>
          </w:p>
        </w:tc>
      </w:tr>
      <w:tr>
        <w:tc>
          <w:tcPr>
            <w:tcW w:type="dxa" w:w="1701"/>
          </w:tcPr>
          <w:p>
            <w:pPr>
              <w:jc w:val="center"/>
            </w:pPr>
            <w:r/>
            <w:r>
              <w:rPr>
                <w:rFonts w:ascii="Cambria" w:hAnsi="Cambria" w:eastAsia="Cambria" w:cs="Cambria"/>
                <w:b w:val="0"/>
                <w:i w:val="0"/>
                <w:sz w:val="15"/>
              </w:rPr>
              <w:t>Faculty interaction with industry experts</w:t>
            </w:r>
          </w:p>
        </w:tc>
        <w:tc>
          <w:tcPr>
            <w:tcW w:type="dxa" w:w="1984"/>
          </w:tcPr>
          <w:p>
            <w:pPr>
              <w:jc w:val="left"/>
            </w:pPr>
            <w:r/>
            <w:r>
              <w:rPr>
                <w:rFonts w:ascii="Cambria" w:hAnsi="Cambria" w:eastAsia="Cambria" w:cs="Cambria"/>
                <w:b w:val="0"/>
                <w:i w:val="0"/>
                <w:sz w:val="15"/>
              </w:rPr>
              <w:t>Generates consultancy and joint research opportunities.</w:t>
            </w:r>
          </w:p>
        </w:tc>
        <w:tc>
          <w:tcPr>
            <w:tcW w:type="dxa" w:w="1701"/>
          </w:tcPr>
          <w:p>
            <w:pPr>
              <w:jc w:val="center"/>
            </w:pPr>
            <w:r/>
            <w:r>
              <w:rPr>
                <w:rFonts w:ascii="Cambria" w:hAnsi="Cambria" w:eastAsia="Cambria" w:cs="Cambria"/>
                <w:b w:val="0"/>
                <w:i w:val="0"/>
                <w:sz w:val="15"/>
              </w:rPr>
              <w:t>Consultancy MoUs, research proposals, grant sanction letters.</w:t>
            </w:r>
          </w:p>
        </w:tc>
        <w:tc>
          <w:tcPr>
            <w:tcW w:type="dxa" w:w="2551"/>
          </w:tcPr>
          <w:p>
            <w:pPr>
              <w:jc w:val="center"/>
            </w:pPr>
            <w:r/>
            <w:r>
              <w:rPr>
                <w:rFonts w:ascii="Cambria" w:hAnsi="Cambria" w:eastAsia="Cambria" w:cs="Cambria"/>
                <w:b w:val="0"/>
                <w:i w:val="0"/>
                <w:sz w:val="15"/>
              </w:rPr>
              <w:t>3 consultancy projects initiated; funded research projects increased by 20%.</w:t>
            </w:r>
          </w:p>
        </w:tc>
      </w:tr>
      <w:tr>
        <w:tc>
          <w:tcPr>
            <w:tcW w:type="dxa" w:w="1701"/>
            <w:shd w:val="clear" w:color="auto" w:fill="D9D9D9"/>
          </w:tcPr>
          <w:p>
            <w:pPr>
              <w:jc w:val="center"/>
            </w:pPr>
            <w:r/>
            <w:r>
              <w:rPr>
                <w:rFonts w:ascii="Cambria" w:hAnsi="Cambria" w:eastAsia="Cambria" w:cs="Cambria"/>
                <w:b w:val="0"/>
                <w:i w:val="0"/>
                <w:sz w:val="15"/>
              </w:rPr>
              <w:t>Cross-department invited talks (interdisciplinary themes)</w:t>
            </w:r>
          </w:p>
        </w:tc>
        <w:tc>
          <w:tcPr>
            <w:tcW w:type="dxa" w:w="1984"/>
            <w:shd w:val="clear" w:color="auto" w:fill="D9D9D9"/>
          </w:tcPr>
          <w:p>
            <w:pPr>
              <w:jc w:val="left"/>
            </w:pPr>
            <w:r/>
            <w:r>
              <w:rPr>
                <w:rFonts w:ascii="Cambria" w:hAnsi="Cambria" w:eastAsia="Cambria" w:cs="Cambria"/>
                <w:b w:val="0"/>
                <w:i w:val="0"/>
                <w:sz w:val="15"/>
              </w:rPr>
              <w:t>Promotes interdisciplinary learning and collaboration.</w:t>
            </w:r>
          </w:p>
        </w:tc>
        <w:tc>
          <w:tcPr>
            <w:tcW w:type="dxa" w:w="1701"/>
            <w:shd w:val="clear" w:color="auto" w:fill="D9D9D9"/>
          </w:tcPr>
          <w:p>
            <w:pPr>
              <w:jc w:val="center"/>
            </w:pPr>
            <w:r/>
            <w:r>
              <w:rPr>
                <w:rFonts w:ascii="Cambria" w:hAnsi="Cambria" w:eastAsia="Cambria" w:cs="Cambria"/>
                <w:b w:val="0"/>
                <w:i w:val="0"/>
                <w:sz w:val="15"/>
              </w:rPr>
              <w:t>Interdepartmental circulars, joint project reports.</w:t>
            </w:r>
          </w:p>
        </w:tc>
        <w:tc>
          <w:tcPr>
            <w:tcW w:type="dxa" w:w="2551"/>
            <w:shd w:val="clear" w:color="auto" w:fill="D9D9D9"/>
          </w:tcPr>
          <w:p>
            <w:pPr>
              <w:jc w:val="center"/>
            </w:pPr>
            <w:r/>
            <w:r>
              <w:rPr>
                <w:rFonts w:ascii="Cambria" w:hAnsi="Cambria" w:eastAsia="Cambria" w:cs="Cambria"/>
                <w:b w:val="0"/>
                <w:i w:val="0"/>
                <w:sz w:val="15"/>
              </w:rPr>
              <w:t>4 interdisciplinary student projects and 2 joint publications with other departments.</w:t>
            </w:r>
          </w:p>
        </w:tc>
      </w:tr>
    </w:tbl>
    <w:p>
      <w:pPr>
        <w:spacing w:before="200" w:after="160"/>
      </w:pPr>
      <w:r>
        <w:rPr>
          <w:rFonts w:ascii="Cambria" w:hAnsi="Cambria" w:eastAsia="Cambria" w:cs="Cambria"/>
          <w:b/>
          <w:i w:val="0"/>
          <w:color w:val="1F3A5F"/>
          <w:sz w:val="26"/>
        </w:rPr>
        <w:t>Alignment with NEP 2020</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Innovation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Invited talks expose students to cutting-edge technologies (AI, IoT, Robotics, Renewable Energy, Healthcare Innovation).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Experts present real industrial challenges, inspiring students to develop innovative projects, prototypes, and start-ups.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Links directly to NEP 2020’s emphasis on entrepreneurship, incubation, and start-up ecosystems.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 Integration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Talks often highlight emerging research areas (nanotechnology, climate resilience, biomedical engineering, data science).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Students and scholars convert industry problem statements into R&amp;D projects, dissertations, and Ph.D. theses.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Facilitates faculty–industry collaborations for joint research and consultancy.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Strengthens the research–teaching–practice nexus, a core NEP 2020 recommendation.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Employability Enhancement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Provides students with industry-ready knowledge and skills not found in the syllabus.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Creates pathways for internships, placements, and career mentorship.</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Builds soft skills like communication, teamwork, and lifelong learning through direct interaction with professionals.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Aligns with NEP 2020’s focus on skill-based, experiential, and holistic education.</w:t>
      </w:r>
    </w:p>
    <w:p>
      <w:pPr>
        <w:spacing w:before="200" w:after="160"/>
      </w:pPr>
      <w:r>
        <w:rPr>
          <w:rFonts w:ascii="Cambria" w:hAnsi="Cambria" w:eastAsia="Cambria" w:cs="Cambria"/>
          <w:b/>
          <w:i w:val="0"/>
          <w:color w:val="1F3A5F"/>
          <w:sz w:val="26"/>
        </w:rPr>
        <w:t>Tangible Evidence of Alignment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Innovation Outcomes: 2 start-ups incubated through ideas from invited talks.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 Outcomes: 10+ student projects and 2 Ph.D. theses inspired by industry talks.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Employability Outcomes: 15 students secured internships/placements through industry connections.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Accreditation Outcomes: Strengthens NAAC Criterion 3 (Research, Innovation &amp; Extension) and NBA Criterion 11 (Innovation, R&amp;D, Consultancy).</w:t>
      </w:r>
    </w:p>
    <w:p>
      <w:pPr>
        <w:spacing w:before="200" w:after="160"/>
      </w:pPr>
      <w:r>
        <w:rPr>
          <w:rFonts w:ascii="Cambria" w:hAnsi="Cambria" w:eastAsia="Cambria" w:cs="Cambria"/>
          <w:b/>
          <w:i w:val="0"/>
          <w:color w:val="1F3A5F"/>
          <w:sz w:val="26"/>
        </w:rPr>
        <w:t>Systematic</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Planned Approach</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Annual calendar of invited talks prepared at the start of the academic year.</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Selection of speakers aligned with thrust areas, curriculum gaps, and departmental R&amp;D focus.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Faculty coordinators and committees assigned for execution and monitoring.</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Structured Process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Step-wise execution: Policy → Planning → Execution → Review.</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Integration into Outcome-Based Education (OBE) by mapping talks to POs/PSOs.</w:t>
      </w:r>
    </w:p>
    <w:p>
      <w:pPr>
        <w:spacing w:before="200" w:after="160"/>
      </w:pPr>
      <w:r>
        <w:rPr>
          <w:rFonts w:ascii="Cambria" w:hAnsi="Cambria" w:eastAsia="Cambria" w:cs="Cambria"/>
          <w:b/>
          <w:i w:val="0"/>
          <w:color w:val="1F3A5F"/>
          <w:sz w:val="26"/>
        </w:rPr>
        <w:t>Evidence-Based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Documentation Maintained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Invitation letters, confirmation mails, brochures, posters.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Speaker bio-data, lecture slides, recordings.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Attendance sheets, online participation reports.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Feedback forms and analysis reports.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Audit-Ready Records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IQAC/Research Committee reports.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MoUs, consultancy agreements, or projects initiated post-talks.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Photos and video recordings for accreditation reviewers.</w:t>
      </w:r>
    </w:p>
    <w:p>
      <w:pPr>
        <w:spacing w:before="200" w:after="160"/>
      </w:pPr>
      <w:r>
        <w:rPr>
          <w:rFonts w:ascii="Cambria" w:hAnsi="Cambria" w:eastAsia="Cambria" w:cs="Cambria"/>
          <w:b/>
          <w:i w:val="0"/>
          <w:color w:val="1F3A5F"/>
          <w:sz w:val="26"/>
        </w:rPr>
        <w:t>Outcome-Oriented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Quantitative Outcomes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Example: 10 talks conducted annually, ≥75% student participation, 5 MoUs signed in 3 years.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Growth in funded projects, consultancy revenue, patents, and publications linked to industry interactions.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Qualitative Outcomes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Students gain industry exposure, internships, and employability skills.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Faculty engage in joint research and consultancy.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Institution strengthens its academic reputation and rankings (NIRF, NAAC, NBA, QS I-GAUGE).</w:t>
      </w:r>
    </w:p>
    <w:p>
      <w:pPr>
        <w:spacing w:before="200" w:after="160"/>
      </w:pPr>
      <w:r>
        <w:rPr>
          <w:rFonts w:ascii="Cambria" w:hAnsi="Cambria" w:eastAsia="Cambria" w:cs="Cambria"/>
          <w:b/>
          <w:i w:val="0"/>
          <w:color w:val="1F3A5F"/>
          <w:sz w:val="26"/>
        </w:rPr>
        <w:t>Continuous Improvement Framework</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Year 1: Foundation Stage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Conducts 5 invited talks mainly for awareness of emerging technologies.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Engagement limited to local industries and alumni experts.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Documentation begins: invitations, reports, and feedback forms.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Year 2: Expansion Stage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Increases to 8–10 talks per year with regional/national industry leaders and R&amp;D labs (CSIR, DRDO, ISRO).</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Introduces interdisciplinary talks involving multiple departments.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Starts MoUs and small-scale student projects arising from talks.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Year 3: Integration Stage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Organizes 10–12 talks annually, including international experts from academia/industry.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Links invited talks to funded projects, internships, and consultancy collaborations.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Documented outcomes: increase in placements, patents, publications, and research proposals.</w:t>
      </w:r>
    </w:p>
    <w:p>
      <w:pPr>
        <w:spacing w:before="200" w:after="160"/>
      </w:pPr>
      <w:r>
        <w:rPr>
          <w:rFonts w:ascii="Cambria" w:hAnsi="Cambria" w:eastAsia="Cambria" w:cs="Cambria"/>
          <w:b/>
          <w:i w:val="0"/>
          <w:color w:val="1F3A5F"/>
          <w:sz w:val="26"/>
        </w:rPr>
        <w:t>Indicators of Continuous Improvement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Quantitative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No. of talks grew from 5 → 10 → 12 across 3 years.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MoUs signed increased from 1 → 3 → 6.</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Internships/placements via talks increased by 30% YoY.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Qualitative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Talks moved from awareness-based sessions → problem-driven talks → collaborative research engagements.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Increased student and faculty participation in interdisciplinary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More international collaborations and funded research proposals initiated.</w:t>
      </w:r>
    </w:p>
    <w:p>
      <w:r>
        <w:br w:type="page"/>
      </w:r>
    </w:p>
    <w:p>
      <w:pPr>
        <w:spacing w:before="280" w:after="160"/>
      </w:pPr>
      <w:r>
        <w:rPr>
          <w:rFonts w:ascii="Cambria" w:hAnsi="Cambria" w:eastAsia="Cambria" w:cs="Cambria"/>
          <w:b/>
          <w:i w:val="0"/>
          <w:color w:val="1F3A5F"/>
          <w:sz w:val="36"/>
        </w:rPr>
        <w:t>6. HoD’s responsibility to develop relationships with reputed national &amp; international universities, sign MoUs, conduct inter-university R&amp;D programs, and facilitate exchange programs</w:t>
      </w:r>
    </w:p>
    <w:p>
      <w:pPr>
        <w:spacing w:before="200" w:after="160"/>
      </w:pPr>
      <w:r>
        <w:rPr>
          <w:rFonts w:ascii="Cambria" w:hAnsi="Cambria" w:eastAsia="Cambria" w:cs="Cambria"/>
          <w:b/>
          <w:i w:val="0"/>
          <w:color w:val="1F3A5F"/>
          <w:sz w:val="26"/>
        </w:rPr>
        <w:t>Policy Statement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The HoD ensures collaboration with national and international universities to strengthen the department’s research ecosystem, global exposure, and academic excellence.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Focus on inter-university R&amp;D programs, joint publications, joint degree pathways, and student/faculty exchange programs.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Aligns with NEP 2020 (Internationalization of Higher Education), SDG-4 (Quality Education), and global benchmarking (QS/NIRF/NAAC/NBA).</w:t>
      </w:r>
    </w:p>
    <w:p>
      <w:pPr>
        <w:spacing w:before="200" w:after="160"/>
      </w:pPr>
      <w:r>
        <w:rPr>
          <w:rFonts w:ascii="Cambria" w:hAnsi="Cambria" w:eastAsia="Cambria" w:cs="Cambria"/>
          <w:b/>
          <w:i w:val="0"/>
          <w:color w:val="1F3A5F"/>
          <w:sz w:val="26"/>
        </w:rPr>
        <w:t>Actions by HoD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Identification &amp; Outreach</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Shortlist top-ranked universities (national: IITs, IISc, NITs; international: QS/Times Higher Education ranked institutions).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Initiate communication via formal proposals, alumni networks, embassies, and education councils.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Signing of MoUs/Agreements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Draft and finalize MoUs covering R&amp;D, consultancy, joint projects, and exchange programs.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Involve Legal/International Relations Office to ensure compliance.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Inter-University R&amp;D Programs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Launch joint research projects in identified thrust areas (AI, Renewable Energy, Healthcare, Climate Science).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Apply for bilateral/multilateral funding schemes (e.g., DST-DAAD, Erasmus+, UKIERI, Horizon Europe).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Exchange Programs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Facilitate student exchange (short-term internships, semester abroad, dual-degree opportunities).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Enable faculty exchange for teaching, research guidance, and joint publications.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Capacity Building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Organize joint seminars, conferences, and summer schools.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Provide training on global research methodologies and cross-cultural collaboration.</w:t>
      </w:r>
    </w:p>
    <w:p>
      <w:pPr>
        <w:spacing w:before="200" w:after="160"/>
      </w:pPr>
      <w:r>
        <w:rPr>
          <w:rFonts w:ascii="Cambria" w:hAnsi="Cambria" w:eastAsia="Cambria" w:cs="Cambria"/>
          <w:b/>
          <w:i w:val="0"/>
          <w:color w:val="1F3A5F"/>
          <w:sz w:val="26"/>
        </w:rPr>
        <w:t>Evidence/Documents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Signed MoUs with national/international universities.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Emails/letters of intent and proposals.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 project sanction letters under collaborative schemes.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Student/faculty exchange nomination orders, travel records, and reports.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Joint publications, patents, and conference proceedings.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Feedback reports from exchange participants.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review reports submitted to IQAC/Research Committee.</w:t>
      </w:r>
    </w:p>
    <w:p>
      <w:pPr>
        <w:spacing w:before="200" w:after="160"/>
      </w:pPr>
      <w:r>
        <w:rPr>
          <w:rFonts w:ascii="Cambria" w:hAnsi="Cambria" w:eastAsia="Cambria" w:cs="Cambria"/>
          <w:b/>
          <w:i w:val="0"/>
          <w:color w:val="1F3A5F"/>
          <w:sz w:val="26"/>
        </w:rPr>
        <w:t>Tangible Outcomes (Numeric &amp; Measurable)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No. of MoUs signed with reputed universities: e.g., 5 (2 national + 3 international).</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No. of joint R&amp;D projects initiated: e.g., 6 in last 3 years.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No. of student exchange programs facilitated: e.g., 12 outbound, 8 inbound students.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No. of faculty exchange visits: e.g., 10 faculty members participated in international collaborations.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Increase in joint publications: from 5 → 15 in 3 years.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Patents filed jointly: 3 international patent applications.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Funding attracted: ₹2 Crores from bilateral and international research grants.</w:t>
      </w:r>
    </w:p>
    <w:p>
      <w:pPr>
        <w:spacing w:line="276" w:lineRule="auto" w:after="120"/>
        <w:jc w:val="both"/>
      </w:pPr>
      <w:r>
        <w:rPr>
          <w:rFonts w:ascii="Cambria" w:hAnsi="Cambria" w:eastAsia="Cambria" w:cs="Cambria"/>
          <w:b/>
          <w:i w:val="0"/>
          <w:sz w:val="22"/>
        </w:rPr>
        <w:t>Evidence/Documents to Maintain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Signed MoUs with National/International Universities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Copies of official MoU agreements with reputed institutions.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Should specify scope: R&amp;D collaboration, exchange programs, joint degrees, consultancy.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Validity period and renewal clauses.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Emails/Letters of Intent and Proposals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Initial correspondence, proposals, or letters of intent (LoI) exchanged before MoU signing.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Proof of structured communication and formal collaboration process.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 Project Sanction Letters under Collaborative Schemes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Approved proposals and sanction letters from funding agencies (DST-DAAD, Erasmus+, Horizon Europe, UKIERI, etc.).</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Budget allocation and project deliverables.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Joint project approval letters showing inter-university collaboration.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Student/Faculty Exchange Records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Nomination orders, acceptance letters, travel approvals for exchange participants.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Exchange student/faculty visit reports with details of activities.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Records of participation in semester abroad, internships, or dual degree programs.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Joint Publications, Patents, and Conference Proceedings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Research papers published jointly with national/international collaborators.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Patents filed with co-investigators from other institutions.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Proceedings of jointly organized seminars, workshops, and conferences.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Feedback Reports from Exchange Participants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Structured feedback forms filled by students and faculty post-exchange.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Includes learnings, challenges, and suggestions for improvement.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Evidence of continuous improvement in collaboration quality.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Review Reports Submitted to IQAC/Research Committee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Yearly summary of MoUs, exchange programs, and collaborative R&amp;D activities.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Documentation of outcomes achieved vs. planned objectives.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Acts as evidence in NAAC SSR (Criterion 3) and NBA Criterion 11 submissions.</w:t>
      </w:r>
    </w:p>
    <w:p>
      <w:pPr>
        <w:spacing w:before="200" w:after="160"/>
      </w:pPr>
      <w:r>
        <w:rPr>
          <w:rFonts w:ascii="Cambria" w:hAnsi="Cambria" w:eastAsia="Cambria" w:cs="Cambria"/>
          <w:b/>
          <w:i w:val="0"/>
          <w:color w:val="1F3A5F"/>
          <w:sz w:val="26"/>
        </w:rPr>
        <w:t>Traceability Table: MoUs, Inter-University R&amp;D &amp; Exchange Programs</w:t>
      </w:r>
    </w:p>
    <w:tbl>
      <w:tblPr>
        <w:tblW w:type="auto" w:w="0"/>
        <w:jc w:val="center"/>
        <w:tblLayout w:type="fixed"/>
        <w:tblLook w:firstColumn="1" w:firstRow="1" w:lastColumn="0" w:lastRow="0" w:noHBand="0" w:noVBand="1" w:val="04A0"/>
        <w:tblLayout w:type="fixed"/>
      </w:tblPr>
      <w:tblGrid>
        <w:gridCol w:w="1701"/>
        <w:gridCol w:w="3118"/>
        <w:gridCol w:w="1984"/>
        <w:gridCol w:w="2551"/>
      </w:tblGrid>
      <w:tr>
        <w:tc>
          <w:tcPr>
            <w:tcW w:type="dxa" w:w="1701"/>
            <w:shd w:val="clear" w:color="auto" w:fill="1F3A5F"/>
          </w:tcPr>
          <w:p>
            <w:pPr>
              <w:jc w:val="center"/>
            </w:pPr>
            <w:r/>
            <w:r>
              <w:rPr>
                <w:rFonts w:ascii="Cambria" w:hAnsi="Cambria" w:eastAsia="Cambria" w:cs="Cambria"/>
                <w:b/>
                <w:i w:val="0"/>
                <w:color w:val="FFFFFF"/>
                <w:sz w:val="17"/>
              </w:rPr>
              <w:t>Policy</w:t>
            </w:r>
          </w:p>
        </w:tc>
        <w:tc>
          <w:tcPr>
            <w:tcW w:type="dxa" w:w="3118"/>
            <w:shd w:val="clear" w:color="auto" w:fill="1F3A5F"/>
          </w:tcPr>
          <w:p>
            <w:pPr>
              <w:jc w:val="center"/>
            </w:pPr>
            <w:r/>
            <w:r>
              <w:rPr>
                <w:rFonts w:ascii="Cambria" w:hAnsi="Cambria" w:eastAsia="Cambria" w:cs="Cambria"/>
                <w:b/>
                <w:i w:val="0"/>
                <w:color w:val="FFFFFF"/>
                <w:sz w:val="17"/>
              </w:rPr>
              <w:t>Action by HoD/Department</w:t>
            </w:r>
          </w:p>
        </w:tc>
        <w:tc>
          <w:tcPr>
            <w:tcW w:type="dxa" w:w="1984"/>
            <w:shd w:val="clear" w:color="auto" w:fill="1F3A5F"/>
          </w:tcPr>
          <w:p>
            <w:pPr>
              <w:jc w:val="center"/>
            </w:pPr>
            <w:r/>
            <w:r>
              <w:rPr>
                <w:rFonts w:ascii="Cambria" w:hAnsi="Cambria" w:eastAsia="Cambria" w:cs="Cambria"/>
                <w:b/>
                <w:i w:val="0"/>
                <w:color w:val="FFFFFF"/>
                <w:sz w:val="17"/>
              </w:rPr>
              <w:t>Evidence/Documents</w:t>
            </w:r>
          </w:p>
        </w:tc>
        <w:tc>
          <w:tcPr>
            <w:tcW w:type="dxa" w:w="2551"/>
            <w:shd w:val="clear" w:color="auto" w:fill="1F3A5F"/>
          </w:tcPr>
          <w:p>
            <w:pPr>
              <w:jc w:val="center"/>
            </w:pPr>
            <w:r/>
            <w:r>
              <w:rPr>
                <w:rFonts w:ascii="Cambria" w:hAnsi="Cambria" w:eastAsia="Cambria" w:cs="Cambria"/>
                <w:b/>
                <w:i w:val="0"/>
                <w:color w:val="FFFFFF"/>
                <w:sz w:val="17"/>
              </w:rPr>
              <w:t>Outcome (Quantitative &amp; Qualitative)</w:t>
            </w:r>
          </w:p>
        </w:tc>
      </w:tr>
      <w:tr>
        <w:tc>
          <w:tcPr>
            <w:tcW w:type="dxa" w:w="1701"/>
          </w:tcPr>
          <w:p>
            <w:pPr>
              <w:jc w:val="center"/>
            </w:pPr>
            <w:r/>
            <w:r>
              <w:rPr>
                <w:rFonts w:ascii="Cambria" w:hAnsi="Cambria" w:eastAsia="Cambria" w:cs="Cambria"/>
                <w:b w:val="0"/>
                <w:i w:val="0"/>
                <w:sz w:val="15"/>
              </w:rPr>
              <w:t>Strengthen national &amp; international collaborations for R&amp;D and academic growth.</w:t>
            </w:r>
          </w:p>
        </w:tc>
        <w:tc>
          <w:tcPr>
            <w:tcW w:type="dxa" w:w="3118"/>
          </w:tcPr>
          <w:p>
            <w:pPr>
              <w:jc w:val="left"/>
            </w:pPr>
            <w:r/>
            <w:r>
              <w:rPr>
                <w:rFonts w:ascii="Cambria" w:hAnsi="Cambria" w:eastAsia="Cambria" w:cs="Cambria"/>
                <w:b w:val="0"/>
                <w:i w:val="0"/>
                <w:sz w:val="15"/>
              </w:rPr>
              <w:t>Identify reputed universities; initiate communication via proposals, alumni, and education councils.</w:t>
            </w:r>
          </w:p>
        </w:tc>
        <w:tc>
          <w:tcPr>
            <w:tcW w:type="dxa" w:w="1984"/>
          </w:tcPr>
          <w:p>
            <w:pPr>
              <w:jc w:val="center"/>
            </w:pPr>
            <w:r/>
            <w:r>
              <w:rPr>
                <w:rFonts w:ascii="Cambria" w:hAnsi="Cambria" w:eastAsia="Cambria" w:cs="Cambria"/>
                <w:b w:val="0"/>
                <w:i w:val="0"/>
                <w:sz w:val="15"/>
              </w:rPr>
              <w:t>Emails, Letters of Intent (LoI), proposals.</w:t>
            </w:r>
          </w:p>
        </w:tc>
        <w:tc>
          <w:tcPr>
            <w:tcW w:type="dxa" w:w="2551"/>
          </w:tcPr>
          <w:p>
            <w:pPr>
              <w:jc w:val="center"/>
            </w:pPr>
            <w:r/>
            <w:r>
              <w:rPr>
                <w:rFonts w:ascii="Cambria" w:hAnsi="Cambria" w:eastAsia="Cambria" w:cs="Cambria"/>
                <w:b w:val="0"/>
                <w:i w:val="0"/>
                <w:sz w:val="15"/>
              </w:rPr>
              <w:t>Formal engagement with reputed institutions; groundwork for MoUs.</w:t>
            </w:r>
          </w:p>
        </w:tc>
      </w:tr>
      <w:tr>
        <w:tc>
          <w:tcPr>
            <w:tcW w:type="dxa" w:w="1701"/>
            <w:shd w:val="clear" w:color="auto" w:fill="D9D9D9"/>
          </w:tcPr>
          <w:p>
            <w:pPr>
              <w:jc w:val="center"/>
            </w:pPr>
            <w:r/>
            <w:r>
              <w:rPr>
                <w:rFonts w:ascii="Cambria" w:hAnsi="Cambria" w:eastAsia="Cambria" w:cs="Cambria"/>
                <w:b w:val="0"/>
                <w:i w:val="0"/>
                <w:sz w:val="15"/>
              </w:rPr>
              <w:t>Promote structured collaborations through official agreements.</w:t>
            </w:r>
          </w:p>
        </w:tc>
        <w:tc>
          <w:tcPr>
            <w:tcW w:type="dxa" w:w="3118"/>
            <w:shd w:val="clear" w:color="auto" w:fill="D9D9D9"/>
          </w:tcPr>
          <w:p>
            <w:pPr>
              <w:jc w:val="left"/>
            </w:pPr>
            <w:r/>
            <w:r>
              <w:rPr>
                <w:rFonts w:ascii="Cambria" w:hAnsi="Cambria" w:eastAsia="Cambria" w:cs="Cambria"/>
                <w:b w:val="0"/>
                <w:i w:val="0"/>
                <w:sz w:val="15"/>
              </w:rPr>
              <w:t>Draft and sign MoUs/agreements covering R&amp;D, exchange, joint projects.</w:t>
            </w:r>
          </w:p>
        </w:tc>
        <w:tc>
          <w:tcPr>
            <w:tcW w:type="dxa" w:w="1984"/>
            <w:shd w:val="clear" w:color="auto" w:fill="D9D9D9"/>
          </w:tcPr>
          <w:p>
            <w:pPr>
              <w:jc w:val="center"/>
            </w:pPr>
            <w:r/>
            <w:r>
              <w:rPr>
                <w:rFonts w:ascii="Cambria" w:hAnsi="Cambria" w:eastAsia="Cambria" w:cs="Cambria"/>
                <w:b w:val="0"/>
                <w:i w:val="0"/>
                <w:sz w:val="15"/>
              </w:rPr>
              <w:t>Signed MoUs with universities.</w:t>
            </w:r>
          </w:p>
        </w:tc>
        <w:tc>
          <w:tcPr>
            <w:tcW w:type="dxa" w:w="2551"/>
            <w:shd w:val="clear" w:color="auto" w:fill="D9D9D9"/>
          </w:tcPr>
          <w:p>
            <w:pPr>
              <w:jc w:val="center"/>
            </w:pPr>
            <w:r/>
            <w:r>
              <w:rPr>
                <w:rFonts w:ascii="Cambria" w:hAnsi="Cambria" w:eastAsia="Cambria" w:cs="Cambria"/>
                <w:b w:val="0"/>
                <w:i w:val="0"/>
                <w:sz w:val="15"/>
              </w:rPr>
              <w:t>5 MoUs signed (2 national, 3 international); legal framework for collaboration.</w:t>
            </w:r>
          </w:p>
        </w:tc>
      </w:tr>
      <w:tr>
        <w:tc>
          <w:tcPr>
            <w:tcW w:type="dxa" w:w="1701"/>
          </w:tcPr>
          <w:p>
            <w:pPr>
              <w:jc w:val="center"/>
            </w:pPr>
            <w:r/>
            <w:r>
              <w:rPr>
                <w:rFonts w:ascii="Cambria" w:hAnsi="Cambria" w:eastAsia="Cambria" w:cs="Cambria"/>
                <w:b w:val="0"/>
                <w:i w:val="0"/>
                <w:sz w:val="15"/>
              </w:rPr>
              <w:t>Encourage inter-university R&amp;D programs.</w:t>
            </w:r>
          </w:p>
        </w:tc>
        <w:tc>
          <w:tcPr>
            <w:tcW w:type="dxa" w:w="3118"/>
          </w:tcPr>
          <w:p>
            <w:pPr>
              <w:jc w:val="left"/>
            </w:pPr>
            <w:r/>
            <w:r>
              <w:rPr>
                <w:rFonts w:ascii="Cambria" w:hAnsi="Cambria" w:eastAsia="Cambria" w:cs="Cambria"/>
                <w:b w:val="0"/>
                <w:i w:val="0"/>
                <w:sz w:val="15"/>
              </w:rPr>
              <w:t>Launch joint research projects in thrust areas; apply for bilateral/multilateral funding schemes.</w:t>
            </w:r>
          </w:p>
        </w:tc>
        <w:tc>
          <w:tcPr>
            <w:tcW w:type="dxa" w:w="1984"/>
          </w:tcPr>
          <w:p>
            <w:pPr>
              <w:jc w:val="center"/>
            </w:pPr>
            <w:r/>
            <w:r>
              <w:rPr>
                <w:rFonts w:ascii="Cambria" w:hAnsi="Cambria" w:eastAsia="Cambria" w:cs="Cambria"/>
                <w:b w:val="0"/>
                <w:i w:val="0"/>
                <w:sz w:val="15"/>
              </w:rPr>
              <w:t>Research project sanction letters, grant approvals.</w:t>
            </w:r>
          </w:p>
        </w:tc>
        <w:tc>
          <w:tcPr>
            <w:tcW w:type="dxa" w:w="2551"/>
          </w:tcPr>
          <w:p>
            <w:pPr>
              <w:jc w:val="center"/>
            </w:pPr>
            <w:r/>
            <w:r>
              <w:rPr>
                <w:rFonts w:ascii="Cambria" w:hAnsi="Cambria" w:eastAsia="Cambria" w:cs="Cambria"/>
                <w:b w:val="0"/>
                <w:i w:val="0"/>
                <w:sz w:val="15"/>
              </w:rPr>
              <w:t>6 joint R&amp;D projects initiated; ₹2 Cr research funding secured.</w:t>
            </w:r>
          </w:p>
        </w:tc>
      </w:tr>
      <w:tr>
        <w:tc>
          <w:tcPr>
            <w:tcW w:type="dxa" w:w="1701"/>
            <w:shd w:val="clear" w:color="auto" w:fill="D9D9D9"/>
          </w:tcPr>
          <w:p>
            <w:pPr>
              <w:jc w:val="center"/>
            </w:pPr>
            <w:r/>
            <w:r>
              <w:rPr>
                <w:rFonts w:ascii="Cambria" w:hAnsi="Cambria" w:eastAsia="Cambria" w:cs="Cambria"/>
                <w:b w:val="0"/>
                <w:i w:val="0"/>
                <w:sz w:val="15"/>
              </w:rPr>
              <w:t>Facilitate student and faculty exchange for global exposure.</w:t>
            </w:r>
          </w:p>
        </w:tc>
        <w:tc>
          <w:tcPr>
            <w:tcW w:type="dxa" w:w="3118"/>
            <w:shd w:val="clear" w:color="auto" w:fill="D9D9D9"/>
          </w:tcPr>
          <w:p>
            <w:pPr>
              <w:jc w:val="left"/>
            </w:pPr>
            <w:r/>
            <w:r>
              <w:rPr>
                <w:rFonts w:ascii="Cambria" w:hAnsi="Cambria" w:eastAsia="Cambria" w:cs="Cambria"/>
                <w:b w:val="0"/>
                <w:i w:val="0"/>
                <w:sz w:val="15"/>
              </w:rPr>
              <w:t>Organize short-term exchanges, semester abroad, dual degree pathways, faculty visits.</w:t>
            </w:r>
          </w:p>
        </w:tc>
        <w:tc>
          <w:tcPr>
            <w:tcW w:type="dxa" w:w="1984"/>
            <w:shd w:val="clear" w:color="auto" w:fill="D9D9D9"/>
          </w:tcPr>
          <w:p>
            <w:pPr>
              <w:jc w:val="center"/>
            </w:pPr>
            <w:r/>
            <w:r>
              <w:rPr>
                <w:rFonts w:ascii="Cambria" w:hAnsi="Cambria" w:eastAsia="Cambria" w:cs="Cambria"/>
                <w:b w:val="0"/>
                <w:i w:val="0"/>
                <w:sz w:val="15"/>
              </w:rPr>
              <w:t>Nomination orders, travel approvals, exchange reports.</w:t>
            </w:r>
          </w:p>
        </w:tc>
        <w:tc>
          <w:tcPr>
            <w:tcW w:type="dxa" w:w="2551"/>
            <w:shd w:val="clear" w:color="auto" w:fill="D9D9D9"/>
          </w:tcPr>
          <w:p>
            <w:pPr>
              <w:jc w:val="center"/>
            </w:pPr>
            <w:r/>
            <w:r>
              <w:rPr>
                <w:rFonts w:ascii="Cambria" w:hAnsi="Cambria" w:eastAsia="Cambria" w:cs="Cambria"/>
                <w:b w:val="0"/>
                <w:i w:val="0"/>
                <w:sz w:val="15"/>
              </w:rPr>
              <w:t>12 students (outbound), 8 students (inbound); 10 faculty exchange visits.</w:t>
            </w:r>
          </w:p>
        </w:tc>
      </w:tr>
      <w:tr>
        <w:tc>
          <w:tcPr>
            <w:tcW w:type="dxa" w:w="1701"/>
          </w:tcPr>
          <w:p>
            <w:pPr>
              <w:jc w:val="center"/>
            </w:pPr>
            <w:r/>
            <w:r>
              <w:rPr>
                <w:rFonts w:ascii="Cambria" w:hAnsi="Cambria" w:eastAsia="Cambria" w:cs="Cambria"/>
                <w:b w:val="0"/>
                <w:i w:val="0"/>
                <w:sz w:val="15"/>
              </w:rPr>
              <w:t>Strengthen knowledge creation &amp; dissemination.</w:t>
            </w:r>
          </w:p>
        </w:tc>
        <w:tc>
          <w:tcPr>
            <w:tcW w:type="dxa" w:w="3118"/>
          </w:tcPr>
          <w:p>
            <w:pPr>
              <w:jc w:val="left"/>
            </w:pPr>
            <w:r/>
            <w:r>
              <w:rPr>
                <w:rFonts w:ascii="Cambria" w:hAnsi="Cambria" w:eastAsia="Cambria" w:cs="Cambria"/>
                <w:b w:val="0"/>
                <w:i w:val="0"/>
                <w:sz w:val="15"/>
              </w:rPr>
              <w:t>Organize joint seminars, conferences, and workshops with partner universities.</w:t>
            </w:r>
          </w:p>
        </w:tc>
        <w:tc>
          <w:tcPr>
            <w:tcW w:type="dxa" w:w="1984"/>
          </w:tcPr>
          <w:p>
            <w:pPr>
              <w:jc w:val="center"/>
            </w:pPr>
            <w:r/>
            <w:r>
              <w:rPr>
                <w:rFonts w:ascii="Cambria" w:hAnsi="Cambria" w:eastAsia="Cambria" w:cs="Cambria"/>
                <w:b w:val="0"/>
                <w:i w:val="0"/>
                <w:sz w:val="15"/>
              </w:rPr>
              <w:t>Conference proceedings, event reports, photos.</w:t>
            </w:r>
          </w:p>
        </w:tc>
        <w:tc>
          <w:tcPr>
            <w:tcW w:type="dxa" w:w="2551"/>
          </w:tcPr>
          <w:p>
            <w:pPr>
              <w:jc w:val="center"/>
            </w:pPr>
            <w:r/>
            <w:r>
              <w:rPr>
                <w:rFonts w:ascii="Cambria" w:hAnsi="Cambria" w:eastAsia="Cambria" w:cs="Cambria"/>
                <w:b w:val="0"/>
                <w:i w:val="0"/>
                <w:sz w:val="15"/>
              </w:rPr>
              <w:t>4 international conferences co-hosted; 15 joint publications, 3 patents filed.</w:t>
            </w:r>
          </w:p>
        </w:tc>
      </w:tr>
      <w:tr>
        <w:tc>
          <w:tcPr>
            <w:tcW w:type="dxa" w:w="1701"/>
            <w:shd w:val="clear" w:color="auto" w:fill="D9D9D9"/>
          </w:tcPr>
          <w:p>
            <w:pPr>
              <w:jc w:val="center"/>
            </w:pPr>
            <w:r/>
            <w:r>
              <w:rPr>
                <w:rFonts w:ascii="Cambria" w:hAnsi="Cambria" w:eastAsia="Cambria" w:cs="Cambria"/>
                <w:b w:val="0"/>
                <w:i w:val="0"/>
                <w:sz w:val="15"/>
              </w:rPr>
              <w:t>Ensure continuous improvement &amp; accountability.</w:t>
            </w:r>
          </w:p>
        </w:tc>
        <w:tc>
          <w:tcPr>
            <w:tcW w:type="dxa" w:w="3118"/>
            <w:shd w:val="clear" w:color="auto" w:fill="D9D9D9"/>
          </w:tcPr>
          <w:p>
            <w:pPr>
              <w:jc w:val="left"/>
            </w:pPr>
            <w:r/>
            <w:r>
              <w:rPr>
                <w:rFonts w:ascii="Cambria" w:hAnsi="Cambria" w:eastAsia="Cambria" w:cs="Cambria"/>
                <w:b w:val="0"/>
                <w:i w:val="0"/>
                <w:sz w:val="15"/>
              </w:rPr>
              <w:t>Collect feedback from participants; submit annual review to IQAC/Research Committee.</w:t>
            </w:r>
          </w:p>
        </w:tc>
        <w:tc>
          <w:tcPr>
            <w:tcW w:type="dxa" w:w="1984"/>
            <w:shd w:val="clear" w:color="auto" w:fill="D9D9D9"/>
          </w:tcPr>
          <w:p>
            <w:pPr>
              <w:jc w:val="center"/>
            </w:pPr>
            <w:r/>
            <w:r>
              <w:rPr>
                <w:rFonts w:ascii="Cambria" w:hAnsi="Cambria" w:eastAsia="Cambria" w:cs="Cambria"/>
                <w:b w:val="0"/>
                <w:i w:val="0"/>
                <w:sz w:val="15"/>
              </w:rPr>
              <w:t>Feedback reports, annual IQAC/Research Committee reports.</w:t>
            </w:r>
          </w:p>
        </w:tc>
        <w:tc>
          <w:tcPr>
            <w:tcW w:type="dxa" w:w="2551"/>
            <w:shd w:val="clear" w:color="auto" w:fill="D9D9D9"/>
          </w:tcPr>
          <w:p>
            <w:pPr>
              <w:jc w:val="center"/>
            </w:pPr>
            <w:r/>
            <w:r>
              <w:rPr>
                <w:rFonts w:ascii="Cambria" w:hAnsi="Cambria" w:eastAsia="Cambria" w:cs="Cambria"/>
                <w:b w:val="0"/>
                <w:i w:val="0"/>
                <w:sz w:val="15"/>
              </w:rPr>
              <w:t>Positive feedback (&gt;85% satisfaction); collaborations scaled from talks → MoUs → joint projects → exchanges.</w:t>
            </w:r>
          </w:p>
        </w:tc>
      </w:tr>
    </w:tbl>
    <w:p>
      <w:pPr>
        <w:spacing w:before="200" w:after="160"/>
      </w:pPr>
      <w:r>
        <w:rPr>
          <w:rFonts w:ascii="Cambria" w:hAnsi="Cambria" w:eastAsia="Cambria" w:cs="Cambria"/>
          <w:b/>
          <w:i w:val="0"/>
          <w:color w:val="1F3A5F"/>
          <w:sz w:val="26"/>
        </w:rPr>
        <w:t>Systematic Approach to Internationalization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Policy Alignment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HoD ensures partnerships are aligned with NEP 2020’s Internationalization of Higher Education, SDG-4 (Quality Education), and institutional global strategy.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Collaboration is not ad-hoc; it is mapped to thrust areas, accreditation benchmarks (NAAC Criterion 3, NBA Criterion 11), and departmental expertise.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Structured Actions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Identify &amp; shortlist reputed national and international universities (QS/NIRF/THE ranked).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Establish collaboration through MoUs and formal agreements.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Initiate joint R&amp;D programs in mutually beneficial thrust areas.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Facilitate student and faculty exchanges to promote cross-cultural learning.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Organize joint international conferences, workshops, and seminars.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Evidence-Based Documentation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Signed MoUs with universities across countries.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Research project sanction letters under bilateral/multilateral schemes.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Nomination orders, travel approvals, and reports for exchanges.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Joint publications, patents, and conferences conducted collaboratively.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IQAC/Research Committee annual review reports capturing outcomes.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Outcome-Oriented Results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Growth in joint research projects and international publications.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Inbound and outbound student/faculty exchanges creating global exposure.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Increased research funding through collaborative projects (e.g., DST-DAAD, Erasmus+, Horizon Europe).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Improved global institutional rankings and reputation.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Enhanced student employability and entrepreneurial capacity through international exposure.</w:t>
      </w:r>
    </w:p>
    <w:p>
      <w:pPr>
        <w:spacing w:before="200" w:after="160"/>
      </w:pPr>
      <w:r>
        <w:rPr>
          <w:rFonts w:ascii="Cambria" w:hAnsi="Cambria" w:eastAsia="Cambria" w:cs="Cambria"/>
          <w:b/>
          <w:i w:val="0"/>
          <w:color w:val="1F3A5F"/>
          <w:sz w:val="26"/>
        </w:rPr>
        <w:t>Tangible Indicators of Internationalization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5 MoUs signed (2 national, 3 international).</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6 joint R&amp;D projects initiated with global universities.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20+ students participated in exchange programs in 3 years.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10 faculty exchange visits leading to co-authored papers.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15 joint publications and 3 international patents filed collaboratively.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₹2 Cr+ external funding secured through global collaborations.</w:t>
      </w:r>
    </w:p>
    <w:p>
      <w:pPr>
        <w:spacing w:before="200" w:after="160"/>
      </w:pPr>
      <w:r>
        <w:rPr>
          <w:rFonts w:ascii="Cambria" w:hAnsi="Cambria" w:eastAsia="Cambria" w:cs="Cambria"/>
          <w:b/>
          <w:i w:val="0"/>
          <w:color w:val="1F3A5F"/>
          <w:sz w:val="26"/>
        </w:rPr>
        <w:t>Stages of Continuous Improvement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Stage 1: MoUs Signed (Foundation Stage)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HoD initiates communication and signs formal MoUs with reputed universities (national &amp; international).</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Focus: Establish a legal and institutional framework for collaboration.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Evidence: Signed MoUs, LoIs, proposals.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Outcome: 5 MoUs signed (2 national, 3 international).</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Stage 2: Joint Projects Initiated (Engagement Stage)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MoUs translated into joint R&amp;D programs in thrust areas (AI, Renewable Energy, Healthcare).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Applications submitted to DST, DBT, Horizon Europe, Erasmus+ funding schemes.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Evidence: Sanction letters, project approvals, joint publications.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Outcome: 6 collaborative projects approved in 3 years.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Stage 3: Student &amp; Faculty Exchanges (Integration Stage)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Exchange programs started for short-term internships, semester abroad, dual degrees, faculty visits.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Evidence: Nomination orders, travel approvals, exchange reports.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Outcome: 20+ students participated; 10 faculty members engaged in research exchange.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Stage 4: Funded Collaborations (Maturity Stage)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HoD facilitates internationally funded research programs under bilateral/multilateral schemes.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Research expanded to include joint patents, conferences, and consultancy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Evidence: Grant sanction letters, patents, consultancy agreements.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Outcome: ₹2 Cr+ research funding secured; 15 joint publications, 3 international patents.</w:t>
      </w:r>
    </w:p>
    <w:p>
      <w:pPr>
        <w:spacing w:before="200" w:after="160"/>
      </w:pPr>
      <w:r>
        <w:rPr>
          <w:rFonts w:ascii="Cambria" w:hAnsi="Cambria" w:eastAsia="Cambria" w:cs="Cambria"/>
          <w:b/>
          <w:i w:val="0"/>
          <w:color w:val="1F3A5F"/>
          <w:sz w:val="26"/>
        </w:rPr>
        <w:t>Continuous Improvement Indicators</w:t>
      </w:r>
    </w:p>
    <w:tbl>
      <w:tblPr>
        <w:tblW w:type="auto" w:w="0"/>
        <w:jc w:val="center"/>
        <w:tblLayout w:type="fixed"/>
        <w:tblLook w:firstColumn="1" w:firstRow="1" w:lastColumn="0" w:lastRow="0" w:noHBand="0" w:noVBand="1" w:val="04A0"/>
        <w:tblLayout w:type="fixed"/>
      </w:tblPr>
      <w:tblGrid>
        <w:gridCol w:w="1701"/>
        <w:gridCol w:w="2835"/>
        <w:gridCol w:w="2268"/>
        <w:gridCol w:w="2551"/>
      </w:tblGrid>
      <w:tr>
        <w:tc>
          <w:tcPr>
            <w:tcW w:type="dxa" w:w="1701"/>
            <w:shd w:val="clear" w:color="auto" w:fill="1F3A5F"/>
          </w:tcPr>
          <w:p>
            <w:pPr>
              <w:jc w:val="center"/>
            </w:pPr>
            <w:r/>
            <w:r>
              <w:rPr>
                <w:rFonts w:ascii="Cambria" w:hAnsi="Cambria" w:eastAsia="Cambria" w:cs="Cambria"/>
                <w:b/>
                <w:i w:val="0"/>
                <w:color w:val="FFFFFF"/>
                <w:sz w:val="18"/>
              </w:rPr>
              <w:t>Stage</w:t>
            </w:r>
          </w:p>
        </w:tc>
        <w:tc>
          <w:tcPr>
            <w:tcW w:type="dxa" w:w="2835"/>
            <w:shd w:val="clear" w:color="auto" w:fill="1F3A5F"/>
          </w:tcPr>
          <w:p>
            <w:pPr>
              <w:jc w:val="center"/>
            </w:pPr>
            <w:r/>
            <w:r>
              <w:rPr>
                <w:rFonts w:ascii="Cambria" w:hAnsi="Cambria" w:eastAsia="Cambria" w:cs="Cambria"/>
                <w:b/>
                <w:i w:val="0"/>
                <w:color w:val="FFFFFF"/>
                <w:sz w:val="18"/>
              </w:rPr>
              <w:t>Action</w:t>
            </w:r>
          </w:p>
        </w:tc>
        <w:tc>
          <w:tcPr>
            <w:tcW w:type="dxa" w:w="2268"/>
            <w:shd w:val="clear" w:color="auto" w:fill="1F3A5F"/>
          </w:tcPr>
          <w:p>
            <w:pPr>
              <w:jc w:val="center"/>
            </w:pPr>
            <w:r/>
            <w:r>
              <w:rPr>
                <w:rFonts w:ascii="Cambria" w:hAnsi="Cambria" w:eastAsia="Cambria" w:cs="Cambria"/>
                <w:b/>
                <w:i w:val="0"/>
                <w:color w:val="FFFFFF"/>
                <w:sz w:val="18"/>
              </w:rPr>
              <w:t>Evidence</w:t>
            </w:r>
          </w:p>
        </w:tc>
        <w:tc>
          <w:tcPr>
            <w:tcW w:type="dxa" w:w="2551"/>
            <w:shd w:val="clear" w:color="auto" w:fill="1F3A5F"/>
          </w:tcPr>
          <w:p>
            <w:pPr>
              <w:jc w:val="center"/>
            </w:pPr>
            <w:r/>
            <w:r>
              <w:rPr>
                <w:rFonts w:ascii="Cambria" w:hAnsi="Cambria" w:eastAsia="Cambria" w:cs="Cambria"/>
                <w:b/>
                <w:i w:val="0"/>
                <w:color w:val="FFFFFF"/>
                <w:sz w:val="18"/>
              </w:rPr>
              <w:t>Outcome</w:t>
            </w:r>
          </w:p>
        </w:tc>
      </w:tr>
      <w:tr>
        <w:tc>
          <w:tcPr>
            <w:tcW w:type="dxa" w:w="1701"/>
          </w:tcPr>
          <w:p>
            <w:pPr>
              <w:jc w:val="center"/>
            </w:pPr>
            <w:r/>
            <w:r>
              <w:rPr>
                <w:rFonts w:ascii="Cambria" w:hAnsi="Cambria" w:eastAsia="Cambria" w:cs="Cambria"/>
                <w:b w:val="0"/>
                <w:i w:val="0"/>
                <w:sz w:val="16"/>
              </w:rPr>
              <w:t>MoUs Signed</w:t>
            </w:r>
          </w:p>
        </w:tc>
        <w:tc>
          <w:tcPr>
            <w:tcW w:type="dxa" w:w="2835"/>
          </w:tcPr>
          <w:p>
            <w:pPr>
              <w:jc w:val="left"/>
            </w:pPr>
            <w:r/>
            <w:r>
              <w:rPr>
                <w:rFonts w:ascii="Cambria" w:hAnsi="Cambria" w:eastAsia="Cambria" w:cs="Cambria"/>
                <w:b w:val="0"/>
                <w:i w:val="0"/>
                <w:sz w:val="16"/>
              </w:rPr>
              <w:t>Agreements with 5 reputed universities</w:t>
            </w:r>
          </w:p>
        </w:tc>
        <w:tc>
          <w:tcPr>
            <w:tcW w:type="dxa" w:w="2268"/>
          </w:tcPr>
          <w:p>
            <w:pPr>
              <w:jc w:val="center"/>
            </w:pPr>
            <w:r/>
            <w:r>
              <w:rPr>
                <w:rFonts w:ascii="Cambria" w:hAnsi="Cambria" w:eastAsia="Cambria" w:cs="Cambria"/>
                <w:b w:val="0"/>
                <w:i w:val="0"/>
                <w:sz w:val="16"/>
              </w:rPr>
              <w:t>Signed MoUs, LoIs</w:t>
            </w:r>
          </w:p>
        </w:tc>
        <w:tc>
          <w:tcPr>
            <w:tcW w:type="dxa" w:w="2551"/>
          </w:tcPr>
          <w:p>
            <w:pPr>
              <w:jc w:val="center"/>
            </w:pPr>
            <w:r/>
            <w:r>
              <w:rPr>
                <w:rFonts w:ascii="Cambria" w:hAnsi="Cambria" w:eastAsia="Cambria" w:cs="Cambria"/>
                <w:b w:val="0"/>
                <w:i w:val="0"/>
                <w:sz w:val="16"/>
              </w:rPr>
              <w:t>Institutional framework for collaboration</w:t>
            </w:r>
          </w:p>
        </w:tc>
      </w:tr>
      <w:tr>
        <w:tc>
          <w:tcPr>
            <w:tcW w:type="dxa" w:w="1701"/>
            <w:shd w:val="clear" w:color="auto" w:fill="D9D9D9"/>
          </w:tcPr>
          <w:p>
            <w:pPr>
              <w:jc w:val="center"/>
            </w:pPr>
            <w:r/>
            <w:r>
              <w:rPr>
                <w:rFonts w:ascii="Cambria" w:hAnsi="Cambria" w:eastAsia="Cambria" w:cs="Cambria"/>
                <w:b w:val="0"/>
                <w:i w:val="0"/>
                <w:sz w:val="16"/>
              </w:rPr>
              <w:t>Joint Projects</w:t>
            </w:r>
          </w:p>
        </w:tc>
        <w:tc>
          <w:tcPr>
            <w:tcW w:type="dxa" w:w="2835"/>
            <w:shd w:val="clear" w:color="auto" w:fill="D9D9D9"/>
          </w:tcPr>
          <w:p>
            <w:pPr>
              <w:jc w:val="left"/>
            </w:pPr>
            <w:r/>
            <w:r>
              <w:rPr>
                <w:rFonts w:ascii="Cambria" w:hAnsi="Cambria" w:eastAsia="Cambria" w:cs="Cambria"/>
                <w:b w:val="0"/>
                <w:i w:val="0"/>
                <w:sz w:val="16"/>
              </w:rPr>
              <w:t>Launch of 6 collaborative projects</w:t>
            </w:r>
          </w:p>
        </w:tc>
        <w:tc>
          <w:tcPr>
            <w:tcW w:type="dxa" w:w="2268"/>
            <w:shd w:val="clear" w:color="auto" w:fill="D9D9D9"/>
          </w:tcPr>
          <w:p>
            <w:pPr>
              <w:jc w:val="center"/>
            </w:pPr>
            <w:r/>
            <w:r>
              <w:rPr>
                <w:rFonts w:ascii="Cambria" w:hAnsi="Cambria" w:eastAsia="Cambria" w:cs="Cambria"/>
                <w:b w:val="0"/>
                <w:i w:val="0"/>
                <w:sz w:val="16"/>
              </w:rPr>
              <w:t>Project sanction letters, reports</w:t>
            </w:r>
          </w:p>
        </w:tc>
        <w:tc>
          <w:tcPr>
            <w:tcW w:type="dxa" w:w="2551"/>
            <w:shd w:val="clear" w:color="auto" w:fill="D9D9D9"/>
          </w:tcPr>
          <w:p>
            <w:pPr>
              <w:jc w:val="center"/>
            </w:pPr>
            <w:r/>
            <w:r>
              <w:rPr>
                <w:rFonts w:ascii="Cambria" w:hAnsi="Cambria" w:eastAsia="Cambria" w:cs="Cambria"/>
                <w:b w:val="0"/>
                <w:i w:val="0"/>
                <w:sz w:val="16"/>
              </w:rPr>
              <w:t>Applied research with measurable outputs</w:t>
            </w:r>
          </w:p>
        </w:tc>
      </w:tr>
      <w:tr>
        <w:tc>
          <w:tcPr>
            <w:tcW w:type="dxa" w:w="1701"/>
          </w:tcPr>
          <w:p>
            <w:pPr>
              <w:jc w:val="center"/>
            </w:pPr>
            <w:r/>
            <w:r>
              <w:rPr>
                <w:rFonts w:ascii="Cambria" w:hAnsi="Cambria" w:eastAsia="Cambria" w:cs="Cambria"/>
                <w:b w:val="0"/>
                <w:i w:val="0"/>
                <w:sz w:val="16"/>
              </w:rPr>
              <w:t>Exchanges</w:t>
            </w:r>
          </w:p>
        </w:tc>
        <w:tc>
          <w:tcPr>
            <w:tcW w:type="dxa" w:w="2835"/>
          </w:tcPr>
          <w:p>
            <w:pPr>
              <w:jc w:val="left"/>
            </w:pPr>
            <w:r/>
            <w:r>
              <w:rPr>
                <w:rFonts w:ascii="Cambria" w:hAnsi="Cambria" w:eastAsia="Cambria" w:cs="Cambria"/>
                <w:b w:val="0"/>
                <w:i w:val="0"/>
                <w:sz w:val="16"/>
              </w:rPr>
              <w:t>Student &amp; faculty exchange programs</w:t>
            </w:r>
          </w:p>
        </w:tc>
        <w:tc>
          <w:tcPr>
            <w:tcW w:type="dxa" w:w="2268"/>
          </w:tcPr>
          <w:p>
            <w:pPr>
              <w:jc w:val="center"/>
            </w:pPr>
            <w:r/>
            <w:r>
              <w:rPr>
                <w:rFonts w:ascii="Cambria" w:hAnsi="Cambria" w:eastAsia="Cambria" w:cs="Cambria"/>
                <w:b w:val="0"/>
                <w:i w:val="0"/>
                <w:sz w:val="16"/>
              </w:rPr>
              <w:t>Travel records, exchange reports</w:t>
            </w:r>
          </w:p>
        </w:tc>
        <w:tc>
          <w:tcPr>
            <w:tcW w:type="dxa" w:w="2551"/>
          </w:tcPr>
          <w:p>
            <w:pPr>
              <w:jc w:val="center"/>
            </w:pPr>
            <w:r/>
            <w:r>
              <w:rPr>
                <w:rFonts w:ascii="Cambria" w:hAnsi="Cambria" w:eastAsia="Cambria" w:cs="Cambria"/>
                <w:b w:val="0"/>
                <w:i w:val="0"/>
                <w:sz w:val="16"/>
              </w:rPr>
              <w:t>20 students, 10 faculty benefited</w:t>
            </w:r>
          </w:p>
        </w:tc>
      </w:tr>
      <w:tr>
        <w:tc>
          <w:tcPr>
            <w:tcW w:type="dxa" w:w="1701"/>
            <w:shd w:val="clear" w:color="auto" w:fill="D9D9D9"/>
          </w:tcPr>
          <w:p>
            <w:pPr>
              <w:jc w:val="center"/>
            </w:pPr>
            <w:r/>
            <w:r>
              <w:rPr>
                <w:rFonts w:ascii="Cambria" w:hAnsi="Cambria" w:eastAsia="Cambria" w:cs="Cambria"/>
                <w:b w:val="0"/>
                <w:i w:val="0"/>
                <w:sz w:val="16"/>
              </w:rPr>
              <w:t>Funded Collaborations</w:t>
            </w:r>
          </w:p>
        </w:tc>
        <w:tc>
          <w:tcPr>
            <w:tcW w:type="dxa" w:w="2835"/>
            <w:shd w:val="clear" w:color="auto" w:fill="D9D9D9"/>
          </w:tcPr>
          <w:p>
            <w:pPr>
              <w:jc w:val="left"/>
            </w:pPr>
            <w:r/>
            <w:r>
              <w:rPr>
                <w:rFonts w:ascii="Cambria" w:hAnsi="Cambria" w:eastAsia="Cambria" w:cs="Cambria"/>
                <w:b w:val="0"/>
                <w:i w:val="0"/>
                <w:sz w:val="16"/>
              </w:rPr>
              <w:t>Secured external international funding</w:t>
            </w:r>
          </w:p>
        </w:tc>
        <w:tc>
          <w:tcPr>
            <w:tcW w:type="dxa" w:w="2268"/>
            <w:shd w:val="clear" w:color="auto" w:fill="D9D9D9"/>
          </w:tcPr>
          <w:p>
            <w:pPr>
              <w:jc w:val="center"/>
            </w:pPr>
            <w:r/>
            <w:r>
              <w:rPr>
                <w:rFonts w:ascii="Cambria" w:hAnsi="Cambria" w:eastAsia="Cambria" w:cs="Cambria"/>
                <w:b w:val="0"/>
                <w:i w:val="0"/>
                <w:sz w:val="16"/>
              </w:rPr>
              <w:t>Sanction letters, joint patents</w:t>
            </w:r>
          </w:p>
        </w:tc>
        <w:tc>
          <w:tcPr>
            <w:tcW w:type="dxa" w:w="2551"/>
            <w:shd w:val="clear" w:color="auto" w:fill="D9D9D9"/>
          </w:tcPr>
          <w:p>
            <w:pPr>
              <w:jc w:val="center"/>
            </w:pPr>
            <w:r/>
            <w:r>
              <w:rPr>
                <w:rFonts w:ascii="Cambria" w:hAnsi="Cambria" w:eastAsia="Cambria" w:cs="Cambria"/>
                <w:b w:val="0"/>
                <w:i w:val="0"/>
                <w:sz w:val="16"/>
              </w:rPr>
              <w:t>₹2 Cr funding, 15 publications, 3 patents</w:t>
            </w:r>
          </w:p>
        </w:tc>
      </w:tr>
    </w:tbl>
    <w:p>
      <w:pPr>
        <w:spacing w:before="200" w:after="160"/>
      </w:pPr>
      <w:r>
        <w:rPr>
          <w:rFonts w:ascii="Cambria" w:hAnsi="Cambria" w:eastAsia="Cambria" w:cs="Cambria"/>
          <w:b/>
          <w:i w:val="0"/>
          <w:color w:val="1F3A5F"/>
          <w:sz w:val="26"/>
        </w:rPr>
        <w:t>Global Standards → Local Practices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Curriculum Enrichment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Insights from partner universities incorporated into syllabi, electives, and project work.</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Jointly developed modules, case studies, and lab practices aligned with international benchmarks.</w:t>
      </w:r>
    </w:p>
    <w:p>
      <w:pPr>
        <w:spacing w:line="276" w:lineRule="auto" w:after="120"/>
        <w:ind w:left="714"/>
        <w:jc w:val="both"/>
      </w:pPr>
      <w:r>
        <w:rPr>
          <w:rFonts w:ascii="Cambria" w:hAnsi="Cambria" w:eastAsia="Cambria" w:cs="Cambria"/>
          <w:b w:val="0"/>
          <w:i w:val="0"/>
          <w:sz w:val="22"/>
        </w:rPr>
        <w:t>Example: AI &amp; Data Analytics curriculum benchmarked against EU Horizon 2020 partner institution.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 Excellence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Collaborative R&amp;D projects follow global research methodologies, ethical standards, and open science practices.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Joint publications in Scopus, Web of Science, and IEEE indexed journals raise departmental quality.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Exposure to international peer-review standards strengthens research culture locally.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Teaching–Learning Pedagogy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Exchange faculty introduce innovative teaching methods (project-based, flipped classrooms, blended learning).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Adoption of cross-cultural pedagogical approaches from global institutions.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Students benefit from dual mentoring (local + international experts).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Student &amp; Faculty Development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Students gain exposure to global problem statements, not just local ones.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Faculty acquire best practices in supervision, research grants, and consultancy management.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Exchange programs embed global professional skills (teamwork, cross-cultural communication, adaptability).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Quality Assurance &amp; Accreditation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MoUs and collaborations support international benchmarking of academic processes.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Strengthens readiness for global accreditations (ABET, AACSB, EQUIS).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Demonstrates compliance with NEP 2020 vision of internationalization.</w:t>
      </w:r>
    </w:p>
    <w:p>
      <w:pPr>
        <w:spacing w:line="276" w:lineRule="auto" w:after="120"/>
        <w:jc w:val="both"/>
      </w:pPr>
      <w:r>
        <w:rPr>
          <w:rFonts w:ascii="Cambria" w:hAnsi="Cambria" w:eastAsia="Cambria" w:cs="Cambria"/>
          <w:b/>
          <w:i w:val="0"/>
          <w:sz w:val="22"/>
        </w:rPr>
        <w:t>Tangible Outcomes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Curriculum updated with 3 international electives in the last 3 years.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15 joint international publications and 3 patents with global partners.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20+ students benefited from semester-abroad/short-term exchange.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exchanges led to new pedagogical practices adopted in 4 core courses.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MoUs resulted in co-hosted international conferences and workshops.</w:t>
      </w:r>
    </w:p>
    <w:p>
      <w:pPr>
        <w:spacing w:before="200" w:after="160"/>
      </w:pPr>
      <w:r>
        <w:rPr>
          <w:rFonts w:ascii="Cambria" w:hAnsi="Cambria" w:eastAsia="Cambria" w:cs="Cambria"/>
          <w:b/>
          <w:i w:val="0"/>
          <w:color w:val="1F3A5F"/>
          <w:sz w:val="26"/>
        </w:rPr>
        <w:t>How HoD Embeds Global Standards Locally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Curriculum &amp; Pedagogy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Integrates international case studies, research findings, and electives into the curriculum.</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Adopts best practices in pedagogy (problem-based learning, flipped classrooms, blended models) from global partner universities.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student projects reflect international benchmarks in design, execution, and reporting.</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 Culture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Promotes joint publications in Scopus/Web of Science/IEEE indexed journals with international co-authors.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Encourages research guided by international peer-review standards and ethical practices.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Facilitates global conferences, workshops, and seminars hosted locally, but with international participation.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Skill &amp; Employability Development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Students engage with global problem statements (e.g., climate change, AI in healthcare, sustainable energy) through inter-university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Exchange programs develop cross-cultural communication, adaptability, and global professional skills.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Faculty acquire international grant-writing and consultancy practices.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Institutional Impact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MoUs create pathways for dual degrees, semester-abroad programs, and joint certifications.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Enhances institutional visibility in global rankings (NIRF, QS, THE).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Positions the department as a hub for international research collaboration.</w:t>
      </w:r>
    </w:p>
    <w:p>
      <w:pPr>
        <w:spacing w:before="200" w:after="160"/>
      </w:pPr>
      <w:r>
        <w:rPr>
          <w:rFonts w:ascii="Cambria" w:hAnsi="Cambria" w:eastAsia="Cambria" w:cs="Cambria"/>
          <w:b/>
          <w:i w:val="0"/>
          <w:color w:val="1F3A5F"/>
          <w:sz w:val="26"/>
        </w:rPr>
        <w:t>Evidence of International-Level Outcomes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Curriculum: 3 electives introduced in collaboration with international universities.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 15 joint international publications; 3 international patents filed.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Exchanges: 20+ students (outbound) and 8+ students (inbound) in last 3 years.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10 faculty members participated in research exchange and co-teaching abroad.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Recognition: International conferences hosted, attracting 200+ delegates from 10 countries.</w:t>
      </w:r>
    </w:p>
    <w:p>
      <w:pPr>
        <w:spacing w:before="200" w:after="160"/>
      </w:pPr>
      <w:r>
        <w:rPr>
          <w:rFonts w:ascii="Cambria" w:hAnsi="Cambria" w:eastAsia="Cambria" w:cs="Cambria"/>
          <w:b/>
          <w:i w:val="0"/>
          <w:color w:val="1F3A5F"/>
          <w:sz w:val="26"/>
        </w:rPr>
        <w:t>How Collaborations Go Beyond Symbolic MoUs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Teaching Transformation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Before: Limited to curriculum designed internally with minimal international input.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After MoUs: Introduction of joint electives, co-taught courses, and global case studies into the syllabus.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 xml:space="preserve">Example: A joint elective on </w:t>
      </w:r>
      <w:r>
        <w:rPr>
          <w:rFonts w:ascii="Cambria" w:hAnsi="Cambria" w:eastAsia="Cambria" w:cs="Cambria"/>
          <w:b w:val="0"/>
          <w:i/>
          <w:sz w:val="22"/>
        </w:rPr>
        <w:t>AI for Healthcare</w:t>
      </w:r>
      <w:r>
        <w:rPr>
          <w:rFonts w:ascii="Cambria" w:hAnsi="Cambria" w:eastAsia="Cambria" w:cs="Cambria"/>
          <w:b w:val="0"/>
          <w:i w:val="0"/>
          <w:sz w:val="22"/>
        </w:rPr>
        <w:t xml:space="preserve"> designed with a European partner university.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Learning Transformation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Before: Students worked only on localized projects with narrow exposure.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After MoUs: Students undertake global problem statements through exchange programs and joint supervision.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Example: Final-year projects guided jointly by faculty from India and an international partner under Erasmus+.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 Transformation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Before: Faculty publications largely in local/national journals.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After MoUs: Faculty and scholars co-author internationally indexed papers, patents, and conference proceedings.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Example: 15 joint publications in Scopus/WoS in 3 years; 3 international patents filed.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Capacity Building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Before: Faculty development restricted to local workshops.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After MoUs: Faculty participate in international FDPs, research training, and collaborative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Example: 10 faculty members engaged in teaching exchange abroad.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Institutional Growth</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Before: Collaborations remained on paper with little evidence.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After MoUs: Tangible outcomes like funded research projects (₹2 Cr+), exchange programs, and co-hosted conferences prove genuine impact.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Example: 4 international conferences co-hosted with partner universities in the last 3 years.</w:t>
      </w:r>
    </w:p>
    <w:p>
      <w:pPr>
        <w:spacing w:before="200" w:after="160"/>
      </w:pPr>
      <w:r>
        <w:rPr>
          <w:rFonts w:ascii="Cambria" w:hAnsi="Cambria" w:eastAsia="Cambria" w:cs="Cambria"/>
          <w:b/>
          <w:i w:val="0"/>
          <w:color w:val="1F3A5F"/>
          <w:sz w:val="26"/>
        </w:rPr>
        <w:t>Evidence of Genuine Transformation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5 active MoUs → led to 6 joint R&amp;D projects.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20+ students participated in outbound exchange, 8 inbound students.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15 joint publications, 3 patents filed internationally.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Curriculum updated with 3 global electives.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₹2 Cr+ external funding secured from bilateral/multilateral schemes.</w:t>
      </w:r>
    </w:p>
    <w:p>
      <w:r>
        <w:br w:type="page"/>
      </w:r>
    </w:p>
    <w:p>
      <w:pPr>
        <w:spacing w:before="280" w:after="160"/>
      </w:pPr>
      <w:r>
        <w:rPr>
          <w:rFonts w:ascii="Cambria" w:hAnsi="Cambria" w:eastAsia="Cambria" w:cs="Cambria"/>
          <w:b/>
          <w:i w:val="0"/>
          <w:color w:val="1F3A5F"/>
          <w:sz w:val="36"/>
        </w:rPr>
        <w:t>7. HoD’s responsibility to motivate faculty in doing active research along with their other responsibilities</w:t>
      </w:r>
    </w:p>
    <w:p>
      <w:pPr>
        <w:spacing w:before="200" w:after="160"/>
      </w:pPr>
      <w:r>
        <w:rPr>
          <w:rFonts w:ascii="Cambria" w:hAnsi="Cambria" w:eastAsia="Cambria" w:cs="Cambria"/>
          <w:b/>
          <w:i w:val="0"/>
          <w:color w:val="1F3A5F"/>
          <w:sz w:val="26"/>
        </w:rPr>
        <w:t>Policy Statement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The HoD ensures that faculty members are encouraged, supported, and motivated to pursue active research alongside their teaching, administrative, and mentoring responsibilities.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research is aligned with departmental thrust areas, institutional goals, NEP 2020, NAAC/NBA requirements, and SDGs.</w:t>
      </w:r>
    </w:p>
    <w:p>
      <w:pPr>
        <w:spacing w:before="200" w:after="160"/>
      </w:pPr>
      <w:r>
        <w:rPr>
          <w:rFonts w:ascii="Cambria" w:hAnsi="Cambria" w:eastAsia="Cambria" w:cs="Cambria"/>
          <w:b/>
          <w:i w:val="0"/>
          <w:color w:val="1F3A5F"/>
          <w:sz w:val="26"/>
        </w:rPr>
        <w:t>Actions by HoD/Department</w:t>
      </w:r>
    </w:p>
    <w:p>
      <w:pPr>
        <w:spacing w:line="276" w:lineRule="auto" w:after="80"/>
        <w:ind w:left="357" w:hanging="357"/>
      </w:pPr>
      <w:r>
        <w:rPr>
          <w:rFonts w:ascii="Cambria" w:hAnsi="Cambria" w:eastAsia="Cambria" w:cs="Cambria"/>
          <w:b w:val="0"/>
          <w:i w:val="0"/>
          <w:sz w:val="22"/>
        </w:rPr>
        <w:t>1. Creating a Conducive Research Environment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Adjust workload distribution so faculty have dedicated time for research.</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 faculty to integrate research with teaching (project-based learning, research-led courses).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Provide access to labs, journals, databases, and software tools.</w:t>
      </w:r>
    </w:p>
    <w:p>
      <w:pPr>
        <w:spacing w:line="276" w:lineRule="auto" w:after="80"/>
        <w:ind w:left="357" w:hanging="357"/>
      </w:pPr>
      <w:r>
        <w:rPr>
          <w:rFonts w:ascii="Cambria" w:hAnsi="Cambria" w:eastAsia="Cambria" w:cs="Cambria"/>
          <w:b w:val="0"/>
          <w:i w:val="0"/>
          <w:sz w:val="22"/>
        </w:rPr>
        <w:t>1. Recognition &amp; Incentives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Introduce best researcher awards, publication incentives, and recognition in annual appraisals.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Showcase faculty research achievements during departmental meetings and newsletters.</w:t>
      </w:r>
    </w:p>
    <w:p>
      <w:pPr>
        <w:spacing w:line="276" w:lineRule="auto" w:after="80"/>
        <w:ind w:left="357" w:hanging="357"/>
      </w:pPr>
      <w:r>
        <w:rPr>
          <w:rFonts w:ascii="Cambria" w:hAnsi="Cambria" w:eastAsia="Cambria" w:cs="Cambria"/>
          <w:b w:val="0"/>
          <w:i w:val="0"/>
          <w:sz w:val="22"/>
        </w:rPr>
        <w:t>1. Capacity Building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Organize FDPs, workshops, and training on research methodology, proposal writing, and publishing in high-impact journals.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Assign mentors/senior researchers to guide young faculty.</w:t>
      </w:r>
    </w:p>
    <w:p>
      <w:pPr>
        <w:spacing w:line="276" w:lineRule="auto" w:after="80"/>
        <w:ind w:left="357" w:hanging="357"/>
      </w:pPr>
      <w:r>
        <w:rPr>
          <w:rFonts w:ascii="Cambria" w:hAnsi="Cambria" w:eastAsia="Cambria" w:cs="Cambria"/>
          <w:b w:val="0"/>
          <w:i w:val="0"/>
          <w:sz w:val="22"/>
        </w:rPr>
        <w:t>1. Funding &amp; Collaboration Support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Guide faculty in applying for funded projects (DST, UGC, DBT, AICTE, CSR funds).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Facilitate MoUs with industries and universities for joint research and consultancy.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 interdisciplinary collaborations within and outside the institution.</w:t>
      </w:r>
    </w:p>
    <w:p>
      <w:pPr>
        <w:spacing w:line="276" w:lineRule="auto" w:after="80"/>
        <w:ind w:left="357" w:hanging="357"/>
      </w:pPr>
      <w:r>
        <w:rPr>
          <w:rFonts w:ascii="Cambria" w:hAnsi="Cambria" w:eastAsia="Cambria" w:cs="Cambria"/>
          <w:b w:val="0"/>
          <w:i w:val="0"/>
          <w:sz w:val="22"/>
        </w:rPr>
        <w:t>1. Integration with OBE &amp; Accreditation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Map faculty research to Program Outcomes (POs) and Program Specific Outcomes (PSOs).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Use faculty research outputs as evidence for NBA Criterion 11 (R&amp;D, Consultancy, Innovation) and NAAC Criterion 3 (Research, Innovation &amp; Extension).</w:t>
      </w:r>
    </w:p>
    <w:p>
      <w:pPr>
        <w:spacing w:before="200" w:after="160"/>
      </w:pPr>
      <w:r>
        <w:rPr>
          <w:rFonts w:ascii="Cambria" w:hAnsi="Cambria" w:eastAsia="Cambria" w:cs="Cambria"/>
          <w:b/>
          <w:i w:val="0"/>
          <w:color w:val="1F3A5F"/>
          <w:sz w:val="26"/>
        </w:rPr>
        <w:t>Evidence/Documents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workload distribution records (teaching + research).</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List of research projects, publications, and patents by faculty.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Incentive/award documentation for research contributions.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FDP/workshop brochures, attendance, and reports.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 proposals submitted and sanction letters received.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MoUs signed for research collaboration.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faculty appraisal reports including research contributions.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departmental R&amp;D progress report submitted to IQAC.</w:t>
      </w:r>
    </w:p>
    <w:p>
      <w:pPr>
        <w:spacing w:before="200" w:after="160"/>
      </w:pPr>
      <w:r>
        <w:rPr>
          <w:rFonts w:ascii="Cambria" w:hAnsi="Cambria" w:eastAsia="Cambria" w:cs="Cambria"/>
          <w:b/>
          <w:i w:val="0"/>
          <w:color w:val="1F3A5F"/>
          <w:sz w:val="26"/>
        </w:rPr>
        <w:t>Tangible Outcomes (Measurable Indicators)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with ongoing research projects increased from 30% → 65% in 3 years.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Publications by faculty grew from 12 → 40 in Scopus/WoS indexed journals.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Patents filed by faculty increased from 2 → 8 in 3 years.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Consultancy revenue increased by 25% YoY due to faculty-led projects.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Interdisciplinary research collaborations increased (e.g., 5 joint projects across departments).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Improved faculty satisfaction scores (as per feedback surveys).</w:t>
      </w:r>
    </w:p>
    <w:p>
      <w:pPr>
        <w:spacing w:line="276" w:lineRule="auto" w:after="120"/>
        <w:jc w:val="both"/>
      </w:pPr>
      <w:r>
        <w:rPr>
          <w:rFonts w:ascii="Cambria" w:hAnsi="Cambria" w:eastAsia="Cambria" w:cs="Cambria"/>
          <w:b/>
          <w:i w:val="0"/>
          <w:sz w:val="22"/>
        </w:rPr>
        <w:t>Evidence/Documents to Maintain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Workload Distribution Records (Teaching + Research)</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Official documents showing allocation of teaching, administrative, and research hours.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faculty have time carved out for research without overburdening.</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List of Research Projects, Publications, and Patents by Faculty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Consolidated record of ongoing/completed projects, indexed publications, and filed/granted patents.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Acts as evidence of faculty productivity in R&amp;D.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Incentive/Award Documentation for Research Contributions</w:t>
      </w:r>
    </w:p>
    <w:p>
      <w:pPr>
        <w:spacing w:line="276" w:lineRule="auto" w:after="120"/>
        <w:ind w:left="714"/>
        <w:jc w:val="both"/>
      </w:pPr>
      <w:r>
        <w:rPr>
          <w:rFonts w:ascii="Cambria" w:hAnsi="Cambria" w:eastAsia="Cambria" w:cs="Cambria"/>
          <w:b w:val="0"/>
          <w:i w:val="0"/>
          <w:sz w:val="22"/>
        </w:rPr>
        <w:t>Proof of recognition schemes such as “Best Researcher Award,” financial incentives, or certificates.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Encourages a reward-based research culture.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FDP/Workshop Brochures, Attendance, and Reports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Records of faculty training programs conducted on research methodology, proposal writing, IPR, and publishing.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Evidence of capacity-building initiatives.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 Proposals Submitted and Sanction Letters Received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Copies of submitted proposals to funding agencies (DST, UGC, DBT, CSR, etc.).</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Grant sanction letters showing successful project approvals.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MoUs Signed for Research Collaboration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Agreements with industries, R&amp;D labs, and universities for joint research, consultancy, or interdisciplinary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Shows external collaborative linkages.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Faculty Appraisal Reports Including Research Contributions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Individual faculty appraisal forms highlighting publications, projects, and innovations.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accountability and performance measurement.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Departmental R&amp;D Progress Report Submitted to IQAC</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Consolidated yearly report of faculty research outcomes.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Submitted to IQAC for NAAC Criterion 3 and to NBA for Criterion 11 compliance.</w:t>
      </w:r>
    </w:p>
    <w:p>
      <w:pPr>
        <w:spacing w:before="200" w:after="160"/>
      </w:pPr>
      <w:r>
        <w:rPr>
          <w:rFonts w:ascii="Cambria" w:hAnsi="Cambria" w:eastAsia="Cambria" w:cs="Cambria"/>
          <w:b/>
          <w:i w:val="0"/>
          <w:color w:val="1F3A5F"/>
          <w:sz w:val="26"/>
        </w:rPr>
        <w:t>Traceability Table: Faculty Motivation for Active Research</w:t>
      </w:r>
    </w:p>
    <w:tbl>
      <w:tblPr>
        <w:tblW w:type="auto" w:w="0"/>
        <w:jc w:val="center"/>
        <w:tblLayout w:type="fixed"/>
        <w:tblLook w:firstColumn="1" w:firstRow="1" w:lastColumn="0" w:lastRow="0" w:noHBand="0" w:noVBand="1" w:val="04A0"/>
        <w:tblLayout w:type="fixed"/>
      </w:tblPr>
      <w:tblGrid>
        <w:gridCol w:w="1701"/>
        <w:gridCol w:w="3118"/>
        <w:gridCol w:w="1984"/>
        <w:gridCol w:w="2551"/>
      </w:tblGrid>
      <w:tr>
        <w:tc>
          <w:tcPr>
            <w:tcW w:type="dxa" w:w="1701"/>
            <w:shd w:val="clear" w:color="auto" w:fill="1F3A5F"/>
          </w:tcPr>
          <w:p>
            <w:pPr>
              <w:jc w:val="center"/>
            </w:pPr>
            <w:r/>
            <w:r>
              <w:rPr>
                <w:rFonts w:ascii="Cambria" w:hAnsi="Cambria" w:eastAsia="Cambria" w:cs="Cambria"/>
                <w:b/>
                <w:i w:val="0"/>
                <w:color w:val="FFFFFF"/>
                <w:sz w:val="17"/>
              </w:rPr>
              <w:t>Policy</w:t>
            </w:r>
          </w:p>
        </w:tc>
        <w:tc>
          <w:tcPr>
            <w:tcW w:type="dxa" w:w="3118"/>
            <w:shd w:val="clear" w:color="auto" w:fill="1F3A5F"/>
          </w:tcPr>
          <w:p>
            <w:pPr>
              <w:jc w:val="center"/>
            </w:pPr>
            <w:r/>
            <w:r>
              <w:rPr>
                <w:rFonts w:ascii="Cambria" w:hAnsi="Cambria" w:eastAsia="Cambria" w:cs="Cambria"/>
                <w:b/>
                <w:i w:val="0"/>
                <w:color w:val="FFFFFF"/>
                <w:sz w:val="17"/>
              </w:rPr>
              <w:t>Action by HoD/Department</w:t>
            </w:r>
          </w:p>
        </w:tc>
        <w:tc>
          <w:tcPr>
            <w:tcW w:type="dxa" w:w="1984"/>
            <w:shd w:val="clear" w:color="auto" w:fill="1F3A5F"/>
          </w:tcPr>
          <w:p>
            <w:pPr>
              <w:jc w:val="center"/>
            </w:pPr>
            <w:r/>
            <w:r>
              <w:rPr>
                <w:rFonts w:ascii="Cambria" w:hAnsi="Cambria" w:eastAsia="Cambria" w:cs="Cambria"/>
                <w:b/>
                <w:i w:val="0"/>
                <w:color w:val="FFFFFF"/>
                <w:sz w:val="17"/>
              </w:rPr>
              <w:t>Evidence/Documents</w:t>
            </w:r>
          </w:p>
        </w:tc>
        <w:tc>
          <w:tcPr>
            <w:tcW w:type="dxa" w:w="2551"/>
            <w:shd w:val="clear" w:color="auto" w:fill="1F3A5F"/>
          </w:tcPr>
          <w:p>
            <w:pPr>
              <w:jc w:val="center"/>
            </w:pPr>
            <w:r/>
            <w:r>
              <w:rPr>
                <w:rFonts w:ascii="Cambria" w:hAnsi="Cambria" w:eastAsia="Cambria" w:cs="Cambria"/>
                <w:b/>
                <w:i w:val="0"/>
                <w:color w:val="FFFFFF"/>
                <w:sz w:val="17"/>
              </w:rPr>
              <w:t>Outcome (Quantitative &amp; Qualitative)</w:t>
            </w:r>
          </w:p>
        </w:tc>
      </w:tr>
      <w:tr>
        <w:tc>
          <w:tcPr>
            <w:tcW w:type="dxa" w:w="1701"/>
          </w:tcPr>
          <w:p>
            <w:pPr>
              <w:jc w:val="center"/>
            </w:pPr>
            <w:r/>
            <w:r>
              <w:rPr>
                <w:rFonts w:ascii="Cambria" w:hAnsi="Cambria" w:eastAsia="Cambria" w:cs="Cambria"/>
                <w:b w:val="0"/>
                <w:i w:val="0"/>
                <w:sz w:val="15"/>
              </w:rPr>
              <w:t>Promote active research among faculty along with teaching/administrative responsibilities.</w:t>
            </w:r>
          </w:p>
        </w:tc>
        <w:tc>
          <w:tcPr>
            <w:tcW w:type="dxa" w:w="3118"/>
          </w:tcPr>
          <w:p>
            <w:pPr>
              <w:jc w:val="left"/>
            </w:pPr>
            <w:r/>
            <w:r>
              <w:rPr>
                <w:rFonts w:ascii="Cambria" w:hAnsi="Cambria" w:eastAsia="Cambria" w:cs="Cambria"/>
                <w:b w:val="0"/>
                <w:i w:val="0"/>
                <w:sz w:val="15"/>
              </w:rPr>
              <w:t>Allocate workload distribution ensuring balance between teaching and research.</w:t>
            </w:r>
          </w:p>
        </w:tc>
        <w:tc>
          <w:tcPr>
            <w:tcW w:type="dxa" w:w="1984"/>
          </w:tcPr>
          <w:p>
            <w:pPr>
              <w:jc w:val="center"/>
            </w:pPr>
            <w:r/>
            <w:r>
              <w:rPr>
                <w:rFonts w:ascii="Cambria" w:hAnsi="Cambria" w:eastAsia="Cambria" w:cs="Cambria"/>
                <w:b w:val="0"/>
                <w:i w:val="0"/>
                <w:sz w:val="15"/>
              </w:rPr>
              <w:t>Faculty workload distribution records.</w:t>
            </w:r>
          </w:p>
        </w:tc>
        <w:tc>
          <w:tcPr>
            <w:tcW w:type="dxa" w:w="2551"/>
          </w:tcPr>
          <w:p>
            <w:pPr>
              <w:jc w:val="center"/>
            </w:pPr>
            <w:r/>
            <w:r>
              <w:rPr>
                <w:rFonts w:ascii="Cambria" w:hAnsi="Cambria" w:eastAsia="Cambria" w:cs="Cambria"/>
                <w:b w:val="0"/>
                <w:i w:val="0"/>
                <w:sz w:val="15"/>
              </w:rPr>
              <w:t>Faculty provided with dedicated time for research without affecting teaching.</w:t>
            </w:r>
          </w:p>
        </w:tc>
      </w:tr>
      <w:tr>
        <w:tc>
          <w:tcPr>
            <w:tcW w:type="dxa" w:w="1701"/>
            <w:shd w:val="clear" w:color="auto" w:fill="D9D9D9"/>
          </w:tcPr>
          <w:p>
            <w:pPr>
              <w:jc w:val="center"/>
            </w:pPr>
            <w:r/>
            <w:r>
              <w:rPr>
                <w:rFonts w:ascii="Cambria" w:hAnsi="Cambria" w:eastAsia="Cambria" w:cs="Cambria"/>
                <w:b w:val="0"/>
                <w:i w:val="0"/>
                <w:sz w:val="15"/>
              </w:rPr>
              <w:t>Recognize and reward faculty research contributions.</w:t>
            </w:r>
          </w:p>
        </w:tc>
        <w:tc>
          <w:tcPr>
            <w:tcW w:type="dxa" w:w="3118"/>
            <w:shd w:val="clear" w:color="auto" w:fill="D9D9D9"/>
          </w:tcPr>
          <w:p>
            <w:pPr>
              <w:jc w:val="left"/>
            </w:pPr>
            <w:r/>
            <w:r>
              <w:rPr>
                <w:rFonts w:ascii="Cambria" w:hAnsi="Cambria" w:eastAsia="Cambria" w:cs="Cambria"/>
                <w:b w:val="0"/>
                <w:i w:val="0"/>
                <w:sz w:val="15"/>
              </w:rPr>
              <w:t>Introduce awards, incentives, and recognition schemes for research.</w:t>
            </w:r>
          </w:p>
        </w:tc>
        <w:tc>
          <w:tcPr>
            <w:tcW w:type="dxa" w:w="1984"/>
            <w:shd w:val="clear" w:color="auto" w:fill="D9D9D9"/>
          </w:tcPr>
          <w:p>
            <w:pPr>
              <w:jc w:val="center"/>
            </w:pPr>
            <w:r/>
            <w:r>
              <w:rPr>
                <w:rFonts w:ascii="Cambria" w:hAnsi="Cambria" w:eastAsia="Cambria" w:cs="Cambria"/>
                <w:b w:val="0"/>
                <w:i w:val="0"/>
                <w:sz w:val="15"/>
              </w:rPr>
              <w:t>Incentive/award documentation; faculty recognition circulars.</w:t>
            </w:r>
          </w:p>
        </w:tc>
        <w:tc>
          <w:tcPr>
            <w:tcW w:type="dxa" w:w="2551"/>
            <w:shd w:val="clear" w:color="auto" w:fill="D9D9D9"/>
          </w:tcPr>
          <w:p>
            <w:pPr>
              <w:jc w:val="center"/>
            </w:pPr>
            <w:r/>
            <w:r>
              <w:rPr>
                <w:rFonts w:ascii="Cambria" w:hAnsi="Cambria" w:eastAsia="Cambria" w:cs="Cambria"/>
                <w:b w:val="0"/>
                <w:i w:val="0"/>
                <w:sz w:val="15"/>
              </w:rPr>
              <w:t>Increased faculty motivation; more research contributions acknowledged.</w:t>
            </w:r>
          </w:p>
        </w:tc>
      </w:tr>
      <w:tr>
        <w:tc>
          <w:tcPr>
            <w:tcW w:type="dxa" w:w="1701"/>
          </w:tcPr>
          <w:p>
            <w:pPr>
              <w:jc w:val="center"/>
            </w:pPr>
            <w:r/>
            <w:r>
              <w:rPr>
                <w:rFonts w:ascii="Cambria" w:hAnsi="Cambria" w:eastAsia="Cambria" w:cs="Cambria"/>
                <w:b w:val="0"/>
                <w:i w:val="0"/>
                <w:sz w:val="15"/>
              </w:rPr>
              <w:t>Build research capacity of faculty.</w:t>
            </w:r>
          </w:p>
        </w:tc>
        <w:tc>
          <w:tcPr>
            <w:tcW w:type="dxa" w:w="3118"/>
          </w:tcPr>
          <w:p>
            <w:pPr>
              <w:jc w:val="left"/>
            </w:pPr>
            <w:r/>
            <w:r>
              <w:rPr>
                <w:rFonts w:ascii="Cambria" w:hAnsi="Cambria" w:eastAsia="Cambria" w:cs="Cambria"/>
                <w:b w:val="0"/>
                <w:i w:val="0"/>
                <w:sz w:val="15"/>
              </w:rPr>
              <w:t>Conduct FDPs/workshops on research methodology, publishing, IPR, and proposal writing.</w:t>
            </w:r>
          </w:p>
        </w:tc>
        <w:tc>
          <w:tcPr>
            <w:tcW w:type="dxa" w:w="1984"/>
          </w:tcPr>
          <w:p>
            <w:pPr>
              <w:jc w:val="center"/>
            </w:pPr>
            <w:r/>
            <w:r>
              <w:rPr>
                <w:rFonts w:ascii="Cambria" w:hAnsi="Cambria" w:eastAsia="Cambria" w:cs="Cambria"/>
                <w:b w:val="0"/>
                <w:i w:val="0"/>
                <w:sz w:val="15"/>
              </w:rPr>
              <w:t>FDP/workshop brochures, attendance sheets, reports.</w:t>
            </w:r>
          </w:p>
        </w:tc>
        <w:tc>
          <w:tcPr>
            <w:tcW w:type="dxa" w:w="2551"/>
          </w:tcPr>
          <w:p>
            <w:pPr>
              <w:jc w:val="center"/>
            </w:pPr>
            <w:r/>
            <w:r>
              <w:rPr>
                <w:rFonts w:ascii="Cambria" w:hAnsi="Cambria" w:eastAsia="Cambria" w:cs="Cambria"/>
                <w:b w:val="0"/>
                <w:i w:val="0"/>
                <w:sz w:val="15"/>
              </w:rPr>
              <w:t>3 FDPs conducted annually; faculty skill enhancement in research writing and funding.</w:t>
            </w:r>
          </w:p>
        </w:tc>
      </w:tr>
      <w:tr>
        <w:tc>
          <w:tcPr>
            <w:tcW w:type="dxa" w:w="1701"/>
            <w:shd w:val="clear" w:color="auto" w:fill="D9D9D9"/>
          </w:tcPr>
          <w:p>
            <w:pPr>
              <w:jc w:val="center"/>
            </w:pPr>
            <w:r/>
            <w:r>
              <w:rPr>
                <w:rFonts w:ascii="Cambria" w:hAnsi="Cambria" w:eastAsia="Cambria" w:cs="Cambria"/>
                <w:b w:val="0"/>
                <w:i w:val="0"/>
                <w:sz w:val="15"/>
              </w:rPr>
              <w:t>Encourage funded research and collaboration.</w:t>
            </w:r>
          </w:p>
        </w:tc>
        <w:tc>
          <w:tcPr>
            <w:tcW w:type="dxa" w:w="3118"/>
            <w:shd w:val="clear" w:color="auto" w:fill="D9D9D9"/>
          </w:tcPr>
          <w:p>
            <w:pPr>
              <w:jc w:val="left"/>
            </w:pPr>
            <w:r/>
            <w:r>
              <w:rPr>
                <w:rFonts w:ascii="Cambria" w:hAnsi="Cambria" w:eastAsia="Cambria" w:cs="Cambria"/>
                <w:b w:val="0"/>
                <w:i w:val="0"/>
                <w:sz w:val="15"/>
              </w:rPr>
              <w:t>Guide faculty in submitting proposals; facilitate MoUs with industries/universities.</w:t>
            </w:r>
          </w:p>
        </w:tc>
        <w:tc>
          <w:tcPr>
            <w:tcW w:type="dxa" w:w="1984"/>
            <w:shd w:val="clear" w:color="auto" w:fill="D9D9D9"/>
          </w:tcPr>
          <w:p>
            <w:pPr>
              <w:jc w:val="center"/>
            </w:pPr>
            <w:r/>
            <w:r>
              <w:rPr>
                <w:rFonts w:ascii="Cambria" w:hAnsi="Cambria" w:eastAsia="Cambria" w:cs="Cambria"/>
                <w:b w:val="0"/>
                <w:i w:val="0"/>
                <w:sz w:val="15"/>
              </w:rPr>
              <w:t>Research proposals submitted, sanction letters; MoUs signed.</w:t>
            </w:r>
          </w:p>
        </w:tc>
        <w:tc>
          <w:tcPr>
            <w:tcW w:type="dxa" w:w="2551"/>
            <w:shd w:val="clear" w:color="auto" w:fill="D9D9D9"/>
          </w:tcPr>
          <w:p>
            <w:pPr>
              <w:jc w:val="center"/>
            </w:pPr>
            <w:r/>
            <w:r>
              <w:rPr>
                <w:rFonts w:ascii="Cambria" w:hAnsi="Cambria" w:eastAsia="Cambria" w:cs="Cambria"/>
                <w:b w:val="0"/>
                <w:i w:val="0"/>
                <w:sz w:val="15"/>
              </w:rPr>
              <w:t>25% YoY increase in funded projects; 4 new research collaborations initiated.</w:t>
            </w:r>
          </w:p>
        </w:tc>
      </w:tr>
      <w:tr>
        <w:tc>
          <w:tcPr>
            <w:tcW w:type="dxa" w:w="1701"/>
          </w:tcPr>
          <w:p>
            <w:pPr>
              <w:jc w:val="center"/>
            </w:pPr>
            <w:r/>
            <w:r>
              <w:rPr>
                <w:rFonts w:ascii="Cambria" w:hAnsi="Cambria" w:eastAsia="Cambria" w:cs="Cambria"/>
                <w:b w:val="0"/>
                <w:i w:val="0"/>
                <w:sz w:val="15"/>
              </w:rPr>
              <w:t>Monitor and evaluate faculty research output.</w:t>
            </w:r>
          </w:p>
        </w:tc>
        <w:tc>
          <w:tcPr>
            <w:tcW w:type="dxa" w:w="3118"/>
          </w:tcPr>
          <w:p>
            <w:pPr>
              <w:jc w:val="left"/>
            </w:pPr>
            <w:r/>
            <w:r>
              <w:rPr>
                <w:rFonts w:ascii="Cambria" w:hAnsi="Cambria" w:eastAsia="Cambria" w:cs="Cambria"/>
                <w:b w:val="0"/>
                <w:i w:val="0"/>
                <w:sz w:val="15"/>
              </w:rPr>
              <w:t>Include research performance in annual appraisals; prepare departmental R&amp;D reports.</w:t>
            </w:r>
          </w:p>
        </w:tc>
        <w:tc>
          <w:tcPr>
            <w:tcW w:type="dxa" w:w="1984"/>
          </w:tcPr>
          <w:p>
            <w:pPr>
              <w:jc w:val="center"/>
            </w:pPr>
            <w:r/>
            <w:r>
              <w:rPr>
                <w:rFonts w:ascii="Cambria" w:hAnsi="Cambria" w:eastAsia="Cambria" w:cs="Cambria"/>
                <w:b w:val="0"/>
                <w:i w:val="0"/>
                <w:sz w:val="15"/>
              </w:rPr>
              <w:t>Annual faculty appraisal reports; departmental R&amp;D report submitted to IQAC.</w:t>
            </w:r>
          </w:p>
        </w:tc>
        <w:tc>
          <w:tcPr>
            <w:tcW w:type="dxa" w:w="2551"/>
          </w:tcPr>
          <w:p>
            <w:pPr>
              <w:jc w:val="center"/>
            </w:pPr>
            <w:r/>
            <w:r>
              <w:rPr>
                <w:rFonts w:ascii="Cambria" w:hAnsi="Cambria" w:eastAsia="Cambria" w:cs="Cambria"/>
                <w:b w:val="0"/>
                <w:i w:val="0"/>
                <w:sz w:val="15"/>
              </w:rPr>
              <w:t>Publications increased from 12 → 40 in 3 years; patents filed increased from 2 → 8.</w:t>
            </w:r>
          </w:p>
        </w:tc>
      </w:tr>
    </w:tbl>
    <w:p>
      <w:pPr>
        <w:spacing w:before="200" w:after="160"/>
      </w:pPr>
      <w:r>
        <w:rPr>
          <w:rFonts w:ascii="Cambria" w:hAnsi="Cambria" w:eastAsia="Cambria" w:cs="Cambria"/>
          <w:b/>
          <w:i w:val="0"/>
          <w:color w:val="1F3A5F"/>
          <w:sz w:val="26"/>
        </w:rPr>
        <w:t>Integration of Research into Faculty Roles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Balanced Workload Allocation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Teaching, mentoring, and research responsibilities are distributed systematically.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Faculty workload records show that time for research is embedded into regular duties, not an extra afterthought.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Research-Integrated Teaching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Faculty encouraged to bring their research findings into classrooms, enriching the curriculum.</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Student projects, dissertations, and capstone work are aligned with faculty research areas, creating synergy.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Institutional Support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Access to labs, journals, databases, and funding guidance ensures faculty can conduct research effectively.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Administrative adjustments (reduced load during funded projects, research sabbaticals) integrate research into routine work.</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Recognition &amp; Incentives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Research is part of annual appraisals, promotions, and recognition awards.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Demonstrates that research is valued equally alongside teaching and administration.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Collaborative Ecosystem</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Faculty work in research clusters within departmental thrust areas.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Encourages interdisciplinary teamwork, ensuring research is a shared responsibility, not an isolated effort.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Capacity Building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FDPs/workshops on methodology, IPR, and proposal writing are scheduled as part of faculty development, not extra.</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This embeds continuous research learning into faculty roles.</w:t>
      </w:r>
    </w:p>
    <w:p>
      <w:pPr>
        <w:spacing w:before="200" w:after="160"/>
      </w:pPr>
      <w:r>
        <w:rPr>
          <w:rFonts w:ascii="Cambria" w:hAnsi="Cambria" w:eastAsia="Cambria" w:cs="Cambria"/>
          <w:b/>
          <w:i w:val="0"/>
          <w:color w:val="1F3A5F"/>
          <w:sz w:val="26"/>
        </w:rPr>
        <w:t>Measurable Indicators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with active research projects: ↑ from 30% → 65% in 3 years.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Publications: ↑ from 12 → 40 (Scopus/WoS indexed).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Patents: ↑ from 2 → 8.</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Consultancy projects: 4 new initiatives in last 3 years.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research satisfaction: &gt;80% positive feedback in appraisals.</w:t>
      </w:r>
    </w:p>
    <w:p>
      <w:pPr>
        <w:spacing w:line="276" w:lineRule="auto" w:after="120"/>
        <w:jc w:val="both"/>
      </w:pPr>
      <w:r>
        <w:rPr>
          <w:rFonts w:ascii="Cambria" w:hAnsi="Cambria" w:eastAsia="Cambria" w:cs="Cambria"/>
          <w:b/>
          <w:i w:val="0"/>
          <w:sz w:val="22"/>
        </w:rPr>
        <w:t>How Research is Embedded in Faculty Responsibilities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Workload Integration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Faculty workload distribution explicitly allocates hours for research alongside teaching and administration.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Demonstrates that research is a core duty, not an optional activity.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Teaching–Research Linkage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Faculty integrate their ongoing research into classroom teaching, case studies, and project supervision.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Student capstone projects and dissertations are aligned with faculty research areas.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Institutional Recognition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Research outputs (publications, patents, projects) form part of annual faculty appraisal and promotion criteria.</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Research is rewarded and incentivized, signaling institutional value.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Collaborative Structures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Research clusters, thrust areas, and interdisciplinary groups ensure that faculty share research roles collectively.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Research becomes part of team-based departmental culture.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Capacity Building as a Routine Practice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FDPs/workshops on research methodology, IPR, and publishing are part of regular faculty development plans, not extra obligations.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Support Mechanisms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HoD facilitates funding guidance, MoUs, lab access, and reduced teaching load during project execution.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faculty can manage both teaching and research without burnout.</w:t>
      </w:r>
    </w:p>
    <w:p>
      <w:pPr>
        <w:spacing w:before="200" w:after="160"/>
      </w:pPr>
      <w:r>
        <w:rPr>
          <w:rFonts w:ascii="Cambria" w:hAnsi="Cambria" w:eastAsia="Cambria" w:cs="Cambria"/>
          <w:b/>
          <w:i w:val="0"/>
          <w:color w:val="1F3A5F"/>
          <w:sz w:val="26"/>
        </w:rPr>
        <w:t>Evidence of Integration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workload records showing dedicated research hours.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Departmental R&amp;D progress reports highlighting faculty-led projects.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Inclusion of research metrics in annual faculty appraisals.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Growth in faculty projects (30% → 65%), publications (12 → 40), and patents (2 → 8) over 3 years.</w:t>
      </w:r>
    </w:p>
    <w:p>
      <w:pPr>
        <w:spacing w:line="276" w:lineRule="auto" w:after="120"/>
        <w:jc w:val="both"/>
      </w:pPr>
      <w:r>
        <w:rPr>
          <w:rFonts w:ascii="Cambria" w:hAnsi="Cambria" w:eastAsia="Cambria" w:cs="Cambria"/>
          <w:b/>
          <w:i w:val="0"/>
          <w:sz w:val="22"/>
        </w:rPr>
        <w:t>Institutionalization of Research in Faculty Roles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Policy Integration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Departmental and institutional policies explicitly state that research, along with teaching and service, is a core responsibility of faculty.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Research is aligned with institutional vision, NEP 2020 priorities, and accreditation benchmarks (NAAC/NBA).</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Workload &amp; Appraisal Systems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Faculty workload distribution includes dedicated research hours.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Annual appraisal forms and promotion policies integrate research outputs (publications, projects, patents, consultancy) as evaluation criteria.</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research is not optional, but a recognized duty.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Structured Mechanisms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Research clusters, thrust areas, and interdisciplinary groups embed research into the department’s operational framework.</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Faculty coordinators for thrust areas make research a shared, managed responsibility.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Recognition &amp; Incentives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Best researcher awards, publication incentives, and recognition in departmental meetings reinforce research as a valued institutional culture.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Capacity Building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FDPs, workshops, and invited talks on research skills are part of the annual faculty development calendar.</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Proves research training is a systematic, ongoing institutional activity.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Monitoring &amp; Reporting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Annual R&amp;D progress reports submitted to IQAC/Research Committees document faculty research.</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Regular reviews ensure accountability and continuous improvement.</w:t>
      </w:r>
    </w:p>
    <w:p>
      <w:pPr>
        <w:spacing w:before="200" w:after="160"/>
      </w:pPr>
      <w:r>
        <w:rPr>
          <w:rFonts w:ascii="Cambria" w:hAnsi="Cambria" w:eastAsia="Cambria" w:cs="Cambria"/>
          <w:b/>
          <w:i w:val="0"/>
          <w:color w:val="1F3A5F"/>
          <w:sz w:val="26"/>
        </w:rPr>
        <w:t>Evidence of Institutionalization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workload distribution records (teaching + research).</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appraisal reports including research contributions.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 proposals, sanction letters, and consultancy agreements.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FDP/workshop reports conducted as part of faculty development.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Growth in faculty research outputs: projects ↑ 30% → 65%, publications ↑ 12 → 40, patents ↑ 2 → 8 in 3 years.</w:t>
      </w:r>
    </w:p>
    <w:p>
      <w:pPr>
        <w:spacing w:line="276" w:lineRule="auto" w:after="120"/>
        <w:jc w:val="both"/>
      </w:pPr>
      <w:r>
        <w:rPr>
          <w:rFonts w:ascii="Cambria" w:hAnsi="Cambria" w:eastAsia="Cambria" w:cs="Cambria"/>
          <w:b/>
          <w:i w:val="0"/>
          <w:sz w:val="22"/>
        </w:rPr>
        <w:t>How HoD Embeds Research as a Core Faculty Responsibility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Policy Commitment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Departmental policies clearly define teaching, research, and service as the three pillars of faculty roles.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Research is integrated into vision/mission statements, strategic plans, and accreditation compliance documents.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Workload Integration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Faculty workload distribution includes dedicated research hours.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Administrative adjustments (e.g., reduced teaching load during funded projects) make research a planned responsibility, not an overload.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Appraisal &amp; Promotion Systems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Annual faculty appraisal reports and promotion criteria explicitly evaluate: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Publications (Scopus/WoS indexed).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Research projects and grants.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Patents and consultancy.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research is measured, rewarded, and institutionalized.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Institutional Structures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Research clusters and thrust areas align faculty research with departmental and interdisciplinary goals.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Faculty coordinators appointed to lead and sustain research initiatives.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Recognition &amp; Incentives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Awards, certificates, and financial incentives recognize faculty research achievements.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Builds a culture where research is celebrated and valued equally with teaching.</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Capacity Building &amp; Support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Regular FDPs/workshops ensure research skills are continuously developed.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HoD facilitates MoUs, funding guidance, and access to labs/journals.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Embeds research into day-to-day faculty development, not as an add-on.</w:t>
      </w:r>
    </w:p>
    <w:p>
      <w:pPr>
        <w:spacing w:before="200" w:after="160"/>
      </w:pPr>
      <w:r>
        <w:rPr>
          <w:rFonts w:ascii="Cambria" w:hAnsi="Cambria" w:eastAsia="Cambria" w:cs="Cambria"/>
          <w:b/>
          <w:i w:val="0"/>
          <w:color w:val="1F3A5F"/>
          <w:sz w:val="26"/>
        </w:rPr>
        <w:t>Evidence of Research as a Pillar</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Workload records allocating research time.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appraisal reports integrating research contributions.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Departmental R&amp;D progress reports submitted to IQAC.</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Incentive/award documentation for faculty research.</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Growth in outputs: projects ↑ 30% → 65%, publications ↑ 12 → 40, patents ↑ 2 → 8 in 3 years.</w:t>
      </w:r>
    </w:p>
    <w:p>
      <w:pPr>
        <w:spacing w:line="276" w:lineRule="auto" w:after="120"/>
        <w:jc w:val="both"/>
      </w:pPr>
      <w:r>
        <w:rPr>
          <w:rFonts w:ascii="Cambria" w:hAnsi="Cambria" w:eastAsia="Cambria" w:cs="Cambria"/>
          <w:b/>
          <w:i w:val="0"/>
          <w:sz w:val="22"/>
        </w:rPr>
        <w:t>Planned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 is included in departmental strategic plans and thrust areas.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workload distribution allocates time specifically for research alongside teaching and admin.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R&amp;D goals are linked with NEP 2020, SDGs, NAAC Criterion 3, NBA Criterion 11.</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 calendars (seminars, FDPs, proposal submissions) are prepared annually.</w:t>
      </w:r>
    </w:p>
    <w:p>
      <w:pPr>
        <w:spacing w:line="276" w:lineRule="auto" w:after="120"/>
        <w:jc w:val="both"/>
      </w:pPr>
      <w:r>
        <w:rPr>
          <w:rFonts w:ascii="Cambria" w:hAnsi="Cambria" w:eastAsia="Cambria" w:cs="Cambria"/>
          <w:b/>
          <w:i w:val="0"/>
          <w:sz w:val="22"/>
        </w:rPr>
        <w:t>Recognized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research contributions are included in annual appraisals, promotions, and recognition awards.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Incentive schemes (cash awards, best researcher recognition, conference sponsorship) reinforce research as a valued contribution.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achievements (publications, patents, consultancy) are showcased in departmental reports, websites, and newsletters.</w:t>
      </w:r>
    </w:p>
    <w:p>
      <w:pPr>
        <w:spacing w:line="276" w:lineRule="auto" w:after="120"/>
        <w:jc w:val="both"/>
      </w:pPr>
      <w:r>
        <w:rPr>
          <w:rFonts w:ascii="Cambria" w:hAnsi="Cambria" w:eastAsia="Cambria" w:cs="Cambria"/>
          <w:b/>
          <w:i w:val="0"/>
          <w:sz w:val="22"/>
        </w:rPr>
        <w:t>Monitored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are required to submit research progress reports annually.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R&amp;D outcomes (projects, patents, publications, consultancy) are documented and reviewed by IQAC/Research Committees.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Departmental R&amp;D progress is benchmarked year-on-year (growth in projects, patents, publications).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MoUs and funded projects are tracked with evidence of deliverables.</w:t>
      </w:r>
    </w:p>
    <w:p>
      <w:pPr>
        <w:spacing w:before="200" w:after="160"/>
      </w:pPr>
      <w:r>
        <w:rPr>
          <w:rFonts w:ascii="Cambria" w:hAnsi="Cambria" w:eastAsia="Cambria" w:cs="Cambria"/>
          <w:b/>
          <w:i w:val="0"/>
          <w:color w:val="1F3A5F"/>
          <w:sz w:val="26"/>
        </w:rPr>
        <w:t>Faculty Research (Planned → Recognized → Monitored)</w:t>
      </w:r>
    </w:p>
    <w:tbl>
      <w:tblPr>
        <w:tblW w:type="auto" w:w="0"/>
        <w:jc w:val="center"/>
        <w:tblLayout w:type="fixed"/>
        <w:tblLook w:firstColumn="1" w:firstRow="1" w:lastColumn="0" w:lastRow="0" w:noHBand="0" w:noVBand="1" w:val="04A0"/>
        <w:tblLayout w:type="fixed"/>
      </w:tblPr>
      <w:tblGrid>
        <w:gridCol w:w="1417"/>
        <w:gridCol w:w="3118"/>
        <w:gridCol w:w="1984"/>
        <w:gridCol w:w="2835"/>
      </w:tblGrid>
      <w:tr>
        <w:tc>
          <w:tcPr>
            <w:tcW w:type="dxa" w:w="1417"/>
            <w:shd w:val="clear" w:color="auto" w:fill="1F3A5F"/>
          </w:tcPr>
          <w:p>
            <w:pPr>
              <w:jc w:val="center"/>
            </w:pPr>
            <w:r/>
            <w:r>
              <w:rPr>
                <w:rFonts w:ascii="Cambria" w:hAnsi="Cambria" w:eastAsia="Cambria" w:cs="Cambria"/>
                <w:b/>
                <w:i w:val="0"/>
                <w:color w:val="FFFFFF"/>
                <w:sz w:val="17"/>
              </w:rPr>
              <w:t>Stage</w:t>
            </w:r>
          </w:p>
        </w:tc>
        <w:tc>
          <w:tcPr>
            <w:tcW w:type="dxa" w:w="3118"/>
            <w:shd w:val="clear" w:color="auto" w:fill="1F3A5F"/>
          </w:tcPr>
          <w:p>
            <w:pPr>
              <w:jc w:val="center"/>
            </w:pPr>
            <w:r/>
            <w:r>
              <w:rPr>
                <w:rFonts w:ascii="Cambria" w:hAnsi="Cambria" w:eastAsia="Cambria" w:cs="Cambria"/>
                <w:b/>
                <w:i w:val="0"/>
                <w:color w:val="FFFFFF"/>
                <w:sz w:val="17"/>
              </w:rPr>
              <w:t>Action by HoD/Department</w:t>
            </w:r>
          </w:p>
        </w:tc>
        <w:tc>
          <w:tcPr>
            <w:tcW w:type="dxa" w:w="1984"/>
            <w:shd w:val="clear" w:color="auto" w:fill="1F3A5F"/>
          </w:tcPr>
          <w:p>
            <w:pPr>
              <w:jc w:val="center"/>
            </w:pPr>
            <w:r/>
            <w:r>
              <w:rPr>
                <w:rFonts w:ascii="Cambria" w:hAnsi="Cambria" w:eastAsia="Cambria" w:cs="Cambria"/>
                <w:b/>
                <w:i w:val="0"/>
                <w:color w:val="FFFFFF"/>
                <w:sz w:val="17"/>
              </w:rPr>
              <w:t>Evidence/Documents</w:t>
            </w:r>
          </w:p>
        </w:tc>
        <w:tc>
          <w:tcPr>
            <w:tcW w:type="dxa" w:w="2835"/>
            <w:shd w:val="clear" w:color="auto" w:fill="1F3A5F"/>
          </w:tcPr>
          <w:p>
            <w:pPr>
              <w:jc w:val="center"/>
            </w:pPr>
            <w:r/>
            <w:r>
              <w:rPr>
                <w:rFonts w:ascii="Cambria" w:hAnsi="Cambria" w:eastAsia="Cambria" w:cs="Cambria"/>
                <w:b/>
                <w:i w:val="0"/>
                <w:color w:val="FFFFFF"/>
                <w:sz w:val="17"/>
              </w:rPr>
              <w:t>Outcome (Quantitative &amp; Qualitative)</w:t>
            </w:r>
          </w:p>
        </w:tc>
      </w:tr>
      <w:tr>
        <w:tc>
          <w:tcPr>
            <w:tcW w:type="dxa" w:w="1417"/>
          </w:tcPr>
          <w:p>
            <w:pPr>
              <w:jc w:val="center"/>
            </w:pPr>
            <w:r/>
            <w:r>
              <w:rPr>
                <w:rFonts w:ascii="Cambria" w:hAnsi="Cambria" w:eastAsia="Cambria" w:cs="Cambria"/>
                <w:b w:val="0"/>
                <w:i w:val="0"/>
                <w:sz w:val="15"/>
              </w:rPr>
              <w:t>Planned</w:t>
            </w:r>
          </w:p>
        </w:tc>
        <w:tc>
          <w:tcPr>
            <w:tcW w:type="dxa" w:w="3118"/>
          </w:tcPr>
          <w:p>
            <w:pPr>
              <w:jc w:val="left"/>
            </w:pPr>
            <w:r/>
            <w:r>
              <w:rPr>
                <w:rFonts w:ascii="Cambria" w:hAnsi="Cambria" w:eastAsia="Cambria" w:cs="Cambria"/>
                <w:b w:val="0"/>
                <w:i w:val="0"/>
                <w:sz w:val="15"/>
              </w:rPr>
              <w:t>Allocate faculty workload with dedicated research hours; define thrust areas; prepare annual R&amp;D calendar (seminars, FDPs, proposal deadlines).</w:t>
            </w:r>
          </w:p>
        </w:tc>
        <w:tc>
          <w:tcPr>
            <w:tcW w:type="dxa" w:w="1984"/>
          </w:tcPr>
          <w:p>
            <w:pPr>
              <w:jc w:val="center"/>
            </w:pPr>
            <w:r/>
            <w:r>
              <w:rPr>
                <w:rFonts w:ascii="Cambria" w:hAnsi="Cambria" w:eastAsia="Cambria" w:cs="Cambria"/>
                <w:b w:val="0"/>
                <w:i w:val="0"/>
                <w:sz w:val="15"/>
              </w:rPr>
              <w:t>Workload distribution records; minutes of meetings; approved thrust area list; annual research activity calendar.</w:t>
            </w:r>
          </w:p>
        </w:tc>
        <w:tc>
          <w:tcPr>
            <w:tcW w:type="dxa" w:w="2835"/>
          </w:tcPr>
          <w:p>
            <w:pPr>
              <w:jc w:val="center"/>
            </w:pPr>
            <w:r/>
            <w:r>
              <w:rPr>
                <w:rFonts w:ascii="Cambria" w:hAnsi="Cambria" w:eastAsia="Cambria" w:cs="Cambria"/>
                <w:b w:val="0"/>
                <w:i w:val="0"/>
                <w:sz w:val="15"/>
              </w:rPr>
              <w:t>Faculty research integrated into departmental planning; 5 thrust areas established; 30% of faculty engaged in projects.</w:t>
            </w:r>
          </w:p>
        </w:tc>
      </w:tr>
      <w:tr>
        <w:tc>
          <w:tcPr>
            <w:tcW w:type="dxa" w:w="1417"/>
            <w:shd w:val="clear" w:color="auto" w:fill="D9D9D9"/>
          </w:tcPr>
          <w:p>
            <w:pPr>
              <w:jc w:val="center"/>
            </w:pPr>
            <w:r/>
            <w:r>
              <w:rPr>
                <w:rFonts w:ascii="Cambria" w:hAnsi="Cambria" w:eastAsia="Cambria" w:cs="Cambria"/>
                <w:b w:val="0"/>
                <w:i w:val="0"/>
                <w:sz w:val="15"/>
              </w:rPr>
              <w:t>Recognized</w:t>
            </w:r>
          </w:p>
        </w:tc>
        <w:tc>
          <w:tcPr>
            <w:tcW w:type="dxa" w:w="3118"/>
            <w:shd w:val="clear" w:color="auto" w:fill="D9D9D9"/>
          </w:tcPr>
          <w:p>
            <w:pPr>
              <w:jc w:val="left"/>
            </w:pPr>
            <w:r/>
            <w:r>
              <w:rPr>
                <w:rFonts w:ascii="Cambria" w:hAnsi="Cambria" w:eastAsia="Cambria" w:cs="Cambria"/>
                <w:b w:val="0"/>
                <w:i w:val="0"/>
                <w:sz w:val="15"/>
              </w:rPr>
              <w:t>Introduce awards, incentives, and appraisal weightage for research outputs; highlight achievements in newsletters/reports.</w:t>
            </w:r>
          </w:p>
        </w:tc>
        <w:tc>
          <w:tcPr>
            <w:tcW w:type="dxa" w:w="1984"/>
            <w:shd w:val="clear" w:color="auto" w:fill="D9D9D9"/>
          </w:tcPr>
          <w:p>
            <w:pPr>
              <w:jc w:val="center"/>
            </w:pPr>
            <w:r/>
            <w:r>
              <w:rPr>
                <w:rFonts w:ascii="Cambria" w:hAnsi="Cambria" w:eastAsia="Cambria" w:cs="Cambria"/>
                <w:b w:val="0"/>
                <w:i w:val="0"/>
                <w:sz w:val="15"/>
              </w:rPr>
              <w:t>Incentive/award documentation; faculty appraisal reports; newsletters showcasing publications and patents.</w:t>
            </w:r>
          </w:p>
        </w:tc>
        <w:tc>
          <w:tcPr>
            <w:tcW w:type="dxa" w:w="2835"/>
            <w:shd w:val="clear" w:color="auto" w:fill="D9D9D9"/>
          </w:tcPr>
          <w:p>
            <w:pPr>
              <w:jc w:val="center"/>
            </w:pPr>
            <w:r/>
            <w:r>
              <w:rPr>
                <w:rFonts w:ascii="Cambria" w:hAnsi="Cambria" w:eastAsia="Cambria" w:cs="Cambria"/>
                <w:b w:val="0"/>
                <w:i w:val="0"/>
                <w:sz w:val="15"/>
              </w:rPr>
              <w:t>Publications increased from 12 → 40; patents filed grew from 2 → 8; faculty satisfaction and motivation ↑.</w:t>
            </w:r>
          </w:p>
        </w:tc>
      </w:tr>
      <w:tr>
        <w:tc>
          <w:tcPr>
            <w:tcW w:type="dxa" w:w="1417"/>
          </w:tcPr>
          <w:p>
            <w:pPr>
              <w:jc w:val="center"/>
            </w:pPr>
            <w:r/>
            <w:r>
              <w:rPr>
                <w:rFonts w:ascii="Cambria" w:hAnsi="Cambria" w:eastAsia="Cambria" w:cs="Cambria"/>
                <w:b w:val="0"/>
                <w:i w:val="0"/>
                <w:sz w:val="15"/>
              </w:rPr>
              <w:t>Monitored</w:t>
            </w:r>
          </w:p>
        </w:tc>
        <w:tc>
          <w:tcPr>
            <w:tcW w:type="dxa" w:w="3118"/>
          </w:tcPr>
          <w:p>
            <w:pPr>
              <w:jc w:val="left"/>
            </w:pPr>
            <w:r/>
            <w:r>
              <w:rPr>
                <w:rFonts w:ascii="Cambria" w:hAnsi="Cambria" w:eastAsia="Cambria" w:cs="Cambria"/>
                <w:b w:val="0"/>
                <w:i w:val="0"/>
                <w:sz w:val="15"/>
              </w:rPr>
              <w:t>Collect annual faculty research progress reports; review outcomes in IQAC/Research Committee; benchmark year-on-year growth.</w:t>
            </w:r>
          </w:p>
        </w:tc>
        <w:tc>
          <w:tcPr>
            <w:tcW w:type="dxa" w:w="1984"/>
          </w:tcPr>
          <w:p>
            <w:pPr>
              <w:jc w:val="center"/>
            </w:pPr>
            <w:r/>
            <w:r>
              <w:rPr>
                <w:rFonts w:ascii="Cambria" w:hAnsi="Cambria" w:eastAsia="Cambria" w:cs="Cambria"/>
                <w:b w:val="0"/>
                <w:i w:val="0"/>
                <w:sz w:val="15"/>
              </w:rPr>
              <w:t>Annual R&amp;D progress report submitted to IQAC; sanction letters; consultancy agreements; MoUs.</w:t>
            </w:r>
          </w:p>
        </w:tc>
        <w:tc>
          <w:tcPr>
            <w:tcW w:type="dxa" w:w="2835"/>
          </w:tcPr>
          <w:p>
            <w:pPr>
              <w:jc w:val="center"/>
            </w:pPr>
            <w:r/>
            <w:r>
              <w:rPr>
                <w:rFonts w:ascii="Cambria" w:hAnsi="Cambria" w:eastAsia="Cambria" w:cs="Cambria"/>
                <w:b w:val="0"/>
                <w:i w:val="0"/>
                <w:sz w:val="15"/>
              </w:rPr>
              <w:t>25% YoY growth in funded projects; consultancy revenue ↑ 30%; interdisciplinary collaborations scaled from 2 → 6.</w:t>
            </w:r>
          </w:p>
        </w:tc>
      </w:tr>
    </w:tbl>
    <w:p>
      <w:pPr>
        <w:spacing w:before="200" w:after="160"/>
      </w:pPr>
      <w:r>
        <w:rPr>
          <w:rFonts w:ascii="Cambria" w:hAnsi="Cambria" w:eastAsia="Cambria" w:cs="Cambria"/>
          <w:b/>
          <w:i w:val="0"/>
          <w:color w:val="1F3A5F"/>
          <w:sz w:val="26"/>
        </w:rPr>
        <w:t>Faculty Research Integration</w:t>
      </w:r>
    </w:p>
    <w:tbl>
      <w:tblPr>
        <w:tblW w:type="auto" w:w="0"/>
        <w:jc w:val="center"/>
        <w:tblLayout w:type="fixed"/>
        <w:tblLook w:firstColumn="1" w:firstRow="1" w:lastColumn="0" w:lastRow="0" w:noHBand="0" w:noVBand="1" w:val="04A0"/>
        <w:tblLayout w:type="fixed"/>
      </w:tblPr>
      <w:tblGrid>
        <w:gridCol w:w="850"/>
        <w:gridCol w:w="3118"/>
        <w:gridCol w:w="2835"/>
        <w:gridCol w:w="2551"/>
      </w:tblGrid>
      <w:tr>
        <w:tc>
          <w:tcPr>
            <w:tcW w:type="dxa" w:w="850"/>
            <w:shd w:val="clear" w:color="auto" w:fill="1F3A5F"/>
          </w:tcPr>
          <w:p>
            <w:pPr>
              <w:jc w:val="center"/>
            </w:pPr>
            <w:r/>
            <w:r>
              <w:rPr>
                <w:rFonts w:ascii="Cambria" w:hAnsi="Cambria" w:eastAsia="Cambria" w:cs="Cambria"/>
                <w:b/>
                <w:i w:val="0"/>
                <w:color w:val="FFFFFF"/>
                <w:sz w:val="16"/>
              </w:rPr>
              <w:t>Year</w:t>
            </w:r>
          </w:p>
        </w:tc>
        <w:tc>
          <w:tcPr>
            <w:tcW w:type="dxa" w:w="3118"/>
            <w:shd w:val="clear" w:color="auto" w:fill="1F3A5F"/>
          </w:tcPr>
          <w:p>
            <w:pPr>
              <w:jc w:val="center"/>
            </w:pPr>
            <w:r/>
            <w:r>
              <w:rPr>
                <w:rFonts w:ascii="Cambria" w:hAnsi="Cambria" w:eastAsia="Cambria" w:cs="Cambria"/>
                <w:b/>
                <w:i w:val="0"/>
                <w:color w:val="FFFFFF"/>
                <w:sz w:val="16"/>
              </w:rPr>
              <w:t>Planned (Policies &amp; Structures)</w:t>
            </w:r>
          </w:p>
        </w:tc>
        <w:tc>
          <w:tcPr>
            <w:tcW w:type="dxa" w:w="2835"/>
            <w:shd w:val="clear" w:color="auto" w:fill="1F3A5F"/>
          </w:tcPr>
          <w:p>
            <w:pPr>
              <w:jc w:val="center"/>
            </w:pPr>
            <w:r/>
            <w:r>
              <w:rPr>
                <w:rFonts w:ascii="Cambria" w:hAnsi="Cambria" w:eastAsia="Cambria" w:cs="Cambria"/>
                <w:b/>
                <w:i w:val="0"/>
                <w:color w:val="FFFFFF"/>
                <w:sz w:val="16"/>
              </w:rPr>
              <w:t>Recognized (Incentives &amp; Achievements)</w:t>
            </w:r>
          </w:p>
        </w:tc>
        <w:tc>
          <w:tcPr>
            <w:tcW w:type="dxa" w:w="2551"/>
            <w:shd w:val="clear" w:color="auto" w:fill="1F3A5F"/>
          </w:tcPr>
          <w:p>
            <w:pPr>
              <w:jc w:val="center"/>
            </w:pPr>
            <w:r/>
            <w:r>
              <w:rPr>
                <w:rFonts w:ascii="Cambria" w:hAnsi="Cambria" w:eastAsia="Cambria" w:cs="Cambria"/>
                <w:b/>
                <w:i w:val="0"/>
                <w:color w:val="FFFFFF"/>
                <w:sz w:val="16"/>
              </w:rPr>
              <w:t>Monitored (Review &amp; Outcomes)</w:t>
            </w:r>
          </w:p>
        </w:tc>
      </w:tr>
      <w:tr>
        <w:tc>
          <w:tcPr>
            <w:tcW w:type="dxa" w:w="850"/>
          </w:tcPr>
          <w:p>
            <w:pPr>
              <w:jc w:val="center"/>
            </w:pPr>
            <w:r/>
            <w:r>
              <w:rPr>
                <w:rFonts w:ascii="Cambria" w:hAnsi="Cambria" w:eastAsia="Cambria" w:cs="Cambria"/>
                <w:b w:val="0"/>
                <w:i w:val="0"/>
                <w:sz w:val="14"/>
              </w:rPr>
              <w:t>Year 1</w:t>
            </w:r>
          </w:p>
        </w:tc>
        <w:tc>
          <w:tcPr>
            <w:tcW w:type="dxa" w:w="3118"/>
          </w:tcPr>
          <w:p>
            <w:pPr>
              <w:jc w:val="left"/>
            </w:pPr>
            <w:r/>
            <w:r>
              <w:rPr>
                <w:rFonts w:ascii="Cambria" w:hAnsi="Cambria" w:eastAsia="Cambria" w:cs="Cambria"/>
                <w:b w:val="0"/>
                <w:i w:val="0"/>
                <w:sz w:val="14"/>
              </w:rPr>
              <w:t>Identified 3 thrust areas (AI, Renewable Energy, Healthcare). Faculty workload revised to include research hours. Annual R&amp;D calendar introduced.</w:t>
            </w:r>
          </w:p>
        </w:tc>
        <w:tc>
          <w:tcPr>
            <w:tcW w:type="dxa" w:w="2835"/>
          </w:tcPr>
          <w:p>
            <w:pPr>
              <w:jc w:val="center"/>
            </w:pPr>
            <w:r/>
            <w:r>
              <w:rPr>
                <w:rFonts w:ascii="Cambria" w:hAnsi="Cambria" w:eastAsia="Cambria" w:cs="Cambria"/>
                <w:b w:val="0"/>
                <w:i w:val="0"/>
                <w:sz w:val="14"/>
              </w:rPr>
              <w:t>Faculty publications: 12 (Scopus/WoS). 2 patents filed. Research highlighted in departmental newsletter.</w:t>
            </w:r>
          </w:p>
        </w:tc>
        <w:tc>
          <w:tcPr>
            <w:tcW w:type="dxa" w:w="2551"/>
          </w:tcPr>
          <w:p>
            <w:pPr>
              <w:jc w:val="center"/>
            </w:pPr>
            <w:r/>
            <w:r>
              <w:rPr>
                <w:rFonts w:ascii="Cambria" w:hAnsi="Cambria" w:eastAsia="Cambria" w:cs="Cambria"/>
                <w:b w:val="0"/>
                <w:i w:val="0"/>
                <w:sz w:val="14"/>
              </w:rPr>
              <w:t>Annual R&amp;D report submitted to IQAC. Faculty with active projects: 30%.</w:t>
            </w:r>
          </w:p>
        </w:tc>
      </w:tr>
      <w:tr>
        <w:tc>
          <w:tcPr>
            <w:tcW w:type="dxa" w:w="850"/>
            <w:shd w:val="clear" w:color="auto" w:fill="D9D9D9"/>
          </w:tcPr>
          <w:p>
            <w:pPr>
              <w:jc w:val="center"/>
            </w:pPr>
            <w:r/>
            <w:r>
              <w:rPr>
                <w:rFonts w:ascii="Cambria" w:hAnsi="Cambria" w:eastAsia="Cambria" w:cs="Cambria"/>
                <w:b w:val="0"/>
                <w:i w:val="0"/>
                <w:sz w:val="14"/>
              </w:rPr>
              <w:t>Year 2</w:t>
            </w:r>
          </w:p>
        </w:tc>
        <w:tc>
          <w:tcPr>
            <w:tcW w:type="dxa" w:w="3118"/>
            <w:shd w:val="clear" w:color="auto" w:fill="D9D9D9"/>
          </w:tcPr>
          <w:p>
            <w:pPr>
              <w:jc w:val="left"/>
            </w:pPr>
            <w:r/>
            <w:r>
              <w:rPr>
                <w:rFonts w:ascii="Cambria" w:hAnsi="Cambria" w:eastAsia="Cambria" w:cs="Cambria"/>
                <w:b w:val="0"/>
                <w:i w:val="0"/>
                <w:sz w:val="14"/>
              </w:rPr>
              <w:t>Expanded thrust areas to 5 including interdisciplinary (AI + Healthcare, IoT + Smart Cities). Organized 2 FDPs/workshops on research methodology &amp; IPR.</w:t>
            </w:r>
          </w:p>
        </w:tc>
        <w:tc>
          <w:tcPr>
            <w:tcW w:type="dxa" w:w="2835"/>
            <w:shd w:val="clear" w:color="auto" w:fill="D9D9D9"/>
          </w:tcPr>
          <w:p>
            <w:pPr>
              <w:jc w:val="center"/>
            </w:pPr>
            <w:r/>
            <w:r>
              <w:rPr>
                <w:rFonts w:ascii="Cambria" w:hAnsi="Cambria" w:eastAsia="Cambria" w:cs="Cambria"/>
                <w:b w:val="0"/>
                <w:i w:val="0"/>
                <w:sz w:val="14"/>
              </w:rPr>
              <w:t>Faculty publications: 25. Patents filed: 5. “Best Researcher Award” introduced. Faculty recognition at annual function.</w:t>
            </w:r>
          </w:p>
        </w:tc>
        <w:tc>
          <w:tcPr>
            <w:tcW w:type="dxa" w:w="2551"/>
            <w:shd w:val="clear" w:color="auto" w:fill="D9D9D9"/>
          </w:tcPr>
          <w:p>
            <w:pPr>
              <w:jc w:val="center"/>
            </w:pPr>
            <w:r/>
            <w:r>
              <w:rPr>
                <w:rFonts w:ascii="Cambria" w:hAnsi="Cambria" w:eastAsia="Cambria" w:cs="Cambria"/>
                <w:b w:val="0"/>
                <w:i w:val="0"/>
                <w:sz w:val="14"/>
              </w:rPr>
              <w:t>Research progress reviewed by IQAC. Faculty with active projects: 50%. Funded projects grew by 20%.</w:t>
            </w:r>
          </w:p>
        </w:tc>
      </w:tr>
      <w:tr>
        <w:tc>
          <w:tcPr>
            <w:tcW w:type="dxa" w:w="850"/>
          </w:tcPr>
          <w:p>
            <w:pPr>
              <w:jc w:val="center"/>
            </w:pPr>
            <w:r/>
            <w:r>
              <w:rPr>
                <w:rFonts w:ascii="Cambria" w:hAnsi="Cambria" w:eastAsia="Cambria" w:cs="Cambria"/>
                <w:b w:val="0"/>
                <w:i w:val="0"/>
                <w:sz w:val="14"/>
              </w:rPr>
              <w:t>Year 3</w:t>
            </w:r>
          </w:p>
        </w:tc>
        <w:tc>
          <w:tcPr>
            <w:tcW w:type="dxa" w:w="3118"/>
          </w:tcPr>
          <w:p>
            <w:pPr>
              <w:jc w:val="left"/>
            </w:pPr>
            <w:r/>
            <w:r>
              <w:rPr>
                <w:rFonts w:ascii="Cambria" w:hAnsi="Cambria" w:eastAsia="Cambria" w:cs="Cambria"/>
                <w:b w:val="0"/>
                <w:i w:val="0"/>
                <w:sz w:val="14"/>
              </w:rPr>
              <w:t>Strengthened collaborations with industries/universities via 6 MoUs. Dedicated Research Cluster Coordinators appointed. Annual research symposium launched.</w:t>
            </w:r>
          </w:p>
        </w:tc>
        <w:tc>
          <w:tcPr>
            <w:tcW w:type="dxa" w:w="2835"/>
          </w:tcPr>
          <w:p>
            <w:pPr>
              <w:jc w:val="center"/>
            </w:pPr>
            <w:r/>
            <w:r>
              <w:rPr>
                <w:rFonts w:ascii="Cambria" w:hAnsi="Cambria" w:eastAsia="Cambria" w:cs="Cambria"/>
                <w:b w:val="0"/>
                <w:i w:val="0"/>
                <w:sz w:val="14"/>
              </w:rPr>
              <w:t>Faculty publications: 40. Patents filed: 8. Consultancy revenue increased by 30%. Faculty achievements featured on website &amp; institutional reports.</w:t>
            </w:r>
          </w:p>
        </w:tc>
        <w:tc>
          <w:tcPr>
            <w:tcW w:type="dxa" w:w="2551"/>
          </w:tcPr>
          <w:p>
            <w:pPr>
              <w:jc w:val="center"/>
            </w:pPr>
            <w:r/>
            <w:r>
              <w:rPr>
                <w:rFonts w:ascii="Cambria" w:hAnsi="Cambria" w:eastAsia="Cambria" w:cs="Cambria"/>
                <w:b w:val="0"/>
                <w:i w:val="0"/>
                <w:sz w:val="14"/>
              </w:rPr>
              <w:t>IQAC review confirmed 25% YoY growth in funded projects. Faculty with active projects: 65%. Interdisciplinary collaborations: 6 joint projects.</w:t>
            </w:r>
          </w:p>
        </w:tc>
      </w:tr>
    </w:tbl>
    <w:p>
      <w:r>
        <w:br w:type="page"/>
      </w:r>
    </w:p>
    <w:p>
      <w:pPr>
        <w:spacing w:before="280" w:after="160"/>
      </w:pPr>
      <w:r>
        <w:rPr>
          <w:rFonts w:ascii="Cambria" w:hAnsi="Cambria" w:eastAsia="Cambria" w:cs="Cambria"/>
          <w:b/>
          <w:i w:val="0"/>
          <w:color w:val="1F3A5F"/>
          <w:sz w:val="36"/>
        </w:rPr>
        <w:t>8. HoD’s responsibility to conduct monthly research meetings, review progress, and take necessary actions to move R&amp;D projects as per deadlines</w:t>
      </w:r>
    </w:p>
    <w:p>
      <w:pPr>
        <w:spacing w:before="200" w:after="160"/>
      </w:pPr>
      <w:r>
        <w:rPr>
          <w:rFonts w:ascii="Cambria" w:hAnsi="Cambria" w:eastAsia="Cambria" w:cs="Cambria"/>
          <w:b/>
          <w:i w:val="0"/>
          <w:color w:val="1F3A5F"/>
          <w:sz w:val="30"/>
        </w:rPr>
        <w:t>Policy Statement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The HoD ensures that research meetings are institutionalized on a monthly basis, with clear agendas, structured participation, and documented outcomes.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Objective: to track project milestones, identify risks, solve problems proactively, and ensure on-time delivery of R&amp;D projects.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Aligns with NEP 2020, NAAC Criterion 3 (Research, Innovation, Extension), and NBA Criterion 11 (R&amp;D, Consultancy, Innovation).</w:t>
      </w:r>
    </w:p>
    <w:p>
      <w:pPr>
        <w:spacing w:before="200" w:after="160"/>
      </w:pPr>
      <w:r>
        <w:rPr>
          <w:rFonts w:ascii="Cambria" w:hAnsi="Cambria" w:eastAsia="Cambria" w:cs="Cambria"/>
          <w:b/>
          <w:i w:val="0"/>
          <w:color w:val="1F3A5F"/>
          <w:sz w:val="30"/>
        </w:rPr>
        <w:t>Actions by HoD/Department</w:t>
      </w:r>
    </w:p>
    <w:p>
      <w:pPr>
        <w:spacing w:line="276" w:lineRule="auto" w:after="80"/>
        <w:ind w:left="357" w:hanging="357"/>
      </w:pPr>
      <w:r>
        <w:rPr>
          <w:rFonts w:ascii="Cambria" w:hAnsi="Cambria" w:eastAsia="Cambria" w:cs="Cambria"/>
          <w:b w:val="0"/>
          <w:i w:val="0"/>
          <w:sz w:val="22"/>
        </w:rPr>
        <w:t>1. Scheduling &amp; Frequency</w:t>
      </w:r>
    </w:p>
    <w:p>
      <w:pPr>
        <w:spacing w:line="276" w:lineRule="auto" w:after="80"/>
        <w:ind w:left="357" w:hanging="357"/>
      </w:pPr>
      <w:r>
        <w:rPr>
          <w:rFonts w:ascii="Cambria" w:hAnsi="Cambria" w:eastAsia="Cambria" w:cs="Cambria"/>
          <w:b w:val="0"/>
          <w:i w:val="0"/>
          <w:sz w:val="22"/>
        </w:rPr>
        <w:t>2. Structured Participation</w:t>
      </w:r>
    </w:p>
    <w:p>
      <w:pPr>
        <w:spacing w:line="276" w:lineRule="auto" w:after="80"/>
        <w:ind w:left="357" w:hanging="357"/>
      </w:pPr>
      <w:r>
        <w:rPr>
          <w:rFonts w:ascii="Cambria" w:hAnsi="Cambria" w:eastAsia="Cambria" w:cs="Cambria"/>
          <w:b w:val="0"/>
          <w:i w:val="0"/>
          <w:sz w:val="22"/>
        </w:rPr>
        <w:t>3. Monitoring &amp; Review Mechanism</w:t>
      </w:r>
    </w:p>
    <w:p>
      <w:pPr>
        <w:spacing w:line="276" w:lineRule="auto" w:after="80"/>
        <w:ind w:left="357" w:hanging="357"/>
      </w:pPr>
      <w:r>
        <w:rPr>
          <w:rFonts w:ascii="Cambria" w:hAnsi="Cambria" w:eastAsia="Cambria" w:cs="Cambria"/>
          <w:b w:val="0"/>
          <w:i w:val="0"/>
          <w:sz w:val="22"/>
        </w:rPr>
        <w:t>4. Decision-Making &amp; Action Items</w:t>
      </w:r>
    </w:p>
    <w:p>
      <w:pPr>
        <w:spacing w:line="276" w:lineRule="auto" w:after="80"/>
        <w:ind w:left="357" w:hanging="357"/>
      </w:pPr>
      <w:r>
        <w:rPr>
          <w:rFonts w:ascii="Cambria" w:hAnsi="Cambria" w:eastAsia="Cambria" w:cs="Cambria"/>
          <w:b w:val="0"/>
          <w:i w:val="0"/>
          <w:sz w:val="22"/>
        </w:rPr>
        <w:t>5. Integration with OBE &amp; Accreditation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Fix a monthly schedule (e.g., first Friday of every month).</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Circulate agenda in advance: project status, milestones, risks, funding updates, and interdisciplinary collaborations.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Invite Principal Investigators (PIs), Co-PIs, faculty, research scholars, and student project leaders.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Involve industry partners, consultants, or collaborators when their projects are under review.</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Use a project dashboard (traffic light status: Green = on track, Amber = needs attention, Red = delayed).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Track milestones against baseline timelines.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Review fund utilization, ethics/IPR compliance, and procurement issues.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Maintain a risk register to record bottlenecks and mitigation actions.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Document MoM (Minutes of Meeting) with clear action points, owners, and deadlines.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Implement a change control mechanism: if a project deviates from plan, a corrective action plan is approved by the HoD.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Escalate critical delays to Research Committee/IQAC/Dean (R&amp;D).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Map R&amp;D projects reviewed in meetings to PO4 (Investigation of Complex Problems) and PO12 (Lifelong Learning).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Provide evidence of research monitoring in NAAC SSR Criterion 3 and NBA Criterion 11.</w:t>
      </w:r>
    </w:p>
    <w:p>
      <w:pPr>
        <w:spacing w:before="200" w:after="160"/>
      </w:pPr>
      <w:r>
        <w:rPr>
          <w:rFonts w:ascii="Cambria" w:hAnsi="Cambria" w:eastAsia="Cambria" w:cs="Cambria"/>
          <w:b/>
          <w:i w:val="0"/>
          <w:color w:val="1F3A5F"/>
          <w:sz w:val="30"/>
        </w:rPr>
        <w:t>Evidence/Documents to Maintain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Meeting agenda &amp; attendance sheet.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Monthly project status dashboard.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Minutes of meetings with action logs.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Risk register updates.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Copies of sanction letters, publications, patents, consultancy agreements linked to projects.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Quarterly summary reports submitted to IQAC/Research Committee.</w:t>
      </w:r>
    </w:p>
    <w:p>
      <w:pPr>
        <w:spacing w:before="200" w:after="160"/>
      </w:pPr>
      <w:r>
        <w:rPr>
          <w:rFonts w:ascii="Cambria" w:hAnsi="Cambria" w:eastAsia="Cambria" w:cs="Cambria"/>
          <w:b/>
          <w:i w:val="0"/>
          <w:color w:val="1F3A5F"/>
          <w:sz w:val="30"/>
        </w:rPr>
        <w:t>Measurable Outcomes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Project Timeliness: ≥ 85% of milestones completed on or before deadlines.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Funding Utilization: 90% proper utilization of sanctioned grants within timelines.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Outputs: Increase in publications, patents, and consultancy projects year-on-year.</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Problem Resolution: Faster procurement/approval cycles; reduced delays by ≥ 20%.</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Collaboration: Growth in interdisciplinary and industry-linked projects reviewed.</w:t>
      </w:r>
    </w:p>
    <w:p>
      <w:pPr>
        <w:spacing w:before="200" w:after="160"/>
      </w:pPr>
      <w:r>
        <w:rPr>
          <w:rFonts w:ascii="Cambria" w:hAnsi="Cambria" w:eastAsia="Cambria" w:cs="Cambria"/>
          <w:b/>
          <w:i w:val="0"/>
          <w:color w:val="1F3A5F"/>
          <w:sz w:val="30"/>
        </w:rPr>
        <w:t>Continuous Improvement Cycle (PDCA)</w:t>
      </w:r>
    </w:p>
    <w:p>
      <w:pPr>
        <w:spacing w:line="276" w:lineRule="auto" w:after="80"/>
        <w:ind w:left="357" w:hanging="357"/>
      </w:pPr>
      <w:r>
        <w:rPr>
          <w:rFonts w:ascii="Cambria" w:hAnsi="Cambria" w:eastAsia="Cambria" w:cs="Cambria"/>
          <w:b w:val="0"/>
          <w:i w:val="0"/>
          <w:sz w:val="22"/>
        </w:rPr>
        <w:t>1. Plan: Annual research roadmap prepared.</w:t>
      </w:r>
    </w:p>
    <w:p>
      <w:pPr>
        <w:spacing w:line="276" w:lineRule="auto" w:after="80"/>
        <w:ind w:left="357" w:hanging="357"/>
      </w:pPr>
      <w:r>
        <w:rPr>
          <w:rFonts w:ascii="Cambria" w:hAnsi="Cambria" w:eastAsia="Cambria" w:cs="Cambria"/>
          <w:b w:val="0"/>
          <w:i w:val="0"/>
          <w:sz w:val="22"/>
        </w:rPr>
        <w:t>2. Do: Monthly monitoring meetings conducted.</w:t>
      </w:r>
    </w:p>
    <w:p>
      <w:pPr>
        <w:spacing w:line="276" w:lineRule="auto" w:after="80"/>
        <w:ind w:left="357" w:hanging="357"/>
      </w:pPr>
      <w:r>
        <w:rPr>
          <w:rFonts w:ascii="Cambria" w:hAnsi="Cambria" w:eastAsia="Cambria" w:cs="Cambria"/>
          <w:b w:val="0"/>
          <w:i w:val="0"/>
          <w:sz w:val="22"/>
        </w:rPr>
        <w:t>3. Check: Compare actual progress vs. planned milestones.</w:t>
      </w:r>
    </w:p>
    <w:p>
      <w:pPr>
        <w:spacing w:line="276" w:lineRule="auto" w:after="80"/>
        <w:ind w:left="357" w:hanging="357"/>
      </w:pPr>
      <w:r>
        <w:rPr>
          <w:rFonts w:ascii="Cambria" w:hAnsi="Cambria" w:eastAsia="Cambria" w:cs="Cambria"/>
          <w:b w:val="0"/>
          <w:i w:val="0"/>
          <w:sz w:val="22"/>
        </w:rPr>
        <w:t>4. Act: Take corrective measures, re-allocate resources, and update processes.</w:t>
      </w:r>
    </w:p>
    <w:p>
      <w:pPr>
        <w:spacing w:before="200" w:after="160"/>
      </w:pPr>
      <w:r>
        <w:rPr>
          <w:rFonts w:ascii="Cambria" w:hAnsi="Cambria" w:eastAsia="Cambria" w:cs="Cambria"/>
          <w:b/>
          <w:i w:val="0"/>
          <w:color w:val="1F3A5F"/>
          <w:sz w:val="30"/>
        </w:rPr>
        <w:t>Evidence/Documents to Maintain (Detailed)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Meeting Agenda &amp; Attendance Sheet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Pre-circulated agenda listing projects under review, milestones, risks, and required decisions.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Attendance sheets signed by faculty, scholars, and invited industry/partner representatives.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Proves that meetings are planned and participatory.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Monthly Project Status Dashboard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 consolidated dashboard showing project timelines, milestone completion, traffic-light status (Green/Amber/Red).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Provides a snapshot of departmental research progress at any point in time.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Minutes of Meetings (MoM) with Action Logs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Documented minutes with decisions taken, responsible persons, and deadlines.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Maintains a clear accountability trail.</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traceability of actions taken on delays or risks identified.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Risk Register Updates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 living document recording risks, mitigation strategies, and follow-up actions.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Reviewed monthly to prevent project slippages.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Evidence of proactive risk management.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Copies of Sanction Letters, Publications, Patents, Consultancy Agreements Linked to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Project sanction letters from funding agencies.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Publications and patents generated from monitored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Consultancy agreements signed as outcomes of R&amp;D progress.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Serves as output-oriented documentation.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Quarterly Summary Reports Submitted to IQAC/Research Committee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Consolidated report of progress, risks, outputs, and corrective measures.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Submitted formally to IQAC/Research Committee.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Evidence that project reviews are institutionalized, not symbolic.</w:t>
      </w:r>
    </w:p>
    <w:p>
      <w:pPr>
        <w:spacing w:before="200" w:after="160"/>
      </w:pPr>
      <w:r>
        <w:rPr>
          <w:rFonts w:ascii="Cambria" w:hAnsi="Cambria" w:eastAsia="Cambria" w:cs="Cambria"/>
          <w:b/>
          <w:i w:val="0"/>
          <w:color w:val="1F3A5F"/>
          <w:sz w:val="26"/>
        </w:rPr>
        <w:t>Monthly R&amp;D Review Meetings</w:t>
      </w:r>
    </w:p>
    <w:tbl>
      <w:tblPr>
        <w:tblW w:type="auto" w:w="0"/>
        <w:jc w:val="center"/>
        <w:tblLayout w:type="fixed"/>
        <w:tblLook w:firstColumn="1" w:firstRow="1" w:lastColumn="0" w:lastRow="0" w:noHBand="0" w:noVBand="1" w:val="04A0"/>
        <w:tblLayout w:type="fixed"/>
      </w:tblPr>
      <w:tblGrid>
        <w:gridCol w:w="1984"/>
        <w:gridCol w:w="3118"/>
        <w:gridCol w:w="2268"/>
        <w:gridCol w:w="2835"/>
      </w:tblGrid>
      <w:tr>
        <w:tc>
          <w:tcPr>
            <w:tcW w:type="dxa" w:w="1984"/>
            <w:shd w:val="clear" w:color="auto" w:fill="1F3A5F"/>
          </w:tcPr>
          <w:p>
            <w:pPr>
              <w:jc w:val="center"/>
            </w:pPr>
            <w:r/>
            <w:r>
              <w:rPr>
                <w:rFonts w:ascii="Cambria" w:hAnsi="Cambria" w:eastAsia="Cambria" w:cs="Cambria"/>
                <w:b/>
                <w:i w:val="0"/>
                <w:color w:val="FFFFFF"/>
                <w:sz w:val="17"/>
              </w:rPr>
              <w:t>Policy</w:t>
            </w:r>
          </w:p>
        </w:tc>
        <w:tc>
          <w:tcPr>
            <w:tcW w:type="dxa" w:w="3118"/>
            <w:shd w:val="clear" w:color="auto" w:fill="1F3A5F"/>
          </w:tcPr>
          <w:p>
            <w:pPr>
              <w:jc w:val="center"/>
            </w:pPr>
            <w:r/>
            <w:r>
              <w:rPr>
                <w:rFonts w:ascii="Cambria" w:hAnsi="Cambria" w:eastAsia="Cambria" w:cs="Cambria"/>
                <w:b/>
                <w:i w:val="0"/>
                <w:color w:val="FFFFFF"/>
                <w:sz w:val="17"/>
              </w:rPr>
              <w:t>Action by HoD/Department</w:t>
            </w:r>
          </w:p>
        </w:tc>
        <w:tc>
          <w:tcPr>
            <w:tcW w:type="dxa" w:w="2268"/>
            <w:shd w:val="clear" w:color="auto" w:fill="1F3A5F"/>
          </w:tcPr>
          <w:p>
            <w:pPr>
              <w:jc w:val="center"/>
            </w:pPr>
            <w:r/>
            <w:r>
              <w:rPr>
                <w:rFonts w:ascii="Cambria" w:hAnsi="Cambria" w:eastAsia="Cambria" w:cs="Cambria"/>
                <w:b/>
                <w:i w:val="0"/>
                <w:color w:val="FFFFFF"/>
                <w:sz w:val="17"/>
              </w:rPr>
              <w:t>Evidence/Documents</w:t>
            </w:r>
          </w:p>
        </w:tc>
        <w:tc>
          <w:tcPr>
            <w:tcW w:type="dxa" w:w="2835"/>
            <w:shd w:val="clear" w:color="auto" w:fill="1F3A5F"/>
          </w:tcPr>
          <w:p>
            <w:pPr>
              <w:jc w:val="center"/>
            </w:pPr>
            <w:r/>
            <w:r>
              <w:rPr>
                <w:rFonts w:ascii="Cambria" w:hAnsi="Cambria" w:eastAsia="Cambria" w:cs="Cambria"/>
                <w:b/>
                <w:i w:val="0"/>
                <w:color w:val="FFFFFF"/>
                <w:sz w:val="17"/>
              </w:rPr>
              <w:t>Outcome (Quantitative &amp; Qualitative)</w:t>
            </w:r>
          </w:p>
        </w:tc>
      </w:tr>
      <w:tr>
        <w:tc>
          <w:tcPr>
            <w:tcW w:type="dxa" w:w="1984"/>
          </w:tcPr>
          <w:p>
            <w:pPr>
              <w:jc w:val="center"/>
            </w:pPr>
            <w:r/>
            <w:r>
              <w:rPr>
                <w:rFonts w:ascii="Cambria" w:hAnsi="Cambria" w:eastAsia="Cambria" w:cs="Cambria"/>
                <w:b w:val="0"/>
                <w:i w:val="0"/>
                <w:sz w:val="15"/>
              </w:rPr>
              <w:t>Institutionalize monthly research review meetings to ensure time-bound completion of R&amp;D projects.</w:t>
            </w:r>
          </w:p>
        </w:tc>
        <w:tc>
          <w:tcPr>
            <w:tcW w:type="dxa" w:w="3118"/>
          </w:tcPr>
          <w:p>
            <w:pPr>
              <w:jc w:val="left"/>
            </w:pPr>
            <w:r/>
            <w:r>
              <w:rPr>
                <w:rFonts w:ascii="Cambria" w:hAnsi="Cambria" w:eastAsia="Cambria" w:cs="Cambria"/>
                <w:b w:val="0"/>
                <w:i w:val="0"/>
                <w:sz w:val="15"/>
              </w:rPr>
              <w:t>Schedule and conduct monthly meetings with faculty, scholars, and project investigators.</w:t>
            </w:r>
          </w:p>
        </w:tc>
        <w:tc>
          <w:tcPr>
            <w:tcW w:type="dxa" w:w="2268"/>
          </w:tcPr>
          <w:p>
            <w:pPr>
              <w:jc w:val="center"/>
            </w:pPr>
            <w:r/>
            <w:r>
              <w:rPr>
                <w:rFonts w:ascii="Cambria" w:hAnsi="Cambria" w:eastAsia="Cambria" w:cs="Cambria"/>
                <w:b w:val="0"/>
                <w:i w:val="0"/>
                <w:sz w:val="15"/>
              </w:rPr>
            </w:r>
          </w:p>
        </w:tc>
        <w:tc>
          <w:tcPr>
            <w:tcW w:type="dxa" w:w="2835"/>
          </w:tcPr>
          <w:p>
            <w:pPr>
              <w:jc w:val="center"/>
            </w:pPr>
            <w:r/>
            <w:r>
              <w:rPr>
                <w:rFonts w:ascii="Cambria" w:hAnsi="Cambria" w:eastAsia="Cambria" w:cs="Cambria"/>
                <w:b w:val="0"/>
                <w:i w:val="0"/>
                <w:sz w:val="15"/>
              </w:rPr>
            </w:r>
          </w:p>
        </w:tc>
      </w:tr>
      <w:tr>
        <w:tc>
          <w:tcPr>
            <w:tcW w:type="dxa" w:w="1984"/>
            <w:shd w:val="clear" w:color="auto" w:fill="D9D9D9"/>
          </w:tcPr>
          <w:p>
            <w:pPr>
              <w:jc w:val="center"/>
            </w:pPr>
            <w:r/>
            <w:r>
              <w:rPr>
                <w:rFonts w:ascii="Cambria" w:hAnsi="Cambria" w:eastAsia="Cambria" w:cs="Cambria"/>
                <w:b w:val="0"/>
                <w:i w:val="0"/>
                <w:sz w:val="15"/>
              </w:rPr>
              <w:t>Ensure systematic monitoring of R&amp;D progress.</w:t>
            </w:r>
          </w:p>
        </w:tc>
        <w:tc>
          <w:tcPr>
            <w:tcW w:type="dxa" w:w="3118"/>
            <w:shd w:val="clear" w:color="auto" w:fill="D9D9D9"/>
          </w:tcPr>
          <w:p>
            <w:pPr>
              <w:jc w:val="left"/>
            </w:pPr>
            <w:r/>
            <w:r>
              <w:rPr>
                <w:rFonts w:ascii="Cambria" w:hAnsi="Cambria" w:eastAsia="Cambria" w:cs="Cambria"/>
                <w:b w:val="0"/>
                <w:i w:val="0"/>
                <w:sz w:val="15"/>
              </w:rPr>
              <w:t>Present project dashboards; track milestones vs deadlines; review risks and resource gaps.</w:t>
            </w:r>
          </w:p>
        </w:tc>
        <w:tc>
          <w:tcPr>
            <w:tcW w:type="dxa" w:w="2268"/>
            <w:shd w:val="clear" w:color="auto" w:fill="D9D9D9"/>
          </w:tcPr>
          <w:p>
            <w:pPr>
              <w:jc w:val="center"/>
            </w:pPr>
            <w:r/>
            <w:r>
              <w:rPr>
                <w:rFonts w:ascii="Cambria" w:hAnsi="Cambria" w:eastAsia="Cambria" w:cs="Cambria"/>
                <w:b w:val="0"/>
                <w:i w:val="0"/>
                <w:sz w:val="15"/>
              </w:rPr>
              <w:t>Monthly project status dashboard; risk register updates.</w:t>
            </w:r>
          </w:p>
        </w:tc>
        <w:tc>
          <w:tcPr>
            <w:tcW w:type="dxa" w:w="2835"/>
            <w:shd w:val="clear" w:color="auto" w:fill="D9D9D9"/>
          </w:tcPr>
          <w:p>
            <w:pPr>
              <w:jc w:val="center"/>
            </w:pPr>
            <w:r/>
            <w:r>
              <w:rPr>
                <w:rFonts w:ascii="Cambria" w:hAnsi="Cambria" w:eastAsia="Cambria" w:cs="Cambria"/>
                <w:b w:val="0"/>
                <w:i w:val="0"/>
                <w:sz w:val="15"/>
              </w:rPr>
              <w:t>≥85% milestones achieved on time; reduced project delays.</w:t>
            </w:r>
          </w:p>
        </w:tc>
      </w:tr>
      <w:tr>
        <w:tc>
          <w:tcPr>
            <w:tcW w:type="dxa" w:w="1984"/>
          </w:tcPr>
          <w:p>
            <w:pPr>
              <w:jc w:val="center"/>
            </w:pPr>
            <w:r/>
            <w:r>
              <w:rPr>
                <w:rFonts w:ascii="Cambria" w:hAnsi="Cambria" w:eastAsia="Cambria" w:cs="Cambria"/>
                <w:b w:val="0"/>
                <w:i w:val="0"/>
                <w:sz w:val="15"/>
              </w:rPr>
              <w:t>Promote accountability and timely decision-making.</w:t>
            </w:r>
          </w:p>
        </w:tc>
        <w:tc>
          <w:tcPr>
            <w:tcW w:type="dxa" w:w="3118"/>
          </w:tcPr>
          <w:p>
            <w:pPr>
              <w:jc w:val="left"/>
            </w:pPr>
            <w:r/>
            <w:r>
              <w:rPr>
                <w:rFonts w:ascii="Cambria" w:hAnsi="Cambria" w:eastAsia="Cambria" w:cs="Cambria"/>
                <w:b w:val="0"/>
                <w:i w:val="0"/>
                <w:sz w:val="15"/>
              </w:rPr>
              <w:t>Record minutes of meetings with action logs; assign responsibilities and deadlines.</w:t>
            </w:r>
          </w:p>
        </w:tc>
        <w:tc>
          <w:tcPr>
            <w:tcW w:type="dxa" w:w="2268"/>
          </w:tcPr>
          <w:p>
            <w:pPr>
              <w:jc w:val="center"/>
            </w:pPr>
            <w:r/>
            <w:r>
              <w:rPr>
                <w:rFonts w:ascii="Cambria" w:hAnsi="Cambria" w:eastAsia="Cambria" w:cs="Cambria"/>
                <w:b w:val="0"/>
                <w:i w:val="0"/>
                <w:sz w:val="15"/>
              </w:rPr>
              <w:t>MoM with action logs.</w:t>
            </w:r>
          </w:p>
        </w:tc>
        <w:tc>
          <w:tcPr>
            <w:tcW w:type="dxa" w:w="2835"/>
          </w:tcPr>
          <w:p>
            <w:pPr>
              <w:jc w:val="center"/>
            </w:pPr>
            <w:r/>
            <w:r>
              <w:rPr>
                <w:rFonts w:ascii="Cambria" w:hAnsi="Cambria" w:eastAsia="Cambria" w:cs="Cambria"/>
                <w:b w:val="0"/>
                <w:i w:val="0"/>
                <w:sz w:val="15"/>
              </w:rPr>
              <w:t>Clear accountability; corrective actions taken within 2 weeks of identification.</w:t>
            </w:r>
          </w:p>
        </w:tc>
      </w:tr>
      <w:tr>
        <w:tc>
          <w:tcPr>
            <w:tcW w:type="dxa" w:w="1984"/>
            <w:shd w:val="clear" w:color="auto" w:fill="D9D9D9"/>
          </w:tcPr>
          <w:p>
            <w:pPr>
              <w:jc w:val="center"/>
            </w:pPr>
            <w:r/>
            <w:r>
              <w:rPr>
                <w:rFonts w:ascii="Cambria" w:hAnsi="Cambria" w:eastAsia="Cambria" w:cs="Cambria"/>
                <w:b w:val="0"/>
                <w:i w:val="0"/>
                <w:sz w:val="15"/>
              </w:rPr>
              <w:t>Link reviews to project outputs and deliverables.</w:t>
            </w:r>
          </w:p>
        </w:tc>
        <w:tc>
          <w:tcPr>
            <w:tcW w:type="dxa" w:w="3118"/>
            <w:shd w:val="clear" w:color="auto" w:fill="D9D9D9"/>
          </w:tcPr>
          <w:p>
            <w:pPr>
              <w:jc w:val="left"/>
            </w:pPr>
            <w:r/>
            <w:r>
              <w:rPr>
                <w:rFonts w:ascii="Cambria" w:hAnsi="Cambria" w:eastAsia="Cambria" w:cs="Cambria"/>
                <w:b w:val="0"/>
                <w:i w:val="0"/>
                <w:sz w:val="15"/>
              </w:rPr>
              <w:t>Review publications, patents, consultancy, and grant utilization linked to ongoing projects.</w:t>
            </w:r>
          </w:p>
        </w:tc>
        <w:tc>
          <w:tcPr>
            <w:tcW w:type="dxa" w:w="2268"/>
            <w:shd w:val="clear" w:color="auto" w:fill="D9D9D9"/>
          </w:tcPr>
          <w:p>
            <w:pPr>
              <w:jc w:val="center"/>
            </w:pPr>
            <w:r/>
            <w:r>
              <w:rPr>
                <w:rFonts w:ascii="Cambria" w:hAnsi="Cambria" w:eastAsia="Cambria" w:cs="Cambria"/>
                <w:b w:val="0"/>
                <w:i w:val="0"/>
                <w:sz w:val="15"/>
              </w:rPr>
              <w:t>Copies of sanction letters, publications, patents, consultancy agreements.</w:t>
            </w:r>
          </w:p>
        </w:tc>
        <w:tc>
          <w:tcPr>
            <w:tcW w:type="dxa" w:w="2835"/>
            <w:shd w:val="clear" w:color="auto" w:fill="D9D9D9"/>
          </w:tcPr>
          <w:p>
            <w:pPr>
              <w:jc w:val="center"/>
            </w:pPr>
            <w:r/>
            <w:r>
              <w:rPr>
                <w:rFonts w:ascii="Cambria" w:hAnsi="Cambria" w:eastAsia="Cambria" w:cs="Cambria"/>
                <w:b w:val="0"/>
                <w:i w:val="0"/>
                <w:sz w:val="15"/>
              </w:rPr>
              <w:t>Increase in publications (YoY 25%); patents filed (2 → 7 in 3 years); consultancy revenue ↑30%.</w:t>
            </w:r>
          </w:p>
        </w:tc>
      </w:tr>
      <w:tr>
        <w:tc>
          <w:tcPr>
            <w:tcW w:type="dxa" w:w="1984"/>
          </w:tcPr>
          <w:p>
            <w:pPr>
              <w:jc w:val="center"/>
            </w:pPr>
            <w:r/>
            <w:r>
              <w:rPr>
                <w:rFonts w:ascii="Cambria" w:hAnsi="Cambria" w:eastAsia="Cambria" w:cs="Cambria"/>
                <w:b w:val="0"/>
                <w:i w:val="0"/>
                <w:sz w:val="15"/>
              </w:rPr>
              <w:t>Ensure institutional oversight and continuous improvement.</w:t>
            </w:r>
          </w:p>
        </w:tc>
        <w:tc>
          <w:tcPr>
            <w:tcW w:type="dxa" w:w="3118"/>
          </w:tcPr>
          <w:p>
            <w:pPr>
              <w:jc w:val="left"/>
            </w:pPr>
            <w:r/>
            <w:r>
              <w:rPr>
                <w:rFonts w:ascii="Cambria" w:hAnsi="Cambria" w:eastAsia="Cambria" w:cs="Cambria"/>
                <w:b w:val="0"/>
                <w:i w:val="0"/>
                <w:sz w:val="15"/>
              </w:rPr>
              <w:t>Submit quarterly consolidated R&amp;D progress reports to IQAC/Research Committee.</w:t>
            </w:r>
          </w:p>
        </w:tc>
        <w:tc>
          <w:tcPr>
            <w:tcW w:type="dxa" w:w="2268"/>
          </w:tcPr>
          <w:p>
            <w:pPr>
              <w:jc w:val="center"/>
            </w:pPr>
            <w:r/>
            <w:r>
              <w:rPr>
                <w:rFonts w:ascii="Cambria" w:hAnsi="Cambria" w:eastAsia="Cambria" w:cs="Cambria"/>
                <w:b w:val="0"/>
                <w:i w:val="0"/>
                <w:sz w:val="15"/>
              </w:rPr>
              <w:t>Quarterly summary reports submitted.</w:t>
            </w:r>
          </w:p>
        </w:tc>
        <w:tc>
          <w:tcPr>
            <w:tcW w:type="dxa" w:w="2835"/>
          </w:tcPr>
          <w:p>
            <w:pPr>
              <w:jc w:val="center"/>
            </w:pPr>
            <w:r/>
            <w:r>
              <w:rPr>
                <w:rFonts w:ascii="Cambria" w:hAnsi="Cambria" w:eastAsia="Cambria" w:cs="Cambria"/>
                <w:b w:val="0"/>
                <w:i w:val="0"/>
                <w:sz w:val="15"/>
              </w:rPr>
              <w:t>Continuous monitoring; improved efficiency in approvals/procurement; 25% YoY growth in funded projects.</w:t>
            </w:r>
          </w:p>
        </w:tc>
      </w:tr>
    </w:tbl>
    <w:p>
      <w:pPr>
        <w:spacing w:before="200" w:after="160"/>
      </w:pPr>
      <w:r>
        <w:rPr>
          <w:rFonts w:ascii="Cambria" w:hAnsi="Cambria" w:eastAsia="Cambria" w:cs="Cambria"/>
          <w:b/>
          <w:i w:val="0"/>
          <w:color w:val="1F3A5F"/>
          <w:sz w:val="26"/>
        </w:rPr>
        <w:t>Monthly R&amp;D Review Meetings — 3-Year Progress Tracker</w:t>
      </w:r>
    </w:p>
    <w:tbl>
      <w:tblPr>
        <w:tblW w:type="auto" w:w="0"/>
        <w:jc w:val="center"/>
        <w:tblLayout w:type="fixed"/>
        <w:tblLook w:firstColumn="1" w:firstRow="1" w:lastColumn="0" w:lastRow="0" w:noHBand="0" w:noVBand="1" w:val="04A0"/>
        <w:tblLayout w:type="fixed"/>
      </w:tblPr>
      <w:tblGrid>
        <w:gridCol w:w="1304"/>
        <w:gridCol w:w="3402"/>
        <w:gridCol w:w="2381"/>
        <w:gridCol w:w="3118"/>
      </w:tblGrid>
      <w:tr>
        <w:tc>
          <w:tcPr>
            <w:tcW w:type="dxa" w:w="1304"/>
            <w:shd w:val="clear" w:color="auto" w:fill="1F3A5F"/>
          </w:tcPr>
          <w:p>
            <w:pPr>
              <w:jc w:val="center"/>
            </w:pPr>
            <w:r/>
            <w:r>
              <w:rPr>
                <w:rFonts w:ascii="Cambria" w:hAnsi="Cambria" w:eastAsia="Cambria" w:cs="Cambria"/>
                <w:b/>
                <w:i w:val="0"/>
                <w:color w:val="FFFFFF"/>
                <w:sz w:val="16"/>
              </w:rPr>
              <w:t>Year</w:t>
            </w:r>
          </w:p>
        </w:tc>
        <w:tc>
          <w:tcPr>
            <w:tcW w:type="dxa" w:w="3402"/>
            <w:shd w:val="clear" w:color="auto" w:fill="1F3A5F"/>
          </w:tcPr>
          <w:p>
            <w:pPr>
              <w:jc w:val="center"/>
            </w:pPr>
            <w:r/>
            <w:r>
              <w:rPr>
                <w:rFonts w:ascii="Cambria" w:hAnsi="Cambria" w:eastAsia="Cambria" w:cs="Cambria"/>
                <w:b/>
                <w:i w:val="0"/>
                <w:color w:val="FFFFFF"/>
                <w:sz w:val="16"/>
              </w:rPr>
              <w:t>Planned Actions (Policy → Action)</w:t>
            </w:r>
          </w:p>
        </w:tc>
        <w:tc>
          <w:tcPr>
            <w:tcW w:type="dxa" w:w="2381"/>
            <w:shd w:val="clear" w:color="auto" w:fill="1F3A5F"/>
          </w:tcPr>
          <w:p>
            <w:pPr>
              <w:jc w:val="center"/>
            </w:pPr>
            <w:r/>
            <w:r>
              <w:rPr>
                <w:rFonts w:ascii="Cambria" w:hAnsi="Cambria" w:eastAsia="Cambria" w:cs="Cambria"/>
                <w:b/>
                <w:i w:val="0"/>
                <w:color w:val="FFFFFF"/>
                <w:sz w:val="16"/>
              </w:rPr>
              <w:t>Evidence/Documents</w:t>
            </w:r>
          </w:p>
        </w:tc>
        <w:tc>
          <w:tcPr>
            <w:tcW w:type="dxa" w:w="3118"/>
            <w:shd w:val="clear" w:color="auto" w:fill="1F3A5F"/>
          </w:tcPr>
          <w:p>
            <w:pPr>
              <w:jc w:val="center"/>
            </w:pPr>
            <w:r/>
            <w:r>
              <w:rPr>
                <w:rFonts w:ascii="Cambria" w:hAnsi="Cambria" w:eastAsia="Cambria" w:cs="Cambria"/>
                <w:b/>
                <w:i w:val="0"/>
                <w:color w:val="FFFFFF"/>
                <w:sz w:val="16"/>
              </w:rPr>
              <w:t>Outcomes (Quantitative &amp; Qualitative)</w:t>
            </w:r>
          </w:p>
        </w:tc>
      </w:tr>
      <w:tr>
        <w:tc>
          <w:tcPr>
            <w:tcW w:type="dxa" w:w="1304"/>
          </w:tcPr>
          <w:p>
            <w:pPr>
              <w:jc w:val="center"/>
            </w:pPr>
            <w:r/>
            <w:r>
              <w:rPr>
                <w:rFonts w:ascii="Cambria" w:hAnsi="Cambria" w:eastAsia="Cambria" w:cs="Cambria"/>
                <w:b w:val="0"/>
                <w:i w:val="0"/>
                <w:sz w:val="14"/>
              </w:rPr>
              <w:t>Year 1 (Foundation)</w:t>
            </w:r>
          </w:p>
        </w:tc>
        <w:tc>
          <w:tcPr>
            <w:tcW w:type="dxa" w:w="3402"/>
          </w:tcPr>
          <w:p>
            <w:pPr>
              <w:jc w:val="left"/>
            </w:pPr>
            <w:r/>
            <w:r>
              <w:rPr>
                <w:rFonts w:ascii="Cambria" w:hAnsi="Cambria" w:eastAsia="Cambria" w:cs="Cambria"/>
                <w:b w:val="0"/>
                <w:i w:val="0"/>
                <w:sz w:val="14"/>
              </w:rPr>
              <w:t>- Introduced monthly research meetings.</w:t>
              <w:br/>
              <w:t>- Developed project status dashboard template.</w:t>
              <w:br/>
              <w:t>- Started documenting risks and action logs.</w:t>
            </w:r>
          </w:p>
        </w:tc>
        <w:tc>
          <w:tcPr>
            <w:tcW w:type="dxa" w:w="2381"/>
          </w:tcPr>
          <w:p>
            <w:pPr>
              <w:jc w:val="center"/>
            </w:pPr>
            <w:r/>
            <w:r>
              <w:rPr>
                <w:rFonts w:ascii="Cambria" w:hAnsi="Cambria" w:eastAsia="Cambria" w:cs="Cambria"/>
                <w:b w:val="0"/>
                <w:i w:val="0"/>
                <w:sz w:val="14"/>
              </w:rPr>
              <w:t>Meeting agenda &amp; attendance sheets. Initial project status dashboards. Minutes of meetings (MoM).</w:t>
            </w:r>
          </w:p>
        </w:tc>
        <w:tc>
          <w:tcPr>
            <w:tcW w:type="dxa" w:w="3118"/>
          </w:tcPr>
          <w:p>
            <w:pPr>
              <w:jc w:val="center"/>
            </w:pPr>
            <w:r/>
            <w:r>
              <w:rPr>
                <w:rFonts w:ascii="Cambria" w:hAnsi="Cambria" w:eastAsia="Cambria" w:cs="Cambria"/>
                <w:b w:val="0"/>
                <w:i w:val="0"/>
                <w:sz w:val="14"/>
              </w:rPr>
              <w:t>- 70% milestones achieved on time.</w:t>
              <w:br/>
              <w:t>- 12 publications (Scopus/WoS).</w:t>
              <w:br/>
              <w:t>- 2 patents filed.</w:t>
              <w:br/>
              <w:t>- 30% faculty engaged in active projects.</w:t>
            </w:r>
          </w:p>
        </w:tc>
      </w:tr>
      <w:tr>
        <w:tc>
          <w:tcPr>
            <w:tcW w:type="dxa" w:w="1304"/>
            <w:shd w:val="clear" w:color="auto" w:fill="D9D9D9"/>
          </w:tcPr>
          <w:p>
            <w:pPr>
              <w:jc w:val="center"/>
            </w:pPr>
            <w:r/>
            <w:r>
              <w:rPr>
                <w:rFonts w:ascii="Cambria" w:hAnsi="Cambria" w:eastAsia="Cambria" w:cs="Cambria"/>
                <w:b w:val="0"/>
                <w:i w:val="0"/>
                <w:sz w:val="14"/>
              </w:rPr>
              <w:t>Year 2 (Expansion)</w:t>
            </w:r>
          </w:p>
        </w:tc>
        <w:tc>
          <w:tcPr>
            <w:tcW w:type="dxa" w:w="3402"/>
            <w:shd w:val="clear" w:color="auto" w:fill="D9D9D9"/>
          </w:tcPr>
          <w:p>
            <w:pPr>
              <w:jc w:val="left"/>
            </w:pPr>
            <w:r/>
            <w:r>
              <w:rPr>
                <w:rFonts w:ascii="Cambria" w:hAnsi="Cambria" w:eastAsia="Cambria" w:cs="Cambria"/>
                <w:b w:val="0"/>
                <w:i w:val="0"/>
                <w:sz w:val="14"/>
              </w:rPr>
              <w:t>- Expanded review to all thrust area projects.</w:t>
              <w:br/>
              <w:t>- Formalized risk register and corrective action protocol.</w:t>
              <w:br/>
              <w:t>- Linked meetings to fund utilization and deliverables.</w:t>
            </w:r>
          </w:p>
        </w:tc>
        <w:tc>
          <w:tcPr>
            <w:tcW w:type="dxa" w:w="2381"/>
            <w:shd w:val="clear" w:color="auto" w:fill="D9D9D9"/>
          </w:tcPr>
          <w:p>
            <w:pPr>
              <w:jc w:val="center"/>
            </w:pPr>
            <w:r/>
            <w:r>
              <w:rPr>
                <w:rFonts w:ascii="Cambria" w:hAnsi="Cambria" w:eastAsia="Cambria" w:cs="Cambria"/>
                <w:b w:val="0"/>
                <w:i w:val="0"/>
                <w:sz w:val="14"/>
              </w:rPr>
              <w:t>Updated dashboards with traffic-light coding. Risk register reports. Grant sanction letters. MoUs with industry/universities.</w:t>
            </w:r>
          </w:p>
        </w:tc>
        <w:tc>
          <w:tcPr>
            <w:tcW w:type="dxa" w:w="3118"/>
            <w:shd w:val="clear" w:color="auto" w:fill="D9D9D9"/>
          </w:tcPr>
          <w:p>
            <w:pPr>
              <w:jc w:val="center"/>
            </w:pPr>
            <w:r/>
            <w:r>
              <w:rPr>
                <w:rFonts w:ascii="Cambria" w:hAnsi="Cambria" w:eastAsia="Cambria" w:cs="Cambria"/>
                <w:b w:val="0"/>
                <w:i w:val="0"/>
                <w:sz w:val="14"/>
              </w:rPr>
              <w:t>- 80% milestones achieved on time.</w:t>
              <w:br/>
              <w:t>- Publications ↑ to 25.</w:t>
              <w:br/>
              <w:t>- 5 patents filed.</w:t>
              <w:br/>
              <w:t>- 50% faculty engaged in funded/active projects.</w:t>
              <w:br/>
              <w:t>- Consultancy revenue initiated.</w:t>
            </w:r>
          </w:p>
        </w:tc>
      </w:tr>
      <w:tr>
        <w:tc>
          <w:tcPr>
            <w:tcW w:type="dxa" w:w="1304"/>
          </w:tcPr>
          <w:p>
            <w:pPr>
              <w:jc w:val="center"/>
            </w:pPr>
            <w:r/>
            <w:r>
              <w:rPr>
                <w:rFonts w:ascii="Cambria" w:hAnsi="Cambria" w:eastAsia="Cambria" w:cs="Cambria"/>
                <w:b w:val="0"/>
                <w:i w:val="0"/>
                <w:sz w:val="14"/>
              </w:rPr>
              <w:t>Year 3 (Integration &amp; Impact)</w:t>
            </w:r>
          </w:p>
        </w:tc>
        <w:tc>
          <w:tcPr>
            <w:tcW w:type="dxa" w:w="3402"/>
          </w:tcPr>
          <w:p>
            <w:pPr>
              <w:jc w:val="left"/>
            </w:pPr>
            <w:r/>
            <w:r>
              <w:rPr>
                <w:rFonts w:ascii="Cambria" w:hAnsi="Cambria" w:eastAsia="Cambria" w:cs="Cambria"/>
                <w:b w:val="0"/>
                <w:i w:val="0"/>
                <w:sz w:val="14"/>
              </w:rPr>
              <w:t>- Standardized quarterly reports submitted to IQAC/Research Committee.</w:t>
              <w:br/>
              <w:t>- Introduced KPI tracking (timeliness, outputs, funding).</w:t>
              <w:br/>
              <w:t>- Included interdisciplinary and industry projects in monthly review.</w:t>
            </w:r>
          </w:p>
        </w:tc>
        <w:tc>
          <w:tcPr>
            <w:tcW w:type="dxa" w:w="2381"/>
          </w:tcPr>
          <w:p>
            <w:pPr>
              <w:jc w:val="center"/>
            </w:pPr>
            <w:r/>
            <w:r>
              <w:rPr>
                <w:rFonts w:ascii="Cambria" w:hAnsi="Cambria" w:eastAsia="Cambria" w:cs="Cambria"/>
                <w:b w:val="0"/>
                <w:i w:val="0"/>
                <w:sz w:val="14"/>
              </w:rPr>
              <w:t>Quarterly summary reports. Annual R&amp;D progress report. Evidence of consultancy agreements. Joint publications and patents.</w:t>
            </w:r>
          </w:p>
        </w:tc>
        <w:tc>
          <w:tcPr>
            <w:tcW w:type="dxa" w:w="3118"/>
          </w:tcPr>
          <w:p>
            <w:pPr>
              <w:jc w:val="center"/>
            </w:pPr>
            <w:r/>
            <w:r>
              <w:rPr>
                <w:rFonts w:ascii="Cambria" w:hAnsi="Cambria" w:eastAsia="Cambria" w:cs="Cambria"/>
                <w:b w:val="0"/>
                <w:i w:val="0"/>
                <w:sz w:val="14"/>
              </w:rPr>
              <w:t>- 90% milestones achieved on time.</w:t>
              <w:br/>
              <w:t>- Publications ↑ to 40.</w:t>
              <w:br/>
              <w:t>- 8 patents filed.</w:t>
              <w:br/>
              <w:t>- Consultancy revenue ↑ 30% YoY.</w:t>
              <w:br/>
              <w:t>- 65% faculty engaged in research.</w:t>
              <w:br/>
              <w:t>- 6 interdisciplinary projects launched.</w:t>
            </w:r>
          </w:p>
        </w:tc>
      </w:tr>
    </w:tbl>
    <w:p>
      <w:pPr>
        <w:spacing w:before="200" w:after="160"/>
      </w:pPr>
      <w:r>
        <w:rPr>
          <w:rFonts w:ascii="Cambria" w:hAnsi="Cambria" w:eastAsia="Cambria" w:cs="Cambria"/>
          <w:b/>
          <w:i w:val="0"/>
          <w:color w:val="1F3A5F"/>
          <w:sz w:val="30"/>
        </w:rPr>
        <w:t>Traceability: From Policy to Growth</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Policy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Institutionalize monthly R&amp;D review meetings to track projects, deadlines, and deliverables.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Objective: ensure accountability, timeliness, and research outputs.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Action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Conduct structured meetings with faculty, scholars, and PIs.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Use dashboards, risk registers, and action logs to monitor project progress.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Escalate delays and implement corrective measures.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Evidence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Meeting agendas &amp; attendance records.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Project status dashboards (traffic-light indicators).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MoM with action logs.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Risk register updates.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Quarterly reports submitted to IQAC/Research Committee.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Outcome (Measurable Growth)</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Year 1: 70% milestones on time; 12 publications; 2 patents.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Year 2: 80% milestones; 25 publications; 5 patents; consultancy initiated.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Year 3: 90% milestones; 40 publications; 8 patents; consultancy revenue ↑30% YoY; 6 interdisciplinary projects launched.</w:t>
      </w:r>
    </w:p>
    <w:p>
      <w:pPr>
        <w:spacing w:line="276" w:lineRule="auto" w:after="120"/>
        <w:jc w:val="both"/>
      </w:pPr>
      <w:r>
        <w:rPr>
          <w:rFonts w:ascii="Cambria" w:hAnsi="Cambria" w:eastAsia="Cambria" w:cs="Cambria"/>
          <w:b/>
          <w:i w:val="0"/>
          <w:sz w:val="22"/>
        </w:rPr>
        <w:t>Key Demonstration of Growth</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Regular monthly monitoring → fewer delays, faster risk resolution.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Systematic tracking → more projects completed on time.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Accountability framework → increase in publications, patents, and consultancy revenue.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Expansion of scope → interdisciplinary and industry-linked projects integrated into review.</w:t>
      </w:r>
    </w:p>
    <w:p>
      <w:pPr>
        <w:spacing w:line="276" w:lineRule="auto" w:after="120"/>
        <w:jc w:val="both"/>
      </w:pPr>
      <w:r>
        <w:rPr>
          <w:rFonts w:ascii="Cambria" w:hAnsi="Cambria" w:eastAsia="Cambria" w:cs="Cambria"/>
          <w:b/>
          <w:i w:val="0"/>
          <w:sz w:val="22"/>
        </w:rPr>
        <w:t>Why Monthly Meetings Are Not Symbolic</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Systematic Planning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Meetings are conducted on a fixed schedule with a structured agenda (projects, risks, milestones, outputs).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Align with departmental thrust areas, NEP 2020, NAAC, and NBA benchmarks.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Evidence-Based Monitoring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Dashboards track project progress with traffic-light indicators (Green/Amber/Red).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Risk registers ensure bottlenecks are identified and mitigated.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MoM and action logs hold faculty and scholars accountable for deadlines.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Direct Link to Outputs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Research meetings review funding utilization, publications, patents, consultancy, and collaborations.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that outputs are measured, reported, and improved year-on-year.</w:t>
      </w:r>
    </w:p>
    <w:p>
      <w:pPr>
        <w:spacing w:before="200" w:after="160"/>
      </w:pPr>
      <w:r>
        <w:rPr>
          <w:rFonts w:ascii="Cambria" w:hAnsi="Cambria" w:eastAsia="Cambria" w:cs="Cambria"/>
          <w:b/>
          <w:i w:val="0"/>
          <w:color w:val="1F3A5F"/>
          <w:sz w:val="26"/>
        </w:rPr>
        <w:t>Measurable Improvements in R&amp;D Culture</w:t>
      </w:r>
    </w:p>
    <w:tbl>
      <w:tblPr>
        <w:tblW w:type="auto" w:w="0"/>
        <w:jc w:val="center"/>
        <w:tblLayout w:type="fixed"/>
        <w:tblLook w:firstColumn="1" w:firstRow="1" w:lastColumn="0" w:lastRow="0" w:noHBand="0" w:noVBand="1" w:val="04A0"/>
        <w:tblLayout w:type="fixed"/>
      </w:tblPr>
      <w:tblGrid>
        <w:gridCol w:w="3118"/>
        <w:gridCol w:w="2551"/>
        <w:gridCol w:w="2835"/>
      </w:tblGrid>
      <w:tr>
        <w:tc>
          <w:tcPr>
            <w:tcW w:type="dxa" w:w="3118"/>
            <w:shd w:val="clear" w:color="auto" w:fill="1F3A5F"/>
          </w:tcPr>
          <w:p>
            <w:pPr>
              <w:jc w:val="center"/>
            </w:pPr>
            <w:r/>
            <w:r>
              <w:rPr>
                <w:rFonts w:ascii="Cambria" w:hAnsi="Cambria" w:eastAsia="Cambria" w:cs="Cambria"/>
                <w:b/>
                <w:i w:val="0"/>
                <w:color w:val="FFFFFF"/>
                <w:sz w:val="18"/>
              </w:rPr>
              <w:t>Indicator</w:t>
            </w:r>
          </w:p>
        </w:tc>
        <w:tc>
          <w:tcPr>
            <w:tcW w:type="dxa" w:w="2551"/>
            <w:shd w:val="clear" w:color="auto" w:fill="1F3A5F"/>
          </w:tcPr>
          <w:p>
            <w:pPr>
              <w:jc w:val="center"/>
            </w:pPr>
            <w:r/>
            <w:r>
              <w:rPr>
                <w:rFonts w:ascii="Cambria" w:hAnsi="Cambria" w:eastAsia="Cambria" w:cs="Cambria"/>
                <w:b/>
                <w:i w:val="0"/>
                <w:color w:val="FFFFFF"/>
                <w:sz w:val="18"/>
              </w:rPr>
              <w:t>Before Monthly Meetings</w:t>
            </w:r>
          </w:p>
        </w:tc>
        <w:tc>
          <w:tcPr>
            <w:tcW w:type="dxa" w:w="2835"/>
            <w:shd w:val="clear" w:color="auto" w:fill="1F3A5F"/>
          </w:tcPr>
          <w:p>
            <w:pPr>
              <w:jc w:val="center"/>
            </w:pPr>
            <w:r/>
            <w:r>
              <w:rPr>
                <w:rFonts w:ascii="Cambria" w:hAnsi="Cambria" w:eastAsia="Cambria" w:cs="Cambria"/>
                <w:b/>
                <w:i w:val="0"/>
                <w:color w:val="FFFFFF"/>
                <w:sz w:val="18"/>
              </w:rPr>
              <w:t>After 3 Years of Monthly Meetings</w:t>
            </w:r>
          </w:p>
        </w:tc>
      </w:tr>
      <w:tr>
        <w:tc>
          <w:tcPr>
            <w:tcW w:type="dxa" w:w="3118"/>
          </w:tcPr>
          <w:p>
            <w:pPr>
              <w:jc w:val="center"/>
            </w:pPr>
            <w:r/>
            <w:r>
              <w:rPr>
                <w:rFonts w:ascii="Cambria" w:hAnsi="Cambria" w:eastAsia="Cambria" w:cs="Cambria"/>
                <w:b w:val="0"/>
                <w:i w:val="0"/>
                <w:sz w:val="17"/>
              </w:rPr>
              <w:t>% milestones achieved on time</w:t>
            </w:r>
          </w:p>
        </w:tc>
        <w:tc>
          <w:tcPr>
            <w:tcW w:type="dxa" w:w="2551"/>
          </w:tcPr>
          <w:p>
            <w:pPr>
              <w:jc w:val="left"/>
            </w:pPr>
            <w:r/>
            <w:r>
              <w:rPr>
                <w:rFonts w:ascii="Cambria" w:hAnsi="Cambria" w:eastAsia="Cambria" w:cs="Cambria"/>
                <w:b w:val="0"/>
                <w:i w:val="0"/>
                <w:sz w:val="17"/>
              </w:rPr>
              <w:t>~60%</w:t>
            </w:r>
          </w:p>
        </w:tc>
        <w:tc>
          <w:tcPr>
            <w:tcW w:type="dxa" w:w="2835"/>
          </w:tcPr>
          <w:p>
            <w:pPr>
              <w:jc w:val="center"/>
            </w:pPr>
            <w:r/>
            <w:r>
              <w:rPr>
                <w:rFonts w:ascii="Cambria" w:hAnsi="Cambria" w:eastAsia="Cambria" w:cs="Cambria"/>
                <w:b w:val="0"/>
                <w:i w:val="0"/>
                <w:sz w:val="17"/>
              </w:rPr>
              <w:t>~90%</w:t>
            </w:r>
          </w:p>
        </w:tc>
      </w:tr>
      <w:tr>
        <w:tc>
          <w:tcPr>
            <w:tcW w:type="dxa" w:w="3118"/>
            <w:shd w:val="clear" w:color="auto" w:fill="D9D9D9"/>
          </w:tcPr>
          <w:p>
            <w:pPr>
              <w:jc w:val="center"/>
            </w:pPr>
            <w:r/>
            <w:r>
              <w:rPr>
                <w:rFonts w:ascii="Cambria" w:hAnsi="Cambria" w:eastAsia="Cambria" w:cs="Cambria"/>
                <w:b w:val="0"/>
                <w:i w:val="0"/>
                <w:sz w:val="17"/>
              </w:rPr>
              <w:t>Publications (Scopus/WoS)</w:t>
            </w:r>
          </w:p>
        </w:tc>
        <w:tc>
          <w:tcPr>
            <w:tcW w:type="dxa" w:w="2551"/>
            <w:shd w:val="clear" w:color="auto" w:fill="D9D9D9"/>
          </w:tcPr>
          <w:p>
            <w:pPr>
              <w:jc w:val="left"/>
            </w:pPr>
            <w:r/>
            <w:r>
              <w:rPr>
                <w:rFonts w:ascii="Cambria" w:hAnsi="Cambria" w:eastAsia="Cambria" w:cs="Cambria"/>
                <w:b w:val="0"/>
                <w:i w:val="0"/>
                <w:sz w:val="17"/>
              </w:rPr>
              <w:t>10 per year</w:t>
            </w:r>
          </w:p>
        </w:tc>
        <w:tc>
          <w:tcPr>
            <w:tcW w:type="dxa" w:w="2835"/>
            <w:shd w:val="clear" w:color="auto" w:fill="D9D9D9"/>
          </w:tcPr>
          <w:p>
            <w:pPr>
              <w:jc w:val="center"/>
            </w:pPr>
            <w:r/>
            <w:r>
              <w:rPr>
                <w:rFonts w:ascii="Cambria" w:hAnsi="Cambria" w:eastAsia="Cambria" w:cs="Cambria"/>
                <w:b w:val="0"/>
                <w:i w:val="0"/>
                <w:sz w:val="17"/>
              </w:rPr>
              <w:t>40 per year</w:t>
            </w:r>
          </w:p>
        </w:tc>
      </w:tr>
      <w:tr>
        <w:tc>
          <w:tcPr>
            <w:tcW w:type="dxa" w:w="3118"/>
          </w:tcPr>
          <w:p>
            <w:pPr>
              <w:jc w:val="center"/>
            </w:pPr>
            <w:r/>
            <w:r>
              <w:rPr>
                <w:rFonts w:ascii="Cambria" w:hAnsi="Cambria" w:eastAsia="Cambria" w:cs="Cambria"/>
                <w:b w:val="0"/>
                <w:i w:val="0"/>
                <w:sz w:val="17"/>
              </w:rPr>
              <w:t>Patents filed</w:t>
            </w:r>
          </w:p>
        </w:tc>
        <w:tc>
          <w:tcPr>
            <w:tcW w:type="dxa" w:w="2551"/>
          </w:tcPr>
          <w:p>
            <w:pPr>
              <w:jc w:val="left"/>
            </w:pPr>
            <w:r/>
            <w:r>
              <w:rPr>
                <w:rFonts w:ascii="Cambria" w:hAnsi="Cambria" w:eastAsia="Cambria" w:cs="Cambria"/>
                <w:b w:val="0"/>
                <w:i w:val="0"/>
                <w:sz w:val="17"/>
              </w:rPr>
              <w:t>1–2</w:t>
            </w:r>
          </w:p>
        </w:tc>
        <w:tc>
          <w:tcPr>
            <w:tcW w:type="dxa" w:w="2835"/>
          </w:tcPr>
          <w:p>
            <w:pPr>
              <w:jc w:val="center"/>
            </w:pPr>
            <w:r/>
            <w:r>
              <w:rPr>
                <w:rFonts w:ascii="Cambria" w:hAnsi="Cambria" w:eastAsia="Cambria" w:cs="Cambria"/>
                <w:b w:val="0"/>
                <w:i w:val="0"/>
                <w:sz w:val="17"/>
              </w:rPr>
              <w:t>8</w:t>
            </w:r>
          </w:p>
        </w:tc>
      </w:tr>
      <w:tr>
        <w:tc>
          <w:tcPr>
            <w:tcW w:type="dxa" w:w="3118"/>
            <w:shd w:val="clear" w:color="auto" w:fill="D9D9D9"/>
          </w:tcPr>
          <w:p>
            <w:pPr>
              <w:jc w:val="center"/>
            </w:pPr>
            <w:r/>
            <w:r>
              <w:rPr>
                <w:rFonts w:ascii="Cambria" w:hAnsi="Cambria" w:eastAsia="Cambria" w:cs="Cambria"/>
                <w:b w:val="0"/>
                <w:i w:val="0"/>
                <w:sz w:val="17"/>
              </w:rPr>
              <w:t>Faculty engaged in active research</w:t>
            </w:r>
          </w:p>
        </w:tc>
        <w:tc>
          <w:tcPr>
            <w:tcW w:type="dxa" w:w="2551"/>
            <w:shd w:val="clear" w:color="auto" w:fill="D9D9D9"/>
          </w:tcPr>
          <w:p>
            <w:pPr>
              <w:jc w:val="left"/>
            </w:pPr>
            <w:r/>
            <w:r>
              <w:rPr>
                <w:rFonts w:ascii="Cambria" w:hAnsi="Cambria" w:eastAsia="Cambria" w:cs="Cambria"/>
                <w:b w:val="0"/>
                <w:i w:val="0"/>
                <w:sz w:val="17"/>
              </w:rPr>
              <w:t>25–30%</w:t>
            </w:r>
          </w:p>
        </w:tc>
        <w:tc>
          <w:tcPr>
            <w:tcW w:type="dxa" w:w="2835"/>
            <w:shd w:val="clear" w:color="auto" w:fill="D9D9D9"/>
          </w:tcPr>
          <w:p>
            <w:pPr>
              <w:jc w:val="center"/>
            </w:pPr>
            <w:r/>
            <w:r>
              <w:rPr>
                <w:rFonts w:ascii="Cambria" w:hAnsi="Cambria" w:eastAsia="Cambria" w:cs="Cambria"/>
                <w:b w:val="0"/>
                <w:i w:val="0"/>
                <w:sz w:val="17"/>
              </w:rPr>
              <w:t>65%</w:t>
            </w:r>
          </w:p>
        </w:tc>
      </w:tr>
      <w:tr>
        <w:tc>
          <w:tcPr>
            <w:tcW w:type="dxa" w:w="3118"/>
          </w:tcPr>
          <w:p>
            <w:pPr>
              <w:jc w:val="center"/>
            </w:pPr>
            <w:r/>
            <w:r>
              <w:rPr>
                <w:rFonts w:ascii="Cambria" w:hAnsi="Cambria" w:eastAsia="Cambria" w:cs="Cambria"/>
                <w:b w:val="0"/>
                <w:i w:val="0"/>
                <w:sz w:val="17"/>
              </w:rPr>
              <w:t>Interdisciplinary projects</w:t>
            </w:r>
          </w:p>
        </w:tc>
        <w:tc>
          <w:tcPr>
            <w:tcW w:type="dxa" w:w="2551"/>
          </w:tcPr>
          <w:p>
            <w:pPr>
              <w:jc w:val="left"/>
            </w:pPr>
            <w:r/>
            <w:r>
              <w:rPr>
                <w:rFonts w:ascii="Cambria" w:hAnsi="Cambria" w:eastAsia="Cambria" w:cs="Cambria"/>
                <w:b w:val="0"/>
                <w:i w:val="0"/>
                <w:sz w:val="17"/>
              </w:rPr>
              <w:t>Limited</w:t>
            </w:r>
          </w:p>
        </w:tc>
        <w:tc>
          <w:tcPr>
            <w:tcW w:type="dxa" w:w="2835"/>
          </w:tcPr>
          <w:p>
            <w:pPr>
              <w:jc w:val="center"/>
            </w:pPr>
            <w:r/>
            <w:r>
              <w:rPr>
                <w:rFonts w:ascii="Cambria" w:hAnsi="Cambria" w:eastAsia="Cambria" w:cs="Cambria"/>
                <w:b w:val="0"/>
                <w:i w:val="0"/>
                <w:sz w:val="17"/>
              </w:rPr>
              <w:t>6 joint projects</w:t>
            </w:r>
          </w:p>
        </w:tc>
      </w:tr>
      <w:tr>
        <w:tc>
          <w:tcPr>
            <w:tcW w:type="dxa" w:w="3118"/>
            <w:shd w:val="clear" w:color="auto" w:fill="D9D9D9"/>
          </w:tcPr>
          <w:p>
            <w:pPr>
              <w:jc w:val="center"/>
            </w:pPr>
            <w:r/>
            <w:r>
              <w:rPr>
                <w:rFonts w:ascii="Cambria" w:hAnsi="Cambria" w:eastAsia="Cambria" w:cs="Cambria"/>
                <w:b w:val="0"/>
                <w:i w:val="0"/>
                <w:sz w:val="17"/>
              </w:rPr>
              <w:t>Consultancy revenue</w:t>
            </w:r>
          </w:p>
        </w:tc>
        <w:tc>
          <w:tcPr>
            <w:tcW w:type="dxa" w:w="2551"/>
            <w:shd w:val="clear" w:color="auto" w:fill="D9D9D9"/>
          </w:tcPr>
          <w:p>
            <w:pPr>
              <w:jc w:val="left"/>
            </w:pPr>
            <w:r/>
            <w:r>
              <w:rPr>
                <w:rFonts w:ascii="Cambria" w:hAnsi="Cambria" w:eastAsia="Cambria" w:cs="Cambria"/>
                <w:b w:val="0"/>
                <w:i w:val="0"/>
                <w:sz w:val="17"/>
              </w:rPr>
              <w:t>Minimal</w:t>
            </w:r>
          </w:p>
        </w:tc>
        <w:tc>
          <w:tcPr>
            <w:tcW w:type="dxa" w:w="2835"/>
            <w:shd w:val="clear" w:color="auto" w:fill="D9D9D9"/>
          </w:tcPr>
          <w:p>
            <w:pPr>
              <w:jc w:val="center"/>
            </w:pPr>
            <w:r/>
            <w:r>
              <w:rPr>
                <w:rFonts w:ascii="Cambria" w:hAnsi="Cambria" w:eastAsia="Cambria" w:cs="Cambria"/>
                <w:b w:val="0"/>
                <w:i w:val="0"/>
                <w:sz w:val="17"/>
              </w:rPr>
              <w:t>↑ 30% YoY</w:t>
            </w:r>
          </w:p>
        </w:tc>
      </w:tr>
    </w:tbl>
    <w:p>
      <w:pPr>
        <w:spacing w:line="276" w:lineRule="auto" w:after="120"/>
        <w:jc w:val="both"/>
      </w:pPr>
      <w:r>
        <w:rPr>
          <w:rFonts w:ascii="Cambria" w:hAnsi="Cambria" w:eastAsia="Cambria" w:cs="Cambria"/>
          <w:b/>
          <w:i w:val="0"/>
          <w:sz w:val="22"/>
        </w:rPr>
        <w:t>Outcome-Driven Nature of Monthly Meetings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Structured Objectives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Each meeting is designed to review project milestones, funding, risks, and deliverables, not just formal gatherings.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Agendas focus on progress checks, decision-making, and corrective actions.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Action-Oriented Discussions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Clear action logs with responsibilities and deadlines are created.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Risk registers capture project bottlenecks and mitigation strategies.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Escalation protocols ensure delays are corrected swiftly.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Direct Link to R&amp;D Outputs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Meetings review publications, patents, consultancy projects, and grant utilization.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research activities lead to measurable academic and industrial impact.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Integration with Accreditation &amp; OBE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Outcomes from meetings are mapped to PO4 (Investigation of Complex Problems) and PO12 (Lifelong Learning).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Data feeds into NAAC Criterion 3 and NBA Criterion 11, proving institutional accountability.</w:t>
      </w:r>
    </w:p>
    <w:p>
      <w:pPr>
        <w:spacing w:before="200" w:after="160"/>
      </w:pPr>
      <w:r>
        <w:rPr>
          <w:rFonts w:ascii="Cambria" w:hAnsi="Cambria" w:eastAsia="Cambria" w:cs="Cambria"/>
          <w:b/>
          <w:i w:val="0"/>
          <w:color w:val="1F3A5F"/>
          <w:sz w:val="26"/>
        </w:rPr>
        <w:t>Evidence of Outcomes</w:t>
      </w:r>
    </w:p>
    <w:tbl>
      <w:tblPr>
        <w:tblW w:type="auto" w:w="0"/>
        <w:jc w:val="center"/>
        <w:tblLayout w:type="fixed"/>
        <w:tblLook w:firstColumn="1" w:firstRow="1" w:lastColumn="0" w:lastRow="0" w:noHBand="0" w:noVBand="1" w:val="04A0"/>
        <w:tblLayout w:type="fixed"/>
      </w:tblPr>
      <w:tblGrid>
        <w:gridCol w:w="2551"/>
        <w:gridCol w:w="3118"/>
        <w:gridCol w:w="3005"/>
      </w:tblGrid>
      <w:tr>
        <w:tc>
          <w:tcPr>
            <w:tcW w:type="dxa" w:w="2551"/>
            <w:shd w:val="clear" w:color="auto" w:fill="1F3A5F"/>
          </w:tcPr>
          <w:p>
            <w:pPr>
              <w:jc w:val="center"/>
            </w:pPr>
            <w:r/>
            <w:r>
              <w:rPr>
                <w:rFonts w:ascii="Cambria" w:hAnsi="Cambria" w:eastAsia="Cambria" w:cs="Cambria"/>
                <w:b/>
                <w:i w:val="0"/>
                <w:color w:val="FFFFFF"/>
                <w:sz w:val="18"/>
              </w:rPr>
              <w:t>Aspect Reviewed</w:t>
            </w:r>
          </w:p>
        </w:tc>
        <w:tc>
          <w:tcPr>
            <w:tcW w:type="dxa" w:w="3118"/>
            <w:shd w:val="clear" w:color="auto" w:fill="1F3A5F"/>
          </w:tcPr>
          <w:p>
            <w:pPr>
              <w:jc w:val="center"/>
            </w:pPr>
            <w:r/>
            <w:r>
              <w:rPr>
                <w:rFonts w:ascii="Cambria" w:hAnsi="Cambria" w:eastAsia="Cambria" w:cs="Cambria"/>
                <w:b/>
                <w:i w:val="0"/>
                <w:color w:val="FFFFFF"/>
                <w:sz w:val="18"/>
              </w:rPr>
              <w:t>Evidence Maintained</w:t>
            </w:r>
          </w:p>
        </w:tc>
        <w:tc>
          <w:tcPr>
            <w:tcW w:type="dxa" w:w="3005"/>
            <w:shd w:val="clear" w:color="auto" w:fill="1F3A5F"/>
          </w:tcPr>
          <w:p>
            <w:pPr>
              <w:jc w:val="center"/>
            </w:pPr>
            <w:r/>
            <w:r>
              <w:rPr>
                <w:rFonts w:ascii="Cambria" w:hAnsi="Cambria" w:eastAsia="Cambria" w:cs="Cambria"/>
                <w:b/>
                <w:i w:val="0"/>
                <w:color w:val="FFFFFF"/>
                <w:sz w:val="18"/>
              </w:rPr>
              <w:t>Impact on Outcomes</w:t>
            </w:r>
          </w:p>
        </w:tc>
      </w:tr>
      <w:tr>
        <w:tc>
          <w:tcPr>
            <w:tcW w:type="dxa" w:w="2551"/>
          </w:tcPr>
          <w:p>
            <w:pPr>
              <w:jc w:val="center"/>
            </w:pPr>
            <w:r/>
            <w:r>
              <w:rPr>
                <w:rFonts w:ascii="Cambria" w:hAnsi="Cambria" w:eastAsia="Cambria" w:cs="Cambria"/>
                <w:b w:val="0"/>
                <w:i w:val="0"/>
                <w:sz w:val="17"/>
              </w:rPr>
              <w:t>Project Milestones</w:t>
            </w:r>
          </w:p>
        </w:tc>
        <w:tc>
          <w:tcPr>
            <w:tcW w:type="dxa" w:w="3118"/>
          </w:tcPr>
          <w:p>
            <w:pPr>
              <w:jc w:val="left"/>
            </w:pPr>
            <w:r/>
            <w:r>
              <w:rPr>
                <w:rFonts w:ascii="Cambria" w:hAnsi="Cambria" w:eastAsia="Cambria" w:cs="Cambria"/>
                <w:b w:val="0"/>
                <w:i w:val="0"/>
                <w:sz w:val="17"/>
              </w:rPr>
              <w:t>Monthly project dashboards</w:t>
            </w:r>
          </w:p>
        </w:tc>
        <w:tc>
          <w:tcPr>
            <w:tcW w:type="dxa" w:w="3005"/>
          </w:tcPr>
          <w:p>
            <w:pPr>
              <w:jc w:val="center"/>
            </w:pPr>
            <w:r/>
            <w:r>
              <w:rPr>
                <w:rFonts w:ascii="Cambria" w:hAnsi="Cambria" w:eastAsia="Cambria" w:cs="Cambria"/>
                <w:b w:val="0"/>
                <w:i w:val="0"/>
                <w:sz w:val="17"/>
              </w:rPr>
              <w:t>≥ 90% milestones achieved on time</w:t>
            </w:r>
          </w:p>
        </w:tc>
      </w:tr>
      <w:tr>
        <w:tc>
          <w:tcPr>
            <w:tcW w:type="dxa" w:w="2551"/>
            <w:shd w:val="clear" w:color="auto" w:fill="D9D9D9"/>
          </w:tcPr>
          <w:p>
            <w:pPr>
              <w:jc w:val="center"/>
            </w:pPr>
            <w:r/>
            <w:r>
              <w:rPr>
                <w:rFonts w:ascii="Cambria" w:hAnsi="Cambria" w:eastAsia="Cambria" w:cs="Cambria"/>
                <w:b w:val="0"/>
                <w:i w:val="0"/>
                <w:sz w:val="17"/>
              </w:rPr>
              <w:t>Accountability</w:t>
            </w:r>
          </w:p>
        </w:tc>
        <w:tc>
          <w:tcPr>
            <w:tcW w:type="dxa" w:w="3118"/>
            <w:shd w:val="clear" w:color="auto" w:fill="D9D9D9"/>
          </w:tcPr>
          <w:p>
            <w:pPr>
              <w:jc w:val="left"/>
            </w:pPr>
            <w:r/>
            <w:r>
              <w:rPr>
                <w:rFonts w:ascii="Cambria" w:hAnsi="Cambria" w:eastAsia="Cambria" w:cs="Cambria"/>
                <w:b w:val="0"/>
                <w:i w:val="0"/>
                <w:sz w:val="17"/>
              </w:rPr>
              <w:t>Minutes of meetings with action logs</w:t>
            </w:r>
          </w:p>
        </w:tc>
        <w:tc>
          <w:tcPr>
            <w:tcW w:type="dxa" w:w="3005"/>
            <w:shd w:val="clear" w:color="auto" w:fill="D9D9D9"/>
          </w:tcPr>
          <w:p>
            <w:pPr>
              <w:jc w:val="center"/>
            </w:pPr>
            <w:r/>
            <w:r>
              <w:rPr>
                <w:rFonts w:ascii="Cambria" w:hAnsi="Cambria" w:eastAsia="Cambria" w:cs="Cambria"/>
                <w:b w:val="0"/>
                <w:i w:val="0"/>
                <w:sz w:val="17"/>
              </w:rPr>
              <w:t>Delays reduced by 20–25%</w:t>
            </w:r>
          </w:p>
        </w:tc>
      </w:tr>
      <w:tr>
        <w:tc>
          <w:tcPr>
            <w:tcW w:type="dxa" w:w="2551"/>
          </w:tcPr>
          <w:p>
            <w:pPr>
              <w:jc w:val="center"/>
            </w:pPr>
            <w:r/>
            <w:r>
              <w:rPr>
                <w:rFonts w:ascii="Cambria" w:hAnsi="Cambria" w:eastAsia="Cambria" w:cs="Cambria"/>
                <w:b w:val="0"/>
                <w:i w:val="0"/>
                <w:sz w:val="17"/>
              </w:rPr>
              <w:t>Research Outputs</w:t>
            </w:r>
          </w:p>
        </w:tc>
        <w:tc>
          <w:tcPr>
            <w:tcW w:type="dxa" w:w="3118"/>
          </w:tcPr>
          <w:p>
            <w:pPr>
              <w:jc w:val="left"/>
            </w:pPr>
            <w:r/>
            <w:r>
              <w:rPr>
                <w:rFonts w:ascii="Cambria" w:hAnsi="Cambria" w:eastAsia="Cambria" w:cs="Cambria"/>
                <w:b w:val="0"/>
                <w:i w:val="0"/>
                <w:sz w:val="17"/>
              </w:rPr>
              <w:t>Publications, patents, consultancy agreements</w:t>
            </w:r>
          </w:p>
        </w:tc>
        <w:tc>
          <w:tcPr>
            <w:tcW w:type="dxa" w:w="3005"/>
          </w:tcPr>
          <w:p>
            <w:pPr>
              <w:jc w:val="center"/>
            </w:pPr>
            <w:r/>
            <w:r>
              <w:rPr>
                <w:rFonts w:ascii="Cambria" w:hAnsi="Cambria" w:eastAsia="Cambria" w:cs="Cambria"/>
                <w:b w:val="0"/>
                <w:i w:val="0"/>
                <w:sz w:val="17"/>
              </w:rPr>
              <w:t>Publications ↑ from 12 → 40; patents ↑ from 2 → 8</w:t>
            </w:r>
          </w:p>
        </w:tc>
      </w:tr>
      <w:tr>
        <w:tc>
          <w:tcPr>
            <w:tcW w:type="dxa" w:w="2551"/>
            <w:shd w:val="clear" w:color="auto" w:fill="D9D9D9"/>
          </w:tcPr>
          <w:p>
            <w:pPr>
              <w:jc w:val="center"/>
            </w:pPr>
            <w:r/>
            <w:r>
              <w:rPr>
                <w:rFonts w:ascii="Cambria" w:hAnsi="Cambria" w:eastAsia="Cambria" w:cs="Cambria"/>
                <w:b w:val="0"/>
                <w:i w:val="0"/>
                <w:sz w:val="17"/>
              </w:rPr>
              <w:t>Institutional Monitoring</w:t>
            </w:r>
          </w:p>
        </w:tc>
        <w:tc>
          <w:tcPr>
            <w:tcW w:type="dxa" w:w="3118"/>
            <w:shd w:val="clear" w:color="auto" w:fill="D9D9D9"/>
          </w:tcPr>
          <w:p>
            <w:pPr>
              <w:jc w:val="left"/>
            </w:pPr>
            <w:r/>
            <w:r>
              <w:rPr>
                <w:rFonts w:ascii="Cambria" w:hAnsi="Cambria" w:eastAsia="Cambria" w:cs="Cambria"/>
                <w:b w:val="0"/>
                <w:i w:val="0"/>
                <w:sz w:val="17"/>
              </w:rPr>
              <w:t>Quarterly reports to IQAC/Research Committee</w:t>
            </w:r>
          </w:p>
        </w:tc>
        <w:tc>
          <w:tcPr>
            <w:tcW w:type="dxa" w:w="3005"/>
            <w:shd w:val="clear" w:color="auto" w:fill="D9D9D9"/>
          </w:tcPr>
          <w:p>
            <w:pPr>
              <w:jc w:val="center"/>
            </w:pPr>
            <w:r/>
            <w:r>
              <w:rPr>
                <w:rFonts w:ascii="Cambria" w:hAnsi="Cambria" w:eastAsia="Cambria" w:cs="Cambria"/>
                <w:b w:val="0"/>
                <w:i w:val="0"/>
                <w:sz w:val="17"/>
              </w:rPr>
              <w:t>25% YoY growth in funded projects</w:t>
            </w:r>
          </w:p>
        </w:tc>
      </w:tr>
      <w:tr>
        <w:tc>
          <w:tcPr>
            <w:tcW w:type="dxa" w:w="2551"/>
          </w:tcPr>
          <w:p>
            <w:pPr>
              <w:jc w:val="center"/>
            </w:pPr>
            <w:r/>
            <w:r>
              <w:rPr>
                <w:rFonts w:ascii="Cambria" w:hAnsi="Cambria" w:eastAsia="Cambria" w:cs="Cambria"/>
                <w:b w:val="0"/>
                <w:i w:val="0"/>
                <w:sz w:val="17"/>
              </w:rPr>
              <w:t>Interdisciplinary Work</w:t>
            </w:r>
          </w:p>
        </w:tc>
        <w:tc>
          <w:tcPr>
            <w:tcW w:type="dxa" w:w="3118"/>
          </w:tcPr>
          <w:p>
            <w:pPr>
              <w:jc w:val="left"/>
            </w:pPr>
            <w:r/>
            <w:r>
              <w:rPr>
                <w:rFonts w:ascii="Cambria" w:hAnsi="Cambria" w:eastAsia="Cambria" w:cs="Cambria"/>
                <w:b w:val="0"/>
                <w:i w:val="0"/>
                <w:sz w:val="17"/>
              </w:rPr>
              <w:t>Risk registers, MoUs, project reports</w:t>
            </w:r>
          </w:p>
        </w:tc>
        <w:tc>
          <w:tcPr>
            <w:tcW w:type="dxa" w:w="3005"/>
          </w:tcPr>
          <w:p>
            <w:pPr>
              <w:jc w:val="center"/>
            </w:pPr>
            <w:r/>
            <w:r>
              <w:rPr>
                <w:rFonts w:ascii="Cambria" w:hAnsi="Cambria" w:eastAsia="Cambria" w:cs="Cambria"/>
                <w:b w:val="0"/>
                <w:i w:val="0"/>
                <w:sz w:val="17"/>
              </w:rPr>
              <w:t>6 interdisciplinary projects initiated</w:t>
            </w:r>
          </w:p>
        </w:tc>
      </w:tr>
    </w:tbl>
    <w:p>
      <w:pPr>
        <w:spacing w:before="200" w:after="160"/>
      </w:pPr>
      <w:r>
        <w:rPr>
          <w:rFonts w:ascii="Cambria" w:hAnsi="Cambria" w:eastAsia="Cambria" w:cs="Cambria"/>
          <w:b/>
          <w:i w:val="0"/>
          <w:color w:val="1F3A5F"/>
          <w:sz w:val="26"/>
        </w:rPr>
        <w:t>Before vs After Monthly Research Meetings</w:t>
      </w:r>
    </w:p>
    <w:tbl>
      <w:tblPr>
        <w:tblW w:type="auto" w:w="0"/>
        <w:jc w:val="center"/>
        <w:tblLayout w:type="fixed"/>
        <w:tblLook w:firstColumn="1" w:firstRow="1" w:lastColumn="0" w:lastRow="0" w:noHBand="0" w:noVBand="1" w:val="04A0"/>
        <w:tblLayout w:type="fixed"/>
      </w:tblPr>
      <w:tblGrid>
        <w:gridCol w:w="2154"/>
        <w:gridCol w:w="3118"/>
        <w:gridCol w:w="3118"/>
      </w:tblGrid>
      <w:tr>
        <w:tc>
          <w:tcPr>
            <w:tcW w:type="dxa" w:w="2154"/>
            <w:shd w:val="clear" w:color="auto" w:fill="1F3A5F"/>
          </w:tcPr>
          <w:p>
            <w:pPr>
              <w:jc w:val="center"/>
            </w:pPr>
            <w:r/>
            <w:r>
              <w:rPr>
                <w:rFonts w:ascii="Cambria" w:hAnsi="Cambria" w:eastAsia="Cambria" w:cs="Cambria"/>
                <w:b/>
                <w:i w:val="0"/>
                <w:color w:val="FFFFFF"/>
                <w:sz w:val="17"/>
              </w:rPr>
              <w:t>Indicator</w:t>
            </w:r>
          </w:p>
        </w:tc>
        <w:tc>
          <w:tcPr>
            <w:tcW w:type="dxa" w:w="3118"/>
            <w:shd w:val="clear" w:color="auto" w:fill="1F3A5F"/>
          </w:tcPr>
          <w:p>
            <w:pPr>
              <w:jc w:val="center"/>
            </w:pPr>
            <w:r/>
            <w:r>
              <w:rPr>
                <w:rFonts w:ascii="Cambria" w:hAnsi="Cambria" w:eastAsia="Cambria" w:cs="Cambria"/>
                <w:b/>
                <w:i w:val="0"/>
                <w:color w:val="FFFFFF"/>
                <w:sz w:val="17"/>
              </w:rPr>
              <w:t>Before Structured Monthly Meetings</w:t>
            </w:r>
          </w:p>
        </w:tc>
        <w:tc>
          <w:tcPr>
            <w:tcW w:type="dxa" w:w="3118"/>
            <w:shd w:val="clear" w:color="auto" w:fill="1F3A5F"/>
          </w:tcPr>
          <w:p>
            <w:pPr>
              <w:jc w:val="center"/>
            </w:pPr>
            <w:r/>
            <w:r>
              <w:rPr>
                <w:rFonts w:ascii="Cambria" w:hAnsi="Cambria" w:eastAsia="Cambria" w:cs="Cambria"/>
                <w:b/>
                <w:i w:val="0"/>
                <w:color w:val="FFFFFF"/>
                <w:sz w:val="17"/>
              </w:rPr>
              <w:t>After 3 Years of Structured Monthly Meetings</w:t>
            </w:r>
          </w:p>
        </w:tc>
      </w:tr>
      <w:tr>
        <w:tc>
          <w:tcPr>
            <w:tcW w:type="dxa" w:w="2154"/>
          </w:tcPr>
          <w:p>
            <w:pPr>
              <w:jc w:val="center"/>
            </w:pPr>
            <w:r/>
            <w:r>
              <w:rPr>
                <w:rFonts w:ascii="Cambria" w:hAnsi="Cambria" w:eastAsia="Cambria" w:cs="Cambria"/>
                <w:b w:val="0"/>
                <w:i w:val="0"/>
                <w:sz w:val="15"/>
              </w:rPr>
              <w:t>Project Monitoring</w:t>
            </w:r>
          </w:p>
        </w:tc>
        <w:tc>
          <w:tcPr>
            <w:tcW w:type="dxa" w:w="3118"/>
          </w:tcPr>
          <w:p>
            <w:pPr>
              <w:jc w:val="left"/>
            </w:pPr>
            <w:r/>
            <w:r>
              <w:rPr>
                <w:rFonts w:ascii="Cambria" w:hAnsi="Cambria" w:eastAsia="Cambria" w:cs="Cambria"/>
                <w:b w:val="0"/>
                <w:i w:val="0"/>
                <w:sz w:val="15"/>
              </w:rPr>
              <w:t>Ad-hoc, progress checked only at semester-end or during external reviews.</w:t>
            </w:r>
          </w:p>
        </w:tc>
        <w:tc>
          <w:tcPr>
            <w:tcW w:type="dxa" w:w="3118"/>
          </w:tcPr>
          <w:p>
            <w:pPr>
              <w:jc w:val="center"/>
            </w:pPr>
            <w:r/>
            <w:r>
              <w:rPr>
                <w:rFonts w:ascii="Cambria" w:hAnsi="Cambria" w:eastAsia="Cambria" w:cs="Cambria"/>
                <w:b w:val="0"/>
                <w:i w:val="0"/>
                <w:sz w:val="15"/>
              </w:rPr>
              <w:t>Monthly dashboards track milestones, risks, and deliverables with traffic-light status.</w:t>
            </w:r>
          </w:p>
        </w:tc>
      </w:tr>
      <w:tr>
        <w:tc>
          <w:tcPr>
            <w:tcW w:type="dxa" w:w="2154"/>
            <w:shd w:val="clear" w:color="auto" w:fill="D9D9D9"/>
          </w:tcPr>
          <w:p>
            <w:pPr>
              <w:jc w:val="center"/>
            </w:pPr>
            <w:r/>
            <w:r>
              <w:rPr>
                <w:rFonts w:ascii="Cambria" w:hAnsi="Cambria" w:eastAsia="Cambria" w:cs="Cambria"/>
                <w:b w:val="0"/>
                <w:i w:val="0"/>
                <w:sz w:val="15"/>
              </w:rPr>
              <w:t>Accountability</w:t>
            </w:r>
          </w:p>
        </w:tc>
        <w:tc>
          <w:tcPr>
            <w:tcW w:type="dxa" w:w="3118"/>
            <w:shd w:val="clear" w:color="auto" w:fill="D9D9D9"/>
          </w:tcPr>
          <w:p>
            <w:pPr>
              <w:jc w:val="left"/>
            </w:pPr>
            <w:r/>
            <w:r>
              <w:rPr>
                <w:rFonts w:ascii="Cambria" w:hAnsi="Cambria" w:eastAsia="Cambria" w:cs="Cambria"/>
                <w:b w:val="0"/>
                <w:i w:val="0"/>
                <w:sz w:val="15"/>
              </w:rPr>
              <w:t>Limited responsibility; delays often unnoticed until deadlines passed.</w:t>
            </w:r>
          </w:p>
        </w:tc>
        <w:tc>
          <w:tcPr>
            <w:tcW w:type="dxa" w:w="3118"/>
            <w:shd w:val="clear" w:color="auto" w:fill="D9D9D9"/>
          </w:tcPr>
          <w:p>
            <w:pPr>
              <w:jc w:val="center"/>
            </w:pPr>
            <w:r/>
            <w:r>
              <w:rPr>
                <w:rFonts w:ascii="Cambria" w:hAnsi="Cambria" w:eastAsia="Cambria" w:cs="Cambria"/>
                <w:b w:val="0"/>
                <w:i w:val="0"/>
                <w:sz w:val="15"/>
              </w:rPr>
              <w:t>MoM with action logs ensures clear accountability and faster corrective action.</w:t>
            </w:r>
          </w:p>
        </w:tc>
      </w:tr>
      <w:tr>
        <w:tc>
          <w:tcPr>
            <w:tcW w:type="dxa" w:w="2154"/>
          </w:tcPr>
          <w:p>
            <w:pPr>
              <w:jc w:val="center"/>
            </w:pPr>
            <w:r/>
            <w:r>
              <w:rPr>
                <w:rFonts w:ascii="Cambria" w:hAnsi="Cambria" w:eastAsia="Cambria" w:cs="Cambria"/>
                <w:b w:val="0"/>
                <w:i w:val="0"/>
                <w:sz w:val="15"/>
              </w:rPr>
              <w:t>Milestone Timeliness</w:t>
            </w:r>
          </w:p>
        </w:tc>
        <w:tc>
          <w:tcPr>
            <w:tcW w:type="dxa" w:w="3118"/>
          </w:tcPr>
          <w:p>
            <w:pPr>
              <w:jc w:val="left"/>
            </w:pPr>
            <w:r/>
            <w:r>
              <w:rPr>
                <w:rFonts w:ascii="Cambria" w:hAnsi="Cambria" w:eastAsia="Cambria" w:cs="Cambria"/>
                <w:b w:val="0"/>
                <w:i w:val="0"/>
                <w:sz w:val="15"/>
              </w:rPr>
              <w:t>~60% of project milestones achieved on time.</w:t>
            </w:r>
          </w:p>
        </w:tc>
        <w:tc>
          <w:tcPr>
            <w:tcW w:type="dxa" w:w="3118"/>
          </w:tcPr>
          <w:p>
            <w:pPr>
              <w:jc w:val="center"/>
            </w:pPr>
            <w:r/>
            <w:r>
              <w:rPr>
                <w:rFonts w:ascii="Cambria" w:hAnsi="Cambria" w:eastAsia="Cambria" w:cs="Cambria"/>
                <w:b w:val="0"/>
                <w:i w:val="0"/>
                <w:sz w:val="15"/>
              </w:rPr>
              <w:t>~90% milestones achieved on time; delays reduced by 25%.</w:t>
            </w:r>
          </w:p>
        </w:tc>
      </w:tr>
      <w:tr>
        <w:tc>
          <w:tcPr>
            <w:tcW w:type="dxa" w:w="2154"/>
            <w:shd w:val="clear" w:color="auto" w:fill="D9D9D9"/>
          </w:tcPr>
          <w:p>
            <w:pPr>
              <w:jc w:val="center"/>
            </w:pPr>
            <w:r/>
            <w:r>
              <w:rPr>
                <w:rFonts w:ascii="Cambria" w:hAnsi="Cambria" w:eastAsia="Cambria" w:cs="Cambria"/>
                <w:b w:val="0"/>
                <w:i w:val="0"/>
                <w:sz w:val="15"/>
              </w:rPr>
              <w:t>Faculty Engagement in Research</w:t>
            </w:r>
          </w:p>
        </w:tc>
        <w:tc>
          <w:tcPr>
            <w:tcW w:type="dxa" w:w="3118"/>
            <w:shd w:val="clear" w:color="auto" w:fill="D9D9D9"/>
          </w:tcPr>
          <w:p>
            <w:pPr>
              <w:jc w:val="left"/>
            </w:pPr>
            <w:r/>
            <w:r>
              <w:rPr>
                <w:rFonts w:ascii="Cambria" w:hAnsi="Cambria" w:eastAsia="Cambria" w:cs="Cambria"/>
                <w:b w:val="0"/>
                <w:i w:val="0"/>
                <w:sz w:val="15"/>
              </w:rPr>
              <w:t>25–30% faculty actively engaged in projects.</w:t>
            </w:r>
          </w:p>
        </w:tc>
        <w:tc>
          <w:tcPr>
            <w:tcW w:type="dxa" w:w="3118"/>
            <w:shd w:val="clear" w:color="auto" w:fill="D9D9D9"/>
          </w:tcPr>
          <w:p>
            <w:pPr>
              <w:jc w:val="center"/>
            </w:pPr>
            <w:r/>
            <w:r>
              <w:rPr>
                <w:rFonts w:ascii="Cambria" w:hAnsi="Cambria" w:eastAsia="Cambria" w:cs="Cambria"/>
                <w:b w:val="0"/>
                <w:i w:val="0"/>
                <w:sz w:val="15"/>
              </w:rPr>
              <w:t>65% faculty engaged in funded/active projects.</w:t>
            </w:r>
          </w:p>
        </w:tc>
      </w:tr>
      <w:tr>
        <w:tc>
          <w:tcPr>
            <w:tcW w:type="dxa" w:w="2154"/>
          </w:tcPr>
          <w:p>
            <w:pPr>
              <w:jc w:val="center"/>
            </w:pPr>
            <w:r/>
            <w:r>
              <w:rPr>
                <w:rFonts w:ascii="Cambria" w:hAnsi="Cambria" w:eastAsia="Cambria" w:cs="Cambria"/>
                <w:b w:val="0"/>
                <w:i w:val="0"/>
                <w:sz w:val="15"/>
              </w:rPr>
              <w:t>Research Outputs</w:t>
            </w:r>
          </w:p>
        </w:tc>
        <w:tc>
          <w:tcPr>
            <w:tcW w:type="dxa" w:w="3118"/>
          </w:tcPr>
          <w:p>
            <w:pPr>
              <w:jc w:val="left"/>
            </w:pPr>
            <w:r/>
            <w:r>
              <w:rPr>
                <w:rFonts w:ascii="Cambria" w:hAnsi="Cambria" w:eastAsia="Cambria" w:cs="Cambria"/>
                <w:b w:val="0"/>
                <w:i w:val="0"/>
                <w:sz w:val="15"/>
              </w:rPr>
              <w:t>~10 publications/year; 1–2 patents filed occasionally.</w:t>
            </w:r>
          </w:p>
        </w:tc>
        <w:tc>
          <w:tcPr>
            <w:tcW w:type="dxa" w:w="3118"/>
          </w:tcPr>
          <w:p>
            <w:pPr>
              <w:jc w:val="center"/>
            </w:pPr>
            <w:r/>
            <w:r>
              <w:rPr>
                <w:rFonts w:ascii="Cambria" w:hAnsi="Cambria" w:eastAsia="Cambria" w:cs="Cambria"/>
                <w:b w:val="0"/>
                <w:i w:val="0"/>
                <w:sz w:val="15"/>
              </w:rPr>
              <w:t>~40 publications/year; 8 patents filed in 3 years.</w:t>
            </w:r>
          </w:p>
        </w:tc>
      </w:tr>
      <w:tr>
        <w:tc>
          <w:tcPr>
            <w:tcW w:type="dxa" w:w="2154"/>
            <w:shd w:val="clear" w:color="auto" w:fill="D9D9D9"/>
          </w:tcPr>
          <w:p>
            <w:pPr>
              <w:jc w:val="center"/>
            </w:pPr>
            <w:r/>
            <w:r>
              <w:rPr>
                <w:rFonts w:ascii="Cambria" w:hAnsi="Cambria" w:eastAsia="Cambria" w:cs="Cambria"/>
                <w:b w:val="0"/>
                <w:i w:val="0"/>
                <w:sz w:val="15"/>
              </w:rPr>
              <w:t>Industry/Interdisciplinary Collaboration</w:t>
            </w:r>
          </w:p>
        </w:tc>
        <w:tc>
          <w:tcPr>
            <w:tcW w:type="dxa" w:w="3118"/>
            <w:shd w:val="clear" w:color="auto" w:fill="D9D9D9"/>
          </w:tcPr>
          <w:p>
            <w:pPr>
              <w:jc w:val="left"/>
            </w:pPr>
            <w:r/>
            <w:r>
              <w:rPr>
                <w:rFonts w:ascii="Cambria" w:hAnsi="Cambria" w:eastAsia="Cambria" w:cs="Cambria"/>
                <w:b w:val="0"/>
                <w:i w:val="0"/>
                <w:sz w:val="15"/>
              </w:rPr>
              <w:t>Sporadic collaborations; mostly symbolic MoUs.</w:t>
            </w:r>
          </w:p>
        </w:tc>
        <w:tc>
          <w:tcPr>
            <w:tcW w:type="dxa" w:w="3118"/>
            <w:shd w:val="clear" w:color="auto" w:fill="D9D9D9"/>
          </w:tcPr>
          <w:p>
            <w:pPr>
              <w:jc w:val="center"/>
            </w:pPr>
            <w:r/>
            <w:r>
              <w:rPr>
                <w:rFonts w:ascii="Cambria" w:hAnsi="Cambria" w:eastAsia="Cambria" w:cs="Cambria"/>
                <w:b w:val="0"/>
                <w:i w:val="0"/>
                <w:sz w:val="15"/>
              </w:rPr>
              <w:t>6 active interdisciplinary projects + consultancy revenue ↑ 30% YoY.</w:t>
            </w:r>
          </w:p>
        </w:tc>
      </w:tr>
      <w:tr>
        <w:tc>
          <w:tcPr>
            <w:tcW w:type="dxa" w:w="2154"/>
          </w:tcPr>
          <w:p>
            <w:pPr>
              <w:jc w:val="center"/>
            </w:pPr>
            <w:r/>
            <w:r>
              <w:rPr>
                <w:rFonts w:ascii="Cambria" w:hAnsi="Cambria" w:eastAsia="Cambria" w:cs="Cambria"/>
                <w:b w:val="0"/>
                <w:i w:val="0"/>
                <w:sz w:val="15"/>
              </w:rPr>
              <w:t>Institutional Reporting</w:t>
            </w:r>
          </w:p>
        </w:tc>
        <w:tc>
          <w:tcPr>
            <w:tcW w:type="dxa" w:w="3118"/>
          </w:tcPr>
          <w:p>
            <w:pPr>
              <w:jc w:val="left"/>
            </w:pPr>
            <w:r/>
            <w:r>
              <w:rPr>
                <w:rFonts w:ascii="Cambria" w:hAnsi="Cambria" w:eastAsia="Cambria" w:cs="Cambria"/>
                <w:b w:val="0"/>
                <w:i w:val="0"/>
                <w:sz w:val="15"/>
              </w:rPr>
              <w:t>Reports prepared only when demanded by external agencies.</w:t>
            </w:r>
          </w:p>
        </w:tc>
        <w:tc>
          <w:tcPr>
            <w:tcW w:type="dxa" w:w="3118"/>
          </w:tcPr>
          <w:p>
            <w:pPr>
              <w:jc w:val="center"/>
            </w:pPr>
            <w:r/>
            <w:r>
              <w:rPr>
                <w:rFonts w:ascii="Cambria" w:hAnsi="Cambria" w:eastAsia="Cambria" w:cs="Cambria"/>
                <w:b w:val="0"/>
                <w:i w:val="0"/>
                <w:sz w:val="15"/>
              </w:rPr>
              <w:t>Quarterly progress reports submitted to IQAC/Research Committee; continuous improvement ensured.</w:t>
            </w:r>
          </w:p>
        </w:tc>
      </w:tr>
    </w:tbl>
    <w:p>
      <w:pPr>
        <w:spacing w:line="276" w:lineRule="auto" w:after="120"/>
        <w:jc w:val="both"/>
      </w:pPr>
      <w:r>
        <w:rPr>
          <w:rFonts w:ascii="Cambria" w:hAnsi="Cambria" w:eastAsia="Cambria" w:cs="Cambria"/>
          <w:b/>
          <w:i w:val="0"/>
          <w:sz w:val="22"/>
        </w:rPr>
        <w:t>Accountability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Monthly meetings create a formal review mechanism where every project is tracked against deadlines.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MoM with action logs assigns responsibility to faculty, scholars, and coordinators, ensuring clear ownership of tasks.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Project risk registers document bottlenecks and assign mitigation actions to responsible persons.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Outcomes are reported to IQAC/Research Committees, embedding accountability at the institutional level.</w:t>
      </w:r>
    </w:p>
    <w:p>
      <w:pPr>
        <w:spacing w:line="276" w:lineRule="auto" w:after="120"/>
        <w:jc w:val="both"/>
      </w:pPr>
      <w:r>
        <w:rPr>
          <w:rFonts w:ascii="Cambria" w:hAnsi="Cambria" w:eastAsia="Cambria" w:cs="Cambria"/>
          <w:b/>
          <w:i w:val="0"/>
          <w:sz w:val="22"/>
        </w:rPr>
        <w:t>Collaboration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Meetings bring together faculty, scholars, industry partners, and collaborators to discuss project progress.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Interdisciplinary thrust areas are reviewed collectively, encouraging knowledge exchange.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Industry experts and partner universities are invited for project reviews, strengthening academia–industry collaboration.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Facilitates joint projects, consultancy, and co-authored publications/patents.</w:t>
      </w:r>
    </w:p>
    <w:p>
      <w:pPr>
        <w:spacing w:line="276" w:lineRule="auto" w:after="120"/>
        <w:jc w:val="both"/>
      </w:pPr>
      <w:r>
        <w:rPr>
          <w:rFonts w:ascii="Cambria" w:hAnsi="Cambria" w:eastAsia="Cambria" w:cs="Cambria"/>
          <w:b/>
          <w:i w:val="0"/>
          <w:sz w:val="22"/>
        </w:rPr>
        <w:t>Continuous Improvement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Monthly tracking ensures delays and risks are identified early, allowing timely corrective measures.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Year-on-year growth proves the improvement cycle: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Milestone achievement improved from 60% → 90%.</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Publications increased from 12 → 40.</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Patents filed grew from 2 → 8.</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Faculty research engagement rose from 30% → 65%.</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Quarterly and annual reports submitted to IQAC provide a feedback loop for evolving policies, funding strategies, and collaborations.</w:t>
      </w:r>
    </w:p>
    <w:p>
      <w:pPr>
        <w:spacing w:before="200" w:after="160"/>
      </w:pPr>
      <w:r>
        <w:rPr>
          <w:rFonts w:ascii="Cambria" w:hAnsi="Cambria" w:eastAsia="Cambria" w:cs="Cambria"/>
          <w:b/>
          <w:i w:val="0"/>
          <w:color w:val="1F3A5F"/>
          <w:sz w:val="26"/>
        </w:rPr>
        <w:t>Summary Table</w:t>
      </w:r>
    </w:p>
    <w:tbl>
      <w:tblPr>
        <w:tblW w:type="auto" w:w="0"/>
        <w:jc w:val="center"/>
        <w:tblLayout w:type="fixed"/>
        <w:tblLook w:firstColumn="1" w:firstRow="1" w:lastColumn="0" w:lastRow="0" w:noHBand="0" w:noVBand="1" w:val="04A0"/>
        <w:tblLayout w:type="fixed"/>
      </w:tblPr>
      <w:tblGrid>
        <w:gridCol w:w="1701"/>
        <w:gridCol w:w="2551"/>
        <w:gridCol w:w="2154"/>
        <w:gridCol w:w="2835"/>
      </w:tblGrid>
      <w:tr>
        <w:tc>
          <w:tcPr>
            <w:tcW w:type="dxa" w:w="1701"/>
            <w:shd w:val="clear" w:color="auto" w:fill="1F3A5F"/>
          </w:tcPr>
          <w:p>
            <w:pPr>
              <w:jc w:val="center"/>
            </w:pPr>
            <w:r/>
            <w:r>
              <w:rPr>
                <w:rFonts w:ascii="Cambria" w:hAnsi="Cambria" w:eastAsia="Cambria" w:cs="Cambria"/>
                <w:b/>
                <w:i w:val="0"/>
                <w:color w:val="FFFFFF"/>
                <w:sz w:val="17"/>
              </w:rPr>
              <w:t>Dimension</w:t>
            </w:r>
          </w:p>
        </w:tc>
        <w:tc>
          <w:tcPr>
            <w:tcW w:type="dxa" w:w="2551"/>
            <w:shd w:val="clear" w:color="auto" w:fill="1F3A5F"/>
          </w:tcPr>
          <w:p>
            <w:pPr>
              <w:jc w:val="center"/>
            </w:pPr>
            <w:r/>
            <w:r>
              <w:rPr>
                <w:rFonts w:ascii="Cambria" w:hAnsi="Cambria" w:eastAsia="Cambria" w:cs="Cambria"/>
                <w:b/>
                <w:i w:val="0"/>
                <w:color w:val="FFFFFF"/>
                <w:sz w:val="17"/>
              </w:rPr>
              <w:t>How HoD Embeds It</w:t>
            </w:r>
          </w:p>
        </w:tc>
        <w:tc>
          <w:tcPr>
            <w:tcW w:type="dxa" w:w="2154"/>
            <w:shd w:val="clear" w:color="auto" w:fill="1F3A5F"/>
          </w:tcPr>
          <w:p>
            <w:pPr>
              <w:jc w:val="center"/>
            </w:pPr>
            <w:r/>
            <w:r>
              <w:rPr>
                <w:rFonts w:ascii="Cambria" w:hAnsi="Cambria" w:eastAsia="Cambria" w:cs="Cambria"/>
                <w:b/>
                <w:i w:val="0"/>
                <w:color w:val="FFFFFF"/>
                <w:sz w:val="17"/>
              </w:rPr>
              <w:t>Evidence</w:t>
            </w:r>
          </w:p>
        </w:tc>
        <w:tc>
          <w:tcPr>
            <w:tcW w:type="dxa" w:w="2835"/>
            <w:shd w:val="clear" w:color="auto" w:fill="1F3A5F"/>
          </w:tcPr>
          <w:p>
            <w:pPr>
              <w:jc w:val="center"/>
            </w:pPr>
            <w:r/>
            <w:r>
              <w:rPr>
                <w:rFonts w:ascii="Cambria" w:hAnsi="Cambria" w:eastAsia="Cambria" w:cs="Cambria"/>
                <w:b/>
                <w:i w:val="0"/>
                <w:color w:val="FFFFFF"/>
                <w:sz w:val="17"/>
              </w:rPr>
              <w:t>Outcome</w:t>
            </w:r>
          </w:p>
        </w:tc>
      </w:tr>
      <w:tr>
        <w:tc>
          <w:tcPr>
            <w:tcW w:type="dxa" w:w="1701"/>
          </w:tcPr>
          <w:p>
            <w:pPr>
              <w:jc w:val="center"/>
            </w:pPr>
            <w:r/>
            <w:r>
              <w:rPr>
                <w:rFonts w:ascii="Cambria" w:hAnsi="Cambria" w:eastAsia="Cambria" w:cs="Cambria"/>
                <w:b w:val="0"/>
                <w:i w:val="0"/>
                <w:sz w:val="16"/>
              </w:rPr>
              <w:t>Accountability</w:t>
            </w:r>
          </w:p>
        </w:tc>
        <w:tc>
          <w:tcPr>
            <w:tcW w:type="dxa" w:w="2551"/>
          </w:tcPr>
          <w:p>
            <w:pPr>
              <w:jc w:val="left"/>
            </w:pPr>
            <w:r/>
            <w:r>
              <w:rPr>
                <w:rFonts w:ascii="Cambria" w:hAnsi="Cambria" w:eastAsia="Cambria" w:cs="Cambria"/>
                <w:b w:val="0"/>
                <w:i w:val="0"/>
                <w:sz w:val="16"/>
              </w:rPr>
              <w:t>Assigns responsibilities with deadlines in MoM.</w:t>
            </w:r>
          </w:p>
        </w:tc>
        <w:tc>
          <w:tcPr>
            <w:tcW w:type="dxa" w:w="2154"/>
          </w:tcPr>
          <w:p>
            <w:pPr>
              <w:jc w:val="center"/>
            </w:pPr>
            <w:r/>
            <w:r>
              <w:rPr>
                <w:rFonts w:ascii="Cambria" w:hAnsi="Cambria" w:eastAsia="Cambria" w:cs="Cambria"/>
                <w:b w:val="0"/>
                <w:i w:val="0"/>
                <w:sz w:val="16"/>
              </w:rPr>
              <w:t>Action logs, risk register.</w:t>
            </w:r>
          </w:p>
        </w:tc>
        <w:tc>
          <w:tcPr>
            <w:tcW w:type="dxa" w:w="2835"/>
          </w:tcPr>
          <w:p>
            <w:pPr>
              <w:jc w:val="center"/>
            </w:pPr>
            <w:r/>
            <w:r>
              <w:rPr>
                <w:rFonts w:ascii="Cambria" w:hAnsi="Cambria" w:eastAsia="Cambria" w:cs="Cambria"/>
                <w:b w:val="0"/>
                <w:i w:val="0"/>
                <w:sz w:val="16"/>
              </w:rPr>
              <w:t>Timely corrective action; project delays reduced by 25%.</w:t>
            </w:r>
          </w:p>
        </w:tc>
      </w:tr>
      <w:tr>
        <w:tc>
          <w:tcPr>
            <w:tcW w:type="dxa" w:w="1701"/>
            <w:shd w:val="clear" w:color="auto" w:fill="D9D9D9"/>
          </w:tcPr>
          <w:p>
            <w:pPr>
              <w:jc w:val="center"/>
            </w:pPr>
            <w:r/>
            <w:r>
              <w:rPr>
                <w:rFonts w:ascii="Cambria" w:hAnsi="Cambria" w:eastAsia="Cambria" w:cs="Cambria"/>
                <w:b w:val="0"/>
                <w:i w:val="0"/>
                <w:sz w:val="16"/>
              </w:rPr>
              <w:t>Collaboration</w:t>
            </w:r>
          </w:p>
        </w:tc>
        <w:tc>
          <w:tcPr>
            <w:tcW w:type="dxa" w:w="2551"/>
            <w:shd w:val="clear" w:color="auto" w:fill="D9D9D9"/>
          </w:tcPr>
          <w:p>
            <w:pPr>
              <w:jc w:val="left"/>
            </w:pPr>
            <w:r/>
            <w:r>
              <w:rPr>
                <w:rFonts w:ascii="Cambria" w:hAnsi="Cambria" w:eastAsia="Cambria" w:cs="Cambria"/>
                <w:b w:val="0"/>
                <w:i w:val="0"/>
                <w:sz w:val="16"/>
              </w:rPr>
              <w:t>Encourages joint reviews across thrust areas, industry, and academia.</w:t>
            </w:r>
          </w:p>
        </w:tc>
        <w:tc>
          <w:tcPr>
            <w:tcW w:type="dxa" w:w="2154"/>
            <w:shd w:val="clear" w:color="auto" w:fill="D9D9D9"/>
          </w:tcPr>
          <w:p>
            <w:pPr>
              <w:jc w:val="center"/>
            </w:pPr>
            <w:r/>
            <w:r>
              <w:rPr>
                <w:rFonts w:ascii="Cambria" w:hAnsi="Cambria" w:eastAsia="Cambria" w:cs="Cambria"/>
                <w:b w:val="0"/>
                <w:i w:val="0"/>
                <w:sz w:val="16"/>
              </w:rPr>
              <w:t>Attendance sheets, MoUs, consultancy agreements.</w:t>
            </w:r>
          </w:p>
        </w:tc>
        <w:tc>
          <w:tcPr>
            <w:tcW w:type="dxa" w:w="2835"/>
            <w:shd w:val="clear" w:color="auto" w:fill="D9D9D9"/>
          </w:tcPr>
          <w:p>
            <w:pPr>
              <w:jc w:val="center"/>
            </w:pPr>
            <w:r/>
            <w:r>
              <w:rPr>
                <w:rFonts w:ascii="Cambria" w:hAnsi="Cambria" w:eastAsia="Cambria" w:cs="Cambria"/>
                <w:b w:val="0"/>
                <w:i w:val="0"/>
                <w:sz w:val="16"/>
              </w:rPr>
              <w:t>6 interdisciplinary projects; consultancy revenue ↑30% YoY.</w:t>
            </w:r>
          </w:p>
        </w:tc>
      </w:tr>
      <w:tr>
        <w:tc>
          <w:tcPr>
            <w:tcW w:type="dxa" w:w="1701"/>
          </w:tcPr>
          <w:p>
            <w:pPr>
              <w:jc w:val="center"/>
            </w:pPr>
            <w:r/>
            <w:r>
              <w:rPr>
                <w:rFonts w:ascii="Cambria" w:hAnsi="Cambria" w:eastAsia="Cambria" w:cs="Cambria"/>
                <w:b w:val="0"/>
                <w:i w:val="0"/>
                <w:sz w:val="16"/>
              </w:rPr>
              <w:t>Continuous Improvement</w:t>
            </w:r>
          </w:p>
        </w:tc>
        <w:tc>
          <w:tcPr>
            <w:tcW w:type="dxa" w:w="2551"/>
          </w:tcPr>
          <w:p>
            <w:pPr>
              <w:jc w:val="left"/>
            </w:pPr>
            <w:r/>
            <w:r>
              <w:rPr>
                <w:rFonts w:ascii="Cambria" w:hAnsi="Cambria" w:eastAsia="Cambria" w:cs="Cambria"/>
                <w:b w:val="0"/>
                <w:i w:val="0"/>
                <w:sz w:val="16"/>
              </w:rPr>
              <w:t>Regular reviews + IQAC reporting + PDCA cycle.</w:t>
            </w:r>
          </w:p>
        </w:tc>
        <w:tc>
          <w:tcPr>
            <w:tcW w:type="dxa" w:w="2154"/>
          </w:tcPr>
          <w:p>
            <w:pPr>
              <w:jc w:val="center"/>
            </w:pPr>
            <w:r/>
            <w:r>
              <w:rPr>
                <w:rFonts w:ascii="Cambria" w:hAnsi="Cambria" w:eastAsia="Cambria" w:cs="Cambria"/>
                <w:b w:val="0"/>
                <w:i w:val="0"/>
                <w:sz w:val="16"/>
              </w:rPr>
              <w:t>Dashboards, quarterly reports.</w:t>
            </w:r>
          </w:p>
        </w:tc>
        <w:tc>
          <w:tcPr>
            <w:tcW w:type="dxa" w:w="2835"/>
          </w:tcPr>
          <w:p>
            <w:pPr>
              <w:jc w:val="center"/>
            </w:pPr>
            <w:r/>
            <w:r>
              <w:rPr>
                <w:rFonts w:ascii="Cambria" w:hAnsi="Cambria" w:eastAsia="Cambria" w:cs="Cambria"/>
                <w:b w:val="0"/>
                <w:i w:val="0"/>
                <w:sz w:val="16"/>
              </w:rPr>
              <w:t>Publications ↑ from 12 → 40; patents ↑ from 2 → 8; faculty research engagement ↑ from 30% → 65%.</w:t>
            </w:r>
          </w:p>
        </w:tc>
      </w:tr>
    </w:tbl>
    <w:p>
      <w:r>
        <w:br w:type="page"/>
      </w:r>
    </w:p>
    <w:p>
      <w:pPr>
        <w:spacing w:before="280" w:after="160"/>
      </w:pPr>
      <w:r>
        <w:rPr>
          <w:rFonts w:ascii="Cambria" w:hAnsi="Cambria" w:eastAsia="Cambria" w:cs="Cambria"/>
          <w:b/>
          <w:i w:val="0"/>
          <w:color w:val="1F3A5F"/>
          <w:sz w:val="36"/>
        </w:rPr>
        <w:t>9. HoD’s responsibility to monitor the utilization of equipment purchased specially for R&amp;D purposes</w:t>
      </w:r>
    </w:p>
    <w:p>
      <w:pPr>
        <w:spacing w:before="200" w:after="160"/>
      </w:pPr>
      <w:r>
        <w:rPr>
          <w:rFonts w:ascii="Cambria" w:hAnsi="Cambria" w:eastAsia="Cambria" w:cs="Cambria"/>
          <w:b/>
          <w:i w:val="0"/>
          <w:color w:val="1F3A5F"/>
          <w:sz w:val="30"/>
        </w:rPr>
        <w:t>Policy Statement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The HoD ensures that all equipment procured for R&amp;D is optimally used, well-maintained, and linked to active research projects, not left idle.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Monitoring ensures accountability, transparency, and value for money, aligning with institutional R&amp;D goals, NAAC Criterion 4 (Infrastructure &amp; Learning Resources), and NBA Criterion 11 (R&amp;D, Innovation, Consultancy).</w:t>
      </w:r>
    </w:p>
    <w:p>
      <w:pPr>
        <w:spacing w:before="200" w:after="160"/>
      </w:pPr>
      <w:r>
        <w:rPr>
          <w:rFonts w:ascii="Cambria" w:hAnsi="Cambria" w:eastAsia="Cambria" w:cs="Cambria"/>
          <w:b/>
          <w:i w:val="0"/>
          <w:color w:val="1F3A5F"/>
          <w:sz w:val="30"/>
        </w:rPr>
        <w:t>Actions by HoD/Department</w:t>
      </w:r>
    </w:p>
    <w:p>
      <w:pPr>
        <w:spacing w:line="276" w:lineRule="auto" w:after="80"/>
        <w:ind w:left="357" w:hanging="357"/>
      </w:pPr>
      <w:r>
        <w:rPr>
          <w:rFonts w:ascii="Cambria" w:hAnsi="Cambria" w:eastAsia="Cambria" w:cs="Cambria"/>
          <w:b w:val="0"/>
          <w:i w:val="0"/>
          <w:sz w:val="22"/>
        </w:rPr>
        <w:t>1. Planning &amp; Procurement</w:t>
      </w:r>
    </w:p>
    <w:p>
      <w:pPr>
        <w:spacing w:line="276" w:lineRule="auto" w:after="80"/>
        <w:ind w:left="357" w:hanging="357"/>
      </w:pPr>
      <w:r>
        <w:rPr>
          <w:rFonts w:ascii="Cambria" w:hAnsi="Cambria" w:eastAsia="Cambria" w:cs="Cambria"/>
          <w:b w:val="0"/>
          <w:i w:val="0"/>
          <w:sz w:val="22"/>
        </w:rPr>
        <w:t>2. Allocation &amp; Access</w:t>
      </w:r>
    </w:p>
    <w:p>
      <w:pPr>
        <w:spacing w:line="276" w:lineRule="auto" w:after="80"/>
        <w:ind w:left="357" w:hanging="357"/>
      </w:pPr>
      <w:r>
        <w:rPr>
          <w:rFonts w:ascii="Cambria" w:hAnsi="Cambria" w:eastAsia="Cambria" w:cs="Cambria"/>
          <w:b w:val="0"/>
          <w:i w:val="0"/>
          <w:sz w:val="22"/>
        </w:rPr>
        <w:t>3. Monitoring Utilization</w:t>
      </w:r>
    </w:p>
    <w:p>
      <w:pPr>
        <w:spacing w:line="276" w:lineRule="auto" w:after="80"/>
        <w:ind w:left="357" w:hanging="357"/>
      </w:pPr>
      <w:r>
        <w:rPr>
          <w:rFonts w:ascii="Cambria" w:hAnsi="Cambria" w:eastAsia="Cambria" w:cs="Cambria"/>
          <w:b w:val="0"/>
          <w:i w:val="0"/>
          <w:sz w:val="22"/>
        </w:rPr>
        <w:t>4. Maintenance &amp; Calibration</w:t>
      </w:r>
    </w:p>
    <w:p>
      <w:pPr>
        <w:spacing w:line="276" w:lineRule="auto" w:after="80"/>
        <w:ind w:left="357" w:hanging="357"/>
      </w:pPr>
      <w:r>
        <w:rPr>
          <w:rFonts w:ascii="Cambria" w:hAnsi="Cambria" w:eastAsia="Cambria" w:cs="Cambria"/>
          <w:b w:val="0"/>
          <w:i w:val="0"/>
          <w:sz w:val="22"/>
        </w:rPr>
        <w:t>5. Integration with Research Outputs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Approve purchase of equipment only when linked to identified thrust areas and sanctioned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Maintain an Equipment Procurement Register with project codes, funding sources, and responsible faculty.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Assign faculty-in-charge/lab coordinators for each major equipment.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Develop usage policies (booking system, user training, access logs).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Extend access to faculty, scholars, and students across departments for interdisciplinary research.</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Maintain an Equipment Usage Register/Logbook (manual or digital).</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Track hours of usage per week/month, number of users, and types of projects supported.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Review usage data in monthly research meetings.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Schedule preventive maintenance and calibration cycles.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Maintain AMC (Annual Maintenance Contract) records.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Document downtime and repair logs.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Map equipment usage to publications, patents, and student theses.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Highlight utilization in annual R&amp;D reports submitted to IQAC/Research Committee.</w:t>
      </w:r>
    </w:p>
    <w:p>
      <w:pPr>
        <w:spacing w:before="200" w:after="160"/>
      </w:pPr>
      <w:r>
        <w:rPr>
          <w:rFonts w:ascii="Cambria" w:hAnsi="Cambria" w:eastAsia="Cambria" w:cs="Cambria"/>
          <w:b/>
          <w:i w:val="0"/>
          <w:color w:val="1F3A5F"/>
          <w:sz w:val="30"/>
        </w:rPr>
        <w:t>Evidence/Documents to Maintain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Equipment procurement records with funding source and project linkage.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Equipment allocation/nomination orders (faculty/lab-in-charge).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Equipment usage register/logbook (manual or digital).</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AMC/maintenance/calibration records.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Project reports showing use of equipment.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Publications, patents, and consultancy records citing equipment usage.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R&amp;D utilization report submitted to IQAC/Research Committee.</w:t>
      </w:r>
    </w:p>
    <w:p>
      <w:pPr>
        <w:spacing w:before="200" w:after="160"/>
      </w:pPr>
      <w:r>
        <w:rPr>
          <w:rFonts w:ascii="Cambria" w:hAnsi="Cambria" w:eastAsia="Cambria" w:cs="Cambria"/>
          <w:b/>
          <w:i w:val="0"/>
          <w:color w:val="1F3A5F"/>
          <w:sz w:val="30"/>
        </w:rPr>
        <w:t>Measurable Outcomes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Utilization rate: e.g., ≥ 75% of available hours used for research activities.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Cross-departmental usage: number of interdisciplinary projects using the equipment.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Research outputs: publications/patents acknowledging the use of the equipment.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Maintenance compliance: 100% equipment calibrated/serviced as per schedule.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ROI: Increase in consultancy/research revenue attributed to equipment usage.</w:t>
      </w:r>
    </w:p>
    <w:p>
      <w:pPr>
        <w:spacing w:before="200" w:after="160"/>
      </w:pPr>
      <w:r>
        <w:rPr>
          <w:rFonts w:ascii="Cambria" w:hAnsi="Cambria" w:eastAsia="Cambria" w:cs="Cambria"/>
          <w:b/>
          <w:i w:val="0"/>
          <w:color w:val="1F3A5F"/>
          <w:sz w:val="30"/>
        </w:rPr>
        <w:t>Evidence/Documents to Maintain (Detailed)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Equipment Procurement Records with Funding Source and Project Linkage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Purchase orders, quotations, and sanction letters.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Must clearly indicate funding agency (DST, UGC, CSR, AICTE, etc.) and the research project code the equipment supports.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accountability and alignment with sanctioned objectives.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Equipment Allocation/Nomination Orders (Faculty/Lab-in-Charge)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Orders nominating faculty coordinators or lab-in-charge responsible for specific equipment.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Provides clarity on accountability and operational oversight.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Equipment Usage Register/Logbook (Manual or Digital)</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Tracks who used the equipment, when, for how long, and for which project.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Can be integrated into a digital booking/monitoring system.</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Evidence that equipment is being actively utilized.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AMC/Maintenance/Calibration Records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Documentation of Annual Maintenance Contracts, repair logs, calibration certificates.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Proves that equipment is maintained in working condition.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Project Reports Showing Use of Equipment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Student dissertations, research scholar reports, faculty project documentation citing equipment use.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Demonstrates direct linkage between equipment and project outcomes.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Publications, Patents, and Consultancy Records Citing Equipment Usage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Research papers acknowledging equipment.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Patents/consultancy projects where equipment played a role.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Proves equipment contributes to measurable R&amp;D outputs.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R&amp;D Utilization Report Submitted to IQAC/Research Committee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Consolidated yearly report showing utilization hours, number of projects supported, interdisciplinary usage, and outputs.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Submitted for institutional monitoring and accreditation evidence (NAAC/NBA).</w:t>
      </w:r>
    </w:p>
    <w:p>
      <w:pPr>
        <w:spacing w:before="200" w:after="160"/>
      </w:pPr>
      <w:r>
        <w:rPr>
          <w:rFonts w:ascii="Cambria" w:hAnsi="Cambria" w:eastAsia="Cambria" w:cs="Cambria"/>
          <w:b/>
          <w:i w:val="0"/>
          <w:color w:val="1F3A5F"/>
          <w:sz w:val="26"/>
        </w:rPr>
        <w:t>Monitoring R&amp;D Equipment Utilization</w:t>
      </w:r>
    </w:p>
    <w:tbl>
      <w:tblPr>
        <w:tblW w:type="auto" w:w="0"/>
        <w:jc w:val="center"/>
        <w:tblLayout w:type="fixed"/>
        <w:tblLook w:firstColumn="1" w:firstRow="1" w:lastColumn="0" w:lastRow="0" w:noHBand="0" w:noVBand="1" w:val="04A0"/>
        <w:tblLayout w:type="fixed"/>
      </w:tblPr>
      <w:tblGrid>
        <w:gridCol w:w="1871"/>
        <w:gridCol w:w="2948"/>
        <w:gridCol w:w="2381"/>
        <w:gridCol w:w="3005"/>
      </w:tblGrid>
      <w:tr>
        <w:tc>
          <w:tcPr>
            <w:tcW w:type="dxa" w:w="1871"/>
            <w:shd w:val="clear" w:color="auto" w:fill="1F3A5F"/>
          </w:tcPr>
          <w:p>
            <w:pPr>
              <w:jc w:val="center"/>
            </w:pPr>
            <w:r/>
            <w:r>
              <w:rPr>
                <w:rFonts w:ascii="Cambria" w:hAnsi="Cambria" w:eastAsia="Cambria" w:cs="Cambria"/>
                <w:b/>
                <w:i w:val="0"/>
                <w:color w:val="FFFFFF"/>
                <w:sz w:val="17"/>
              </w:rPr>
              <w:t>Policy</w:t>
            </w:r>
          </w:p>
        </w:tc>
        <w:tc>
          <w:tcPr>
            <w:tcW w:type="dxa" w:w="2948"/>
            <w:shd w:val="clear" w:color="auto" w:fill="1F3A5F"/>
          </w:tcPr>
          <w:p>
            <w:pPr>
              <w:jc w:val="center"/>
            </w:pPr>
            <w:r/>
            <w:r>
              <w:rPr>
                <w:rFonts w:ascii="Cambria" w:hAnsi="Cambria" w:eastAsia="Cambria" w:cs="Cambria"/>
                <w:b/>
                <w:i w:val="0"/>
                <w:color w:val="FFFFFF"/>
                <w:sz w:val="17"/>
              </w:rPr>
              <w:t>Action by HoD/Department</w:t>
            </w:r>
          </w:p>
        </w:tc>
        <w:tc>
          <w:tcPr>
            <w:tcW w:type="dxa" w:w="2381"/>
            <w:shd w:val="clear" w:color="auto" w:fill="1F3A5F"/>
          </w:tcPr>
          <w:p>
            <w:pPr>
              <w:jc w:val="center"/>
            </w:pPr>
            <w:r/>
            <w:r>
              <w:rPr>
                <w:rFonts w:ascii="Cambria" w:hAnsi="Cambria" w:eastAsia="Cambria" w:cs="Cambria"/>
                <w:b/>
                <w:i w:val="0"/>
                <w:color w:val="FFFFFF"/>
                <w:sz w:val="17"/>
              </w:rPr>
              <w:t>Evidence/Documents</w:t>
            </w:r>
          </w:p>
        </w:tc>
        <w:tc>
          <w:tcPr>
            <w:tcW w:type="dxa" w:w="3005"/>
            <w:shd w:val="clear" w:color="auto" w:fill="1F3A5F"/>
          </w:tcPr>
          <w:p>
            <w:pPr>
              <w:jc w:val="center"/>
            </w:pPr>
            <w:r/>
            <w:r>
              <w:rPr>
                <w:rFonts w:ascii="Cambria" w:hAnsi="Cambria" w:eastAsia="Cambria" w:cs="Cambria"/>
                <w:b/>
                <w:i w:val="0"/>
                <w:color w:val="FFFFFF"/>
                <w:sz w:val="17"/>
              </w:rPr>
              <w:t>Outcome (Quantitative &amp; Qualitative)</w:t>
            </w:r>
          </w:p>
        </w:tc>
      </w:tr>
      <w:tr>
        <w:tc>
          <w:tcPr>
            <w:tcW w:type="dxa" w:w="1871"/>
          </w:tcPr>
          <w:p>
            <w:pPr>
              <w:jc w:val="center"/>
            </w:pPr>
            <w:r/>
            <w:r>
              <w:rPr>
                <w:rFonts w:ascii="Cambria" w:hAnsi="Cambria" w:eastAsia="Cambria" w:cs="Cambria"/>
                <w:b w:val="0"/>
                <w:i w:val="0"/>
                <w:sz w:val="15"/>
              </w:rPr>
              <w:t>Ensure all R&amp;D equipment purchased is optimally utilized for sanctioned projects and thrust areas.</w:t>
            </w:r>
          </w:p>
        </w:tc>
        <w:tc>
          <w:tcPr>
            <w:tcW w:type="dxa" w:w="2948"/>
          </w:tcPr>
          <w:p>
            <w:pPr>
              <w:jc w:val="left"/>
            </w:pPr>
            <w:r/>
            <w:r>
              <w:rPr>
                <w:rFonts w:ascii="Cambria" w:hAnsi="Cambria" w:eastAsia="Cambria" w:cs="Cambria"/>
                <w:b w:val="0"/>
                <w:i w:val="0"/>
                <w:sz w:val="15"/>
              </w:rPr>
              <w:t>Approve procurement only when linked to funded projects/thrust areas.</w:t>
            </w:r>
          </w:p>
        </w:tc>
        <w:tc>
          <w:tcPr>
            <w:tcW w:type="dxa" w:w="2381"/>
          </w:tcPr>
          <w:p>
            <w:pPr>
              <w:jc w:val="center"/>
            </w:pPr>
            <w:r/>
            <w:r>
              <w:rPr>
                <w:rFonts w:ascii="Cambria" w:hAnsi="Cambria" w:eastAsia="Cambria" w:cs="Cambria"/>
                <w:b w:val="0"/>
                <w:i w:val="0"/>
                <w:sz w:val="15"/>
              </w:rPr>
              <w:t>Equipment procurement records with funding source and project linkage.</w:t>
            </w:r>
          </w:p>
        </w:tc>
        <w:tc>
          <w:tcPr>
            <w:tcW w:type="dxa" w:w="3005"/>
          </w:tcPr>
          <w:p>
            <w:pPr>
              <w:jc w:val="center"/>
            </w:pPr>
            <w:r/>
            <w:r>
              <w:rPr>
                <w:rFonts w:ascii="Cambria" w:hAnsi="Cambria" w:eastAsia="Cambria" w:cs="Cambria"/>
                <w:b w:val="0"/>
                <w:i w:val="0"/>
                <w:sz w:val="15"/>
              </w:rPr>
              <w:t>Equipment aligned with research needs; avoids idle procurement.</w:t>
            </w:r>
          </w:p>
        </w:tc>
      </w:tr>
      <w:tr>
        <w:tc>
          <w:tcPr>
            <w:tcW w:type="dxa" w:w="1871"/>
            <w:shd w:val="clear" w:color="auto" w:fill="D9D9D9"/>
          </w:tcPr>
          <w:p>
            <w:pPr>
              <w:jc w:val="center"/>
            </w:pPr>
            <w:r/>
            <w:r>
              <w:rPr>
                <w:rFonts w:ascii="Cambria" w:hAnsi="Cambria" w:eastAsia="Cambria" w:cs="Cambria"/>
                <w:b w:val="0"/>
                <w:i w:val="0"/>
                <w:sz w:val="15"/>
              </w:rPr>
              <w:t>Assign clear responsibility for equipment usage and upkeep.</w:t>
            </w:r>
          </w:p>
        </w:tc>
        <w:tc>
          <w:tcPr>
            <w:tcW w:type="dxa" w:w="2948"/>
            <w:shd w:val="clear" w:color="auto" w:fill="D9D9D9"/>
          </w:tcPr>
          <w:p>
            <w:pPr>
              <w:jc w:val="left"/>
            </w:pPr>
            <w:r/>
            <w:r>
              <w:rPr>
                <w:rFonts w:ascii="Cambria" w:hAnsi="Cambria" w:eastAsia="Cambria" w:cs="Cambria"/>
                <w:b w:val="0"/>
                <w:i w:val="0"/>
                <w:sz w:val="15"/>
              </w:rPr>
              <w:t>Nominate faculty/lab-in-charge; establish usage policies.</w:t>
            </w:r>
          </w:p>
        </w:tc>
        <w:tc>
          <w:tcPr>
            <w:tcW w:type="dxa" w:w="2381"/>
            <w:shd w:val="clear" w:color="auto" w:fill="D9D9D9"/>
          </w:tcPr>
          <w:p>
            <w:pPr>
              <w:jc w:val="center"/>
            </w:pPr>
            <w:r/>
            <w:r>
              <w:rPr>
                <w:rFonts w:ascii="Cambria" w:hAnsi="Cambria" w:eastAsia="Cambria" w:cs="Cambria"/>
                <w:b w:val="0"/>
                <w:i w:val="0"/>
                <w:sz w:val="15"/>
              </w:rPr>
              <w:t>Equipment allocation/nomination orders.</w:t>
            </w:r>
          </w:p>
        </w:tc>
        <w:tc>
          <w:tcPr>
            <w:tcW w:type="dxa" w:w="3005"/>
            <w:shd w:val="clear" w:color="auto" w:fill="D9D9D9"/>
          </w:tcPr>
          <w:p>
            <w:pPr>
              <w:jc w:val="center"/>
            </w:pPr>
            <w:r/>
            <w:r>
              <w:rPr>
                <w:rFonts w:ascii="Cambria" w:hAnsi="Cambria" w:eastAsia="Cambria" w:cs="Cambria"/>
                <w:b w:val="0"/>
                <w:i w:val="0"/>
                <w:sz w:val="15"/>
              </w:rPr>
              <w:t>Faculty coordinator ensures accountability; improved equipment management.</w:t>
            </w:r>
          </w:p>
        </w:tc>
      </w:tr>
      <w:tr>
        <w:tc>
          <w:tcPr>
            <w:tcW w:type="dxa" w:w="1871"/>
          </w:tcPr>
          <w:p>
            <w:pPr>
              <w:jc w:val="center"/>
            </w:pPr>
            <w:r/>
            <w:r>
              <w:rPr>
                <w:rFonts w:ascii="Cambria" w:hAnsi="Cambria" w:eastAsia="Cambria" w:cs="Cambria"/>
                <w:b w:val="0"/>
                <w:i w:val="0"/>
                <w:sz w:val="15"/>
              </w:rPr>
              <w:t>Monitor and document usage regularly.</w:t>
            </w:r>
          </w:p>
        </w:tc>
        <w:tc>
          <w:tcPr>
            <w:tcW w:type="dxa" w:w="2948"/>
          </w:tcPr>
          <w:p>
            <w:pPr>
              <w:jc w:val="left"/>
            </w:pPr>
            <w:r/>
            <w:r>
              <w:rPr>
                <w:rFonts w:ascii="Cambria" w:hAnsi="Cambria" w:eastAsia="Cambria" w:cs="Cambria"/>
                <w:b w:val="0"/>
                <w:i w:val="0"/>
                <w:sz w:val="15"/>
              </w:rPr>
              <w:t>Maintain usage logbooks/digital registers; review in monthly R&amp;D meetings.</w:t>
            </w:r>
          </w:p>
        </w:tc>
        <w:tc>
          <w:tcPr>
            <w:tcW w:type="dxa" w:w="2381"/>
          </w:tcPr>
          <w:p>
            <w:pPr>
              <w:jc w:val="center"/>
            </w:pPr>
            <w:r/>
            <w:r>
              <w:rPr>
                <w:rFonts w:ascii="Cambria" w:hAnsi="Cambria" w:eastAsia="Cambria" w:cs="Cambria"/>
                <w:b w:val="0"/>
                <w:i w:val="0"/>
                <w:sz w:val="15"/>
              </w:rPr>
              <w:t>Equipment usage register/logbook (manual/digital).</w:t>
            </w:r>
          </w:p>
        </w:tc>
        <w:tc>
          <w:tcPr>
            <w:tcW w:type="dxa" w:w="3005"/>
          </w:tcPr>
          <w:p>
            <w:pPr>
              <w:jc w:val="center"/>
            </w:pPr>
            <w:r/>
            <w:r>
              <w:rPr>
                <w:rFonts w:ascii="Cambria" w:hAnsi="Cambria" w:eastAsia="Cambria" w:cs="Cambria"/>
                <w:b w:val="0"/>
                <w:i w:val="0"/>
                <w:sz w:val="15"/>
              </w:rPr>
              <w:t>≥75% utilization of available equipment hours; cross-department usage tracked.</w:t>
            </w:r>
          </w:p>
        </w:tc>
      </w:tr>
      <w:tr>
        <w:tc>
          <w:tcPr>
            <w:tcW w:type="dxa" w:w="1871"/>
            <w:shd w:val="clear" w:color="auto" w:fill="D9D9D9"/>
          </w:tcPr>
          <w:p>
            <w:pPr>
              <w:jc w:val="center"/>
            </w:pPr>
            <w:r/>
            <w:r>
              <w:rPr>
                <w:rFonts w:ascii="Cambria" w:hAnsi="Cambria" w:eastAsia="Cambria" w:cs="Cambria"/>
                <w:b w:val="0"/>
                <w:i w:val="0"/>
                <w:sz w:val="15"/>
              </w:rPr>
              <w:t>Maintain functionality and reliability of equipment.</w:t>
            </w:r>
          </w:p>
        </w:tc>
        <w:tc>
          <w:tcPr>
            <w:tcW w:type="dxa" w:w="2948"/>
            <w:shd w:val="clear" w:color="auto" w:fill="D9D9D9"/>
          </w:tcPr>
          <w:p>
            <w:pPr>
              <w:jc w:val="left"/>
            </w:pPr>
            <w:r/>
            <w:r>
              <w:rPr>
                <w:rFonts w:ascii="Cambria" w:hAnsi="Cambria" w:eastAsia="Cambria" w:cs="Cambria"/>
                <w:b w:val="0"/>
                <w:i w:val="0"/>
                <w:sz w:val="15"/>
              </w:rPr>
              <w:t>Schedule AMC, calibration, and preventive maintenance.</w:t>
            </w:r>
          </w:p>
        </w:tc>
        <w:tc>
          <w:tcPr>
            <w:tcW w:type="dxa" w:w="2381"/>
            <w:shd w:val="clear" w:color="auto" w:fill="D9D9D9"/>
          </w:tcPr>
          <w:p>
            <w:pPr>
              <w:jc w:val="center"/>
            </w:pPr>
            <w:r/>
            <w:r>
              <w:rPr>
                <w:rFonts w:ascii="Cambria" w:hAnsi="Cambria" w:eastAsia="Cambria" w:cs="Cambria"/>
                <w:b w:val="0"/>
                <w:i w:val="0"/>
                <w:sz w:val="15"/>
              </w:rPr>
              <w:t>AMC/maintenance/calibration records.</w:t>
            </w:r>
          </w:p>
        </w:tc>
        <w:tc>
          <w:tcPr>
            <w:tcW w:type="dxa" w:w="3005"/>
            <w:shd w:val="clear" w:color="auto" w:fill="D9D9D9"/>
          </w:tcPr>
          <w:p>
            <w:pPr>
              <w:jc w:val="center"/>
            </w:pPr>
            <w:r/>
            <w:r>
              <w:rPr>
                <w:rFonts w:ascii="Cambria" w:hAnsi="Cambria" w:eastAsia="Cambria" w:cs="Cambria"/>
                <w:b w:val="0"/>
                <w:i w:val="0"/>
                <w:sz w:val="15"/>
              </w:rPr>
              <w:t>100% equipment maintained in working condition; downtime reduced by ≥20%.</w:t>
            </w:r>
          </w:p>
        </w:tc>
      </w:tr>
      <w:tr>
        <w:tc>
          <w:tcPr>
            <w:tcW w:type="dxa" w:w="1871"/>
          </w:tcPr>
          <w:p>
            <w:pPr>
              <w:jc w:val="center"/>
            </w:pPr>
            <w:r/>
            <w:r>
              <w:rPr>
                <w:rFonts w:ascii="Cambria" w:hAnsi="Cambria" w:eastAsia="Cambria" w:cs="Cambria"/>
                <w:b w:val="0"/>
                <w:i w:val="0"/>
                <w:sz w:val="15"/>
              </w:rPr>
              <w:t>Integrate equipment into active research outputs.</w:t>
            </w:r>
          </w:p>
        </w:tc>
        <w:tc>
          <w:tcPr>
            <w:tcW w:type="dxa" w:w="2948"/>
          </w:tcPr>
          <w:p>
            <w:pPr>
              <w:jc w:val="left"/>
            </w:pPr>
            <w:r/>
            <w:r>
              <w:rPr>
                <w:rFonts w:ascii="Cambria" w:hAnsi="Cambria" w:eastAsia="Cambria" w:cs="Cambria"/>
                <w:b w:val="0"/>
                <w:i w:val="0"/>
                <w:sz w:val="15"/>
              </w:rPr>
              <w:t>Link equipment usage to projects, theses, publications, patents, consultancy.</w:t>
            </w:r>
          </w:p>
        </w:tc>
        <w:tc>
          <w:tcPr>
            <w:tcW w:type="dxa" w:w="2381"/>
          </w:tcPr>
          <w:p>
            <w:pPr>
              <w:jc w:val="center"/>
            </w:pPr>
            <w:r/>
            <w:r>
              <w:rPr>
                <w:rFonts w:ascii="Cambria" w:hAnsi="Cambria" w:eastAsia="Cambria" w:cs="Cambria"/>
                <w:b w:val="0"/>
                <w:i w:val="0"/>
                <w:sz w:val="15"/>
              </w:rPr>
              <w:t>Project reports; publications and patents citing equipment; consultancy records.</w:t>
            </w:r>
          </w:p>
        </w:tc>
        <w:tc>
          <w:tcPr>
            <w:tcW w:type="dxa" w:w="3005"/>
          </w:tcPr>
          <w:p>
            <w:pPr>
              <w:jc w:val="center"/>
            </w:pPr>
            <w:r/>
            <w:r>
              <w:rPr>
                <w:rFonts w:ascii="Cambria" w:hAnsi="Cambria" w:eastAsia="Cambria" w:cs="Cambria"/>
                <w:b w:val="0"/>
                <w:i w:val="0"/>
                <w:sz w:val="15"/>
              </w:rPr>
              <w:t>Publications ↑ 25% YoY; patents filed ↑ (2 → 8 in 3 years); consultancy revenue ↑30%.</w:t>
            </w:r>
          </w:p>
        </w:tc>
      </w:tr>
      <w:tr>
        <w:tc>
          <w:tcPr>
            <w:tcW w:type="dxa" w:w="1871"/>
            <w:shd w:val="clear" w:color="auto" w:fill="D9D9D9"/>
          </w:tcPr>
          <w:p>
            <w:pPr>
              <w:jc w:val="center"/>
            </w:pPr>
            <w:r/>
            <w:r>
              <w:rPr>
                <w:rFonts w:ascii="Cambria" w:hAnsi="Cambria" w:eastAsia="Cambria" w:cs="Cambria"/>
                <w:b w:val="0"/>
                <w:i w:val="0"/>
                <w:sz w:val="15"/>
              </w:rPr>
              <w:t>Ensure institutional oversight and accountability.</w:t>
            </w:r>
          </w:p>
        </w:tc>
        <w:tc>
          <w:tcPr>
            <w:tcW w:type="dxa" w:w="2948"/>
            <w:shd w:val="clear" w:color="auto" w:fill="D9D9D9"/>
          </w:tcPr>
          <w:p>
            <w:pPr>
              <w:jc w:val="left"/>
            </w:pPr>
            <w:r/>
            <w:r>
              <w:rPr>
                <w:rFonts w:ascii="Cambria" w:hAnsi="Cambria" w:eastAsia="Cambria" w:cs="Cambria"/>
                <w:b w:val="0"/>
                <w:i w:val="0"/>
                <w:sz w:val="15"/>
              </w:rPr>
              <w:t>Submit annual utilization reports to IQAC/Research Committee.</w:t>
            </w:r>
          </w:p>
        </w:tc>
        <w:tc>
          <w:tcPr>
            <w:tcW w:type="dxa" w:w="2381"/>
            <w:shd w:val="clear" w:color="auto" w:fill="D9D9D9"/>
          </w:tcPr>
          <w:p>
            <w:pPr>
              <w:jc w:val="center"/>
            </w:pPr>
            <w:r/>
            <w:r>
              <w:rPr>
                <w:rFonts w:ascii="Cambria" w:hAnsi="Cambria" w:eastAsia="Cambria" w:cs="Cambria"/>
                <w:b w:val="0"/>
                <w:i w:val="0"/>
                <w:sz w:val="15"/>
              </w:rPr>
              <w:t>Annual R&amp;D utilization report submitted.</w:t>
            </w:r>
          </w:p>
        </w:tc>
        <w:tc>
          <w:tcPr>
            <w:tcW w:type="dxa" w:w="3005"/>
            <w:shd w:val="clear" w:color="auto" w:fill="D9D9D9"/>
          </w:tcPr>
          <w:p>
            <w:pPr>
              <w:jc w:val="center"/>
            </w:pPr>
            <w:r/>
            <w:r>
              <w:rPr>
                <w:rFonts w:ascii="Cambria" w:hAnsi="Cambria" w:eastAsia="Cambria" w:cs="Cambria"/>
                <w:b w:val="0"/>
                <w:i w:val="0"/>
                <w:sz w:val="15"/>
              </w:rPr>
              <w:t>Transparent monitoring; continuous improvement in equipment usage efficiency.</w:t>
            </w:r>
          </w:p>
        </w:tc>
      </w:tr>
    </w:tbl>
    <w:p>
      <w:pPr>
        <w:spacing w:before="200" w:after="160"/>
      </w:pPr>
      <w:r>
        <w:rPr>
          <w:rFonts w:ascii="Cambria" w:hAnsi="Cambria" w:eastAsia="Cambria" w:cs="Cambria"/>
          <w:b/>
          <w:i w:val="0"/>
          <w:color w:val="1F3A5F"/>
          <w:sz w:val="26"/>
        </w:rPr>
        <w:t>3-Year Progress Tracker: R&amp;D Equipment Utilization</w:t>
      </w:r>
    </w:p>
    <w:tbl>
      <w:tblPr>
        <w:tblW w:type="auto" w:w="0"/>
        <w:jc w:val="center"/>
        <w:tblLayout w:type="fixed"/>
        <w:tblLook w:firstColumn="1" w:firstRow="1" w:lastColumn="0" w:lastRow="0" w:noHBand="0" w:noVBand="1" w:val="04A0"/>
        <w:tblLayout w:type="fixed"/>
      </w:tblPr>
      <w:tblGrid>
        <w:gridCol w:w="1304"/>
        <w:gridCol w:w="3402"/>
        <w:gridCol w:w="2381"/>
        <w:gridCol w:w="3118"/>
      </w:tblGrid>
      <w:tr>
        <w:tc>
          <w:tcPr>
            <w:tcW w:type="dxa" w:w="1304"/>
            <w:shd w:val="clear" w:color="auto" w:fill="1F3A5F"/>
          </w:tcPr>
          <w:p>
            <w:pPr>
              <w:jc w:val="center"/>
            </w:pPr>
            <w:r/>
            <w:r>
              <w:rPr>
                <w:rFonts w:ascii="Cambria" w:hAnsi="Cambria" w:eastAsia="Cambria" w:cs="Cambria"/>
                <w:b/>
                <w:i w:val="0"/>
                <w:color w:val="FFFFFF"/>
                <w:sz w:val="16"/>
              </w:rPr>
              <w:t>Year</w:t>
            </w:r>
          </w:p>
        </w:tc>
        <w:tc>
          <w:tcPr>
            <w:tcW w:type="dxa" w:w="3402"/>
            <w:shd w:val="clear" w:color="auto" w:fill="1F3A5F"/>
          </w:tcPr>
          <w:p>
            <w:pPr>
              <w:jc w:val="center"/>
            </w:pPr>
            <w:r/>
            <w:r>
              <w:rPr>
                <w:rFonts w:ascii="Cambria" w:hAnsi="Cambria" w:eastAsia="Cambria" w:cs="Cambria"/>
                <w:b/>
                <w:i w:val="0"/>
                <w:color w:val="FFFFFF"/>
                <w:sz w:val="16"/>
              </w:rPr>
              <w:t>Planned Actions (Policy → Action)</w:t>
            </w:r>
          </w:p>
        </w:tc>
        <w:tc>
          <w:tcPr>
            <w:tcW w:type="dxa" w:w="2381"/>
            <w:shd w:val="clear" w:color="auto" w:fill="1F3A5F"/>
          </w:tcPr>
          <w:p>
            <w:pPr>
              <w:jc w:val="center"/>
            </w:pPr>
            <w:r/>
            <w:r>
              <w:rPr>
                <w:rFonts w:ascii="Cambria" w:hAnsi="Cambria" w:eastAsia="Cambria" w:cs="Cambria"/>
                <w:b/>
                <w:i w:val="0"/>
                <w:color w:val="FFFFFF"/>
                <w:sz w:val="16"/>
              </w:rPr>
              <w:t>Evidence/Documents</w:t>
            </w:r>
          </w:p>
        </w:tc>
        <w:tc>
          <w:tcPr>
            <w:tcW w:type="dxa" w:w="3118"/>
            <w:shd w:val="clear" w:color="auto" w:fill="1F3A5F"/>
          </w:tcPr>
          <w:p>
            <w:pPr>
              <w:jc w:val="center"/>
            </w:pPr>
            <w:r/>
            <w:r>
              <w:rPr>
                <w:rFonts w:ascii="Cambria" w:hAnsi="Cambria" w:eastAsia="Cambria" w:cs="Cambria"/>
                <w:b/>
                <w:i w:val="0"/>
                <w:color w:val="FFFFFF"/>
                <w:sz w:val="16"/>
              </w:rPr>
              <w:t>Outcomes (Quantitative &amp; Qualitative)</w:t>
            </w:r>
          </w:p>
        </w:tc>
      </w:tr>
      <w:tr>
        <w:tc>
          <w:tcPr>
            <w:tcW w:type="dxa" w:w="1304"/>
          </w:tcPr>
          <w:p>
            <w:pPr>
              <w:jc w:val="center"/>
            </w:pPr>
            <w:r/>
            <w:r>
              <w:rPr>
                <w:rFonts w:ascii="Cambria" w:hAnsi="Cambria" w:eastAsia="Cambria" w:cs="Cambria"/>
                <w:b w:val="0"/>
                <w:i w:val="0"/>
                <w:sz w:val="14"/>
              </w:rPr>
              <w:t>Year 1 (Foundation)</w:t>
            </w:r>
          </w:p>
        </w:tc>
        <w:tc>
          <w:tcPr>
            <w:tcW w:type="dxa" w:w="3402"/>
          </w:tcPr>
          <w:p>
            <w:pPr>
              <w:jc w:val="left"/>
            </w:pPr>
            <w:r/>
            <w:r>
              <w:rPr>
                <w:rFonts w:ascii="Cambria" w:hAnsi="Cambria" w:eastAsia="Cambria" w:cs="Cambria"/>
                <w:b w:val="0"/>
                <w:i w:val="0"/>
                <w:sz w:val="14"/>
              </w:rPr>
              <w:t>- Procured equipment linked to 3 thrust areas.</w:t>
              <w:br/>
              <w:t>- Appointed faculty/lab-in-charge.</w:t>
              <w:br/>
              <w:t>- Introduced manual usage register.</w:t>
            </w:r>
          </w:p>
        </w:tc>
        <w:tc>
          <w:tcPr>
            <w:tcW w:type="dxa" w:w="2381"/>
          </w:tcPr>
          <w:p>
            <w:pPr>
              <w:jc w:val="center"/>
            </w:pPr>
            <w:r/>
            <w:r>
              <w:rPr>
                <w:rFonts w:ascii="Cambria" w:hAnsi="Cambria" w:eastAsia="Cambria" w:cs="Cambria"/>
                <w:b w:val="0"/>
                <w:i w:val="0"/>
                <w:sz w:val="14"/>
              </w:rPr>
              <w:t>Procurement records with funding linkages. Nomination orders. Usage logbook.</w:t>
            </w:r>
          </w:p>
        </w:tc>
        <w:tc>
          <w:tcPr>
            <w:tcW w:type="dxa" w:w="3118"/>
          </w:tcPr>
          <w:p>
            <w:pPr>
              <w:jc w:val="center"/>
            </w:pPr>
            <w:r/>
            <w:r>
              <w:rPr>
                <w:rFonts w:ascii="Cambria" w:hAnsi="Cambria" w:eastAsia="Cambria" w:cs="Cambria"/>
                <w:b w:val="0"/>
                <w:i w:val="0"/>
                <w:sz w:val="14"/>
              </w:rPr>
              <w:t>- Utilization rate ~55%.</w:t>
              <w:br/>
              <w:t>- 2 publications citing equipment use.</w:t>
              <w:br/>
              <w:t>- 1 patent application initiated.</w:t>
              <w:br/>
              <w:t>- 20% faculty projects supported by equipment.</w:t>
            </w:r>
          </w:p>
        </w:tc>
      </w:tr>
      <w:tr>
        <w:tc>
          <w:tcPr>
            <w:tcW w:type="dxa" w:w="1304"/>
            <w:shd w:val="clear" w:color="auto" w:fill="D9D9D9"/>
          </w:tcPr>
          <w:p>
            <w:pPr>
              <w:jc w:val="center"/>
            </w:pPr>
            <w:r/>
            <w:r>
              <w:rPr>
                <w:rFonts w:ascii="Cambria" w:hAnsi="Cambria" w:eastAsia="Cambria" w:cs="Cambria"/>
                <w:b w:val="0"/>
                <w:i w:val="0"/>
                <w:sz w:val="14"/>
              </w:rPr>
              <w:t>Year 2 (Expansion)</w:t>
            </w:r>
          </w:p>
        </w:tc>
        <w:tc>
          <w:tcPr>
            <w:tcW w:type="dxa" w:w="3402"/>
            <w:shd w:val="clear" w:color="auto" w:fill="D9D9D9"/>
          </w:tcPr>
          <w:p>
            <w:pPr>
              <w:jc w:val="left"/>
            </w:pPr>
            <w:r/>
            <w:r>
              <w:rPr>
                <w:rFonts w:ascii="Cambria" w:hAnsi="Cambria" w:eastAsia="Cambria" w:cs="Cambria"/>
                <w:b w:val="0"/>
                <w:i w:val="0"/>
                <w:sz w:val="14"/>
              </w:rPr>
              <w:t>- Added 2 more thrust areas.</w:t>
              <w:br/>
              <w:t>- Shifted to digital booking/log system.</w:t>
              <w:br/>
              <w:t>- Implemented AMC and calibration schedule.</w:t>
              <w:br/>
              <w:t>- Reviewed usage data in monthly meetings.</w:t>
            </w:r>
          </w:p>
        </w:tc>
        <w:tc>
          <w:tcPr>
            <w:tcW w:type="dxa" w:w="2381"/>
            <w:shd w:val="clear" w:color="auto" w:fill="D9D9D9"/>
          </w:tcPr>
          <w:p>
            <w:pPr>
              <w:jc w:val="center"/>
            </w:pPr>
            <w:r/>
            <w:r>
              <w:rPr>
                <w:rFonts w:ascii="Cambria" w:hAnsi="Cambria" w:eastAsia="Cambria" w:cs="Cambria"/>
                <w:b w:val="0"/>
                <w:i w:val="0"/>
                <w:sz w:val="14"/>
              </w:rPr>
              <w:t>Digital usage registers. AMC/calibration records. MoM of R&amp;D meetings.</w:t>
            </w:r>
          </w:p>
        </w:tc>
        <w:tc>
          <w:tcPr>
            <w:tcW w:type="dxa" w:w="3118"/>
            <w:shd w:val="clear" w:color="auto" w:fill="D9D9D9"/>
          </w:tcPr>
          <w:p>
            <w:pPr>
              <w:jc w:val="center"/>
            </w:pPr>
            <w:r/>
            <w:r>
              <w:rPr>
                <w:rFonts w:ascii="Cambria" w:hAnsi="Cambria" w:eastAsia="Cambria" w:cs="Cambria"/>
                <w:b w:val="0"/>
                <w:i w:val="0"/>
                <w:sz w:val="14"/>
              </w:rPr>
              <w:t>- Utilization rate ~70%.</w:t>
              <w:br/>
              <w:t>- 10 publications, 3 patents citing equipment use.</w:t>
              <w:br/>
              <w:t>- Consultancy projects initiated.</w:t>
              <w:br/>
              <w:t>- 40% faculty projects supported.</w:t>
            </w:r>
          </w:p>
        </w:tc>
      </w:tr>
      <w:tr>
        <w:tc>
          <w:tcPr>
            <w:tcW w:type="dxa" w:w="1304"/>
          </w:tcPr>
          <w:p>
            <w:pPr>
              <w:jc w:val="center"/>
            </w:pPr>
            <w:r/>
            <w:r>
              <w:rPr>
                <w:rFonts w:ascii="Cambria" w:hAnsi="Cambria" w:eastAsia="Cambria" w:cs="Cambria"/>
                <w:b w:val="0"/>
                <w:i w:val="0"/>
                <w:sz w:val="14"/>
              </w:rPr>
              <w:t>Year 3 (Integration &amp; Impact)</w:t>
            </w:r>
          </w:p>
        </w:tc>
        <w:tc>
          <w:tcPr>
            <w:tcW w:type="dxa" w:w="3402"/>
          </w:tcPr>
          <w:p>
            <w:pPr>
              <w:jc w:val="left"/>
            </w:pPr>
            <w:r/>
            <w:r>
              <w:rPr>
                <w:rFonts w:ascii="Cambria" w:hAnsi="Cambria" w:eastAsia="Cambria" w:cs="Cambria"/>
                <w:b w:val="0"/>
                <w:i w:val="0"/>
                <w:sz w:val="14"/>
              </w:rPr>
              <w:t>- Extended access to interdisciplinary and industry projects.</w:t>
              <w:br/>
              <w:t>- Linked usage logs to project reports, publications, patents.</w:t>
              <w:br/>
              <w:t>- Prepared annual utilization report for IQAC/Research Committee.</w:t>
            </w:r>
          </w:p>
        </w:tc>
        <w:tc>
          <w:tcPr>
            <w:tcW w:type="dxa" w:w="2381"/>
          </w:tcPr>
          <w:p>
            <w:pPr>
              <w:jc w:val="center"/>
            </w:pPr>
            <w:r/>
            <w:r>
              <w:rPr>
                <w:rFonts w:ascii="Cambria" w:hAnsi="Cambria" w:eastAsia="Cambria" w:cs="Cambria"/>
                <w:b w:val="0"/>
                <w:i w:val="0"/>
                <w:sz w:val="14"/>
              </w:rPr>
              <w:t>Annual R&amp;D utilization report. Project reports. Publications/patents citing equipment.</w:t>
            </w:r>
          </w:p>
        </w:tc>
        <w:tc>
          <w:tcPr>
            <w:tcW w:type="dxa" w:w="3118"/>
          </w:tcPr>
          <w:p>
            <w:pPr>
              <w:jc w:val="center"/>
            </w:pPr>
            <w:r/>
            <w:r>
              <w:rPr>
                <w:rFonts w:ascii="Cambria" w:hAnsi="Cambria" w:eastAsia="Cambria" w:cs="Cambria"/>
                <w:b w:val="0"/>
                <w:i w:val="0"/>
                <w:sz w:val="14"/>
              </w:rPr>
              <w:t>- Utilization rate ~85%.</w:t>
              <w:br/>
              <w:t>- 18 publications, 6 patents citing equipment.</w:t>
              <w:br/>
              <w:t>- Consultancy revenue ↑30% YoY.</w:t>
              <w:br/>
              <w:t>- 60% faculty projects supported; 5 interdisciplinary projects.</w:t>
            </w:r>
          </w:p>
        </w:tc>
      </w:tr>
    </w:tbl>
    <w:p>
      <w:pPr>
        <w:spacing w:before="200" w:after="160"/>
      </w:pPr>
      <w:r>
        <w:rPr>
          <w:rFonts w:ascii="Cambria" w:hAnsi="Cambria" w:eastAsia="Cambria" w:cs="Cambria"/>
          <w:b/>
          <w:i w:val="0"/>
          <w:color w:val="1F3A5F"/>
          <w:sz w:val="26"/>
        </w:rPr>
        <w:t>Before vs After Equipment Monitoring</w:t>
      </w:r>
    </w:p>
    <w:tbl>
      <w:tblPr>
        <w:tblW w:type="auto" w:w="0"/>
        <w:jc w:val="center"/>
        <w:tblLayout w:type="fixed"/>
        <w:tblLook w:firstColumn="1" w:firstRow="1" w:lastColumn="0" w:lastRow="0" w:noHBand="0" w:noVBand="1" w:val="04A0"/>
        <w:tblLayout w:type="fixed"/>
      </w:tblPr>
      <w:tblGrid>
        <w:gridCol w:w="2154"/>
        <w:gridCol w:w="3118"/>
        <w:gridCol w:w="3118"/>
      </w:tblGrid>
      <w:tr>
        <w:tc>
          <w:tcPr>
            <w:tcW w:type="dxa" w:w="2154"/>
            <w:shd w:val="clear" w:color="auto" w:fill="1F3A5F"/>
          </w:tcPr>
          <w:p>
            <w:pPr>
              <w:jc w:val="center"/>
            </w:pPr>
            <w:r/>
            <w:r>
              <w:rPr>
                <w:rFonts w:ascii="Cambria" w:hAnsi="Cambria" w:eastAsia="Cambria" w:cs="Cambria"/>
                <w:b/>
                <w:i w:val="0"/>
                <w:color w:val="FFFFFF"/>
                <w:sz w:val="17"/>
              </w:rPr>
              <w:t>Indicator</w:t>
            </w:r>
          </w:p>
        </w:tc>
        <w:tc>
          <w:tcPr>
            <w:tcW w:type="dxa" w:w="3118"/>
            <w:shd w:val="clear" w:color="auto" w:fill="1F3A5F"/>
          </w:tcPr>
          <w:p>
            <w:pPr>
              <w:jc w:val="center"/>
            </w:pPr>
            <w:r/>
            <w:r>
              <w:rPr>
                <w:rFonts w:ascii="Cambria" w:hAnsi="Cambria" w:eastAsia="Cambria" w:cs="Cambria"/>
                <w:b/>
                <w:i w:val="0"/>
                <w:color w:val="FFFFFF"/>
                <w:sz w:val="17"/>
              </w:rPr>
              <w:t>Before Systematic Monitoring</w:t>
            </w:r>
          </w:p>
        </w:tc>
        <w:tc>
          <w:tcPr>
            <w:tcW w:type="dxa" w:w="3118"/>
            <w:shd w:val="clear" w:color="auto" w:fill="1F3A5F"/>
          </w:tcPr>
          <w:p>
            <w:pPr>
              <w:jc w:val="center"/>
            </w:pPr>
            <w:r/>
            <w:r>
              <w:rPr>
                <w:rFonts w:ascii="Cambria" w:hAnsi="Cambria" w:eastAsia="Cambria" w:cs="Cambria"/>
                <w:b/>
                <w:i w:val="0"/>
                <w:color w:val="FFFFFF"/>
                <w:sz w:val="17"/>
              </w:rPr>
              <w:t>After 3 Years of Structured Monitoring</w:t>
            </w:r>
          </w:p>
        </w:tc>
      </w:tr>
      <w:tr>
        <w:tc>
          <w:tcPr>
            <w:tcW w:type="dxa" w:w="2154"/>
          </w:tcPr>
          <w:p>
            <w:pPr>
              <w:jc w:val="center"/>
            </w:pPr>
            <w:r/>
            <w:r>
              <w:rPr>
                <w:rFonts w:ascii="Cambria" w:hAnsi="Cambria" w:eastAsia="Cambria" w:cs="Cambria"/>
                <w:b w:val="0"/>
                <w:i w:val="0"/>
                <w:sz w:val="15"/>
              </w:rPr>
              <w:t>Procurement Alignment</w:t>
            </w:r>
          </w:p>
        </w:tc>
        <w:tc>
          <w:tcPr>
            <w:tcW w:type="dxa" w:w="3118"/>
          </w:tcPr>
          <w:p>
            <w:pPr>
              <w:jc w:val="left"/>
            </w:pPr>
            <w:r/>
            <w:r>
              <w:rPr>
                <w:rFonts w:ascii="Cambria" w:hAnsi="Cambria" w:eastAsia="Cambria" w:cs="Cambria"/>
                <w:b w:val="0"/>
                <w:i w:val="0"/>
                <w:sz w:val="15"/>
              </w:rPr>
              <w:t>Equipment purchased without direct linkage to thrust areas or funded projects.</w:t>
            </w:r>
          </w:p>
        </w:tc>
        <w:tc>
          <w:tcPr>
            <w:tcW w:type="dxa" w:w="3118"/>
          </w:tcPr>
          <w:p>
            <w:pPr>
              <w:jc w:val="center"/>
            </w:pPr>
            <w:r/>
            <w:r>
              <w:rPr>
                <w:rFonts w:ascii="Cambria" w:hAnsi="Cambria" w:eastAsia="Cambria" w:cs="Cambria"/>
                <w:b w:val="0"/>
                <w:i w:val="0"/>
                <w:sz w:val="15"/>
              </w:rPr>
              <w:t>All equipment purchases tied to approved projects, thrust areas, or sanctioned funding.</w:t>
            </w:r>
          </w:p>
        </w:tc>
      </w:tr>
      <w:tr>
        <w:tc>
          <w:tcPr>
            <w:tcW w:type="dxa" w:w="2154"/>
            <w:shd w:val="clear" w:color="auto" w:fill="D9D9D9"/>
          </w:tcPr>
          <w:p>
            <w:pPr>
              <w:jc w:val="center"/>
            </w:pPr>
            <w:r/>
            <w:r>
              <w:rPr>
                <w:rFonts w:ascii="Cambria" w:hAnsi="Cambria" w:eastAsia="Cambria" w:cs="Cambria"/>
                <w:b w:val="0"/>
                <w:i w:val="0"/>
                <w:sz w:val="15"/>
              </w:rPr>
              <w:t>Responsibility</w:t>
            </w:r>
          </w:p>
        </w:tc>
        <w:tc>
          <w:tcPr>
            <w:tcW w:type="dxa" w:w="3118"/>
            <w:shd w:val="clear" w:color="auto" w:fill="D9D9D9"/>
          </w:tcPr>
          <w:p>
            <w:pPr>
              <w:jc w:val="left"/>
            </w:pPr>
            <w:r/>
            <w:r>
              <w:rPr>
                <w:rFonts w:ascii="Cambria" w:hAnsi="Cambria" w:eastAsia="Cambria" w:cs="Cambria"/>
                <w:b w:val="0"/>
                <w:i w:val="0"/>
                <w:sz w:val="15"/>
              </w:rPr>
              <w:t>No clear faculty-in-charge; accountability was diffused.</w:t>
            </w:r>
          </w:p>
        </w:tc>
        <w:tc>
          <w:tcPr>
            <w:tcW w:type="dxa" w:w="3118"/>
            <w:shd w:val="clear" w:color="auto" w:fill="D9D9D9"/>
          </w:tcPr>
          <w:p>
            <w:pPr>
              <w:jc w:val="center"/>
            </w:pPr>
            <w:r/>
            <w:r>
              <w:rPr>
                <w:rFonts w:ascii="Cambria" w:hAnsi="Cambria" w:eastAsia="Cambria" w:cs="Cambria"/>
                <w:b w:val="0"/>
                <w:i w:val="0"/>
                <w:sz w:val="15"/>
              </w:rPr>
              <w:t>Faculty/lab coordinators nominated for each equipment with defined roles.</w:t>
            </w:r>
          </w:p>
        </w:tc>
      </w:tr>
      <w:tr>
        <w:tc>
          <w:tcPr>
            <w:tcW w:type="dxa" w:w="2154"/>
          </w:tcPr>
          <w:p>
            <w:pPr>
              <w:jc w:val="center"/>
            </w:pPr>
            <w:r/>
            <w:r>
              <w:rPr>
                <w:rFonts w:ascii="Cambria" w:hAnsi="Cambria" w:eastAsia="Cambria" w:cs="Cambria"/>
                <w:b w:val="0"/>
                <w:i w:val="0"/>
                <w:sz w:val="15"/>
              </w:rPr>
              <w:t>Usage Tracking</w:t>
            </w:r>
          </w:p>
        </w:tc>
        <w:tc>
          <w:tcPr>
            <w:tcW w:type="dxa" w:w="3118"/>
          </w:tcPr>
          <w:p>
            <w:pPr>
              <w:jc w:val="left"/>
            </w:pPr>
            <w:r/>
            <w:r>
              <w:rPr>
                <w:rFonts w:ascii="Cambria" w:hAnsi="Cambria" w:eastAsia="Cambria" w:cs="Cambria"/>
                <w:b w:val="0"/>
                <w:i w:val="0"/>
                <w:sz w:val="15"/>
              </w:rPr>
              <w:t>No regular logs; occasional manual entries.</w:t>
            </w:r>
          </w:p>
        </w:tc>
        <w:tc>
          <w:tcPr>
            <w:tcW w:type="dxa" w:w="3118"/>
          </w:tcPr>
          <w:p>
            <w:pPr>
              <w:jc w:val="center"/>
            </w:pPr>
            <w:r/>
            <w:r>
              <w:rPr>
                <w:rFonts w:ascii="Cambria" w:hAnsi="Cambria" w:eastAsia="Cambria" w:cs="Cambria"/>
                <w:b w:val="0"/>
                <w:i w:val="0"/>
                <w:sz w:val="15"/>
              </w:rPr>
              <w:t>Digital booking/log system with detailed records of users, hours, and projects.</w:t>
            </w:r>
          </w:p>
        </w:tc>
      </w:tr>
      <w:tr>
        <w:tc>
          <w:tcPr>
            <w:tcW w:type="dxa" w:w="2154"/>
            <w:shd w:val="clear" w:color="auto" w:fill="D9D9D9"/>
          </w:tcPr>
          <w:p>
            <w:pPr>
              <w:jc w:val="center"/>
            </w:pPr>
            <w:r/>
            <w:r>
              <w:rPr>
                <w:rFonts w:ascii="Cambria" w:hAnsi="Cambria" w:eastAsia="Cambria" w:cs="Cambria"/>
                <w:b w:val="0"/>
                <w:i w:val="0"/>
                <w:sz w:val="15"/>
              </w:rPr>
              <w:t>Utilization Rate</w:t>
            </w:r>
          </w:p>
        </w:tc>
        <w:tc>
          <w:tcPr>
            <w:tcW w:type="dxa" w:w="3118"/>
            <w:shd w:val="clear" w:color="auto" w:fill="D9D9D9"/>
          </w:tcPr>
          <w:p>
            <w:pPr>
              <w:jc w:val="left"/>
            </w:pPr>
            <w:r/>
            <w:r>
              <w:rPr>
                <w:rFonts w:ascii="Cambria" w:hAnsi="Cambria" w:eastAsia="Cambria" w:cs="Cambria"/>
                <w:b w:val="0"/>
                <w:i w:val="0"/>
                <w:sz w:val="15"/>
              </w:rPr>
              <w:t>~40–50% usage; many instruments underutilized.</w:t>
            </w:r>
          </w:p>
        </w:tc>
        <w:tc>
          <w:tcPr>
            <w:tcW w:type="dxa" w:w="3118"/>
            <w:shd w:val="clear" w:color="auto" w:fill="D9D9D9"/>
          </w:tcPr>
          <w:p>
            <w:pPr>
              <w:jc w:val="center"/>
            </w:pPr>
            <w:r/>
            <w:r>
              <w:rPr>
                <w:rFonts w:ascii="Cambria" w:hAnsi="Cambria" w:eastAsia="Cambria" w:cs="Cambria"/>
                <w:b w:val="0"/>
                <w:i w:val="0"/>
                <w:sz w:val="15"/>
              </w:rPr>
              <w:t>~85% usage; equipment actively supporting faculty, scholars, and interdisciplinary projects.</w:t>
            </w:r>
          </w:p>
        </w:tc>
      </w:tr>
      <w:tr>
        <w:tc>
          <w:tcPr>
            <w:tcW w:type="dxa" w:w="2154"/>
          </w:tcPr>
          <w:p>
            <w:pPr>
              <w:jc w:val="center"/>
            </w:pPr>
            <w:r/>
            <w:r>
              <w:rPr>
                <w:rFonts w:ascii="Cambria" w:hAnsi="Cambria" w:eastAsia="Cambria" w:cs="Cambria"/>
                <w:b w:val="0"/>
                <w:i w:val="0"/>
                <w:sz w:val="15"/>
              </w:rPr>
              <w:t>Maintenance &amp; Calibration</w:t>
            </w:r>
          </w:p>
        </w:tc>
        <w:tc>
          <w:tcPr>
            <w:tcW w:type="dxa" w:w="3118"/>
          </w:tcPr>
          <w:p>
            <w:pPr>
              <w:jc w:val="left"/>
            </w:pPr>
            <w:r/>
            <w:r>
              <w:rPr>
                <w:rFonts w:ascii="Cambria" w:hAnsi="Cambria" w:eastAsia="Cambria" w:cs="Cambria"/>
                <w:b w:val="0"/>
                <w:i w:val="0"/>
                <w:sz w:val="15"/>
              </w:rPr>
              <w:t>Repairs/reactive servicing; calibration irregular.</w:t>
            </w:r>
          </w:p>
        </w:tc>
        <w:tc>
          <w:tcPr>
            <w:tcW w:type="dxa" w:w="3118"/>
          </w:tcPr>
          <w:p>
            <w:pPr>
              <w:jc w:val="center"/>
            </w:pPr>
            <w:r/>
            <w:r>
              <w:rPr>
                <w:rFonts w:ascii="Cambria" w:hAnsi="Cambria" w:eastAsia="Cambria" w:cs="Cambria"/>
                <w:b w:val="0"/>
                <w:i w:val="0"/>
                <w:sz w:val="15"/>
              </w:rPr>
              <w:t>AMC in place, preventive maintenance, and regular calibration ensured 100% operational readiness.</w:t>
            </w:r>
          </w:p>
        </w:tc>
      </w:tr>
      <w:tr>
        <w:tc>
          <w:tcPr>
            <w:tcW w:type="dxa" w:w="2154"/>
            <w:shd w:val="clear" w:color="auto" w:fill="D9D9D9"/>
          </w:tcPr>
          <w:p>
            <w:pPr>
              <w:jc w:val="center"/>
            </w:pPr>
            <w:r/>
            <w:r>
              <w:rPr>
                <w:rFonts w:ascii="Cambria" w:hAnsi="Cambria" w:eastAsia="Cambria" w:cs="Cambria"/>
                <w:b w:val="0"/>
                <w:i w:val="0"/>
                <w:sz w:val="15"/>
              </w:rPr>
              <w:t>Research Outputs</w:t>
            </w:r>
          </w:p>
        </w:tc>
        <w:tc>
          <w:tcPr>
            <w:tcW w:type="dxa" w:w="3118"/>
            <w:shd w:val="clear" w:color="auto" w:fill="D9D9D9"/>
          </w:tcPr>
          <w:p>
            <w:pPr>
              <w:jc w:val="left"/>
            </w:pPr>
            <w:r/>
            <w:r>
              <w:rPr>
                <w:rFonts w:ascii="Cambria" w:hAnsi="Cambria" w:eastAsia="Cambria" w:cs="Cambria"/>
                <w:b w:val="0"/>
                <w:i w:val="0"/>
                <w:sz w:val="15"/>
              </w:rPr>
              <w:t>Limited outputs: few publications; rare patent filings.</w:t>
            </w:r>
          </w:p>
        </w:tc>
        <w:tc>
          <w:tcPr>
            <w:tcW w:type="dxa" w:w="3118"/>
            <w:shd w:val="clear" w:color="auto" w:fill="D9D9D9"/>
          </w:tcPr>
          <w:p>
            <w:pPr>
              <w:jc w:val="center"/>
            </w:pPr>
            <w:r/>
            <w:r>
              <w:rPr>
                <w:rFonts w:ascii="Cambria" w:hAnsi="Cambria" w:eastAsia="Cambria" w:cs="Cambria"/>
                <w:b w:val="0"/>
                <w:i w:val="0"/>
                <w:sz w:val="15"/>
              </w:rPr>
              <w:t>Publications citing equipment ↑ (12 → 40). Patents ↑ (1–2 → 6–8).</w:t>
            </w:r>
          </w:p>
        </w:tc>
      </w:tr>
      <w:tr>
        <w:tc>
          <w:tcPr>
            <w:tcW w:type="dxa" w:w="2154"/>
          </w:tcPr>
          <w:p>
            <w:pPr>
              <w:jc w:val="center"/>
            </w:pPr>
            <w:r/>
            <w:r>
              <w:rPr>
                <w:rFonts w:ascii="Cambria" w:hAnsi="Cambria" w:eastAsia="Cambria" w:cs="Cambria"/>
                <w:b w:val="0"/>
                <w:i w:val="0"/>
                <w:sz w:val="15"/>
              </w:rPr>
              <w:t>Interdisciplinary/Industry Use</w:t>
            </w:r>
          </w:p>
        </w:tc>
        <w:tc>
          <w:tcPr>
            <w:tcW w:type="dxa" w:w="3118"/>
          </w:tcPr>
          <w:p>
            <w:pPr>
              <w:jc w:val="left"/>
            </w:pPr>
            <w:r/>
            <w:r>
              <w:rPr>
                <w:rFonts w:ascii="Cambria" w:hAnsi="Cambria" w:eastAsia="Cambria" w:cs="Cambria"/>
                <w:b w:val="0"/>
                <w:i w:val="0"/>
                <w:sz w:val="15"/>
              </w:rPr>
              <w:t>Mostly restricted to single department.</w:t>
            </w:r>
          </w:p>
        </w:tc>
        <w:tc>
          <w:tcPr>
            <w:tcW w:type="dxa" w:w="3118"/>
          </w:tcPr>
          <w:p>
            <w:pPr>
              <w:jc w:val="center"/>
            </w:pPr>
            <w:r/>
            <w:r>
              <w:rPr>
                <w:rFonts w:ascii="Cambria" w:hAnsi="Cambria" w:eastAsia="Cambria" w:cs="Cambria"/>
                <w:b w:val="0"/>
                <w:i w:val="0"/>
                <w:sz w:val="15"/>
              </w:rPr>
              <w:t>Cross-departmental projects and industry collaborations actively using equipment.</w:t>
            </w:r>
          </w:p>
        </w:tc>
      </w:tr>
      <w:tr>
        <w:tc>
          <w:tcPr>
            <w:tcW w:type="dxa" w:w="2154"/>
            <w:shd w:val="clear" w:color="auto" w:fill="D9D9D9"/>
          </w:tcPr>
          <w:p>
            <w:pPr>
              <w:jc w:val="center"/>
            </w:pPr>
            <w:r/>
            <w:r>
              <w:rPr>
                <w:rFonts w:ascii="Cambria" w:hAnsi="Cambria" w:eastAsia="Cambria" w:cs="Cambria"/>
                <w:b w:val="0"/>
                <w:i w:val="0"/>
                <w:sz w:val="15"/>
              </w:rPr>
              <w:t>Institutional Reporting</w:t>
            </w:r>
          </w:p>
        </w:tc>
        <w:tc>
          <w:tcPr>
            <w:tcW w:type="dxa" w:w="3118"/>
            <w:shd w:val="clear" w:color="auto" w:fill="D9D9D9"/>
          </w:tcPr>
          <w:p>
            <w:pPr>
              <w:jc w:val="left"/>
            </w:pPr>
            <w:r/>
            <w:r>
              <w:rPr>
                <w:rFonts w:ascii="Cambria" w:hAnsi="Cambria" w:eastAsia="Cambria" w:cs="Cambria"/>
                <w:b w:val="0"/>
                <w:i w:val="0"/>
                <w:sz w:val="15"/>
              </w:rPr>
              <w:t>Usage not reported systematically; ad-hoc reporting.</w:t>
            </w:r>
          </w:p>
        </w:tc>
        <w:tc>
          <w:tcPr>
            <w:tcW w:type="dxa" w:w="3118"/>
            <w:shd w:val="clear" w:color="auto" w:fill="D9D9D9"/>
          </w:tcPr>
          <w:p>
            <w:pPr>
              <w:jc w:val="center"/>
            </w:pPr>
            <w:r/>
            <w:r>
              <w:rPr>
                <w:rFonts w:ascii="Cambria" w:hAnsi="Cambria" w:eastAsia="Cambria" w:cs="Cambria"/>
                <w:b w:val="0"/>
                <w:i w:val="0"/>
                <w:sz w:val="15"/>
              </w:rPr>
              <w:t>Annual utilization report submitted to IQAC/Research Committee for accreditation evidence.</w:t>
            </w:r>
          </w:p>
        </w:tc>
      </w:tr>
    </w:tbl>
    <w:p>
      <w:pPr>
        <w:spacing w:before="200" w:after="160"/>
      </w:pPr>
      <w:r>
        <w:rPr>
          <w:rFonts w:ascii="Cambria" w:hAnsi="Cambria" w:eastAsia="Cambria" w:cs="Cambria"/>
          <w:b/>
          <w:i w:val="0"/>
          <w:color w:val="1F3A5F"/>
          <w:sz w:val="26"/>
        </w:rPr>
        <w:t>R&amp;D Equipment Utilization</w:t>
      </w:r>
    </w:p>
    <w:tbl>
      <w:tblPr>
        <w:tblW w:type="auto" w:w="0"/>
        <w:jc w:val="center"/>
        <w:tblLayout w:type="fixed"/>
        <w:tblLook w:firstColumn="1" w:firstRow="1" w:lastColumn="0" w:lastRow="0" w:noHBand="0" w:noVBand="1" w:val="04A0"/>
        <w:tblLayout w:type="fixed"/>
      </w:tblPr>
      <w:tblGrid>
        <w:gridCol w:w="1417"/>
        <w:gridCol w:w="3005"/>
        <w:gridCol w:w="2381"/>
        <w:gridCol w:w="2835"/>
      </w:tblGrid>
      <w:tr>
        <w:tc>
          <w:tcPr>
            <w:tcW w:type="dxa" w:w="1417"/>
            <w:shd w:val="clear" w:color="auto" w:fill="1F3A5F"/>
          </w:tcPr>
          <w:p>
            <w:pPr>
              <w:jc w:val="center"/>
            </w:pPr>
            <w:r/>
            <w:r>
              <w:rPr>
                <w:rFonts w:ascii="Cambria" w:hAnsi="Cambria" w:eastAsia="Cambria" w:cs="Cambria"/>
                <w:b/>
                <w:i w:val="0"/>
                <w:color w:val="FFFFFF"/>
                <w:sz w:val="17"/>
              </w:rPr>
              <w:t>Stage</w:t>
            </w:r>
          </w:p>
        </w:tc>
        <w:tc>
          <w:tcPr>
            <w:tcW w:type="dxa" w:w="3005"/>
            <w:shd w:val="clear" w:color="auto" w:fill="1F3A5F"/>
          </w:tcPr>
          <w:p>
            <w:pPr>
              <w:jc w:val="center"/>
            </w:pPr>
            <w:r/>
            <w:r>
              <w:rPr>
                <w:rFonts w:ascii="Cambria" w:hAnsi="Cambria" w:eastAsia="Cambria" w:cs="Cambria"/>
                <w:b/>
                <w:i w:val="0"/>
                <w:color w:val="FFFFFF"/>
                <w:sz w:val="17"/>
              </w:rPr>
              <w:t>Policy/Action by HoD</w:t>
            </w:r>
          </w:p>
        </w:tc>
        <w:tc>
          <w:tcPr>
            <w:tcW w:type="dxa" w:w="2381"/>
            <w:shd w:val="clear" w:color="auto" w:fill="1F3A5F"/>
          </w:tcPr>
          <w:p>
            <w:pPr>
              <w:jc w:val="center"/>
            </w:pPr>
            <w:r/>
            <w:r>
              <w:rPr>
                <w:rFonts w:ascii="Cambria" w:hAnsi="Cambria" w:eastAsia="Cambria" w:cs="Cambria"/>
                <w:b/>
                <w:i w:val="0"/>
                <w:color w:val="FFFFFF"/>
                <w:sz w:val="17"/>
              </w:rPr>
              <w:t>Evidence/Documents</w:t>
            </w:r>
          </w:p>
        </w:tc>
        <w:tc>
          <w:tcPr>
            <w:tcW w:type="dxa" w:w="2835"/>
            <w:shd w:val="clear" w:color="auto" w:fill="1F3A5F"/>
          </w:tcPr>
          <w:p>
            <w:pPr>
              <w:jc w:val="center"/>
            </w:pPr>
            <w:r/>
            <w:r>
              <w:rPr>
                <w:rFonts w:ascii="Cambria" w:hAnsi="Cambria" w:eastAsia="Cambria" w:cs="Cambria"/>
                <w:b/>
                <w:i w:val="0"/>
                <w:color w:val="FFFFFF"/>
                <w:sz w:val="17"/>
              </w:rPr>
              <w:t>Outcome (Quantitative &amp; Qualitative)</w:t>
            </w:r>
          </w:p>
        </w:tc>
      </w:tr>
      <w:tr>
        <w:tc>
          <w:tcPr>
            <w:tcW w:type="dxa" w:w="1417"/>
          </w:tcPr>
          <w:p>
            <w:pPr>
              <w:jc w:val="center"/>
            </w:pPr>
            <w:r/>
            <w:r>
              <w:rPr>
                <w:rFonts w:ascii="Cambria" w:hAnsi="Cambria" w:eastAsia="Cambria" w:cs="Cambria"/>
                <w:b w:val="0"/>
                <w:i w:val="0"/>
                <w:sz w:val="15"/>
              </w:rPr>
              <w:t>Procurement</w:t>
            </w:r>
          </w:p>
        </w:tc>
        <w:tc>
          <w:tcPr>
            <w:tcW w:type="dxa" w:w="3005"/>
          </w:tcPr>
          <w:p>
            <w:pPr>
              <w:jc w:val="left"/>
            </w:pPr>
            <w:r/>
            <w:r>
              <w:rPr>
                <w:rFonts w:ascii="Cambria" w:hAnsi="Cambria" w:eastAsia="Cambria" w:cs="Cambria"/>
                <w:b w:val="0"/>
                <w:i w:val="0"/>
                <w:sz w:val="15"/>
              </w:rPr>
              <w:t>Approve purchase of equipment linked to thrust areas and funded projects.</w:t>
            </w:r>
          </w:p>
        </w:tc>
        <w:tc>
          <w:tcPr>
            <w:tcW w:type="dxa" w:w="2381"/>
          </w:tcPr>
          <w:p>
            <w:pPr>
              <w:jc w:val="center"/>
            </w:pPr>
            <w:r/>
            <w:r>
              <w:rPr>
                <w:rFonts w:ascii="Cambria" w:hAnsi="Cambria" w:eastAsia="Cambria" w:cs="Cambria"/>
                <w:b w:val="0"/>
                <w:i w:val="0"/>
                <w:sz w:val="15"/>
              </w:rPr>
              <w:t>Procurement records with funding source &amp; project linkage.</w:t>
            </w:r>
          </w:p>
        </w:tc>
        <w:tc>
          <w:tcPr>
            <w:tcW w:type="dxa" w:w="2835"/>
          </w:tcPr>
          <w:p>
            <w:pPr>
              <w:jc w:val="center"/>
            </w:pPr>
            <w:r/>
            <w:r>
              <w:rPr>
                <w:rFonts w:ascii="Cambria" w:hAnsi="Cambria" w:eastAsia="Cambria" w:cs="Cambria"/>
                <w:b w:val="0"/>
                <w:i w:val="0"/>
                <w:sz w:val="15"/>
              </w:rPr>
              <w:t>Avoids idle procurement; ensures alignment with sanctioned research needs.</w:t>
            </w:r>
          </w:p>
        </w:tc>
      </w:tr>
      <w:tr>
        <w:tc>
          <w:tcPr>
            <w:tcW w:type="dxa" w:w="1417"/>
            <w:shd w:val="clear" w:color="auto" w:fill="D9D9D9"/>
          </w:tcPr>
          <w:p>
            <w:pPr>
              <w:jc w:val="center"/>
            </w:pPr>
            <w:r/>
            <w:r>
              <w:rPr>
                <w:rFonts w:ascii="Cambria" w:hAnsi="Cambria" w:eastAsia="Cambria" w:cs="Cambria"/>
                <w:b w:val="0"/>
                <w:i w:val="0"/>
                <w:sz w:val="15"/>
              </w:rPr>
              <w:t>Allocation</w:t>
            </w:r>
          </w:p>
        </w:tc>
        <w:tc>
          <w:tcPr>
            <w:tcW w:type="dxa" w:w="3005"/>
            <w:shd w:val="clear" w:color="auto" w:fill="D9D9D9"/>
          </w:tcPr>
          <w:p>
            <w:pPr>
              <w:jc w:val="left"/>
            </w:pPr>
            <w:r/>
            <w:r>
              <w:rPr>
                <w:rFonts w:ascii="Cambria" w:hAnsi="Cambria" w:eastAsia="Cambria" w:cs="Cambria"/>
                <w:b w:val="0"/>
                <w:i w:val="0"/>
                <w:sz w:val="15"/>
              </w:rPr>
              <w:t>Nominate faculty/lab-in-charge; set up usage guidelines and access policies.</w:t>
            </w:r>
          </w:p>
        </w:tc>
        <w:tc>
          <w:tcPr>
            <w:tcW w:type="dxa" w:w="2381"/>
            <w:shd w:val="clear" w:color="auto" w:fill="D9D9D9"/>
          </w:tcPr>
          <w:p>
            <w:pPr>
              <w:jc w:val="center"/>
            </w:pPr>
            <w:r/>
            <w:r>
              <w:rPr>
                <w:rFonts w:ascii="Cambria" w:hAnsi="Cambria" w:eastAsia="Cambria" w:cs="Cambria"/>
                <w:b w:val="0"/>
                <w:i w:val="0"/>
                <w:sz w:val="15"/>
              </w:rPr>
              <w:t>Nomination orders; equipment allocation records.</w:t>
            </w:r>
          </w:p>
        </w:tc>
        <w:tc>
          <w:tcPr>
            <w:tcW w:type="dxa" w:w="2835"/>
            <w:shd w:val="clear" w:color="auto" w:fill="D9D9D9"/>
          </w:tcPr>
          <w:p>
            <w:pPr>
              <w:jc w:val="center"/>
            </w:pPr>
            <w:r/>
            <w:r>
              <w:rPr>
                <w:rFonts w:ascii="Cambria" w:hAnsi="Cambria" w:eastAsia="Cambria" w:cs="Cambria"/>
                <w:b w:val="0"/>
                <w:i w:val="0"/>
                <w:sz w:val="15"/>
              </w:rPr>
              <w:t>Clear accountability; faculty coordinators manage access and maintenance.</w:t>
            </w:r>
          </w:p>
        </w:tc>
      </w:tr>
      <w:tr>
        <w:tc>
          <w:tcPr>
            <w:tcW w:type="dxa" w:w="1417"/>
          </w:tcPr>
          <w:p>
            <w:pPr>
              <w:jc w:val="center"/>
            </w:pPr>
            <w:r/>
            <w:r>
              <w:rPr>
                <w:rFonts w:ascii="Cambria" w:hAnsi="Cambria" w:eastAsia="Cambria" w:cs="Cambria"/>
                <w:b w:val="0"/>
                <w:i w:val="0"/>
                <w:sz w:val="15"/>
              </w:rPr>
              <w:t>Monitoring</w:t>
            </w:r>
          </w:p>
        </w:tc>
        <w:tc>
          <w:tcPr>
            <w:tcW w:type="dxa" w:w="3005"/>
          </w:tcPr>
          <w:p>
            <w:pPr>
              <w:jc w:val="left"/>
            </w:pPr>
            <w:r/>
            <w:r>
              <w:rPr>
                <w:rFonts w:ascii="Cambria" w:hAnsi="Cambria" w:eastAsia="Cambria" w:cs="Cambria"/>
                <w:b w:val="0"/>
                <w:i w:val="0"/>
                <w:sz w:val="15"/>
              </w:rPr>
              <w:t>Maintain usage registers (manual/digital); track utilization in monthly R&amp;D meetings; maintain AMC &amp; calibration logs.</w:t>
            </w:r>
          </w:p>
        </w:tc>
        <w:tc>
          <w:tcPr>
            <w:tcW w:type="dxa" w:w="2381"/>
          </w:tcPr>
          <w:p>
            <w:pPr>
              <w:jc w:val="center"/>
            </w:pPr>
            <w:r/>
            <w:r>
              <w:rPr>
                <w:rFonts w:ascii="Cambria" w:hAnsi="Cambria" w:eastAsia="Cambria" w:cs="Cambria"/>
                <w:b w:val="0"/>
                <w:i w:val="0"/>
                <w:sz w:val="15"/>
              </w:rPr>
              <w:t>Equipment usage register/logbook; AMC/maintenance/calibration records.</w:t>
            </w:r>
          </w:p>
        </w:tc>
        <w:tc>
          <w:tcPr>
            <w:tcW w:type="dxa" w:w="2835"/>
          </w:tcPr>
          <w:p>
            <w:pPr>
              <w:jc w:val="center"/>
            </w:pPr>
            <w:r/>
            <w:r>
              <w:rPr>
                <w:rFonts w:ascii="Cambria" w:hAnsi="Cambria" w:eastAsia="Cambria" w:cs="Cambria"/>
                <w:b w:val="0"/>
                <w:i w:val="0"/>
                <w:sz w:val="15"/>
              </w:rPr>
              <w:t>≥75–85% utilization rate; reduced downtime; interdisciplinary access ensured.</w:t>
            </w:r>
          </w:p>
        </w:tc>
      </w:tr>
      <w:tr>
        <w:tc>
          <w:tcPr>
            <w:tcW w:type="dxa" w:w="1417"/>
            <w:shd w:val="clear" w:color="auto" w:fill="D9D9D9"/>
          </w:tcPr>
          <w:p>
            <w:pPr>
              <w:jc w:val="center"/>
            </w:pPr>
            <w:r/>
            <w:r>
              <w:rPr>
                <w:rFonts w:ascii="Cambria" w:hAnsi="Cambria" w:eastAsia="Cambria" w:cs="Cambria"/>
                <w:b w:val="0"/>
                <w:i w:val="0"/>
                <w:sz w:val="15"/>
              </w:rPr>
              <w:t>Outputs</w:t>
            </w:r>
          </w:p>
        </w:tc>
        <w:tc>
          <w:tcPr>
            <w:tcW w:type="dxa" w:w="3005"/>
            <w:shd w:val="clear" w:color="auto" w:fill="D9D9D9"/>
          </w:tcPr>
          <w:p>
            <w:pPr>
              <w:jc w:val="left"/>
            </w:pPr>
            <w:r/>
            <w:r>
              <w:rPr>
                <w:rFonts w:ascii="Cambria" w:hAnsi="Cambria" w:eastAsia="Cambria" w:cs="Cambria"/>
                <w:b w:val="0"/>
                <w:i w:val="0"/>
                <w:sz w:val="15"/>
              </w:rPr>
              <w:t>Ensure equipment supports publications, patents, consultancy, and student projects.</w:t>
            </w:r>
          </w:p>
        </w:tc>
        <w:tc>
          <w:tcPr>
            <w:tcW w:type="dxa" w:w="2381"/>
            <w:shd w:val="clear" w:color="auto" w:fill="D9D9D9"/>
          </w:tcPr>
          <w:p>
            <w:pPr>
              <w:jc w:val="center"/>
            </w:pPr>
            <w:r/>
            <w:r>
              <w:rPr>
                <w:rFonts w:ascii="Cambria" w:hAnsi="Cambria" w:eastAsia="Cambria" w:cs="Cambria"/>
                <w:b w:val="0"/>
                <w:i w:val="0"/>
                <w:sz w:val="15"/>
              </w:rPr>
              <w:t>Project reports, publications, patents, consultancy records citing equipment.</w:t>
            </w:r>
          </w:p>
        </w:tc>
        <w:tc>
          <w:tcPr>
            <w:tcW w:type="dxa" w:w="2835"/>
            <w:shd w:val="clear" w:color="auto" w:fill="D9D9D9"/>
          </w:tcPr>
          <w:p>
            <w:pPr>
              <w:jc w:val="center"/>
            </w:pPr>
            <w:r/>
            <w:r>
              <w:rPr>
                <w:rFonts w:ascii="Cambria" w:hAnsi="Cambria" w:eastAsia="Cambria" w:cs="Cambria"/>
                <w:b w:val="0"/>
                <w:i w:val="0"/>
                <w:sz w:val="15"/>
              </w:rPr>
              <w:t>Publications ↑ (12 → 40); patents ↑ (2 → 8); consultancy revenue ↑30% YoY.</w:t>
            </w:r>
          </w:p>
        </w:tc>
      </w:tr>
      <w:tr>
        <w:tc>
          <w:tcPr>
            <w:tcW w:type="dxa" w:w="1417"/>
          </w:tcPr>
          <w:p>
            <w:pPr>
              <w:jc w:val="center"/>
            </w:pPr>
            <w:r/>
            <w:r>
              <w:rPr>
                <w:rFonts w:ascii="Cambria" w:hAnsi="Cambria" w:eastAsia="Cambria" w:cs="Cambria"/>
                <w:b w:val="0"/>
                <w:i w:val="0"/>
                <w:sz w:val="15"/>
              </w:rPr>
              <w:t>Reporting</w:t>
            </w:r>
          </w:p>
        </w:tc>
        <w:tc>
          <w:tcPr>
            <w:tcW w:type="dxa" w:w="3005"/>
          </w:tcPr>
          <w:p>
            <w:pPr>
              <w:jc w:val="left"/>
            </w:pPr>
            <w:r/>
            <w:r>
              <w:rPr>
                <w:rFonts w:ascii="Cambria" w:hAnsi="Cambria" w:eastAsia="Cambria" w:cs="Cambria"/>
                <w:b w:val="0"/>
                <w:i w:val="0"/>
                <w:sz w:val="15"/>
              </w:rPr>
              <w:t>Submit annual utilization reports to IQAC/Research Committee for oversight and accreditation.</w:t>
            </w:r>
          </w:p>
        </w:tc>
        <w:tc>
          <w:tcPr>
            <w:tcW w:type="dxa" w:w="2381"/>
          </w:tcPr>
          <w:p>
            <w:pPr>
              <w:jc w:val="center"/>
            </w:pPr>
            <w:r/>
            <w:r>
              <w:rPr>
                <w:rFonts w:ascii="Cambria" w:hAnsi="Cambria" w:eastAsia="Cambria" w:cs="Cambria"/>
                <w:b w:val="0"/>
                <w:i w:val="0"/>
                <w:sz w:val="15"/>
              </w:rPr>
              <w:t>Annual R&amp;D utilization report.</w:t>
            </w:r>
          </w:p>
        </w:tc>
        <w:tc>
          <w:tcPr>
            <w:tcW w:type="dxa" w:w="2835"/>
          </w:tcPr>
          <w:p>
            <w:pPr>
              <w:jc w:val="center"/>
            </w:pPr>
            <w:r/>
            <w:r>
              <w:rPr>
                <w:rFonts w:ascii="Cambria" w:hAnsi="Cambria" w:eastAsia="Cambria" w:cs="Cambria"/>
                <w:b w:val="0"/>
                <w:i w:val="0"/>
                <w:sz w:val="15"/>
              </w:rPr>
              <w:t>Institutional accountability; strengthens NAAC Criterion 3 &amp; 4, NBA Criterion 11 compliance.</w:t>
            </w:r>
          </w:p>
        </w:tc>
      </w:tr>
    </w:tbl>
    <w:p>
      <w:pPr>
        <w:spacing w:line="276" w:lineRule="auto" w:after="120"/>
        <w:jc w:val="both"/>
      </w:pPr>
      <w:r>
        <w:rPr>
          <w:rFonts w:ascii="Cambria" w:hAnsi="Cambria" w:eastAsia="Cambria" w:cs="Cambria"/>
          <w:b/>
          <w:i w:val="0"/>
          <w:sz w:val="22"/>
        </w:rPr>
        <w:t>Why It Is Not Symbolic</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Equipment procurement is directly linked to sanctioned projects and thrust areas, avoiding purchases “for show.”</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Clear allocation of responsibility (faculty/lab-in-charge) ensures proper use and accountability.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Usage logs and booking systems provide evidence of active use by faculty, scholars, and students.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Regular maintenance and calibration schedules ensure instruments remain functional and reliable.</w:t>
      </w:r>
    </w:p>
    <w:p>
      <w:pPr>
        <w:spacing w:before="200" w:after="160"/>
      </w:pPr>
      <w:r>
        <w:rPr>
          <w:rFonts w:ascii="Cambria" w:hAnsi="Cambria" w:eastAsia="Cambria" w:cs="Cambria"/>
          <w:b/>
          <w:i w:val="0"/>
          <w:color w:val="1F3A5F"/>
          <w:sz w:val="26"/>
        </w:rPr>
        <w:t>Measurable Outputs from Equipment Utilization</w:t>
      </w:r>
    </w:p>
    <w:tbl>
      <w:tblPr>
        <w:tblW w:type="auto" w:w="0"/>
        <w:jc w:val="center"/>
        <w:tblLayout w:type="fixed"/>
        <w:tblLook w:firstColumn="1" w:firstRow="1" w:lastColumn="0" w:lastRow="0" w:noHBand="0" w:noVBand="1" w:val="04A0"/>
        <w:tblLayout w:type="fixed"/>
      </w:tblPr>
      <w:tblGrid>
        <w:gridCol w:w="1984"/>
        <w:gridCol w:w="3118"/>
        <w:gridCol w:w="3288"/>
      </w:tblGrid>
      <w:tr>
        <w:tc>
          <w:tcPr>
            <w:tcW w:type="dxa" w:w="1984"/>
            <w:shd w:val="clear" w:color="auto" w:fill="1F3A5F"/>
          </w:tcPr>
          <w:p>
            <w:pPr>
              <w:jc w:val="center"/>
            </w:pPr>
            <w:r/>
            <w:r>
              <w:rPr>
                <w:rFonts w:ascii="Cambria" w:hAnsi="Cambria" w:eastAsia="Cambria" w:cs="Cambria"/>
                <w:b/>
                <w:i w:val="0"/>
                <w:color w:val="FFFFFF"/>
                <w:sz w:val="18"/>
              </w:rPr>
              <w:t>Category</w:t>
            </w:r>
          </w:p>
        </w:tc>
        <w:tc>
          <w:tcPr>
            <w:tcW w:type="dxa" w:w="3118"/>
            <w:shd w:val="clear" w:color="auto" w:fill="1F3A5F"/>
          </w:tcPr>
          <w:p>
            <w:pPr>
              <w:jc w:val="center"/>
            </w:pPr>
            <w:r/>
            <w:r>
              <w:rPr>
                <w:rFonts w:ascii="Cambria" w:hAnsi="Cambria" w:eastAsia="Cambria" w:cs="Cambria"/>
                <w:b/>
                <w:i w:val="0"/>
                <w:color w:val="FFFFFF"/>
                <w:sz w:val="18"/>
              </w:rPr>
              <w:t>Before Systematic Monitoring</w:t>
            </w:r>
          </w:p>
        </w:tc>
        <w:tc>
          <w:tcPr>
            <w:tcW w:type="dxa" w:w="3288"/>
            <w:shd w:val="clear" w:color="auto" w:fill="1F3A5F"/>
          </w:tcPr>
          <w:p>
            <w:pPr>
              <w:jc w:val="center"/>
            </w:pPr>
            <w:r/>
            <w:r>
              <w:rPr>
                <w:rFonts w:ascii="Cambria" w:hAnsi="Cambria" w:eastAsia="Cambria" w:cs="Cambria"/>
                <w:b/>
                <w:i w:val="0"/>
                <w:color w:val="FFFFFF"/>
                <w:sz w:val="18"/>
              </w:rPr>
              <w:t>After Structured Monitoring (3 Years)</w:t>
            </w:r>
          </w:p>
        </w:tc>
      </w:tr>
      <w:tr>
        <w:tc>
          <w:tcPr>
            <w:tcW w:type="dxa" w:w="1984"/>
          </w:tcPr>
          <w:p>
            <w:pPr>
              <w:jc w:val="center"/>
            </w:pPr>
            <w:r/>
            <w:r>
              <w:rPr>
                <w:rFonts w:ascii="Cambria" w:hAnsi="Cambria" w:eastAsia="Cambria" w:cs="Cambria"/>
                <w:b w:val="0"/>
                <w:i w:val="0"/>
                <w:sz w:val="17"/>
              </w:rPr>
              <w:t>Utilization Rate</w:t>
            </w:r>
          </w:p>
        </w:tc>
        <w:tc>
          <w:tcPr>
            <w:tcW w:type="dxa" w:w="3118"/>
          </w:tcPr>
          <w:p>
            <w:pPr>
              <w:jc w:val="left"/>
            </w:pPr>
            <w:r/>
            <w:r>
              <w:rPr>
                <w:rFonts w:ascii="Cambria" w:hAnsi="Cambria" w:eastAsia="Cambria" w:cs="Cambria"/>
                <w:b w:val="0"/>
                <w:i w:val="0"/>
                <w:sz w:val="17"/>
              </w:rPr>
              <w:t>~40–50% (underutilized, irregular use).</w:t>
            </w:r>
          </w:p>
        </w:tc>
        <w:tc>
          <w:tcPr>
            <w:tcW w:type="dxa" w:w="3288"/>
          </w:tcPr>
          <w:p>
            <w:pPr>
              <w:jc w:val="center"/>
            </w:pPr>
            <w:r/>
            <w:r>
              <w:rPr>
                <w:rFonts w:ascii="Cambria" w:hAnsi="Cambria" w:eastAsia="Cambria" w:cs="Cambria"/>
                <w:b w:val="0"/>
                <w:i w:val="0"/>
                <w:sz w:val="17"/>
              </w:rPr>
              <w:t>~85% utilization with cross-departmental access.</w:t>
            </w:r>
          </w:p>
        </w:tc>
      </w:tr>
      <w:tr>
        <w:tc>
          <w:tcPr>
            <w:tcW w:type="dxa" w:w="1984"/>
            <w:shd w:val="clear" w:color="auto" w:fill="D9D9D9"/>
          </w:tcPr>
          <w:p>
            <w:pPr>
              <w:jc w:val="center"/>
            </w:pPr>
            <w:r/>
            <w:r>
              <w:rPr>
                <w:rFonts w:ascii="Cambria" w:hAnsi="Cambria" w:eastAsia="Cambria" w:cs="Cambria"/>
                <w:b w:val="0"/>
                <w:i w:val="0"/>
                <w:sz w:val="17"/>
              </w:rPr>
              <w:t>Publications</w:t>
            </w:r>
          </w:p>
        </w:tc>
        <w:tc>
          <w:tcPr>
            <w:tcW w:type="dxa" w:w="3118"/>
            <w:shd w:val="clear" w:color="auto" w:fill="D9D9D9"/>
          </w:tcPr>
          <w:p>
            <w:pPr>
              <w:jc w:val="left"/>
            </w:pPr>
            <w:r/>
            <w:r>
              <w:rPr>
                <w:rFonts w:ascii="Cambria" w:hAnsi="Cambria" w:eastAsia="Cambria" w:cs="Cambria"/>
                <w:b w:val="0"/>
                <w:i w:val="0"/>
                <w:sz w:val="17"/>
              </w:rPr>
              <w:t>Few papers acknowledging equipment use.</w:t>
            </w:r>
          </w:p>
        </w:tc>
        <w:tc>
          <w:tcPr>
            <w:tcW w:type="dxa" w:w="3288"/>
            <w:shd w:val="clear" w:color="auto" w:fill="D9D9D9"/>
          </w:tcPr>
          <w:p>
            <w:pPr>
              <w:jc w:val="center"/>
            </w:pPr>
            <w:r/>
            <w:r>
              <w:rPr>
                <w:rFonts w:ascii="Cambria" w:hAnsi="Cambria" w:eastAsia="Cambria" w:cs="Cambria"/>
                <w:b w:val="0"/>
                <w:i w:val="0"/>
                <w:sz w:val="17"/>
              </w:rPr>
              <w:t>Publications citing equipment ↑ from 12 → 40 (Scopus/WoS).</w:t>
            </w:r>
          </w:p>
        </w:tc>
      </w:tr>
      <w:tr>
        <w:tc>
          <w:tcPr>
            <w:tcW w:type="dxa" w:w="1984"/>
          </w:tcPr>
          <w:p>
            <w:pPr>
              <w:jc w:val="center"/>
            </w:pPr>
            <w:r/>
            <w:r>
              <w:rPr>
                <w:rFonts w:ascii="Cambria" w:hAnsi="Cambria" w:eastAsia="Cambria" w:cs="Cambria"/>
                <w:b w:val="0"/>
                <w:i w:val="0"/>
                <w:sz w:val="17"/>
              </w:rPr>
              <w:t>Patents</w:t>
            </w:r>
          </w:p>
        </w:tc>
        <w:tc>
          <w:tcPr>
            <w:tcW w:type="dxa" w:w="3118"/>
          </w:tcPr>
          <w:p>
            <w:pPr>
              <w:jc w:val="left"/>
            </w:pPr>
            <w:r/>
            <w:r>
              <w:rPr>
                <w:rFonts w:ascii="Cambria" w:hAnsi="Cambria" w:eastAsia="Cambria" w:cs="Cambria"/>
                <w:b w:val="0"/>
                <w:i w:val="0"/>
                <w:sz w:val="17"/>
              </w:rPr>
              <w:t>Rare filings linked to equipment.</w:t>
            </w:r>
          </w:p>
        </w:tc>
        <w:tc>
          <w:tcPr>
            <w:tcW w:type="dxa" w:w="3288"/>
          </w:tcPr>
          <w:p>
            <w:pPr>
              <w:jc w:val="center"/>
            </w:pPr>
            <w:r/>
            <w:r>
              <w:rPr>
                <w:rFonts w:ascii="Cambria" w:hAnsi="Cambria" w:eastAsia="Cambria" w:cs="Cambria"/>
                <w:b w:val="0"/>
                <w:i w:val="0"/>
                <w:sz w:val="17"/>
              </w:rPr>
              <w:t>Patents ↑ from 1–2 → 8 in 3 years.</w:t>
            </w:r>
          </w:p>
        </w:tc>
      </w:tr>
      <w:tr>
        <w:tc>
          <w:tcPr>
            <w:tcW w:type="dxa" w:w="1984"/>
            <w:shd w:val="clear" w:color="auto" w:fill="D9D9D9"/>
          </w:tcPr>
          <w:p>
            <w:pPr>
              <w:jc w:val="center"/>
            </w:pPr>
            <w:r/>
            <w:r>
              <w:rPr>
                <w:rFonts w:ascii="Cambria" w:hAnsi="Cambria" w:eastAsia="Cambria" w:cs="Cambria"/>
                <w:b w:val="0"/>
                <w:i w:val="0"/>
                <w:sz w:val="17"/>
              </w:rPr>
              <w:t>Consultancy</w:t>
            </w:r>
          </w:p>
        </w:tc>
        <w:tc>
          <w:tcPr>
            <w:tcW w:type="dxa" w:w="3118"/>
            <w:shd w:val="clear" w:color="auto" w:fill="D9D9D9"/>
          </w:tcPr>
          <w:p>
            <w:pPr>
              <w:jc w:val="left"/>
            </w:pPr>
            <w:r/>
            <w:r>
              <w:rPr>
                <w:rFonts w:ascii="Cambria" w:hAnsi="Cambria" w:eastAsia="Cambria" w:cs="Cambria"/>
                <w:b w:val="0"/>
                <w:i w:val="0"/>
                <w:sz w:val="17"/>
              </w:rPr>
              <w:t>Minimal consultancy based on equipment.</w:t>
            </w:r>
          </w:p>
        </w:tc>
        <w:tc>
          <w:tcPr>
            <w:tcW w:type="dxa" w:w="3288"/>
            <w:shd w:val="clear" w:color="auto" w:fill="D9D9D9"/>
          </w:tcPr>
          <w:p>
            <w:pPr>
              <w:jc w:val="center"/>
            </w:pPr>
            <w:r/>
            <w:r>
              <w:rPr>
                <w:rFonts w:ascii="Cambria" w:hAnsi="Cambria" w:eastAsia="Cambria" w:cs="Cambria"/>
                <w:b w:val="0"/>
                <w:i w:val="0"/>
                <w:sz w:val="17"/>
              </w:rPr>
              <w:t>Consultancy revenue ↑30% YoY; 3+ industry projects supported.</w:t>
            </w:r>
          </w:p>
        </w:tc>
      </w:tr>
      <w:tr>
        <w:tc>
          <w:tcPr>
            <w:tcW w:type="dxa" w:w="1984"/>
          </w:tcPr>
          <w:p>
            <w:pPr>
              <w:jc w:val="center"/>
            </w:pPr>
            <w:r/>
            <w:r>
              <w:rPr>
                <w:rFonts w:ascii="Cambria" w:hAnsi="Cambria" w:eastAsia="Cambria" w:cs="Cambria"/>
                <w:b w:val="0"/>
                <w:i w:val="0"/>
                <w:sz w:val="17"/>
              </w:rPr>
              <w:t>Student Projects</w:t>
            </w:r>
          </w:p>
        </w:tc>
        <w:tc>
          <w:tcPr>
            <w:tcW w:type="dxa" w:w="3118"/>
          </w:tcPr>
          <w:p>
            <w:pPr>
              <w:jc w:val="left"/>
            </w:pPr>
            <w:r/>
            <w:r>
              <w:rPr>
                <w:rFonts w:ascii="Cambria" w:hAnsi="Cambria" w:eastAsia="Cambria" w:cs="Cambria"/>
                <w:b w:val="0"/>
                <w:i w:val="0"/>
                <w:sz w:val="17"/>
              </w:rPr>
              <w:t>Limited PG/PhD work using equipment.</w:t>
            </w:r>
          </w:p>
        </w:tc>
        <w:tc>
          <w:tcPr>
            <w:tcW w:type="dxa" w:w="3288"/>
          </w:tcPr>
          <w:p>
            <w:pPr>
              <w:jc w:val="center"/>
            </w:pPr>
            <w:r/>
            <w:r>
              <w:rPr>
                <w:rFonts w:ascii="Cambria" w:hAnsi="Cambria" w:eastAsia="Cambria" w:cs="Cambria"/>
                <w:b w:val="0"/>
                <w:i w:val="0"/>
                <w:sz w:val="17"/>
              </w:rPr>
              <w:t>&gt;60% of student theses/dissertations aligned with equipment usage.</w:t>
            </w:r>
          </w:p>
        </w:tc>
      </w:tr>
      <w:tr>
        <w:tc>
          <w:tcPr>
            <w:tcW w:type="dxa" w:w="1984"/>
            <w:shd w:val="clear" w:color="auto" w:fill="D9D9D9"/>
          </w:tcPr>
          <w:p>
            <w:pPr>
              <w:jc w:val="center"/>
            </w:pPr>
            <w:r/>
            <w:r>
              <w:rPr>
                <w:rFonts w:ascii="Cambria" w:hAnsi="Cambria" w:eastAsia="Cambria" w:cs="Cambria"/>
                <w:b w:val="0"/>
                <w:i w:val="0"/>
                <w:sz w:val="17"/>
              </w:rPr>
              <w:t>Collaborations</w:t>
            </w:r>
          </w:p>
        </w:tc>
        <w:tc>
          <w:tcPr>
            <w:tcW w:type="dxa" w:w="3118"/>
            <w:shd w:val="clear" w:color="auto" w:fill="D9D9D9"/>
          </w:tcPr>
          <w:p>
            <w:pPr>
              <w:jc w:val="left"/>
            </w:pPr>
            <w:r/>
            <w:r>
              <w:rPr>
                <w:rFonts w:ascii="Cambria" w:hAnsi="Cambria" w:eastAsia="Cambria" w:cs="Cambria"/>
                <w:b w:val="0"/>
                <w:i w:val="0"/>
                <w:sz w:val="17"/>
              </w:rPr>
              <w:t>Mostly departmental use only.</w:t>
            </w:r>
          </w:p>
        </w:tc>
        <w:tc>
          <w:tcPr>
            <w:tcW w:type="dxa" w:w="3288"/>
            <w:shd w:val="clear" w:color="auto" w:fill="D9D9D9"/>
          </w:tcPr>
          <w:p>
            <w:pPr>
              <w:jc w:val="center"/>
            </w:pPr>
            <w:r/>
            <w:r>
              <w:rPr>
                <w:rFonts w:ascii="Cambria" w:hAnsi="Cambria" w:eastAsia="Cambria" w:cs="Cambria"/>
                <w:b w:val="0"/>
                <w:i w:val="0"/>
                <w:sz w:val="17"/>
              </w:rPr>
              <w:t>5–6 interdisciplinary and industry collaborations established.</w:t>
            </w:r>
          </w:p>
        </w:tc>
      </w:tr>
    </w:tbl>
    <w:p>
      <w:pPr>
        <w:spacing w:line="276" w:lineRule="auto" w:after="120"/>
        <w:jc w:val="both"/>
      </w:pPr>
      <w:r>
        <w:rPr>
          <w:rFonts w:ascii="Cambria" w:hAnsi="Cambria" w:eastAsia="Cambria" w:cs="Cambria"/>
          <w:b/>
          <w:i w:val="0"/>
          <w:sz w:val="22"/>
        </w:rPr>
        <w:t>Evidence Linking Equipment to Outputs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Project reports and student theses explicitly citing equipment usage.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Publications acknowledging instruments used for experiments/data analysis.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Patents filed with technical claims based on equipment-driven research.</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Consultancy agreements leveraging specialized equipment for industry needs.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IQAC reports showing utilization and resulting outputs.</w:t>
      </w:r>
    </w:p>
    <w:p>
      <w:pPr>
        <w:spacing w:before="200" w:after="160"/>
      </w:pPr>
      <w:r>
        <w:rPr>
          <w:rFonts w:ascii="Cambria" w:hAnsi="Cambria" w:eastAsia="Cambria" w:cs="Cambria"/>
          <w:b/>
          <w:i w:val="0"/>
          <w:color w:val="1F3A5F"/>
          <w:sz w:val="30"/>
        </w:rPr>
        <w:t>Mechanisms Preventing Underutilization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Procurement Linked to Need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Equipment is purchased only for thrust areas or funded projects, not for symbolic display.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Each purchase is tied to a research proposal, project code, or sanction letter.</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Clear Allocation &amp; Accountability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HoD issues nomination orders assigning a faculty/lab-in-charge for every major equipment.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responsibility for operation, scheduling, and reporting.</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Usage Monitoring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Manual/digital logbooks capture details of who used the equipment, for what project, and for how long.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Usage reports are reviewed in monthly R&amp;D meetings.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Cross-Department &amp; Student Access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Equipment is made available to faculty, scholars, and students across departments, ensuring higher usage.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Encourages interdisciplinary and industry collaborations.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Maintenance &amp; Calibration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Preventive maintenance and calibration ensure equipment remains functional.</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Avoids downtime that leads to underutilization.</w:t>
      </w:r>
    </w:p>
    <w:p>
      <w:pPr>
        <w:spacing w:before="200" w:after="160"/>
      </w:pPr>
      <w:r>
        <w:rPr>
          <w:rFonts w:ascii="Cambria" w:hAnsi="Cambria" w:eastAsia="Cambria" w:cs="Cambria"/>
          <w:b/>
          <w:i w:val="0"/>
          <w:color w:val="1F3A5F"/>
          <w:sz w:val="26"/>
        </w:rPr>
        <w:t>Impact of Monitoring on Utilization</w:t>
      </w:r>
    </w:p>
    <w:tbl>
      <w:tblPr>
        <w:tblW w:type="auto" w:w="0"/>
        <w:jc w:val="center"/>
        <w:tblLayout w:type="fixed"/>
        <w:tblLook w:firstColumn="1" w:firstRow="1" w:lastColumn="0" w:lastRow="0" w:noHBand="0" w:noVBand="1" w:val="04A0"/>
        <w:tblLayout w:type="fixed"/>
      </w:tblPr>
      <w:tblGrid>
        <w:gridCol w:w="2154"/>
        <w:gridCol w:w="3118"/>
        <w:gridCol w:w="3118"/>
      </w:tblGrid>
      <w:tr>
        <w:tc>
          <w:tcPr>
            <w:tcW w:type="dxa" w:w="2154"/>
            <w:shd w:val="clear" w:color="auto" w:fill="1F3A5F"/>
          </w:tcPr>
          <w:p>
            <w:pPr>
              <w:jc w:val="center"/>
            </w:pPr>
            <w:r/>
            <w:r>
              <w:rPr>
                <w:rFonts w:ascii="Cambria" w:hAnsi="Cambria" w:eastAsia="Cambria" w:cs="Cambria"/>
                <w:b/>
                <w:i w:val="0"/>
                <w:color w:val="FFFFFF"/>
                <w:sz w:val="18"/>
              </w:rPr>
              <w:t>Indicator</w:t>
            </w:r>
          </w:p>
        </w:tc>
        <w:tc>
          <w:tcPr>
            <w:tcW w:type="dxa" w:w="3118"/>
            <w:shd w:val="clear" w:color="auto" w:fill="1F3A5F"/>
          </w:tcPr>
          <w:p>
            <w:pPr>
              <w:jc w:val="center"/>
            </w:pPr>
            <w:r/>
            <w:r>
              <w:rPr>
                <w:rFonts w:ascii="Cambria" w:hAnsi="Cambria" w:eastAsia="Cambria" w:cs="Cambria"/>
                <w:b/>
                <w:i w:val="0"/>
                <w:color w:val="FFFFFF"/>
                <w:sz w:val="18"/>
              </w:rPr>
              <w:t>Without Monitoring</w:t>
            </w:r>
          </w:p>
        </w:tc>
        <w:tc>
          <w:tcPr>
            <w:tcW w:type="dxa" w:w="3118"/>
            <w:shd w:val="clear" w:color="auto" w:fill="1F3A5F"/>
          </w:tcPr>
          <w:p>
            <w:pPr>
              <w:jc w:val="center"/>
            </w:pPr>
            <w:r/>
            <w:r>
              <w:rPr>
                <w:rFonts w:ascii="Cambria" w:hAnsi="Cambria" w:eastAsia="Cambria" w:cs="Cambria"/>
                <w:b/>
                <w:i w:val="0"/>
                <w:color w:val="FFFFFF"/>
                <w:sz w:val="18"/>
              </w:rPr>
              <w:t>With Monitoring</w:t>
            </w:r>
          </w:p>
        </w:tc>
      </w:tr>
      <w:tr>
        <w:tc>
          <w:tcPr>
            <w:tcW w:type="dxa" w:w="2154"/>
          </w:tcPr>
          <w:p>
            <w:pPr>
              <w:jc w:val="center"/>
            </w:pPr>
            <w:r/>
            <w:r>
              <w:rPr>
                <w:rFonts w:ascii="Cambria" w:hAnsi="Cambria" w:eastAsia="Cambria" w:cs="Cambria"/>
                <w:b w:val="0"/>
                <w:i w:val="0"/>
                <w:sz w:val="17"/>
              </w:rPr>
              <w:t>Utilization Rate</w:t>
            </w:r>
          </w:p>
        </w:tc>
        <w:tc>
          <w:tcPr>
            <w:tcW w:type="dxa" w:w="3118"/>
          </w:tcPr>
          <w:p>
            <w:pPr>
              <w:jc w:val="left"/>
            </w:pPr>
            <w:r/>
            <w:r>
              <w:rPr>
                <w:rFonts w:ascii="Cambria" w:hAnsi="Cambria" w:eastAsia="Cambria" w:cs="Cambria"/>
                <w:b w:val="0"/>
                <w:i w:val="0"/>
                <w:sz w:val="17"/>
              </w:rPr>
              <w:t>~40–50%</w:t>
            </w:r>
          </w:p>
        </w:tc>
        <w:tc>
          <w:tcPr>
            <w:tcW w:type="dxa" w:w="3118"/>
          </w:tcPr>
          <w:p>
            <w:pPr>
              <w:jc w:val="center"/>
            </w:pPr>
            <w:r/>
            <w:r>
              <w:rPr>
                <w:rFonts w:ascii="Cambria" w:hAnsi="Cambria" w:eastAsia="Cambria" w:cs="Cambria"/>
                <w:b w:val="0"/>
                <w:i w:val="0"/>
                <w:sz w:val="17"/>
              </w:rPr>
              <w:t>~85% usage of available hours</w:t>
            </w:r>
          </w:p>
        </w:tc>
      </w:tr>
      <w:tr>
        <w:tc>
          <w:tcPr>
            <w:tcW w:type="dxa" w:w="2154"/>
            <w:shd w:val="clear" w:color="auto" w:fill="D9D9D9"/>
          </w:tcPr>
          <w:p>
            <w:pPr>
              <w:jc w:val="center"/>
            </w:pPr>
            <w:r/>
            <w:r>
              <w:rPr>
                <w:rFonts w:ascii="Cambria" w:hAnsi="Cambria" w:eastAsia="Cambria" w:cs="Cambria"/>
                <w:b w:val="0"/>
                <w:i w:val="0"/>
                <w:sz w:val="17"/>
              </w:rPr>
              <w:t>Access</w:t>
            </w:r>
          </w:p>
        </w:tc>
        <w:tc>
          <w:tcPr>
            <w:tcW w:type="dxa" w:w="3118"/>
            <w:shd w:val="clear" w:color="auto" w:fill="D9D9D9"/>
          </w:tcPr>
          <w:p>
            <w:pPr>
              <w:jc w:val="left"/>
            </w:pPr>
            <w:r/>
            <w:r>
              <w:rPr>
                <w:rFonts w:ascii="Cambria" w:hAnsi="Cambria" w:eastAsia="Cambria" w:cs="Cambria"/>
                <w:b w:val="0"/>
                <w:i w:val="0"/>
                <w:sz w:val="17"/>
              </w:rPr>
              <w:t>Restricted to few faculty members</w:t>
            </w:r>
          </w:p>
        </w:tc>
        <w:tc>
          <w:tcPr>
            <w:tcW w:type="dxa" w:w="3118"/>
            <w:shd w:val="clear" w:color="auto" w:fill="D9D9D9"/>
          </w:tcPr>
          <w:p>
            <w:pPr>
              <w:jc w:val="center"/>
            </w:pPr>
            <w:r/>
            <w:r>
              <w:rPr>
                <w:rFonts w:ascii="Cambria" w:hAnsi="Cambria" w:eastAsia="Cambria" w:cs="Cambria"/>
                <w:b w:val="0"/>
                <w:i w:val="0"/>
                <w:sz w:val="17"/>
              </w:rPr>
              <w:t>Open to faculty, scholars, and students across disciplines</w:t>
            </w:r>
          </w:p>
        </w:tc>
      </w:tr>
      <w:tr>
        <w:tc>
          <w:tcPr>
            <w:tcW w:type="dxa" w:w="2154"/>
          </w:tcPr>
          <w:p>
            <w:pPr>
              <w:jc w:val="center"/>
            </w:pPr>
            <w:r/>
            <w:r>
              <w:rPr>
                <w:rFonts w:ascii="Cambria" w:hAnsi="Cambria" w:eastAsia="Cambria" w:cs="Cambria"/>
                <w:b w:val="0"/>
                <w:i w:val="0"/>
                <w:sz w:val="17"/>
              </w:rPr>
              <w:t>Research Outputs</w:t>
            </w:r>
          </w:p>
        </w:tc>
        <w:tc>
          <w:tcPr>
            <w:tcW w:type="dxa" w:w="3118"/>
          </w:tcPr>
          <w:p>
            <w:pPr>
              <w:jc w:val="left"/>
            </w:pPr>
            <w:r/>
            <w:r>
              <w:rPr>
                <w:rFonts w:ascii="Cambria" w:hAnsi="Cambria" w:eastAsia="Cambria" w:cs="Cambria"/>
                <w:b w:val="0"/>
                <w:i w:val="0"/>
                <w:sz w:val="17"/>
              </w:rPr>
              <w:t>Limited publications &amp; patents</w:t>
            </w:r>
          </w:p>
        </w:tc>
        <w:tc>
          <w:tcPr>
            <w:tcW w:type="dxa" w:w="3118"/>
          </w:tcPr>
          <w:p>
            <w:pPr>
              <w:jc w:val="center"/>
            </w:pPr>
            <w:r/>
            <w:r>
              <w:rPr>
                <w:rFonts w:ascii="Cambria" w:hAnsi="Cambria" w:eastAsia="Cambria" w:cs="Cambria"/>
                <w:b w:val="0"/>
                <w:i w:val="0"/>
                <w:sz w:val="17"/>
              </w:rPr>
              <w:t>40+ publications, 8 patents citing equipment use</w:t>
            </w:r>
          </w:p>
        </w:tc>
      </w:tr>
      <w:tr>
        <w:tc>
          <w:tcPr>
            <w:tcW w:type="dxa" w:w="2154"/>
            <w:shd w:val="clear" w:color="auto" w:fill="D9D9D9"/>
          </w:tcPr>
          <w:p>
            <w:pPr>
              <w:jc w:val="center"/>
            </w:pPr>
            <w:r/>
            <w:r>
              <w:rPr>
                <w:rFonts w:ascii="Cambria" w:hAnsi="Cambria" w:eastAsia="Cambria" w:cs="Cambria"/>
                <w:b w:val="0"/>
                <w:i w:val="0"/>
                <w:sz w:val="17"/>
              </w:rPr>
              <w:t>Collaborations</w:t>
            </w:r>
          </w:p>
        </w:tc>
        <w:tc>
          <w:tcPr>
            <w:tcW w:type="dxa" w:w="3118"/>
            <w:shd w:val="clear" w:color="auto" w:fill="D9D9D9"/>
          </w:tcPr>
          <w:p>
            <w:pPr>
              <w:jc w:val="left"/>
            </w:pPr>
            <w:r/>
            <w:r>
              <w:rPr>
                <w:rFonts w:ascii="Cambria" w:hAnsi="Cambria" w:eastAsia="Cambria" w:cs="Cambria"/>
                <w:b w:val="0"/>
                <w:i w:val="0"/>
                <w:sz w:val="17"/>
              </w:rPr>
              <w:t>Department-only use</w:t>
            </w:r>
          </w:p>
        </w:tc>
        <w:tc>
          <w:tcPr>
            <w:tcW w:type="dxa" w:w="3118"/>
            <w:shd w:val="clear" w:color="auto" w:fill="D9D9D9"/>
          </w:tcPr>
          <w:p>
            <w:pPr>
              <w:jc w:val="center"/>
            </w:pPr>
            <w:r/>
            <w:r>
              <w:rPr>
                <w:rFonts w:ascii="Cambria" w:hAnsi="Cambria" w:eastAsia="Cambria" w:cs="Cambria"/>
                <w:b w:val="0"/>
                <w:i w:val="0"/>
                <w:sz w:val="17"/>
              </w:rPr>
              <w:t>6 interdisciplinary projects + industry consultancy</w:t>
            </w:r>
          </w:p>
        </w:tc>
      </w:tr>
      <w:tr>
        <w:tc>
          <w:tcPr>
            <w:tcW w:type="dxa" w:w="2154"/>
          </w:tcPr>
          <w:p>
            <w:pPr>
              <w:jc w:val="center"/>
            </w:pPr>
            <w:r/>
            <w:r>
              <w:rPr>
                <w:rFonts w:ascii="Cambria" w:hAnsi="Cambria" w:eastAsia="Cambria" w:cs="Cambria"/>
                <w:b w:val="0"/>
                <w:i w:val="0"/>
                <w:sz w:val="17"/>
              </w:rPr>
              <w:t>Operational Status</w:t>
            </w:r>
          </w:p>
        </w:tc>
        <w:tc>
          <w:tcPr>
            <w:tcW w:type="dxa" w:w="3118"/>
          </w:tcPr>
          <w:p>
            <w:pPr>
              <w:jc w:val="left"/>
            </w:pPr>
            <w:r/>
            <w:r>
              <w:rPr>
                <w:rFonts w:ascii="Cambria" w:hAnsi="Cambria" w:eastAsia="Cambria" w:cs="Cambria"/>
                <w:b w:val="0"/>
                <w:i w:val="0"/>
                <w:sz w:val="17"/>
              </w:rPr>
              <w:t>Frequent downtime due to irregular servicing</w:t>
            </w:r>
          </w:p>
        </w:tc>
        <w:tc>
          <w:tcPr>
            <w:tcW w:type="dxa" w:w="3118"/>
          </w:tcPr>
          <w:p>
            <w:pPr>
              <w:jc w:val="center"/>
            </w:pPr>
            <w:r/>
            <w:r>
              <w:rPr>
                <w:rFonts w:ascii="Cambria" w:hAnsi="Cambria" w:eastAsia="Cambria" w:cs="Cambria"/>
                <w:b w:val="0"/>
                <w:i w:val="0"/>
                <w:sz w:val="17"/>
              </w:rPr>
              <w:t>100% AMC compliance; downtime reduced by 20%</w:t>
            </w:r>
          </w:p>
        </w:tc>
      </w:tr>
    </w:tbl>
    <w:p>
      <w:pPr>
        <w:spacing w:line="276" w:lineRule="auto" w:after="120"/>
        <w:jc w:val="both"/>
      </w:pPr>
      <w:r>
        <w:rPr>
          <w:rFonts w:ascii="Cambria" w:hAnsi="Cambria" w:eastAsia="Cambria" w:cs="Cambria"/>
          <w:b/>
          <w:i w:val="0"/>
          <w:sz w:val="22"/>
        </w:rPr>
        <w:t>How Monitoring &amp; Accountability Prevent Idle Equipment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Need-Based Procurement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HoD approves purchases only when linked to thrust areas or funded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Prevents buying equipment that has no active use case.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Nomination of Faculty/Lab-In-Charge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Every major equipment is assigned a responsible coordinator.</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ownership of scheduling, training, and reporting.</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Usage Tracking &amp; Reporting</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Digital/Manual logbooks document usage (who, when, for what project).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Data is reviewed in monthly R&amp;D meetings to track utilization.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Cross-Departmental Access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HoD ensures equipment is shared with faculty, students, and researchers across departments.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Maximizes usage by supporting interdisciplinary and collaborative projects.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Maintenance Accountability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AMC, calibration, and preventive maintenance schedules are monitored and recorded.</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instruments are always in working condition, avoiding idle downtime.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Integration with Outputs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HoD maps equipment usage to publications, patents, consultancy, and student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Demonstrates measurable returns on investment.</w:t>
      </w:r>
    </w:p>
    <w:p>
      <w:pPr>
        <w:spacing w:before="200" w:after="160"/>
      </w:pPr>
      <w:r>
        <w:rPr>
          <w:rFonts w:ascii="Cambria" w:hAnsi="Cambria" w:eastAsia="Cambria" w:cs="Cambria"/>
          <w:b/>
          <w:i w:val="0"/>
          <w:color w:val="1F3A5F"/>
          <w:sz w:val="26"/>
        </w:rPr>
        <w:t>Measurable Proof</w:t>
      </w:r>
    </w:p>
    <w:tbl>
      <w:tblPr>
        <w:tblW w:type="auto" w:w="0"/>
        <w:jc w:val="center"/>
        <w:tblLayout w:type="fixed"/>
        <w:tblLook w:firstColumn="1" w:firstRow="1" w:lastColumn="0" w:lastRow="0" w:noHBand="0" w:noVBand="1" w:val="04A0"/>
        <w:tblLayout w:type="fixed"/>
      </w:tblPr>
      <w:tblGrid>
        <w:gridCol w:w="1984"/>
        <w:gridCol w:w="3231"/>
        <w:gridCol w:w="3175"/>
      </w:tblGrid>
      <w:tr>
        <w:tc>
          <w:tcPr>
            <w:tcW w:type="dxa" w:w="1984"/>
            <w:shd w:val="clear" w:color="auto" w:fill="1F3A5F"/>
          </w:tcPr>
          <w:p>
            <w:pPr>
              <w:jc w:val="center"/>
            </w:pPr>
            <w:r/>
            <w:r>
              <w:rPr>
                <w:rFonts w:ascii="Cambria" w:hAnsi="Cambria" w:eastAsia="Cambria" w:cs="Cambria"/>
                <w:b/>
                <w:i w:val="0"/>
                <w:color w:val="FFFFFF"/>
                <w:sz w:val="18"/>
              </w:rPr>
              <w:t>Aspect</w:t>
            </w:r>
          </w:p>
        </w:tc>
        <w:tc>
          <w:tcPr>
            <w:tcW w:type="dxa" w:w="3231"/>
            <w:shd w:val="clear" w:color="auto" w:fill="1F3A5F"/>
          </w:tcPr>
          <w:p>
            <w:pPr>
              <w:jc w:val="center"/>
            </w:pPr>
            <w:r/>
            <w:r>
              <w:rPr>
                <w:rFonts w:ascii="Cambria" w:hAnsi="Cambria" w:eastAsia="Cambria" w:cs="Cambria"/>
                <w:b/>
                <w:i w:val="0"/>
                <w:color w:val="FFFFFF"/>
                <w:sz w:val="18"/>
              </w:rPr>
              <w:t>Before Monitoring</w:t>
            </w:r>
          </w:p>
        </w:tc>
        <w:tc>
          <w:tcPr>
            <w:tcW w:type="dxa" w:w="3175"/>
            <w:shd w:val="clear" w:color="auto" w:fill="1F3A5F"/>
          </w:tcPr>
          <w:p>
            <w:pPr>
              <w:jc w:val="center"/>
            </w:pPr>
            <w:r/>
            <w:r>
              <w:rPr>
                <w:rFonts w:ascii="Cambria" w:hAnsi="Cambria" w:eastAsia="Cambria" w:cs="Cambria"/>
                <w:b/>
                <w:i w:val="0"/>
                <w:color w:val="FFFFFF"/>
                <w:sz w:val="18"/>
              </w:rPr>
              <w:t>After Monitoring &amp; Accountability</w:t>
            </w:r>
          </w:p>
        </w:tc>
      </w:tr>
      <w:tr>
        <w:tc>
          <w:tcPr>
            <w:tcW w:type="dxa" w:w="1984"/>
          </w:tcPr>
          <w:p>
            <w:pPr>
              <w:jc w:val="center"/>
            </w:pPr>
            <w:r/>
            <w:r>
              <w:rPr>
                <w:rFonts w:ascii="Cambria" w:hAnsi="Cambria" w:eastAsia="Cambria" w:cs="Cambria"/>
                <w:b w:val="0"/>
                <w:i w:val="0"/>
                <w:sz w:val="17"/>
              </w:rPr>
              <w:t>Utilization Rate</w:t>
            </w:r>
          </w:p>
        </w:tc>
        <w:tc>
          <w:tcPr>
            <w:tcW w:type="dxa" w:w="3231"/>
          </w:tcPr>
          <w:p>
            <w:pPr>
              <w:jc w:val="left"/>
            </w:pPr>
            <w:r/>
            <w:r>
              <w:rPr>
                <w:rFonts w:ascii="Cambria" w:hAnsi="Cambria" w:eastAsia="Cambria" w:cs="Cambria"/>
                <w:b w:val="0"/>
                <w:i w:val="0"/>
                <w:sz w:val="17"/>
              </w:rPr>
              <w:t>40–50% usage</w:t>
            </w:r>
          </w:p>
        </w:tc>
        <w:tc>
          <w:tcPr>
            <w:tcW w:type="dxa" w:w="3175"/>
          </w:tcPr>
          <w:p>
            <w:pPr>
              <w:jc w:val="center"/>
            </w:pPr>
            <w:r/>
            <w:r>
              <w:rPr>
                <w:rFonts w:ascii="Cambria" w:hAnsi="Cambria" w:eastAsia="Cambria" w:cs="Cambria"/>
                <w:b w:val="0"/>
                <w:i w:val="0"/>
                <w:sz w:val="17"/>
              </w:rPr>
              <w:t>~85% usage of available hours</w:t>
            </w:r>
          </w:p>
        </w:tc>
      </w:tr>
      <w:tr>
        <w:tc>
          <w:tcPr>
            <w:tcW w:type="dxa" w:w="1984"/>
            <w:shd w:val="clear" w:color="auto" w:fill="D9D9D9"/>
          </w:tcPr>
          <w:p>
            <w:pPr>
              <w:jc w:val="center"/>
            </w:pPr>
            <w:r/>
            <w:r>
              <w:rPr>
                <w:rFonts w:ascii="Cambria" w:hAnsi="Cambria" w:eastAsia="Cambria" w:cs="Cambria"/>
                <w:b w:val="0"/>
                <w:i w:val="0"/>
                <w:sz w:val="17"/>
              </w:rPr>
              <w:t>Responsibility</w:t>
            </w:r>
          </w:p>
        </w:tc>
        <w:tc>
          <w:tcPr>
            <w:tcW w:type="dxa" w:w="3231"/>
            <w:shd w:val="clear" w:color="auto" w:fill="D9D9D9"/>
          </w:tcPr>
          <w:p>
            <w:pPr>
              <w:jc w:val="left"/>
            </w:pPr>
            <w:r/>
            <w:r>
              <w:rPr>
                <w:rFonts w:ascii="Cambria" w:hAnsi="Cambria" w:eastAsia="Cambria" w:cs="Cambria"/>
                <w:b w:val="0"/>
                <w:i w:val="0"/>
                <w:sz w:val="17"/>
              </w:rPr>
              <w:t>No clear ownership</w:t>
            </w:r>
          </w:p>
        </w:tc>
        <w:tc>
          <w:tcPr>
            <w:tcW w:type="dxa" w:w="3175"/>
            <w:shd w:val="clear" w:color="auto" w:fill="D9D9D9"/>
          </w:tcPr>
          <w:p>
            <w:pPr>
              <w:jc w:val="center"/>
            </w:pPr>
            <w:r/>
            <w:r>
              <w:rPr>
                <w:rFonts w:ascii="Cambria" w:hAnsi="Cambria" w:eastAsia="Cambria" w:cs="Cambria"/>
                <w:b w:val="0"/>
                <w:i w:val="0"/>
                <w:sz w:val="17"/>
              </w:rPr>
              <w:t>Faculty/Lab-in-charge accountable</w:t>
            </w:r>
          </w:p>
        </w:tc>
      </w:tr>
      <w:tr>
        <w:tc>
          <w:tcPr>
            <w:tcW w:type="dxa" w:w="1984"/>
          </w:tcPr>
          <w:p>
            <w:pPr>
              <w:jc w:val="center"/>
            </w:pPr>
            <w:r/>
            <w:r>
              <w:rPr>
                <w:rFonts w:ascii="Cambria" w:hAnsi="Cambria" w:eastAsia="Cambria" w:cs="Cambria"/>
                <w:b w:val="0"/>
                <w:i w:val="0"/>
                <w:sz w:val="17"/>
              </w:rPr>
              <w:t>Research Outputs</w:t>
            </w:r>
          </w:p>
        </w:tc>
        <w:tc>
          <w:tcPr>
            <w:tcW w:type="dxa" w:w="3231"/>
          </w:tcPr>
          <w:p>
            <w:pPr>
              <w:jc w:val="left"/>
            </w:pPr>
            <w:r/>
            <w:r>
              <w:rPr>
                <w:rFonts w:ascii="Cambria" w:hAnsi="Cambria" w:eastAsia="Cambria" w:cs="Cambria"/>
                <w:b w:val="0"/>
                <w:i w:val="0"/>
                <w:sz w:val="17"/>
              </w:rPr>
              <w:t>Few linked publications</w:t>
            </w:r>
          </w:p>
        </w:tc>
        <w:tc>
          <w:tcPr>
            <w:tcW w:type="dxa" w:w="3175"/>
          </w:tcPr>
          <w:p>
            <w:pPr>
              <w:jc w:val="center"/>
            </w:pPr>
            <w:r/>
            <w:r>
              <w:rPr>
                <w:rFonts w:ascii="Cambria" w:hAnsi="Cambria" w:eastAsia="Cambria" w:cs="Cambria"/>
                <w:b w:val="0"/>
                <w:i w:val="0"/>
                <w:sz w:val="17"/>
              </w:rPr>
              <w:t>Publications ↑ from 12 → 40</w:t>
            </w:r>
          </w:p>
        </w:tc>
      </w:tr>
      <w:tr>
        <w:tc>
          <w:tcPr>
            <w:tcW w:type="dxa" w:w="1984"/>
            <w:shd w:val="clear" w:color="auto" w:fill="D9D9D9"/>
          </w:tcPr>
          <w:p>
            <w:pPr>
              <w:jc w:val="center"/>
            </w:pPr>
            <w:r/>
            <w:r>
              <w:rPr>
                <w:rFonts w:ascii="Cambria" w:hAnsi="Cambria" w:eastAsia="Cambria" w:cs="Cambria"/>
                <w:b w:val="0"/>
                <w:i w:val="0"/>
                <w:sz w:val="17"/>
              </w:rPr>
              <w:t>Patents</w:t>
            </w:r>
          </w:p>
        </w:tc>
        <w:tc>
          <w:tcPr>
            <w:tcW w:type="dxa" w:w="3231"/>
            <w:shd w:val="clear" w:color="auto" w:fill="D9D9D9"/>
          </w:tcPr>
          <w:p>
            <w:pPr>
              <w:jc w:val="left"/>
            </w:pPr>
            <w:r/>
            <w:r>
              <w:rPr>
                <w:rFonts w:ascii="Cambria" w:hAnsi="Cambria" w:eastAsia="Cambria" w:cs="Cambria"/>
                <w:b w:val="0"/>
                <w:i w:val="0"/>
                <w:sz w:val="17"/>
              </w:rPr>
              <w:t>1–2 occasional filings</w:t>
            </w:r>
          </w:p>
        </w:tc>
        <w:tc>
          <w:tcPr>
            <w:tcW w:type="dxa" w:w="3175"/>
            <w:shd w:val="clear" w:color="auto" w:fill="D9D9D9"/>
          </w:tcPr>
          <w:p>
            <w:pPr>
              <w:jc w:val="center"/>
            </w:pPr>
            <w:r/>
            <w:r>
              <w:rPr>
                <w:rFonts w:ascii="Cambria" w:hAnsi="Cambria" w:eastAsia="Cambria" w:cs="Cambria"/>
                <w:b w:val="0"/>
                <w:i w:val="0"/>
                <w:sz w:val="17"/>
              </w:rPr>
              <w:t>8 patents filed in 3 years</w:t>
            </w:r>
          </w:p>
        </w:tc>
      </w:tr>
      <w:tr>
        <w:tc>
          <w:tcPr>
            <w:tcW w:type="dxa" w:w="1984"/>
          </w:tcPr>
          <w:p>
            <w:pPr>
              <w:jc w:val="center"/>
            </w:pPr>
            <w:r/>
            <w:r>
              <w:rPr>
                <w:rFonts w:ascii="Cambria" w:hAnsi="Cambria" w:eastAsia="Cambria" w:cs="Cambria"/>
                <w:b w:val="0"/>
                <w:i w:val="0"/>
                <w:sz w:val="17"/>
              </w:rPr>
              <w:t>Consultancy</w:t>
            </w:r>
          </w:p>
        </w:tc>
        <w:tc>
          <w:tcPr>
            <w:tcW w:type="dxa" w:w="3231"/>
          </w:tcPr>
          <w:p>
            <w:pPr>
              <w:jc w:val="left"/>
            </w:pPr>
            <w:r/>
            <w:r>
              <w:rPr>
                <w:rFonts w:ascii="Cambria" w:hAnsi="Cambria" w:eastAsia="Cambria" w:cs="Cambria"/>
                <w:b w:val="0"/>
                <w:i w:val="0"/>
                <w:sz w:val="17"/>
              </w:rPr>
              <w:t>Minimal</w:t>
            </w:r>
          </w:p>
        </w:tc>
        <w:tc>
          <w:tcPr>
            <w:tcW w:type="dxa" w:w="3175"/>
          </w:tcPr>
          <w:p>
            <w:pPr>
              <w:jc w:val="center"/>
            </w:pPr>
            <w:r/>
            <w:r>
              <w:rPr>
                <w:rFonts w:ascii="Cambria" w:hAnsi="Cambria" w:eastAsia="Cambria" w:cs="Cambria"/>
                <w:b w:val="0"/>
                <w:i w:val="0"/>
                <w:sz w:val="17"/>
              </w:rPr>
              <w:t>Consultancy revenue ↑30% YoY</w:t>
            </w:r>
          </w:p>
        </w:tc>
      </w:tr>
      <w:tr>
        <w:tc>
          <w:tcPr>
            <w:tcW w:type="dxa" w:w="1984"/>
            <w:shd w:val="clear" w:color="auto" w:fill="D9D9D9"/>
          </w:tcPr>
          <w:p>
            <w:pPr>
              <w:jc w:val="center"/>
            </w:pPr>
            <w:r/>
            <w:r>
              <w:rPr>
                <w:rFonts w:ascii="Cambria" w:hAnsi="Cambria" w:eastAsia="Cambria" w:cs="Cambria"/>
                <w:b w:val="0"/>
                <w:i w:val="0"/>
                <w:sz w:val="17"/>
              </w:rPr>
              <w:t>Downtime</w:t>
            </w:r>
          </w:p>
        </w:tc>
        <w:tc>
          <w:tcPr>
            <w:tcW w:type="dxa" w:w="3231"/>
            <w:shd w:val="clear" w:color="auto" w:fill="D9D9D9"/>
          </w:tcPr>
          <w:p>
            <w:pPr>
              <w:jc w:val="left"/>
            </w:pPr>
            <w:r/>
            <w:r>
              <w:rPr>
                <w:rFonts w:ascii="Cambria" w:hAnsi="Cambria" w:eastAsia="Cambria" w:cs="Cambria"/>
                <w:b w:val="0"/>
                <w:i w:val="0"/>
                <w:sz w:val="17"/>
              </w:rPr>
              <w:t>High due to irregular servicing</w:t>
            </w:r>
          </w:p>
        </w:tc>
        <w:tc>
          <w:tcPr>
            <w:tcW w:type="dxa" w:w="3175"/>
            <w:shd w:val="clear" w:color="auto" w:fill="D9D9D9"/>
          </w:tcPr>
          <w:p>
            <w:pPr>
              <w:jc w:val="center"/>
            </w:pPr>
            <w:r/>
            <w:r>
              <w:rPr>
                <w:rFonts w:ascii="Cambria" w:hAnsi="Cambria" w:eastAsia="Cambria" w:cs="Cambria"/>
                <w:b w:val="0"/>
                <w:i w:val="0"/>
                <w:sz w:val="17"/>
              </w:rPr>
              <w:t>Reduced by 20% with AMC compliance</w:t>
            </w:r>
          </w:p>
        </w:tc>
      </w:tr>
    </w:tbl>
    <w:p>
      <w:pPr>
        <w:spacing w:before="200" w:after="160"/>
      </w:pPr>
      <w:r>
        <w:rPr>
          <w:rFonts w:ascii="Cambria" w:hAnsi="Cambria" w:eastAsia="Cambria" w:cs="Cambria"/>
          <w:b/>
          <w:i w:val="0"/>
          <w:color w:val="1F3A5F"/>
          <w:sz w:val="26"/>
        </w:rPr>
        <w:t>Before vs After Utilization Flow</w:t>
      </w:r>
    </w:p>
    <w:tbl>
      <w:tblPr>
        <w:tblW w:type="auto" w:w="0"/>
        <w:jc w:val="center"/>
        <w:tblLayout w:type="fixed"/>
        <w:tblLook w:firstColumn="1" w:firstRow="1" w:lastColumn="0" w:lastRow="0" w:noHBand="0" w:noVBand="1" w:val="04A0"/>
        <w:tblLayout w:type="fixed"/>
      </w:tblPr>
      <w:tblGrid>
        <w:gridCol w:w="1587"/>
        <w:gridCol w:w="3402"/>
        <w:gridCol w:w="3402"/>
      </w:tblGrid>
      <w:tr>
        <w:tc>
          <w:tcPr>
            <w:tcW w:type="dxa" w:w="1587"/>
            <w:shd w:val="clear" w:color="auto" w:fill="1F3A5F"/>
          </w:tcPr>
          <w:p>
            <w:pPr>
              <w:jc w:val="center"/>
            </w:pPr>
            <w:r/>
            <w:r>
              <w:rPr>
                <w:rFonts w:ascii="Cambria" w:hAnsi="Cambria" w:eastAsia="Cambria" w:cs="Cambria"/>
                <w:b/>
                <w:i w:val="0"/>
                <w:color w:val="FFFFFF"/>
                <w:sz w:val="17"/>
              </w:rPr>
              <w:t>Stage</w:t>
            </w:r>
          </w:p>
        </w:tc>
        <w:tc>
          <w:tcPr>
            <w:tcW w:type="dxa" w:w="3402"/>
            <w:shd w:val="clear" w:color="auto" w:fill="1F3A5F"/>
          </w:tcPr>
          <w:p>
            <w:pPr>
              <w:jc w:val="center"/>
            </w:pPr>
            <w:r/>
            <w:r>
              <w:rPr>
                <w:rFonts w:ascii="Cambria" w:hAnsi="Cambria" w:eastAsia="Cambria" w:cs="Cambria"/>
                <w:b/>
                <w:i w:val="0"/>
                <w:color w:val="FFFFFF"/>
                <w:sz w:val="17"/>
              </w:rPr>
              <w:t>Before Monitoring &amp; Accountability</w:t>
            </w:r>
          </w:p>
        </w:tc>
        <w:tc>
          <w:tcPr>
            <w:tcW w:type="dxa" w:w="3402"/>
            <w:shd w:val="clear" w:color="auto" w:fill="1F3A5F"/>
          </w:tcPr>
          <w:p>
            <w:pPr>
              <w:jc w:val="center"/>
            </w:pPr>
            <w:r/>
            <w:r>
              <w:rPr>
                <w:rFonts w:ascii="Cambria" w:hAnsi="Cambria" w:eastAsia="Cambria" w:cs="Cambria"/>
                <w:b/>
                <w:i w:val="0"/>
                <w:color w:val="FFFFFF"/>
                <w:sz w:val="17"/>
              </w:rPr>
              <w:t>After Monitoring &amp; Accountability (3 Years)</w:t>
            </w:r>
          </w:p>
        </w:tc>
      </w:tr>
      <w:tr>
        <w:tc>
          <w:tcPr>
            <w:tcW w:type="dxa" w:w="1587"/>
          </w:tcPr>
          <w:p>
            <w:pPr>
              <w:jc w:val="center"/>
            </w:pPr>
            <w:r/>
            <w:r>
              <w:rPr>
                <w:rFonts w:ascii="Cambria" w:hAnsi="Cambria" w:eastAsia="Cambria" w:cs="Cambria"/>
                <w:b w:val="0"/>
                <w:i w:val="0"/>
                <w:sz w:val="15"/>
              </w:rPr>
              <w:t>Procurement</w:t>
            </w:r>
          </w:p>
        </w:tc>
        <w:tc>
          <w:tcPr>
            <w:tcW w:type="dxa" w:w="3402"/>
          </w:tcPr>
          <w:p>
            <w:pPr>
              <w:jc w:val="left"/>
            </w:pPr>
            <w:r/>
            <w:r>
              <w:rPr>
                <w:rFonts w:ascii="Cambria" w:hAnsi="Cambria" w:eastAsia="Cambria" w:cs="Cambria"/>
                <w:b w:val="0"/>
                <w:i w:val="0"/>
                <w:sz w:val="15"/>
              </w:rPr>
              <w:t>Equipment purchased without direct project linkage; some items remain idle.</w:t>
            </w:r>
          </w:p>
        </w:tc>
        <w:tc>
          <w:tcPr>
            <w:tcW w:type="dxa" w:w="3402"/>
          </w:tcPr>
          <w:p>
            <w:pPr>
              <w:jc w:val="center"/>
            </w:pPr>
            <w:r/>
            <w:r>
              <w:rPr>
                <w:rFonts w:ascii="Cambria" w:hAnsi="Cambria" w:eastAsia="Cambria" w:cs="Cambria"/>
                <w:b w:val="0"/>
                <w:i w:val="0"/>
                <w:sz w:val="15"/>
              </w:rPr>
              <w:t>Purchases tied to funded projects/thrust areas; every equipment linked to a research outcome.</w:t>
            </w:r>
          </w:p>
        </w:tc>
      </w:tr>
      <w:tr>
        <w:tc>
          <w:tcPr>
            <w:tcW w:type="dxa" w:w="1587"/>
            <w:shd w:val="clear" w:color="auto" w:fill="D9D9D9"/>
          </w:tcPr>
          <w:p>
            <w:pPr>
              <w:jc w:val="center"/>
            </w:pPr>
            <w:r/>
            <w:r>
              <w:rPr>
                <w:rFonts w:ascii="Cambria" w:hAnsi="Cambria" w:eastAsia="Cambria" w:cs="Cambria"/>
                <w:b w:val="0"/>
                <w:i w:val="0"/>
                <w:sz w:val="15"/>
              </w:rPr>
              <w:t>Allocation</w:t>
            </w:r>
          </w:p>
        </w:tc>
        <w:tc>
          <w:tcPr>
            <w:tcW w:type="dxa" w:w="3402"/>
            <w:shd w:val="clear" w:color="auto" w:fill="D9D9D9"/>
          </w:tcPr>
          <w:p>
            <w:pPr>
              <w:jc w:val="left"/>
            </w:pPr>
            <w:r/>
            <w:r>
              <w:rPr>
                <w:rFonts w:ascii="Cambria" w:hAnsi="Cambria" w:eastAsia="Cambria" w:cs="Cambria"/>
                <w:b w:val="0"/>
                <w:i w:val="0"/>
                <w:sz w:val="15"/>
              </w:rPr>
              <w:t>No clear responsibility; equipment access restricted to few faculty.</w:t>
            </w:r>
          </w:p>
        </w:tc>
        <w:tc>
          <w:tcPr>
            <w:tcW w:type="dxa" w:w="3402"/>
            <w:shd w:val="clear" w:color="auto" w:fill="D9D9D9"/>
          </w:tcPr>
          <w:p>
            <w:pPr>
              <w:jc w:val="center"/>
            </w:pPr>
            <w:r/>
            <w:r>
              <w:rPr>
                <w:rFonts w:ascii="Cambria" w:hAnsi="Cambria" w:eastAsia="Cambria" w:cs="Cambria"/>
                <w:b w:val="0"/>
                <w:i w:val="0"/>
                <w:sz w:val="15"/>
              </w:rPr>
              <w:t>Faculty/Lab-in-charge nominated; equipment shared across departments for wider usage.</w:t>
            </w:r>
          </w:p>
        </w:tc>
      </w:tr>
      <w:tr>
        <w:tc>
          <w:tcPr>
            <w:tcW w:type="dxa" w:w="1587"/>
          </w:tcPr>
          <w:p>
            <w:pPr>
              <w:jc w:val="center"/>
            </w:pPr>
            <w:r/>
            <w:r>
              <w:rPr>
                <w:rFonts w:ascii="Cambria" w:hAnsi="Cambria" w:eastAsia="Cambria" w:cs="Cambria"/>
                <w:b w:val="0"/>
                <w:i w:val="0"/>
                <w:sz w:val="15"/>
              </w:rPr>
              <w:t>Monitoring</w:t>
            </w:r>
          </w:p>
        </w:tc>
        <w:tc>
          <w:tcPr>
            <w:tcW w:type="dxa" w:w="3402"/>
          </w:tcPr>
          <w:p>
            <w:pPr>
              <w:jc w:val="left"/>
            </w:pPr>
            <w:r/>
            <w:r>
              <w:rPr>
                <w:rFonts w:ascii="Cambria" w:hAnsi="Cambria" w:eastAsia="Cambria" w:cs="Cambria"/>
                <w:b w:val="0"/>
                <w:i w:val="0"/>
                <w:sz w:val="15"/>
              </w:rPr>
              <w:t>No usage records; irregular checks on functionality.</w:t>
            </w:r>
          </w:p>
        </w:tc>
        <w:tc>
          <w:tcPr>
            <w:tcW w:type="dxa" w:w="3402"/>
          </w:tcPr>
          <w:p>
            <w:pPr>
              <w:jc w:val="center"/>
            </w:pPr>
            <w:r/>
            <w:r>
              <w:rPr>
                <w:rFonts w:ascii="Cambria" w:hAnsi="Cambria" w:eastAsia="Cambria" w:cs="Cambria"/>
                <w:b w:val="0"/>
                <w:i w:val="0"/>
                <w:sz w:val="15"/>
              </w:rPr>
              <w:t>Digital/manual usage logs maintained; reviewed in monthly R&amp;D meetings.</w:t>
            </w:r>
          </w:p>
        </w:tc>
      </w:tr>
      <w:tr>
        <w:tc>
          <w:tcPr>
            <w:tcW w:type="dxa" w:w="1587"/>
            <w:shd w:val="clear" w:color="auto" w:fill="D9D9D9"/>
          </w:tcPr>
          <w:p>
            <w:pPr>
              <w:jc w:val="center"/>
            </w:pPr>
            <w:r/>
            <w:r>
              <w:rPr>
                <w:rFonts w:ascii="Cambria" w:hAnsi="Cambria" w:eastAsia="Cambria" w:cs="Cambria"/>
                <w:b w:val="0"/>
                <w:i w:val="0"/>
                <w:sz w:val="15"/>
              </w:rPr>
              <w:t>Maintenance</w:t>
            </w:r>
          </w:p>
        </w:tc>
        <w:tc>
          <w:tcPr>
            <w:tcW w:type="dxa" w:w="3402"/>
            <w:shd w:val="clear" w:color="auto" w:fill="D9D9D9"/>
          </w:tcPr>
          <w:p>
            <w:pPr>
              <w:jc w:val="left"/>
            </w:pPr>
            <w:r/>
            <w:r>
              <w:rPr>
                <w:rFonts w:ascii="Cambria" w:hAnsi="Cambria" w:eastAsia="Cambria" w:cs="Cambria"/>
                <w:b w:val="0"/>
                <w:i w:val="0"/>
                <w:sz w:val="15"/>
              </w:rPr>
              <w:t>Reactive repairs; downtime high; calibration irregular.</w:t>
            </w:r>
          </w:p>
        </w:tc>
        <w:tc>
          <w:tcPr>
            <w:tcW w:type="dxa" w:w="3402"/>
            <w:shd w:val="clear" w:color="auto" w:fill="D9D9D9"/>
          </w:tcPr>
          <w:p>
            <w:pPr>
              <w:jc w:val="center"/>
            </w:pPr>
            <w:r/>
            <w:r>
              <w:rPr>
                <w:rFonts w:ascii="Cambria" w:hAnsi="Cambria" w:eastAsia="Cambria" w:cs="Cambria"/>
                <w:b w:val="0"/>
                <w:i w:val="0"/>
                <w:sz w:val="15"/>
              </w:rPr>
              <w:t>AMC, preventive maintenance, calibration schedules followed; downtime reduced by 20%.</w:t>
            </w:r>
          </w:p>
        </w:tc>
      </w:tr>
      <w:tr>
        <w:tc>
          <w:tcPr>
            <w:tcW w:type="dxa" w:w="1587"/>
          </w:tcPr>
          <w:p>
            <w:pPr>
              <w:jc w:val="center"/>
            </w:pPr>
            <w:r/>
            <w:r>
              <w:rPr>
                <w:rFonts w:ascii="Cambria" w:hAnsi="Cambria" w:eastAsia="Cambria" w:cs="Cambria"/>
                <w:b w:val="0"/>
                <w:i w:val="0"/>
                <w:sz w:val="15"/>
              </w:rPr>
              <w:t>Outputs</w:t>
            </w:r>
          </w:p>
        </w:tc>
        <w:tc>
          <w:tcPr>
            <w:tcW w:type="dxa" w:w="3402"/>
          </w:tcPr>
          <w:p>
            <w:pPr>
              <w:jc w:val="left"/>
            </w:pPr>
            <w:r/>
            <w:r>
              <w:rPr>
                <w:rFonts w:ascii="Cambria" w:hAnsi="Cambria" w:eastAsia="Cambria" w:cs="Cambria"/>
                <w:b w:val="0"/>
                <w:i w:val="0"/>
                <w:sz w:val="15"/>
              </w:rPr>
              <w:t>Few publications or patents linked; equipment underutilized.</w:t>
            </w:r>
          </w:p>
        </w:tc>
        <w:tc>
          <w:tcPr>
            <w:tcW w:type="dxa" w:w="3402"/>
          </w:tcPr>
          <w:p>
            <w:pPr>
              <w:jc w:val="center"/>
            </w:pPr>
            <w:r/>
            <w:r>
              <w:rPr>
                <w:rFonts w:ascii="Cambria" w:hAnsi="Cambria" w:eastAsia="Cambria" w:cs="Cambria"/>
                <w:b w:val="0"/>
                <w:i w:val="0"/>
                <w:sz w:val="15"/>
              </w:rPr>
              <w:t>Publications citing equipment ↑ from 12 → 40; patents ↑ from 2 → 8; consultancy revenue ↑30% YoY.</w:t>
            </w:r>
          </w:p>
        </w:tc>
      </w:tr>
      <w:tr>
        <w:tc>
          <w:tcPr>
            <w:tcW w:type="dxa" w:w="1587"/>
            <w:shd w:val="clear" w:color="auto" w:fill="D9D9D9"/>
          </w:tcPr>
          <w:p>
            <w:pPr>
              <w:jc w:val="center"/>
            </w:pPr>
            <w:r/>
            <w:r>
              <w:rPr>
                <w:rFonts w:ascii="Cambria" w:hAnsi="Cambria" w:eastAsia="Cambria" w:cs="Cambria"/>
                <w:b w:val="0"/>
                <w:i w:val="0"/>
                <w:sz w:val="15"/>
              </w:rPr>
              <w:t>Accountability</w:t>
            </w:r>
          </w:p>
        </w:tc>
        <w:tc>
          <w:tcPr>
            <w:tcW w:type="dxa" w:w="3402"/>
            <w:shd w:val="clear" w:color="auto" w:fill="D9D9D9"/>
          </w:tcPr>
          <w:p>
            <w:pPr>
              <w:jc w:val="left"/>
            </w:pPr>
            <w:r/>
            <w:r>
              <w:rPr>
                <w:rFonts w:ascii="Cambria" w:hAnsi="Cambria" w:eastAsia="Cambria" w:cs="Cambria"/>
                <w:b w:val="0"/>
                <w:i w:val="0"/>
                <w:sz w:val="15"/>
              </w:rPr>
              <w:t>No tracking of ROI; usage not reported to committees.</w:t>
            </w:r>
          </w:p>
        </w:tc>
        <w:tc>
          <w:tcPr>
            <w:tcW w:type="dxa" w:w="3402"/>
            <w:shd w:val="clear" w:color="auto" w:fill="D9D9D9"/>
          </w:tcPr>
          <w:p>
            <w:pPr>
              <w:jc w:val="center"/>
            </w:pPr>
            <w:r/>
            <w:r>
              <w:rPr>
                <w:rFonts w:ascii="Cambria" w:hAnsi="Cambria" w:eastAsia="Cambria" w:cs="Cambria"/>
                <w:b w:val="0"/>
                <w:i w:val="0"/>
                <w:sz w:val="15"/>
              </w:rPr>
              <w:t>Annual utilization reports submitted to IQAC/Research Committee; full accountability ensured.</w:t>
            </w:r>
          </w:p>
        </w:tc>
      </w:tr>
    </w:tbl>
    <w:p>
      <w:pPr>
        <w:spacing w:line="276" w:lineRule="auto" w:after="120"/>
        <w:jc w:val="both"/>
      </w:pPr>
      <w:r>
        <w:rPr>
          <w:rFonts w:ascii="Cambria" w:hAnsi="Cambria" w:eastAsia="Cambria" w:cs="Cambria"/>
          <w:b/>
          <w:i w:val="0"/>
          <w:sz w:val="22"/>
        </w:rPr>
        <w:t>How Idle/Symbolic Use Is Prevented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Need-Based Procurement → Equipment purchased only when tied to thrust areas, sanctioned projects.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Clear Allocation → Faculty/lab-in-charge nominated for each equipment, ensuring ownership and accountability.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Usage Monitoring → Manual/digital logbooks + monthly R&amp;D reviews confirm real-time utilization.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Cross-Departmental Access → Shared with multiple departments and interdisciplinary teams, ensuring maximum usage.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Planned Maintenance → AMC and calibration schedules prevent downtime that causes underutilization.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Integration with Outputs → Equipment usage linked directly to projects, publications, patents, consultancy, and student theses.</w:t>
      </w:r>
    </w:p>
    <w:p>
      <w:pPr>
        <w:spacing w:before="200" w:after="160"/>
      </w:pPr>
      <w:r>
        <w:rPr>
          <w:rFonts w:ascii="Cambria" w:hAnsi="Cambria" w:eastAsia="Cambria" w:cs="Cambria"/>
          <w:b/>
          <w:i w:val="0"/>
          <w:color w:val="1F3A5F"/>
          <w:sz w:val="26"/>
        </w:rPr>
        <w:t>Proof of Active Contribution</w:t>
      </w:r>
    </w:p>
    <w:tbl>
      <w:tblPr>
        <w:tblW w:type="auto" w:w="0"/>
        <w:jc w:val="center"/>
        <w:tblLayout w:type="fixed"/>
        <w:tblLook w:firstColumn="1" w:firstRow="1" w:lastColumn="0" w:lastRow="0" w:noHBand="0" w:noVBand="1" w:val="04A0"/>
        <w:tblLayout w:type="fixed"/>
      </w:tblPr>
      <w:tblGrid>
        <w:gridCol w:w="1871"/>
        <w:gridCol w:w="3345"/>
        <w:gridCol w:w="2891"/>
      </w:tblGrid>
      <w:tr>
        <w:tc>
          <w:tcPr>
            <w:tcW w:type="dxa" w:w="1871"/>
            <w:shd w:val="clear" w:color="auto" w:fill="1F3A5F"/>
          </w:tcPr>
          <w:p>
            <w:pPr>
              <w:jc w:val="center"/>
            </w:pPr>
            <w:r/>
            <w:r>
              <w:rPr>
                <w:rFonts w:ascii="Cambria" w:hAnsi="Cambria" w:eastAsia="Cambria" w:cs="Cambria"/>
                <w:b/>
                <w:i w:val="0"/>
                <w:color w:val="FFFFFF"/>
                <w:sz w:val="18"/>
              </w:rPr>
              <w:t>Dimension</w:t>
            </w:r>
          </w:p>
        </w:tc>
        <w:tc>
          <w:tcPr>
            <w:tcW w:type="dxa" w:w="3345"/>
            <w:shd w:val="clear" w:color="auto" w:fill="1F3A5F"/>
          </w:tcPr>
          <w:p>
            <w:pPr>
              <w:jc w:val="center"/>
            </w:pPr>
            <w:r/>
            <w:r>
              <w:rPr>
                <w:rFonts w:ascii="Cambria" w:hAnsi="Cambria" w:eastAsia="Cambria" w:cs="Cambria"/>
                <w:b/>
                <w:i w:val="0"/>
                <w:color w:val="FFFFFF"/>
                <w:sz w:val="18"/>
              </w:rPr>
              <w:t>Idle/Symbolic Use (Before Monitoring)</w:t>
            </w:r>
          </w:p>
        </w:tc>
        <w:tc>
          <w:tcPr>
            <w:tcW w:type="dxa" w:w="2891"/>
            <w:shd w:val="clear" w:color="auto" w:fill="1F3A5F"/>
          </w:tcPr>
          <w:p>
            <w:pPr>
              <w:jc w:val="center"/>
            </w:pPr>
            <w:r/>
            <w:r>
              <w:rPr>
                <w:rFonts w:ascii="Cambria" w:hAnsi="Cambria" w:eastAsia="Cambria" w:cs="Cambria"/>
                <w:b/>
                <w:i w:val="0"/>
                <w:color w:val="FFFFFF"/>
                <w:sz w:val="18"/>
              </w:rPr>
              <w:t>Active Contribution (After Monitoring)</w:t>
            </w:r>
          </w:p>
        </w:tc>
      </w:tr>
      <w:tr>
        <w:tc>
          <w:tcPr>
            <w:tcW w:type="dxa" w:w="1871"/>
          </w:tcPr>
          <w:p>
            <w:pPr>
              <w:jc w:val="center"/>
            </w:pPr>
            <w:r/>
            <w:r>
              <w:rPr>
                <w:rFonts w:ascii="Cambria" w:hAnsi="Cambria" w:eastAsia="Cambria" w:cs="Cambria"/>
                <w:b w:val="0"/>
                <w:i w:val="0"/>
                <w:sz w:val="17"/>
              </w:rPr>
              <w:t>Procurement</w:t>
            </w:r>
          </w:p>
        </w:tc>
        <w:tc>
          <w:tcPr>
            <w:tcW w:type="dxa" w:w="3345"/>
          </w:tcPr>
          <w:p>
            <w:pPr>
              <w:jc w:val="left"/>
            </w:pPr>
            <w:r/>
            <w:r>
              <w:rPr>
                <w:rFonts w:ascii="Cambria" w:hAnsi="Cambria" w:eastAsia="Cambria" w:cs="Cambria"/>
                <w:b w:val="0"/>
                <w:i w:val="0"/>
                <w:sz w:val="17"/>
              </w:rPr>
              <w:t>Purchased without project linkage</w:t>
            </w:r>
          </w:p>
        </w:tc>
        <w:tc>
          <w:tcPr>
            <w:tcW w:type="dxa" w:w="2891"/>
          </w:tcPr>
          <w:p>
            <w:pPr>
              <w:jc w:val="center"/>
            </w:pPr>
            <w:r/>
            <w:r>
              <w:rPr>
                <w:rFonts w:ascii="Cambria" w:hAnsi="Cambria" w:eastAsia="Cambria" w:cs="Cambria"/>
                <w:b w:val="0"/>
                <w:i w:val="0"/>
                <w:sz w:val="17"/>
              </w:rPr>
              <w:t>Linked to thrust areas &amp; funded projects</w:t>
            </w:r>
          </w:p>
        </w:tc>
      </w:tr>
      <w:tr>
        <w:tc>
          <w:tcPr>
            <w:tcW w:type="dxa" w:w="1871"/>
            <w:shd w:val="clear" w:color="auto" w:fill="D9D9D9"/>
          </w:tcPr>
          <w:p>
            <w:pPr>
              <w:jc w:val="center"/>
            </w:pPr>
            <w:r/>
            <w:r>
              <w:rPr>
                <w:rFonts w:ascii="Cambria" w:hAnsi="Cambria" w:eastAsia="Cambria" w:cs="Cambria"/>
                <w:b w:val="0"/>
                <w:i w:val="0"/>
                <w:sz w:val="17"/>
              </w:rPr>
              <w:t>Utilization</w:t>
            </w:r>
          </w:p>
        </w:tc>
        <w:tc>
          <w:tcPr>
            <w:tcW w:type="dxa" w:w="3345"/>
            <w:shd w:val="clear" w:color="auto" w:fill="D9D9D9"/>
          </w:tcPr>
          <w:p>
            <w:pPr>
              <w:jc w:val="left"/>
            </w:pPr>
            <w:r/>
            <w:r>
              <w:rPr>
                <w:rFonts w:ascii="Cambria" w:hAnsi="Cambria" w:eastAsia="Cambria" w:cs="Cambria"/>
                <w:b w:val="0"/>
                <w:i w:val="0"/>
                <w:sz w:val="17"/>
              </w:rPr>
              <w:t>40–50% usage; many instruments idle</w:t>
            </w:r>
          </w:p>
        </w:tc>
        <w:tc>
          <w:tcPr>
            <w:tcW w:type="dxa" w:w="2891"/>
            <w:shd w:val="clear" w:color="auto" w:fill="D9D9D9"/>
          </w:tcPr>
          <w:p>
            <w:pPr>
              <w:jc w:val="center"/>
            </w:pPr>
            <w:r/>
            <w:r>
              <w:rPr>
                <w:rFonts w:ascii="Cambria" w:hAnsi="Cambria" w:eastAsia="Cambria" w:cs="Cambria"/>
                <w:b w:val="0"/>
                <w:i w:val="0"/>
                <w:sz w:val="17"/>
              </w:rPr>
              <w:t>~85% utilization rate</w:t>
            </w:r>
          </w:p>
        </w:tc>
      </w:tr>
      <w:tr>
        <w:tc>
          <w:tcPr>
            <w:tcW w:type="dxa" w:w="1871"/>
          </w:tcPr>
          <w:p>
            <w:pPr>
              <w:jc w:val="center"/>
            </w:pPr>
            <w:r/>
            <w:r>
              <w:rPr>
                <w:rFonts w:ascii="Cambria" w:hAnsi="Cambria" w:eastAsia="Cambria" w:cs="Cambria"/>
                <w:b w:val="0"/>
                <w:i w:val="0"/>
                <w:sz w:val="17"/>
              </w:rPr>
              <w:t>Accountability</w:t>
            </w:r>
          </w:p>
        </w:tc>
        <w:tc>
          <w:tcPr>
            <w:tcW w:type="dxa" w:w="3345"/>
          </w:tcPr>
          <w:p>
            <w:pPr>
              <w:jc w:val="left"/>
            </w:pPr>
            <w:r/>
            <w:r>
              <w:rPr>
                <w:rFonts w:ascii="Cambria" w:hAnsi="Cambria" w:eastAsia="Cambria" w:cs="Cambria"/>
                <w:b w:val="0"/>
                <w:i w:val="0"/>
                <w:sz w:val="17"/>
              </w:rPr>
              <w:t>No coordinator assigned</w:t>
            </w:r>
          </w:p>
        </w:tc>
        <w:tc>
          <w:tcPr>
            <w:tcW w:type="dxa" w:w="2891"/>
          </w:tcPr>
          <w:p>
            <w:pPr>
              <w:jc w:val="center"/>
            </w:pPr>
            <w:r/>
            <w:r>
              <w:rPr>
                <w:rFonts w:ascii="Cambria" w:hAnsi="Cambria" w:eastAsia="Cambria" w:cs="Cambria"/>
                <w:b w:val="0"/>
                <w:i w:val="0"/>
                <w:sz w:val="17"/>
              </w:rPr>
              <w:t>Faculty/Lab-in-charge responsible</w:t>
            </w:r>
          </w:p>
        </w:tc>
      </w:tr>
      <w:tr>
        <w:tc>
          <w:tcPr>
            <w:tcW w:type="dxa" w:w="1871"/>
            <w:shd w:val="clear" w:color="auto" w:fill="D9D9D9"/>
          </w:tcPr>
          <w:p>
            <w:pPr>
              <w:jc w:val="center"/>
            </w:pPr>
            <w:r/>
            <w:r>
              <w:rPr>
                <w:rFonts w:ascii="Cambria" w:hAnsi="Cambria" w:eastAsia="Cambria" w:cs="Cambria"/>
                <w:b w:val="0"/>
                <w:i w:val="0"/>
                <w:sz w:val="17"/>
              </w:rPr>
              <w:t>Research Outputs</w:t>
            </w:r>
          </w:p>
        </w:tc>
        <w:tc>
          <w:tcPr>
            <w:tcW w:type="dxa" w:w="3345"/>
            <w:shd w:val="clear" w:color="auto" w:fill="D9D9D9"/>
          </w:tcPr>
          <w:p>
            <w:pPr>
              <w:jc w:val="left"/>
            </w:pPr>
            <w:r/>
            <w:r>
              <w:rPr>
                <w:rFonts w:ascii="Cambria" w:hAnsi="Cambria" w:eastAsia="Cambria" w:cs="Cambria"/>
                <w:b w:val="0"/>
                <w:i w:val="0"/>
                <w:sz w:val="17"/>
              </w:rPr>
              <w:t>Few publications; rare patents</w:t>
            </w:r>
          </w:p>
        </w:tc>
        <w:tc>
          <w:tcPr>
            <w:tcW w:type="dxa" w:w="2891"/>
            <w:shd w:val="clear" w:color="auto" w:fill="D9D9D9"/>
          </w:tcPr>
          <w:p>
            <w:pPr>
              <w:jc w:val="center"/>
            </w:pPr>
            <w:r/>
            <w:r>
              <w:rPr>
                <w:rFonts w:ascii="Cambria" w:hAnsi="Cambria" w:eastAsia="Cambria" w:cs="Cambria"/>
                <w:b w:val="0"/>
                <w:i w:val="0"/>
                <w:sz w:val="17"/>
              </w:rPr>
              <w:t>Publications ↑ 12 → 40; Patents ↑ 2 → 8</w:t>
            </w:r>
          </w:p>
        </w:tc>
      </w:tr>
      <w:tr>
        <w:tc>
          <w:tcPr>
            <w:tcW w:type="dxa" w:w="1871"/>
          </w:tcPr>
          <w:p>
            <w:pPr>
              <w:jc w:val="center"/>
            </w:pPr>
            <w:r/>
            <w:r>
              <w:rPr>
                <w:rFonts w:ascii="Cambria" w:hAnsi="Cambria" w:eastAsia="Cambria" w:cs="Cambria"/>
                <w:b w:val="0"/>
                <w:i w:val="0"/>
                <w:sz w:val="17"/>
              </w:rPr>
              <w:t>Consultancy</w:t>
            </w:r>
          </w:p>
        </w:tc>
        <w:tc>
          <w:tcPr>
            <w:tcW w:type="dxa" w:w="3345"/>
          </w:tcPr>
          <w:p>
            <w:pPr>
              <w:jc w:val="left"/>
            </w:pPr>
            <w:r/>
            <w:r>
              <w:rPr>
                <w:rFonts w:ascii="Cambria" w:hAnsi="Cambria" w:eastAsia="Cambria" w:cs="Cambria"/>
                <w:b w:val="0"/>
                <w:i w:val="0"/>
                <w:sz w:val="17"/>
              </w:rPr>
              <w:t>Minimal or absent</w:t>
            </w:r>
          </w:p>
        </w:tc>
        <w:tc>
          <w:tcPr>
            <w:tcW w:type="dxa" w:w="2891"/>
          </w:tcPr>
          <w:p>
            <w:pPr>
              <w:jc w:val="center"/>
            </w:pPr>
            <w:r/>
            <w:r>
              <w:rPr>
                <w:rFonts w:ascii="Cambria" w:hAnsi="Cambria" w:eastAsia="Cambria" w:cs="Cambria"/>
                <w:b w:val="0"/>
                <w:i w:val="0"/>
                <w:sz w:val="17"/>
              </w:rPr>
              <w:t>Consultancy revenue ↑30% YoY</w:t>
            </w:r>
          </w:p>
        </w:tc>
      </w:tr>
      <w:tr>
        <w:tc>
          <w:tcPr>
            <w:tcW w:type="dxa" w:w="1871"/>
            <w:shd w:val="clear" w:color="auto" w:fill="D9D9D9"/>
          </w:tcPr>
          <w:p>
            <w:pPr>
              <w:jc w:val="center"/>
            </w:pPr>
            <w:r/>
            <w:r>
              <w:rPr>
                <w:rFonts w:ascii="Cambria" w:hAnsi="Cambria" w:eastAsia="Cambria" w:cs="Cambria"/>
                <w:b w:val="0"/>
                <w:i w:val="0"/>
                <w:sz w:val="17"/>
              </w:rPr>
              <w:t>Reporting</w:t>
            </w:r>
          </w:p>
        </w:tc>
        <w:tc>
          <w:tcPr>
            <w:tcW w:type="dxa" w:w="3345"/>
            <w:shd w:val="clear" w:color="auto" w:fill="D9D9D9"/>
          </w:tcPr>
          <w:p>
            <w:pPr>
              <w:jc w:val="left"/>
            </w:pPr>
            <w:r/>
            <w:r>
              <w:rPr>
                <w:rFonts w:ascii="Cambria" w:hAnsi="Cambria" w:eastAsia="Cambria" w:cs="Cambria"/>
                <w:b w:val="0"/>
                <w:i w:val="0"/>
                <w:sz w:val="17"/>
              </w:rPr>
              <w:t>No systematic usage reporting</w:t>
            </w:r>
          </w:p>
        </w:tc>
        <w:tc>
          <w:tcPr>
            <w:tcW w:type="dxa" w:w="2891"/>
            <w:shd w:val="clear" w:color="auto" w:fill="D9D9D9"/>
          </w:tcPr>
          <w:p>
            <w:pPr>
              <w:jc w:val="center"/>
            </w:pPr>
            <w:r/>
            <w:r>
              <w:rPr>
                <w:rFonts w:ascii="Cambria" w:hAnsi="Cambria" w:eastAsia="Cambria" w:cs="Cambria"/>
                <w:b w:val="0"/>
                <w:i w:val="0"/>
                <w:sz w:val="17"/>
              </w:rPr>
              <w:t>Annual utilization reports submitted to IQAC</w:t>
            </w:r>
          </w:p>
        </w:tc>
      </w:tr>
    </w:tbl>
    <w:p>
      <w:r>
        <w:br w:type="page"/>
      </w:r>
    </w:p>
    <w:p>
      <w:pPr>
        <w:spacing w:before="280" w:after="160"/>
      </w:pPr>
      <w:r>
        <w:rPr>
          <w:rFonts w:ascii="Cambria" w:hAnsi="Cambria" w:eastAsia="Cambria" w:cs="Cambria"/>
          <w:b/>
          <w:i w:val="0"/>
          <w:color w:val="1F3A5F"/>
          <w:sz w:val="36"/>
        </w:rPr>
        <w:t>10. HoD’s responsibility to liaison with UGC, CSIR, and the Affiliated University for research center approvals, research directors’ recognition, and amendments to research studies</w:t>
      </w:r>
    </w:p>
    <w:p>
      <w:pPr>
        <w:spacing w:before="200" w:after="160"/>
      </w:pPr>
      <w:r>
        <w:rPr>
          <w:rFonts w:ascii="Cambria" w:hAnsi="Cambria" w:eastAsia="Cambria" w:cs="Cambria"/>
          <w:b/>
          <w:i w:val="0"/>
          <w:color w:val="1F3A5F"/>
          <w:sz w:val="30"/>
        </w:rPr>
        <w:t>Policy Statement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The HoD ensures institutional compliance and alignment with national regulatory bodies (UGC, CSIR) and affiliated universities.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Liaisoning is carried out to secure approvals for:</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Establishment of recognized research centers.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Appointment/recognition of Research Directors/PhD supervisors.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Amendments to research studies/program structures as per guidelines.</w:t>
      </w:r>
    </w:p>
    <w:p>
      <w:pPr>
        <w:spacing w:before="200" w:after="160"/>
      </w:pPr>
      <w:r>
        <w:rPr>
          <w:rFonts w:ascii="Cambria" w:hAnsi="Cambria" w:eastAsia="Cambria" w:cs="Cambria"/>
          <w:b/>
          <w:i w:val="0"/>
          <w:color w:val="1F3A5F"/>
          <w:sz w:val="30"/>
        </w:rPr>
        <w:t>Actions by HoD/Department</w:t>
      </w:r>
    </w:p>
    <w:p>
      <w:pPr>
        <w:spacing w:line="276" w:lineRule="auto" w:after="80"/>
        <w:ind w:left="357" w:hanging="357"/>
      </w:pPr>
      <w:r>
        <w:rPr>
          <w:rFonts w:ascii="Cambria" w:hAnsi="Cambria" w:eastAsia="Cambria" w:cs="Cambria"/>
          <w:b w:val="0"/>
          <w:i w:val="0"/>
          <w:sz w:val="22"/>
        </w:rPr>
        <w:t>1. Approval for Research Centers</w:t>
      </w:r>
    </w:p>
    <w:p>
      <w:pPr>
        <w:spacing w:line="276" w:lineRule="auto" w:after="80"/>
        <w:ind w:left="357" w:hanging="357"/>
      </w:pPr>
      <w:r>
        <w:rPr>
          <w:rFonts w:ascii="Cambria" w:hAnsi="Cambria" w:eastAsia="Cambria" w:cs="Cambria"/>
          <w:b w:val="0"/>
          <w:i w:val="0"/>
          <w:sz w:val="22"/>
        </w:rPr>
        <w:t>2. Approval of Research Directors/Guides</w:t>
      </w:r>
    </w:p>
    <w:p>
      <w:pPr>
        <w:spacing w:line="276" w:lineRule="auto" w:after="80"/>
        <w:ind w:left="357" w:hanging="357"/>
      </w:pPr>
      <w:r>
        <w:rPr>
          <w:rFonts w:ascii="Cambria" w:hAnsi="Cambria" w:eastAsia="Cambria" w:cs="Cambria"/>
          <w:b w:val="0"/>
          <w:i w:val="0"/>
          <w:sz w:val="22"/>
        </w:rPr>
        <w:t>3. Amendments to Research Studies</w:t>
      </w:r>
    </w:p>
    <w:p>
      <w:pPr>
        <w:spacing w:line="276" w:lineRule="auto" w:after="80"/>
        <w:ind w:left="357" w:hanging="357"/>
      </w:pPr>
      <w:r>
        <w:rPr>
          <w:rFonts w:ascii="Cambria" w:hAnsi="Cambria" w:eastAsia="Cambria" w:cs="Cambria"/>
          <w:b w:val="0"/>
          <w:i w:val="0"/>
          <w:sz w:val="22"/>
        </w:rPr>
        <w:t>4. Coordination &amp; Communication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Identify potential departments/labs suitable for research center status.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Prepare proposals aligned with UGC/CSIR and university regulations.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Submit documentation through the proper channel for recognition.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Nominate faculty with required academic credentials, publications, and experience.</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Submit applications for recognition to affiliated universities.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 compliance with minimum eligibility norms (PhD, research experience, publications in indexed journals).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Track new guidelines issued by UGC, CSIR, and the university.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Initiate amendments to PhD regulations, research programs, and coursework structures.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Obtain approvals for policy changes at departmental and institutional levels.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Act as a bridge between institution, university, and regulatory agencies.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 timely submission of compliance reports, data, and proposals.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Represent department in meetings, workshops, and inspections by regulatory bodies.</w:t>
      </w:r>
    </w:p>
    <w:p>
      <w:pPr>
        <w:spacing w:before="200" w:after="160"/>
      </w:pPr>
      <w:r>
        <w:rPr>
          <w:rFonts w:ascii="Cambria" w:hAnsi="Cambria" w:eastAsia="Cambria" w:cs="Cambria"/>
          <w:b/>
          <w:i w:val="0"/>
          <w:color w:val="1F3A5F"/>
          <w:sz w:val="30"/>
        </w:rPr>
        <w:t>Evidence/Documents to Maintain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Copies of proposals submitted for research center recognition.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Approval letters from UGC/CSIR/University for recognized centers.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Nomination dossiers of faculty seeking Research Director/Guide approval.</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Approval letters for Research Directors/PhD supervisors.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Amendments to research regulations with official circulars/approvals.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Meeting minutes with university/regulatory representatives.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compliance and status reports submitted to the university/UGC/CSIR.</w:t>
      </w:r>
    </w:p>
    <w:p>
      <w:pPr>
        <w:spacing w:before="200" w:after="160"/>
      </w:pPr>
      <w:r>
        <w:rPr>
          <w:rFonts w:ascii="Cambria" w:hAnsi="Cambria" w:eastAsia="Cambria" w:cs="Cambria"/>
          <w:b/>
          <w:i w:val="0"/>
          <w:color w:val="1F3A5F"/>
          <w:sz w:val="30"/>
        </w:rPr>
        <w:t>Measurable Outcomes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Number of recognized research centers established under the department.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approved as Research Directors/Guides (e.g., increased from 5 → 12 in 3 years).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Regulatory compliance cycle time reduced (faster approvals, fewer queries).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Increased PhD enrollments and funded research projects post-approval.</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Enhanced visibility of the department as a recognized research hub.</w:t>
      </w:r>
    </w:p>
    <w:p>
      <w:pPr>
        <w:spacing w:before="200" w:after="160"/>
      </w:pPr>
      <w:r>
        <w:rPr>
          <w:rFonts w:ascii="Cambria" w:hAnsi="Cambria" w:eastAsia="Cambria" w:cs="Cambria"/>
          <w:b/>
          <w:i w:val="0"/>
          <w:color w:val="1F3A5F"/>
          <w:sz w:val="30"/>
        </w:rPr>
        <w:t>Evidence/Documents to Maintain (Detailed)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Copies of Proposals Submitted for Research Center Recognition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Formal proposals prepared by the department for establishing research centers.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Includes details on infrastructure, faculty credentials, thrust areas, and funding support.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Demonstrates the department’s initiative to gain recognized status.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Approval Letters from UGC/CSIR/University for Recognized Centers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Official recognition letters granting research center status.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Serves as proof of compliance and legitimacy of departmental research activities.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Nomination Dossiers of Faculty Seeking Research Director/Guide Approval</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Detailed CVs, publication lists, and proof of academic/research qualifications.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Ensures candidates meet UGC/University norms for Research Directors/PhD supervisors.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Approval Letters for Research Directors/PhD Supervisors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Letters confirming faculty recognition as Research Guides/Directors.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Evidence of capacity to supervise PhD/PG research scholars.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Amendments to Research Regulations with Official Circulars/Approvals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Documentation of changes in PhD rules, coursework, or evaluation policies approved by UGC/University.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Proves department’s compliance with evolving regulations.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Meeting Minutes with University/Regulatory Representatives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Records of discussions with UGC/CSIR/university officials.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Shows active liaisoning and follow-up on approvals and amendments.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Annual Compliance and Status Reports Submitted to University/UGC/CSIR</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Reports on recognized centers, research progress, PhD enrollments, and compliance status.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Provides institutional accountability and continuous reporting.</w:t>
      </w:r>
    </w:p>
    <w:p>
      <w:pPr>
        <w:spacing w:before="200" w:after="160"/>
      </w:pPr>
      <w:r>
        <w:rPr>
          <w:rFonts w:ascii="Cambria" w:hAnsi="Cambria" w:eastAsia="Cambria" w:cs="Cambria"/>
          <w:b/>
          <w:i w:val="0"/>
          <w:color w:val="1F3A5F"/>
          <w:sz w:val="26"/>
        </w:rPr>
        <w:t>Liaison with UGC/CSIR/Affiliated University</w:t>
      </w:r>
    </w:p>
    <w:tbl>
      <w:tblPr>
        <w:tblW w:type="auto" w:w="0"/>
        <w:jc w:val="center"/>
        <w:tblLayout w:type="fixed"/>
        <w:tblLook w:firstColumn="1" w:firstRow="1" w:lastColumn="0" w:lastRow="0" w:noHBand="0" w:noVBand="1" w:val="04A0"/>
        <w:tblLayout w:type="fixed"/>
      </w:tblPr>
      <w:tblGrid>
        <w:gridCol w:w="1871"/>
        <w:gridCol w:w="2948"/>
        <w:gridCol w:w="2381"/>
        <w:gridCol w:w="3005"/>
      </w:tblGrid>
      <w:tr>
        <w:tc>
          <w:tcPr>
            <w:tcW w:type="dxa" w:w="1871"/>
            <w:shd w:val="clear" w:color="auto" w:fill="1F3A5F"/>
          </w:tcPr>
          <w:p>
            <w:pPr>
              <w:jc w:val="center"/>
            </w:pPr>
            <w:r/>
            <w:r>
              <w:rPr>
                <w:rFonts w:ascii="Cambria" w:hAnsi="Cambria" w:eastAsia="Cambria" w:cs="Cambria"/>
                <w:b/>
                <w:i w:val="0"/>
                <w:color w:val="FFFFFF"/>
                <w:sz w:val="17"/>
              </w:rPr>
              <w:t>Policy</w:t>
            </w:r>
          </w:p>
        </w:tc>
        <w:tc>
          <w:tcPr>
            <w:tcW w:type="dxa" w:w="2948"/>
            <w:shd w:val="clear" w:color="auto" w:fill="1F3A5F"/>
          </w:tcPr>
          <w:p>
            <w:pPr>
              <w:jc w:val="center"/>
            </w:pPr>
            <w:r/>
            <w:r>
              <w:rPr>
                <w:rFonts w:ascii="Cambria" w:hAnsi="Cambria" w:eastAsia="Cambria" w:cs="Cambria"/>
                <w:b/>
                <w:i w:val="0"/>
                <w:color w:val="FFFFFF"/>
                <w:sz w:val="17"/>
              </w:rPr>
              <w:t>Action by HoD/Department</w:t>
            </w:r>
          </w:p>
        </w:tc>
        <w:tc>
          <w:tcPr>
            <w:tcW w:type="dxa" w:w="2381"/>
            <w:shd w:val="clear" w:color="auto" w:fill="1F3A5F"/>
          </w:tcPr>
          <w:p>
            <w:pPr>
              <w:jc w:val="center"/>
            </w:pPr>
            <w:r/>
            <w:r>
              <w:rPr>
                <w:rFonts w:ascii="Cambria" w:hAnsi="Cambria" w:eastAsia="Cambria" w:cs="Cambria"/>
                <w:b/>
                <w:i w:val="0"/>
                <w:color w:val="FFFFFF"/>
                <w:sz w:val="17"/>
              </w:rPr>
              <w:t>Evidence/Documents</w:t>
            </w:r>
          </w:p>
        </w:tc>
        <w:tc>
          <w:tcPr>
            <w:tcW w:type="dxa" w:w="3005"/>
            <w:shd w:val="clear" w:color="auto" w:fill="1F3A5F"/>
          </w:tcPr>
          <w:p>
            <w:pPr>
              <w:jc w:val="center"/>
            </w:pPr>
            <w:r/>
            <w:r>
              <w:rPr>
                <w:rFonts w:ascii="Cambria" w:hAnsi="Cambria" w:eastAsia="Cambria" w:cs="Cambria"/>
                <w:b/>
                <w:i w:val="0"/>
                <w:color w:val="FFFFFF"/>
                <w:sz w:val="17"/>
              </w:rPr>
              <w:t>Outcome (Quantitative &amp; Qualitative)</w:t>
            </w:r>
          </w:p>
        </w:tc>
      </w:tr>
      <w:tr>
        <w:tc>
          <w:tcPr>
            <w:tcW w:type="dxa" w:w="1871"/>
          </w:tcPr>
          <w:p>
            <w:pPr>
              <w:jc w:val="center"/>
            </w:pPr>
            <w:r/>
            <w:r>
              <w:rPr>
                <w:rFonts w:ascii="Cambria" w:hAnsi="Cambria" w:eastAsia="Cambria" w:cs="Cambria"/>
                <w:b w:val="0"/>
                <w:i w:val="0"/>
                <w:sz w:val="15"/>
              </w:rPr>
              <w:t>Establish recognized research centers in alignment with UGC/CSIR/University norms.</w:t>
            </w:r>
          </w:p>
        </w:tc>
        <w:tc>
          <w:tcPr>
            <w:tcW w:type="dxa" w:w="2948"/>
          </w:tcPr>
          <w:p>
            <w:pPr>
              <w:jc w:val="left"/>
            </w:pPr>
            <w:r/>
            <w:r>
              <w:rPr>
                <w:rFonts w:ascii="Cambria" w:hAnsi="Cambria" w:eastAsia="Cambria" w:cs="Cambria"/>
                <w:b w:val="0"/>
                <w:i w:val="0"/>
                <w:sz w:val="15"/>
              </w:rPr>
              <w:t>Prepare and submit proposals for research center recognition with details of infrastructure, thrust areas, and faculty expertise.</w:t>
            </w:r>
          </w:p>
        </w:tc>
        <w:tc>
          <w:tcPr>
            <w:tcW w:type="dxa" w:w="2381"/>
          </w:tcPr>
          <w:p>
            <w:pPr>
              <w:jc w:val="center"/>
            </w:pPr>
            <w:r/>
            <w:r>
              <w:rPr>
                <w:rFonts w:ascii="Cambria" w:hAnsi="Cambria" w:eastAsia="Cambria" w:cs="Cambria"/>
                <w:b w:val="0"/>
                <w:i w:val="0"/>
                <w:sz w:val="15"/>
              </w:rPr>
              <w:t>Copies of proposals; Approval letters from UGC/CSIR/University.</w:t>
            </w:r>
          </w:p>
        </w:tc>
        <w:tc>
          <w:tcPr>
            <w:tcW w:type="dxa" w:w="3005"/>
          </w:tcPr>
          <w:p>
            <w:pPr>
              <w:jc w:val="center"/>
            </w:pPr>
            <w:r/>
            <w:r>
              <w:rPr>
                <w:rFonts w:ascii="Cambria" w:hAnsi="Cambria" w:eastAsia="Cambria" w:cs="Cambria"/>
                <w:b w:val="0"/>
                <w:i w:val="0"/>
                <w:sz w:val="15"/>
              </w:rPr>
              <w:t>Department approved as a recognized research center; legitimacy of research activities enhanced.</w:t>
            </w:r>
          </w:p>
        </w:tc>
      </w:tr>
      <w:tr>
        <w:tc>
          <w:tcPr>
            <w:tcW w:type="dxa" w:w="1871"/>
            <w:shd w:val="clear" w:color="auto" w:fill="D9D9D9"/>
          </w:tcPr>
          <w:p>
            <w:pPr>
              <w:jc w:val="center"/>
            </w:pPr>
            <w:r/>
            <w:r>
              <w:rPr>
                <w:rFonts w:ascii="Cambria" w:hAnsi="Cambria" w:eastAsia="Cambria" w:cs="Cambria"/>
                <w:b w:val="0"/>
                <w:i w:val="0"/>
                <w:sz w:val="15"/>
              </w:rPr>
              <w:t>Ensure qualified faculty are recognized as Research Directors/Guides.</w:t>
            </w:r>
          </w:p>
        </w:tc>
        <w:tc>
          <w:tcPr>
            <w:tcW w:type="dxa" w:w="2948"/>
            <w:shd w:val="clear" w:color="auto" w:fill="D9D9D9"/>
          </w:tcPr>
          <w:p>
            <w:pPr>
              <w:jc w:val="left"/>
            </w:pPr>
            <w:r/>
            <w:r>
              <w:rPr>
                <w:rFonts w:ascii="Cambria" w:hAnsi="Cambria" w:eastAsia="Cambria" w:cs="Cambria"/>
                <w:b w:val="0"/>
                <w:i w:val="0"/>
                <w:sz w:val="15"/>
              </w:rPr>
              <w:t>Nominate eligible faculty with PhD, publications, and research experience; submit dossiers for approval.</w:t>
            </w:r>
          </w:p>
        </w:tc>
        <w:tc>
          <w:tcPr>
            <w:tcW w:type="dxa" w:w="2381"/>
            <w:shd w:val="clear" w:color="auto" w:fill="D9D9D9"/>
          </w:tcPr>
          <w:p>
            <w:pPr>
              <w:jc w:val="center"/>
            </w:pPr>
            <w:r/>
            <w:r>
              <w:rPr>
                <w:rFonts w:ascii="Cambria" w:hAnsi="Cambria" w:eastAsia="Cambria" w:cs="Cambria"/>
                <w:b w:val="0"/>
                <w:i w:val="0"/>
                <w:sz w:val="15"/>
              </w:rPr>
              <w:t>Nomination dossiers; Approval letters for Research Directors/PhD supervisors.</w:t>
            </w:r>
          </w:p>
        </w:tc>
        <w:tc>
          <w:tcPr>
            <w:tcW w:type="dxa" w:w="3005"/>
            <w:shd w:val="clear" w:color="auto" w:fill="D9D9D9"/>
          </w:tcPr>
          <w:p>
            <w:pPr>
              <w:jc w:val="center"/>
            </w:pPr>
            <w:r/>
            <w:r>
              <w:rPr>
                <w:rFonts w:ascii="Cambria" w:hAnsi="Cambria" w:eastAsia="Cambria" w:cs="Cambria"/>
                <w:b w:val="0"/>
                <w:i w:val="0"/>
                <w:sz w:val="15"/>
              </w:rPr>
              <w:t>Faculty approved as Research Guides; PhD/PG research capacity increased (e.g., 5 → 12 guides in 3 years).</w:t>
            </w:r>
          </w:p>
        </w:tc>
      </w:tr>
      <w:tr>
        <w:tc>
          <w:tcPr>
            <w:tcW w:type="dxa" w:w="1871"/>
          </w:tcPr>
          <w:p>
            <w:pPr>
              <w:jc w:val="center"/>
            </w:pPr>
            <w:r/>
            <w:r>
              <w:rPr>
                <w:rFonts w:ascii="Cambria" w:hAnsi="Cambria" w:eastAsia="Cambria" w:cs="Cambria"/>
                <w:b w:val="0"/>
                <w:i w:val="0"/>
                <w:sz w:val="15"/>
              </w:rPr>
              <w:t>Keep departmental research programs compliant with regulatory amendments.</w:t>
            </w:r>
          </w:p>
        </w:tc>
        <w:tc>
          <w:tcPr>
            <w:tcW w:type="dxa" w:w="2948"/>
          </w:tcPr>
          <w:p>
            <w:pPr>
              <w:jc w:val="left"/>
            </w:pPr>
            <w:r/>
            <w:r>
              <w:rPr>
                <w:rFonts w:ascii="Cambria" w:hAnsi="Cambria" w:eastAsia="Cambria" w:cs="Cambria"/>
                <w:b w:val="0"/>
                <w:i w:val="0"/>
                <w:sz w:val="15"/>
              </w:rPr>
              <w:t>Track regulatory changes; initiate amendments in research regulations and coursework structures; seek approvals.</w:t>
            </w:r>
          </w:p>
        </w:tc>
        <w:tc>
          <w:tcPr>
            <w:tcW w:type="dxa" w:w="2381"/>
          </w:tcPr>
          <w:p>
            <w:pPr>
              <w:jc w:val="center"/>
            </w:pPr>
            <w:r/>
            <w:r>
              <w:rPr>
                <w:rFonts w:ascii="Cambria" w:hAnsi="Cambria" w:eastAsia="Cambria" w:cs="Cambria"/>
                <w:b w:val="0"/>
                <w:i w:val="0"/>
                <w:sz w:val="15"/>
              </w:rPr>
              <w:t>Circulars, amendments, and official approval letters.</w:t>
            </w:r>
          </w:p>
        </w:tc>
        <w:tc>
          <w:tcPr>
            <w:tcW w:type="dxa" w:w="3005"/>
          </w:tcPr>
          <w:p>
            <w:pPr>
              <w:jc w:val="center"/>
            </w:pPr>
            <w:r/>
            <w:r>
              <w:rPr>
                <w:rFonts w:ascii="Cambria" w:hAnsi="Cambria" w:eastAsia="Cambria" w:cs="Cambria"/>
                <w:b w:val="0"/>
                <w:i w:val="0"/>
                <w:sz w:val="15"/>
              </w:rPr>
              <w:t>Departmental research programs aligned with latest UGC/University regulations; no compliance gaps.</w:t>
            </w:r>
          </w:p>
        </w:tc>
      </w:tr>
      <w:tr>
        <w:tc>
          <w:tcPr>
            <w:tcW w:type="dxa" w:w="1871"/>
            <w:shd w:val="clear" w:color="auto" w:fill="D9D9D9"/>
          </w:tcPr>
          <w:p>
            <w:pPr>
              <w:jc w:val="center"/>
            </w:pPr>
            <w:r/>
            <w:r>
              <w:rPr>
                <w:rFonts w:ascii="Cambria" w:hAnsi="Cambria" w:eastAsia="Cambria" w:cs="Cambria"/>
                <w:b w:val="0"/>
                <w:i w:val="0"/>
                <w:sz w:val="15"/>
              </w:rPr>
              <w:t>Strengthen communication and compliance with regulatory bodies.</w:t>
            </w:r>
          </w:p>
        </w:tc>
        <w:tc>
          <w:tcPr>
            <w:tcW w:type="dxa" w:w="2948"/>
            <w:shd w:val="clear" w:color="auto" w:fill="D9D9D9"/>
          </w:tcPr>
          <w:p>
            <w:pPr>
              <w:jc w:val="left"/>
            </w:pPr>
            <w:r/>
            <w:r>
              <w:rPr>
                <w:rFonts w:ascii="Cambria" w:hAnsi="Cambria" w:eastAsia="Cambria" w:cs="Cambria"/>
                <w:b w:val="0"/>
                <w:i w:val="0"/>
                <w:sz w:val="15"/>
              </w:rPr>
              <w:t>Conduct regular meetings with UGC, CSIR, and university representatives; submit annual compliance reports.</w:t>
            </w:r>
          </w:p>
        </w:tc>
        <w:tc>
          <w:tcPr>
            <w:tcW w:type="dxa" w:w="2381"/>
            <w:shd w:val="clear" w:color="auto" w:fill="D9D9D9"/>
          </w:tcPr>
          <w:p>
            <w:pPr>
              <w:jc w:val="center"/>
            </w:pPr>
            <w:r/>
            <w:r>
              <w:rPr>
                <w:rFonts w:ascii="Cambria" w:hAnsi="Cambria" w:eastAsia="Cambria" w:cs="Cambria"/>
                <w:b w:val="0"/>
                <w:i w:val="0"/>
                <w:sz w:val="15"/>
              </w:rPr>
              <w:t>Meeting minutes; Annual compliance/status reports.</w:t>
            </w:r>
          </w:p>
        </w:tc>
        <w:tc>
          <w:tcPr>
            <w:tcW w:type="dxa" w:w="3005"/>
            <w:shd w:val="clear" w:color="auto" w:fill="D9D9D9"/>
          </w:tcPr>
          <w:p>
            <w:pPr>
              <w:jc w:val="center"/>
            </w:pPr>
            <w:r/>
            <w:r>
              <w:rPr>
                <w:rFonts w:ascii="Cambria" w:hAnsi="Cambria" w:eastAsia="Cambria" w:cs="Cambria"/>
                <w:b w:val="0"/>
                <w:i w:val="0"/>
                <w:sz w:val="15"/>
              </w:rPr>
              <w:t>Improved regulatory coordination; faster approval cycles; strong institutional credibility.</w:t>
            </w:r>
          </w:p>
        </w:tc>
      </w:tr>
    </w:tbl>
    <w:p>
      <w:pPr>
        <w:spacing w:before="200" w:after="160"/>
      </w:pPr>
      <w:r>
        <w:rPr>
          <w:rFonts w:ascii="Cambria" w:hAnsi="Cambria" w:eastAsia="Cambria" w:cs="Cambria"/>
          <w:b/>
          <w:i w:val="0"/>
          <w:color w:val="1F3A5F"/>
          <w:sz w:val="26"/>
        </w:rPr>
        <w:t>3-Year Progress Tracker: Liaisoning with UGC/CSIR/Affiliated University</w:t>
      </w:r>
    </w:p>
    <w:tbl>
      <w:tblPr>
        <w:tblW w:type="auto" w:w="0"/>
        <w:jc w:val="center"/>
        <w:tblLayout w:type="fixed"/>
        <w:tblLook w:firstColumn="1" w:firstRow="1" w:lastColumn="0" w:lastRow="0" w:noHBand="0" w:noVBand="1" w:val="04A0"/>
        <w:tblLayout w:type="fixed"/>
      </w:tblPr>
      <w:tblGrid>
        <w:gridCol w:w="1304"/>
        <w:gridCol w:w="3402"/>
        <w:gridCol w:w="2381"/>
        <w:gridCol w:w="3118"/>
      </w:tblGrid>
      <w:tr>
        <w:tc>
          <w:tcPr>
            <w:tcW w:type="dxa" w:w="1304"/>
            <w:shd w:val="clear" w:color="auto" w:fill="1F3A5F"/>
          </w:tcPr>
          <w:p>
            <w:pPr>
              <w:jc w:val="center"/>
            </w:pPr>
            <w:r/>
            <w:r>
              <w:rPr>
                <w:rFonts w:ascii="Cambria" w:hAnsi="Cambria" w:eastAsia="Cambria" w:cs="Cambria"/>
                <w:b/>
                <w:i w:val="0"/>
                <w:color w:val="FFFFFF"/>
                <w:sz w:val="16"/>
              </w:rPr>
              <w:t>Year</w:t>
            </w:r>
          </w:p>
        </w:tc>
        <w:tc>
          <w:tcPr>
            <w:tcW w:type="dxa" w:w="3402"/>
            <w:shd w:val="clear" w:color="auto" w:fill="1F3A5F"/>
          </w:tcPr>
          <w:p>
            <w:pPr>
              <w:jc w:val="center"/>
            </w:pPr>
            <w:r/>
            <w:r>
              <w:rPr>
                <w:rFonts w:ascii="Cambria" w:hAnsi="Cambria" w:eastAsia="Cambria" w:cs="Cambria"/>
                <w:b/>
                <w:i w:val="0"/>
                <w:color w:val="FFFFFF"/>
                <w:sz w:val="16"/>
              </w:rPr>
              <w:t>Planned Actions (Policy → Action)</w:t>
            </w:r>
          </w:p>
        </w:tc>
        <w:tc>
          <w:tcPr>
            <w:tcW w:type="dxa" w:w="2381"/>
            <w:shd w:val="clear" w:color="auto" w:fill="1F3A5F"/>
          </w:tcPr>
          <w:p>
            <w:pPr>
              <w:jc w:val="center"/>
            </w:pPr>
            <w:r/>
            <w:r>
              <w:rPr>
                <w:rFonts w:ascii="Cambria" w:hAnsi="Cambria" w:eastAsia="Cambria" w:cs="Cambria"/>
                <w:b/>
                <w:i w:val="0"/>
                <w:color w:val="FFFFFF"/>
                <w:sz w:val="16"/>
              </w:rPr>
              <w:t>Evidence/Documents</w:t>
            </w:r>
          </w:p>
        </w:tc>
        <w:tc>
          <w:tcPr>
            <w:tcW w:type="dxa" w:w="3118"/>
            <w:shd w:val="clear" w:color="auto" w:fill="1F3A5F"/>
          </w:tcPr>
          <w:p>
            <w:pPr>
              <w:jc w:val="center"/>
            </w:pPr>
            <w:r/>
            <w:r>
              <w:rPr>
                <w:rFonts w:ascii="Cambria" w:hAnsi="Cambria" w:eastAsia="Cambria" w:cs="Cambria"/>
                <w:b/>
                <w:i w:val="0"/>
                <w:color w:val="FFFFFF"/>
                <w:sz w:val="16"/>
              </w:rPr>
              <w:t>Outcomes (Quantitative &amp; Qualitative)</w:t>
            </w:r>
          </w:p>
        </w:tc>
      </w:tr>
      <w:tr>
        <w:tc>
          <w:tcPr>
            <w:tcW w:type="dxa" w:w="1304"/>
          </w:tcPr>
          <w:p>
            <w:pPr>
              <w:jc w:val="center"/>
            </w:pPr>
            <w:r/>
            <w:r>
              <w:rPr>
                <w:rFonts w:ascii="Cambria" w:hAnsi="Cambria" w:eastAsia="Cambria" w:cs="Cambria"/>
                <w:b w:val="0"/>
                <w:i w:val="0"/>
                <w:sz w:val="14"/>
              </w:rPr>
              <w:t>Year 1 (Foundation)</w:t>
            </w:r>
          </w:p>
        </w:tc>
        <w:tc>
          <w:tcPr>
            <w:tcW w:type="dxa" w:w="3402"/>
          </w:tcPr>
          <w:p>
            <w:pPr>
              <w:jc w:val="left"/>
            </w:pPr>
            <w:r/>
            <w:r>
              <w:rPr>
                <w:rFonts w:ascii="Cambria" w:hAnsi="Cambria" w:eastAsia="Cambria" w:cs="Cambria"/>
                <w:b w:val="0"/>
                <w:i w:val="0"/>
                <w:sz w:val="14"/>
              </w:rPr>
              <w:t>- Identified departmental thrust areas suitable for research center recognition.</w:t>
              <w:br/>
              <w:t>- Submitted initial proposals to UGC and University.</w:t>
              <w:br/>
              <w:t>- Nominated first set of eligible faculty for Research Director recognition.</w:t>
            </w:r>
          </w:p>
        </w:tc>
        <w:tc>
          <w:tcPr>
            <w:tcW w:type="dxa" w:w="2381"/>
          </w:tcPr>
          <w:p>
            <w:pPr>
              <w:jc w:val="center"/>
            </w:pPr>
            <w:r/>
            <w:r>
              <w:rPr>
                <w:rFonts w:ascii="Cambria" w:hAnsi="Cambria" w:eastAsia="Cambria" w:cs="Cambria"/>
                <w:b w:val="0"/>
                <w:i w:val="0"/>
                <w:sz w:val="14"/>
              </w:rPr>
              <w:t>Copies of proposals. Nomination dossiers. Meeting minutes with university officials.</w:t>
            </w:r>
          </w:p>
        </w:tc>
        <w:tc>
          <w:tcPr>
            <w:tcW w:type="dxa" w:w="3118"/>
          </w:tcPr>
          <w:p>
            <w:pPr>
              <w:jc w:val="center"/>
            </w:pPr>
            <w:r/>
            <w:r>
              <w:rPr>
                <w:rFonts w:ascii="Cambria" w:hAnsi="Cambria" w:eastAsia="Cambria" w:cs="Cambria"/>
                <w:b w:val="0"/>
                <w:i w:val="0"/>
                <w:sz w:val="14"/>
              </w:rPr>
              <w:t>- 1 departmental research center approved.</w:t>
              <w:br/>
              <w:t>- 5 faculty recognized as Research Guides.</w:t>
              <w:br/>
              <w:t>- Compliance reports submitted on time.</w:t>
            </w:r>
          </w:p>
        </w:tc>
      </w:tr>
      <w:tr>
        <w:tc>
          <w:tcPr>
            <w:tcW w:type="dxa" w:w="1304"/>
            <w:shd w:val="clear" w:color="auto" w:fill="D9D9D9"/>
          </w:tcPr>
          <w:p>
            <w:pPr>
              <w:jc w:val="center"/>
            </w:pPr>
            <w:r/>
            <w:r>
              <w:rPr>
                <w:rFonts w:ascii="Cambria" w:hAnsi="Cambria" w:eastAsia="Cambria" w:cs="Cambria"/>
                <w:b w:val="0"/>
                <w:i w:val="0"/>
                <w:sz w:val="14"/>
              </w:rPr>
              <w:t>Year 2 (Expansion)</w:t>
            </w:r>
          </w:p>
        </w:tc>
        <w:tc>
          <w:tcPr>
            <w:tcW w:type="dxa" w:w="3402"/>
            <w:shd w:val="clear" w:color="auto" w:fill="D9D9D9"/>
          </w:tcPr>
          <w:p>
            <w:pPr>
              <w:jc w:val="left"/>
            </w:pPr>
            <w:r/>
            <w:r>
              <w:rPr>
                <w:rFonts w:ascii="Cambria" w:hAnsi="Cambria" w:eastAsia="Cambria" w:cs="Cambria"/>
                <w:b w:val="0"/>
                <w:i w:val="0"/>
                <w:sz w:val="14"/>
              </w:rPr>
              <w:t>- Submitted proposals for 2 more centers (including interdisciplinary domains).</w:t>
              <w:br/>
              <w:t>- Processed additional faculty nominations for Research Directors.</w:t>
              <w:br/>
              <w:t>- Incorporated amendments to PhD regulations as per UGC 2022 guidelines.</w:t>
            </w:r>
          </w:p>
        </w:tc>
        <w:tc>
          <w:tcPr>
            <w:tcW w:type="dxa" w:w="2381"/>
            <w:shd w:val="clear" w:color="auto" w:fill="D9D9D9"/>
          </w:tcPr>
          <w:p>
            <w:pPr>
              <w:jc w:val="center"/>
            </w:pPr>
            <w:r/>
            <w:r>
              <w:rPr>
                <w:rFonts w:ascii="Cambria" w:hAnsi="Cambria" w:eastAsia="Cambria" w:cs="Cambria"/>
                <w:b w:val="0"/>
                <w:i w:val="0"/>
                <w:sz w:val="14"/>
              </w:rPr>
              <w:t>Approval letters for new centers. Research Guide approval letters. University circulars on amendments.</w:t>
            </w:r>
          </w:p>
        </w:tc>
        <w:tc>
          <w:tcPr>
            <w:tcW w:type="dxa" w:w="3118"/>
            <w:shd w:val="clear" w:color="auto" w:fill="D9D9D9"/>
          </w:tcPr>
          <w:p>
            <w:pPr>
              <w:jc w:val="center"/>
            </w:pPr>
            <w:r/>
            <w:r>
              <w:rPr>
                <w:rFonts w:ascii="Cambria" w:hAnsi="Cambria" w:eastAsia="Cambria" w:cs="Cambria"/>
                <w:b w:val="0"/>
                <w:i w:val="0"/>
                <w:sz w:val="14"/>
              </w:rPr>
              <w:t>- Total 3 recognized research centers.</w:t>
              <w:br/>
              <w:t>- 9 faculty approved as Research Guides.</w:t>
              <w:br/>
              <w:t>- Research regulations updated; zero compliance gaps.</w:t>
            </w:r>
          </w:p>
        </w:tc>
      </w:tr>
      <w:tr>
        <w:tc>
          <w:tcPr>
            <w:tcW w:type="dxa" w:w="1304"/>
          </w:tcPr>
          <w:p>
            <w:pPr>
              <w:jc w:val="center"/>
            </w:pPr>
            <w:r/>
            <w:r>
              <w:rPr>
                <w:rFonts w:ascii="Cambria" w:hAnsi="Cambria" w:eastAsia="Cambria" w:cs="Cambria"/>
                <w:b w:val="0"/>
                <w:i w:val="0"/>
                <w:sz w:val="14"/>
              </w:rPr>
              <w:t>Year 3 (Integration &amp; Impact)</w:t>
            </w:r>
          </w:p>
        </w:tc>
        <w:tc>
          <w:tcPr>
            <w:tcW w:type="dxa" w:w="3402"/>
          </w:tcPr>
          <w:p>
            <w:pPr>
              <w:jc w:val="left"/>
            </w:pPr>
            <w:r/>
            <w:r>
              <w:rPr>
                <w:rFonts w:ascii="Cambria" w:hAnsi="Cambria" w:eastAsia="Cambria" w:cs="Cambria"/>
                <w:b w:val="0"/>
                <w:i w:val="0"/>
                <w:sz w:val="14"/>
              </w:rPr>
              <w:t>- Established formal liaison with CSIR for joint recognition of labs.</w:t>
              <w:br/>
              <w:t>- Expanded pool of Research Directors through refresher training and recognition.</w:t>
              <w:br/>
              <w:t>- Introduced amendments to coursework structure based on updated UGC/University mandates.</w:t>
            </w:r>
          </w:p>
        </w:tc>
        <w:tc>
          <w:tcPr>
            <w:tcW w:type="dxa" w:w="2381"/>
          </w:tcPr>
          <w:p>
            <w:pPr>
              <w:jc w:val="center"/>
            </w:pPr>
            <w:r/>
            <w:r>
              <w:rPr>
                <w:rFonts w:ascii="Cambria" w:hAnsi="Cambria" w:eastAsia="Cambria" w:cs="Cambria"/>
                <w:b w:val="0"/>
                <w:i w:val="0"/>
                <w:sz w:val="14"/>
              </w:rPr>
              <w:t>CSIR/UGC recognition letters. Amendment approval circulars. Annual compliance reports.</w:t>
            </w:r>
          </w:p>
        </w:tc>
        <w:tc>
          <w:tcPr>
            <w:tcW w:type="dxa" w:w="3118"/>
          </w:tcPr>
          <w:p>
            <w:pPr>
              <w:jc w:val="center"/>
            </w:pPr>
            <w:r/>
            <w:r>
              <w:rPr>
                <w:rFonts w:ascii="Cambria" w:hAnsi="Cambria" w:eastAsia="Cambria" w:cs="Cambria"/>
                <w:b w:val="0"/>
                <w:i w:val="0"/>
                <w:sz w:val="14"/>
              </w:rPr>
              <w:t>- 5 recognized research centers (including 2 interdisciplinary).</w:t>
              <w:br/>
              <w:t>- 12 faculty approved as Research Guides.</w:t>
              <w:br/>
              <w:t>- Faster approval cycle (average processing time reduced by 25%).</w:t>
              <w:br/>
              <w:t>- Increased PhD enrolments and funded projects under recognized centers.</w:t>
            </w:r>
          </w:p>
        </w:tc>
      </w:tr>
    </w:tbl>
    <w:p>
      <w:pPr>
        <w:spacing w:before="200" w:after="160"/>
      </w:pPr>
      <w:r>
        <w:rPr>
          <w:rFonts w:ascii="Cambria" w:hAnsi="Cambria" w:eastAsia="Cambria" w:cs="Cambria"/>
          <w:b/>
          <w:i w:val="0"/>
          <w:color w:val="1F3A5F"/>
          <w:sz w:val="26"/>
        </w:rPr>
        <w:t>Before vs After Liaisoning</w:t>
      </w:r>
    </w:p>
    <w:tbl>
      <w:tblPr>
        <w:tblW w:type="auto" w:w="0"/>
        <w:jc w:val="center"/>
        <w:tblLayout w:type="fixed"/>
        <w:tblLook w:firstColumn="1" w:firstRow="1" w:lastColumn="0" w:lastRow="0" w:noHBand="0" w:noVBand="1" w:val="04A0"/>
        <w:tblLayout w:type="fixed"/>
      </w:tblPr>
      <w:tblGrid>
        <w:gridCol w:w="2154"/>
        <w:gridCol w:w="3118"/>
        <w:gridCol w:w="3118"/>
      </w:tblGrid>
      <w:tr>
        <w:tc>
          <w:tcPr>
            <w:tcW w:type="dxa" w:w="2154"/>
            <w:shd w:val="clear" w:color="auto" w:fill="1F3A5F"/>
          </w:tcPr>
          <w:p>
            <w:pPr>
              <w:jc w:val="center"/>
            </w:pPr>
            <w:r/>
            <w:r>
              <w:rPr>
                <w:rFonts w:ascii="Cambria" w:hAnsi="Cambria" w:eastAsia="Cambria" w:cs="Cambria"/>
                <w:b/>
                <w:i w:val="0"/>
                <w:color w:val="FFFFFF"/>
                <w:sz w:val="17"/>
              </w:rPr>
              <w:t>Indicator</w:t>
            </w:r>
          </w:p>
        </w:tc>
        <w:tc>
          <w:tcPr>
            <w:tcW w:type="dxa" w:w="3118"/>
            <w:shd w:val="clear" w:color="auto" w:fill="1F3A5F"/>
          </w:tcPr>
          <w:p>
            <w:pPr>
              <w:jc w:val="center"/>
            </w:pPr>
            <w:r/>
            <w:r>
              <w:rPr>
                <w:rFonts w:ascii="Cambria" w:hAnsi="Cambria" w:eastAsia="Cambria" w:cs="Cambria"/>
                <w:b/>
                <w:i w:val="0"/>
                <w:color w:val="FFFFFF"/>
                <w:sz w:val="17"/>
              </w:rPr>
              <w:t>Before Systematic Liaisoning</w:t>
            </w:r>
          </w:p>
        </w:tc>
        <w:tc>
          <w:tcPr>
            <w:tcW w:type="dxa" w:w="3118"/>
            <w:shd w:val="clear" w:color="auto" w:fill="1F3A5F"/>
          </w:tcPr>
          <w:p>
            <w:pPr>
              <w:jc w:val="center"/>
            </w:pPr>
            <w:r/>
            <w:r>
              <w:rPr>
                <w:rFonts w:ascii="Cambria" w:hAnsi="Cambria" w:eastAsia="Cambria" w:cs="Cambria"/>
                <w:b/>
                <w:i w:val="0"/>
                <w:color w:val="FFFFFF"/>
                <w:sz w:val="17"/>
              </w:rPr>
              <w:t>After 3 Years of Structured Liaisoning</w:t>
            </w:r>
          </w:p>
        </w:tc>
      </w:tr>
      <w:tr>
        <w:tc>
          <w:tcPr>
            <w:tcW w:type="dxa" w:w="2154"/>
          </w:tcPr>
          <w:p>
            <w:pPr>
              <w:jc w:val="center"/>
            </w:pPr>
            <w:r/>
            <w:r>
              <w:rPr>
                <w:rFonts w:ascii="Cambria" w:hAnsi="Cambria" w:eastAsia="Cambria" w:cs="Cambria"/>
                <w:b w:val="0"/>
                <w:i w:val="0"/>
                <w:sz w:val="15"/>
              </w:rPr>
              <w:t>Research Centers</w:t>
            </w:r>
          </w:p>
        </w:tc>
        <w:tc>
          <w:tcPr>
            <w:tcW w:type="dxa" w:w="3118"/>
          </w:tcPr>
          <w:p>
            <w:pPr>
              <w:jc w:val="left"/>
            </w:pPr>
            <w:r/>
            <w:r>
              <w:rPr>
                <w:rFonts w:ascii="Cambria" w:hAnsi="Cambria" w:eastAsia="Cambria" w:cs="Cambria"/>
                <w:b w:val="0"/>
                <w:i w:val="0"/>
                <w:sz w:val="15"/>
              </w:rPr>
              <w:t>No recognized research centers in the department.</w:t>
            </w:r>
          </w:p>
        </w:tc>
        <w:tc>
          <w:tcPr>
            <w:tcW w:type="dxa" w:w="3118"/>
          </w:tcPr>
          <w:p>
            <w:pPr>
              <w:jc w:val="center"/>
            </w:pPr>
            <w:r/>
            <w:r>
              <w:rPr>
                <w:rFonts w:ascii="Cambria" w:hAnsi="Cambria" w:eastAsia="Cambria" w:cs="Cambria"/>
                <w:b w:val="0"/>
                <w:i w:val="0"/>
                <w:sz w:val="15"/>
              </w:rPr>
              <w:t>5 recognized research centers (including 2 interdisciplinary).</w:t>
            </w:r>
          </w:p>
        </w:tc>
      </w:tr>
      <w:tr>
        <w:tc>
          <w:tcPr>
            <w:tcW w:type="dxa" w:w="2154"/>
            <w:shd w:val="clear" w:color="auto" w:fill="D9D9D9"/>
          </w:tcPr>
          <w:p>
            <w:pPr>
              <w:jc w:val="center"/>
            </w:pPr>
            <w:r/>
            <w:r>
              <w:rPr>
                <w:rFonts w:ascii="Cambria" w:hAnsi="Cambria" w:eastAsia="Cambria" w:cs="Cambria"/>
                <w:b w:val="0"/>
                <w:i w:val="0"/>
                <w:sz w:val="15"/>
              </w:rPr>
              <w:t>Faculty as Research Guides</w:t>
            </w:r>
          </w:p>
        </w:tc>
        <w:tc>
          <w:tcPr>
            <w:tcW w:type="dxa" w:w="3118"/>
            <w:shd w:val="clear" w:color="auto" w:fill="D9D9D9"/>
          </w:tcPr>
          <w:p>
            <w:pPr>
              <w:jc w:val="left"/>
            </w:pPr>
            <w:r/>
            <w:r>
              <w:rPr>
                <w:rFonts w:ascii="Cambria" w:hAnsi="Cambria" w:eastAsia="Cambria" w:cs="Cambria"/>
                <w:b w:val="0"/>
                <w:i w:val="0"/>
                <w:sz w:val="15"/>
              </w:rPr>
              <w:t>Few faculty recognized as Research Guides (around 2–3).</w:t>
            </w:r>
          </w:p>
        </w:tc>
        <w:tc>
          <w:tcPr>
            <w:tcW w:type="dxa" w:w="3118"/>
            <w:shd w:val="clear" w:color="auto" w:fill="D9D9D9"/>
          </w:tcPr>
          <w:p>
            <w:pPr>
              <w:jc w:val="center"/>
            </w:pPr>
            <w:r/>
            <w:r>
              <w:rPr>
                <w:rFonts w:ascii="Cambria" w:hAnsi="Cambria" w:eastAsia="Cambria" w:cs="Cambria"/>
                <w:b w:val="0"/>
                <w:i w:val="0"/>
                <w:sz w:val="15"/>
              </w:rPr>
              <w:t>12 faculty recognized as Research Directors/Guides.</w:t>
            </w:r>
          </w:p>
        </w:tc>
      </w:tr>
      <w:tr>
        <w:tc>
          <w:tcPr>
            <w:tcW w:type="dxa" w:w="2154"/>
          </w:tcPr>
          <w:p>
            <w:pPr>
              <w:jc w:val="center"/>
            </w:pPr>
            <w:r/>
            <w:r>
              <w:rPr>
                <w:rFonts w:ascii="Cambria" w:hAnsi="Cambria" w:eastAsia="Cambria" w:cs="Cambria"/>
                <w:b w:val="0"/>
                <w:i w:val="0"/>
                <w:sz w:val="15"/>
              </w:rPr>
              <w:t>Approval Processes</w:t>
            </w:r>
          </w:p>
        </w:tc>
        <w:tc>
          <w:tcPr>
            <w:tcW w:type="dxa" w:w="3118"/>
          </w:tcPr>
          <w:p>
            <w:pPr>
              <w:jc w:val="left"/>
            </w:pPr>
            <w:r/>
            <w:r>
              <w:rPr>
                <w:rFonts w:ascii="Cambria" w:hAnsi="Cambria" w:eastAsia="Cambria" w:cs="Cambria"/>
                <w:b w:val="0"/>
                <w:i w:val="0"/>
                <w:sz w:val="15"/>
              </w:rPr>
              <w:t>Ad-hoc, time-consuming; proposals often delayed or incomplete.</w:t>
            </w:r>
          </w:p>
        </w:tc>
        <w:tc>
          <w:tcPr>
            <w:tcW w:type="dxa" w:w="3118"/>
          </w:tcPr>
          <w:p>
            <w:pPr>
              <w:jc w:val="center"/>
            </w:pPr>
            <w:r/>
            <w:r>
              <w:rPr>
                <w:rFonts w:ascii="Cambria" w:hAnsi="Cambria" w:eastAsia="Cambria" w:cs="Cambria"/>
                <w:b w:val="0"/>
                <w:i w:val="0"/>
                <w:sz w:val="15"/>
              </w:rPr>
              <w:t>Streamlined approvals with proactive follow-ups; approval cycle time reduced by ~25%.</w:t>
            </w:r>
          </w:p>
        </w:tc>
      </w:tr>
      <w:tr>
        <w:tc>
          <w:tcPr>
            <w:tcW w:type="dxa" w:w="2154"/>
            <w:shd w:val="clear" w:color="auto" w:fill="D9D9D9"/>
          </w:tcPr>
          <w:p>
            <w:pPr>
              <w:jc w:val="center"/>
            </w:pPr>
            <w:r/>
            <w:r>
              <w:rPr>
                <w:rFonts w:ascii="Cambria" w:hAnsi="Cambria" w:eastAsia="Cambria" w:cs="Cambria"/>
                <w:b w:val="0"/>
                <w:i w:val="0"/>
                <w:sz w:val="15"/>
              </w:rPr>
              <w:t>Compliance with Regulations</w:t>
            </w:r>
          </w:p>
        </w:tc>
        <w:tc>
          <w:tcPr>
            <w:tcW w:type="dxa" w:w="3118"/>
            <w:shd w:val="clear" w:color="auto" w:fill="D9D9D9"/>
          </w:tcPr>
          <w:p>
            <w:pPr>
              <w:jc w:val="left"/>
            </w:pPr>
            <w:r/>
            <w:r>
              <w:rPr>
                <w:rFonts w:ascii="Cambria" w:hAnsi="Cambria" w:eastAsia="Cambria" w:cs="Cambria"/>
                <w:b w:val="0"/>
                <w:i w:val="0"/>
                <w:sz w:val="15"/>
              </w:rPr>
              <w:t>Amendments to research regulations implemented slowly; occasional compliance gaps.</w:t>
            </w:r>
          </w:p>
        </w:tc>
        <w:tc>
          <w:tcPr>
            <w:tcW w:type="dxa" w:w="3118"/>
            <w:shd w:val="clear" w:color="auto" w:fill="D9D9D9"/>
          </w:tcPr>
          <w:p>
            <w:pPr>
              <w:jc w:val="center"/>
            </w:pPr>
            <w:r/>
            <w:r>
              <w:rPr>
                <w:rFonts w:ascii="Cambria" w:hAnsi="Cambria" w:eastAsia="Cambria" w:cs="Cambria"/>
                <w:b w:val="0"/>
                <w:i w:val="0"/>
                <w:sz w:val="15"/>
              </w:rPr>
              <w:t>PhD regulations and coursework updated promptly as per UGC/university mandates; zero compliance gaps.</w:t>
            </w:r>
          </w:p>
        </w:tc>
      </w:tr>
      <w:tr>
        <w:tc>
          <w:tcPr>
            <w:tcW w:type="dxa" w:w="2154"/>
          </w:tcPr>
          <w:p>
            <w:pPr>
              <w:jc w:val="center"/>
            </w:pPr>
            <w:r/>
            <w:r>
              <w:rPr>
                <w:rFonts w:ascii="Cambria" w:hAnsi="Cambria" w:eastAsia="Cambria" w:cs="Cambria"/>
                <w:b w:val="0"/>
                <w:i w:val="0"/>
                <w:sz w:val="15"/>
              </w:rPr>
              <w:t>Industry/CSIR Linkages</w:t>
            </w:r>
          </w:p>
        </w:tc>
        <w:tc>
          <w:tcPr>
            <w:tcW w:type="dxa" w:w="3118"/>
          </w:tcPr>
          <w:p>
            <w:pPr>
              <w:jc w:val="left"/>
            </w:pPr>
            <w:r/>
            <w:r>
              <w:rPr>
                <w:rFonts w:ascii="Cambria" w:hAnsi="Cambria" w:eastAsia="Cambria" w:cs="Cambria"/>
                <w:b w:val="0"/>
                <w:i w:val="0"/>
                <w:sz w:val="15"/>
              </w:rPr>
              <w:t>Minimal or no collaboration with national bodies.</w:t>
            </w:r>
          </w:p>
        </w:tc>
        <w:tc>
          <w:tcPr>
            <w:tcW w:type="dxa" w:w="3118"/>
          </w:tcPr>
          <w:p>
            <w:pPr>
              <w:jc w:val="center"/>
            </w:pPr>
            <w:r/>
            <w:r>
              <w:rPr>
                <w:rFonts w:ascii="Cambria" w:hAnsi="Cambria" w:eastAsia="Cambria" w:cs="Cambria"/>
                <w:b w:val="0"/>
                <w:i w:val="0"/>
                <w:sz w:val="15"/>
              </w:rPr>
              <w:t>Active liaison with CSIR and industry research partners for recognized labs.</w:t>
            </w:r>
          </w:p>
        </w:tc>
      </w:tr>
      <w:tr>
        <w:tc>
          <w:tcPr>
            <w:tcW w:type="dxa" w:w="2154"/>
            <w:shd w:val="clear" w:color="auto" w:fill="D9D9D9"/>
          </w:tcPr>
          <w:p>
            <w:pPr>
              <w:jc w:val="center"/>
            </w:pPr>
            <w:r/>
            <w:r>
              <w:rPr>
                <w:rFonts w:ascii="Cambria" w:hAnsi="Cambria" w:eastAsia="Cambria" w:cs="Cambria"/>
                <w:b w:val="0"/>
                <w:i w:val="0"/>
                <w:sz w:val="15"/>
              </w:rPr>
              <w:t>PhD Enrolments</w:t>
            </w:r>
          </w:p>
        </w:tc>
        <w:tc>
          <w:tcPr>
            <w:tcW w:type="dxa" w:w="3118"/>
            <w:shd w:val="clear" w:color="auto" w:fill="D9D9D9"/>
          </w:tcPr>
          <w:p>
            <w:pPr>
              <w:jc w:val="left"/>
            </w:pPr>
            <w:r/>
            <w:r>
              <w:rPr>
                <w:rFonts w:ascii="Cambria" w:hAnsi="Cambria" w:eastAsia="Cambria" w:cs="Cambria"/>
                <w:b w:val="0"/>
                <w:i w:val="0"/>
                <w:sz w:val="15"/>
              </w:rPr>
              <w:t>Limited number of PhD candidates due to lack of recognition.</w:t>
            </w:r>
          </w:p>
        </w:tc>
        <w:tc>
          <w:tcPr>
            <w:tcW w:type="dxa" w:w="3118"/>
            <w:shd w:val="clear" w:color="auto" w:fill="D9D9D9"/>
          </w:tcPr>
          <w:p>
            <w:pPr>
              <w:jc w:val="center"/>
            </w:pPr>
            <w:r/>
            <w:r>
              <w:rPr>
                <w:rFonts w:ascii="Cambria" w:hAnsi="Cambria" w:eastAsia="Cambria" w:cs="Cambria"/>
                <w:b w:val="0"/>
                <w:i w:val="0"/>
                <w:sz w:val="15"/>
              </w:rPr>
              <w:t>Significant rise in enrolments under approved research centers and guides.</w:t>
            </w:r>
          </w:p>
        </w:tc>
      </w:tr>
      <w:tr>
        <w:tc>
          <w:tcPr>
            <w:tcW w:type="dxa" w:w="2154"/>
          </w:tcPr>
          <w:p>
            <w:pPr>
              <w:jc w:val="center"/>
            </w:pPr>
            <w:r/>
            <w:r>
              <w:rPr>
                <w:rFonts w:ascii="Cambria" w:hAnsi="Cambria" w:eastAsia="Cambria" w:cs="Cambria"/>
                <w:b w:val="0"/>
                <w:i w:val="0"/>
                <w:sz w:val="15"/>
              </w:rPr>
              <w:t>Institutional Reputation</w:t>
            </w:r>
          </w:p>
        </w:tc>
        <w:tc>
          <w:tcPr>
            <w:tcW w:type="dxa" w:w="3118"/>
          </w:tcPr>
          <w:p>
            <w:pPr>
              <w:jc w:val="left"/>
            </w:pPr>
            <w:r/>
            <w:r>
              <w:rPr>
                <w:rFonts w:ascii="Cambria" w:hAnsi="Cambria" w:eastAsia="Cambria" w:cs="Cambria"/>
                <w:b w:val="0"/>
                <w:i w:val="0"/>
                <w:sz w:val="15"/>
              </w:rPr>
              <w:t>Department not visible as a recognized research hub.</w:t>
            </w:r>
          </w:p>
        </w:tc>
        <w:tc>
          <w:tcPr>
            <w:tcW w:type="dxa" w:w="3118"/>
          </w:tcPr>
          <w:p>
            <w:pPr>
              <w:jc w:val="center"/>
            </w:pPr>
            <w:r/>
            <w:r>
              <w:rPr>
                <w:rFonts w:ascii="Cambria" w:hAnsi="Cambria" w:eastAsia="Cambria" w:cs="Cambria"/>
                <w:b w:val="0"/>
                <w:i w:val="0"/>
                <w:sz w:val="15"/>
              </w:rPr>
              <w:t>Department acknowledged as a recognized research hub at university and national level.</w:t>
            </w:r>
          </w:p>
        </w:tc>
      </w:tr>
    </w:tbl>
    <w:p>
      <w:pPr>
        <w:spacing w:line="276" w:lineRule="auto" w:after="120"/>
        <w:jc w:val="both"/>
      </w:pPr>
      <w:r>
        <w:rPr>
          <w:rFonts w:ascii="Cambria" w:hAnsi="Cambria" w:eastAsia="Cambria" w:cs="Cambria"/>
          <w:b/>
          <w:i w:val="0"/>
          <w:sz w:val="22"/>
        </w:rPr>
        <w:t>Systematic Governance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HoD ensures that research centers, directors, and regulations are managed through formal proposals, approvals, and compliance cycles.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Embeds a governance system where every step — from proposal submission to recognition and reporting — is documented and aligned with UGC/CSIR/University norms.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Prevents ad-hoc or symbolic efforts by building a policy-driven structure.</w:t>
      </w:r>
    </w:p>
    <w:p>
      <w:pPr>
        <w:spacing w:line="276" w:lineRule="auto" w:after="120"/>
        <w:jc w:val="both"/>
      </w:pPr>
      <w:r>
        <w:rPr>
          <w:rFonts w:ascii="Cambria" w:hAnsi="Cambria" w:eastAsia="Cambria" w:cs="Cambria"/>
          <w:b/>
          <w:i w:val="0"/>
          <w:sz w:val="22"/>
        </w:rPr>
        <w:t>External Liaisoning</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HoD acts as the bridge between the department and external bodies such as UGC, CSIR, and the affiliated university.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Facilitates: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Approval of recognized research centers.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Recognition of faculty as Research Guides/Directors.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Amendments to PhD/research regulations as per updated guidelines.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Maintains continuous communication through meetings, official correspondences, and compliance reports.</w:t>
      </w:r>
    </w:p>
    <w:p>
      <w:pPr>
        <w:spacing w:line="276" w:lineRule="auto" w:after="120"/>
        <w:jc w:val="both"/>
      </w:pPr>
      <w:r>
        <w:rPr>
          <w:rFonts w:ascii="Cambria" w:hAnsi="Cambria" w:eastAsia="Cambria" w:cs="Cambria"/>
          <w:b/>
          <w:i w:val="0"/>
          <w:sz w:val="22"/>
        </w:rPr>
        <w:t>Capacity Expansion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Proactive liaisoning leads to:</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Growth in recognized research centers (e.g., from 0 → 5 in 3 years).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Increase in faculty recognized as Research Directors (e.g., from 3 → 12).</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Expansion of PhD enrolments, funded projects, and collaborations.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Enhances the department’s standing as a recognized research hub.</w:t>
      </w:r>
    </w:p>
    <w:p>
      <w:pPr>
        <w:spacing w:before="200" w:after="160"/>
      </w:pPr>
      <w:r>
        <w:rPr>
          <w:rFonts w:ascii="Cambria" w:hAnsi="Cambria" w:eastAsia="Cambria" w:cs="Cambria"/>
          <w:b/>
          <w:i w:val="0"/>
          <w:color w:val="1F3A5F"/>
          <w:sz w:val="26"/>
        </w:rPr>
        <w:t>Illustrative Outcomes</w:t>
      </w:r>
    </w:p>
    <w:tbl>
      <w:tblPr>
        <w:tblW w:type="auto" w:w="0"/>
        <w:jc w:val="center"/>
        <w:tblLayout w:type="fixed"/>
        <w:tblLook w:firstColumn="1" w:firstRow="1" w:lastColumn="0" w:lastRow="0" w:noHBand="0" w:noVBand="1" w:val="04A0"/>
        <w:tblLayout w:type="fixed"/>
      </w:tblPr>
      <w:tblGrid>
        <w:gridCol w:w="2154"/>
        <w:gridCol w:w="3118"/>
        <w:gridCol w:w="3118"/>
      </w:tblGrid>
      <w:tr>
        <w:tc>
          <w:tcPr>
            <w:tcW w:type="dxa" w:w="2154"/>
            <w:shd w:val="clear" w:color="auto" w:fill="1F3A5F"/>
          </w:tcPr>
          <w:p>
            <w:pPr>
              <w:jc w:val="center"/>
            </w:pPr>
            <w:r/>
            <w:r>
              <w:rPr>
                <w:rFonts w:ascii="Cambria" w:hAnsi="Cambria" w:eastAsia="Cambria" w:cs="Cambria"/>
                <w:b/>
                <w:i w:val="0"/>
                <w:color w:val="FFFFFF"/>
                <w:sz w:val="18"/>
              </w:rPr>
              <w:t>Dimension</w:t>
            </w:r>
          </w:p>
        </w:tc>
        <w:tc>
          <w:tcPr>
            <w:tcW w:type="dxa" w:w="3118"/>
            <w:shd w:val="clear" w:color="auto" w:fill="1F3A5F"/>
          </w:tcPr>
          <w:p>
            <w:pPr>
              <w:jc w:val="center"/>
            </w:pPr>
            <w:r/>
            <w:r>
              <w:rPr>
                <w:rFonts w:ascii="Cambria" w:hAnsi="Cambria" w:eastAsia="Cambria" w:cs="Cambria"/>
                <w:b/>
                <w:i w:val="0"/>
                <w:color w:val="FFFFFF"/>
                <w:sz w:val="18"/>
              </w:rPr>
              <w:t>Before Systematic HoD Governance</w:t>
            </w:r>
          </w:p>
        </w:tc>
        <w:tc>
          <w:tcPr>
            <w:tcW w:type="dxa" w:w="3118"/>
            <w:shd w:val="clear" w:color="auto" w:fill="1F3A5F"/>
          </w:tcPr>
          <w:p>
            <w:pPr>
              <w:jc w:val="center"/>
            </w:pPr>
            <w:r/>
            <w:r>
              <w:rPr>
                <w:rFonts w:ascii="Cambria" w:hAnsi="Cambria" w:eastAsia="Cambria" w:cs="Cambria"/>
                <w:b/>
                <w:i w:val="0"/>
                <w:color w:val="FFFFFF"/>
                <w:sz w:val="18"/>
              </w:rPr>
              <w:t>After HoD’s Systematic Governance</w:t>
            </w:r>
          </w:p>
        </w:tc>
      </w:tr>
      <w:tr>
        <w:tc>
          <w:tcPr>
            <w:tcW w:type="dxa" w:w="2154"/>
          </w:tcPr>
          <w:p>
            <w:pPr>
              <w:jc w:val="center"/>
            </w:pPr>
            <w:r/>
            <w:r>
              <w:rPr>
                <w:rFonts w:ascii="Cambria" w:hAnsi="Cambria" w:eastAsia="Cambria" w:cs="Cambria"/>
                <w:b w:val="0"/>
                <w:i w:val="0"/>
                <w:sz w:val="17"/>
              </w:rPr>
              <w:t>Research Centers</w:t>
            </w:r>
          </w:p>
        </w:tc>
        <w:tc>
          <w:tcPr>
            <w:tcW w:type="dxa" w:w="3118"/>
          </w:tcPr>
          <w:p>
            <w:pPr>
              <w:jc w:val="left"/>
            </w:pPr>
            <w:r/>
            <w:r>
              <w:rPr>
                <w:rFonts w:ascii="Cambria" w:hAnsi="Cambria" w:eastAsia="Cambria" w:cs="Cambria"/>
                <w:b w:val="0"/>
                <w:i w:val="0"/>
                <w:sz w:val="17"/>
              </w:rPr>
              <w:t>None</w:t>
            </w:r>
          </w:p>
        </w:tc>
        <w:tc>
          <w:tcPr>
            <w:tcW w:type="dxa" w:w="3118"/>
          </w:tcPr>
          <w:p>
            <w:pPr>
              <w:jc w:val="center"/>
            </w:pPr>
            <w:r/>
            <w:r>
              <w:rPr>
                <w:rFonts w:ascii="Cambria" w:hAnsi="Cambria" w:eastAsia="Cambria" w:cs="Cambria"/>
                <w:b w:val="0"/>
                <w:i w:val="0"/>
                <w:sz w:val="17"/>
              </w:rPr>
              <w:t>5 approved (including 2 interdisciplinary)</w:t>
            </w:r>
          </w:p>
        </w:tc>
      </w:tr>
      <w:tr>
        <w:tc>
          <w:tcPr>
            <w:tcW w:type="dxa" w:w="2154"/>
            <w:shd w:val="clear" w:color="auto" w:fill="D9D9D9"/>
          </w:tcPr>
          <w:p>
            <w:pPr>
              <w:jc w:val="center"/>
            </w:pPr>
            <w:r/>
            <w:r>
              <w:rPr>
                <w:rFonts w:ascii="Cambria" w:hAnsi="Cambria" w:eastAsia="Cambria" w:cs="Cambria"/>
                <w:b w:val="0"/>
                <w:i w:val="0"/>
                <w:sz w:val="17"/>
              </w:rPr>
              <w:t>Research Guides</w:t>
            </w:r>
          </w:p>
        </w:tc>
        <w:tc>
          <w:tcPr>
            <w:tcW w:type="dxa" w:w="3118"/>
            <w:shd w:val="clear" w:color="auto" w:fill="D9D9D9"/>
          </w:tcPr>
          <w:p>
            <w:pPr>
              <w:jc w:val="left"/>
            </w:pPr>
            <w:r/>
            <w:r>
              <w:rPr>
                <w:rFonts w:ascii="Cambria" w:hAnsi="Cambria" w:eastAsia="Cambria" w:cs="Cambria"/>
                <w:b w:val="0"/>
                <w:i w:val="0"/>
                <w:sz w:val="17"/>
              </w:rPr>
              <w:t>2–3</w:t>
            </w:r>
          </w:p>
        </w:tc>
        <w:tc>
          <w:tcPr>
            <w:tcW w:type="dxa" w:w="3118"/>
            <w:shd w:val="clear" w:color="auto" w:fill="D9D9D9"/>
          </w:tcPr>
          <w:p>
            <w:pPr>
              <w:jc w:val="center"/>
            </w:pPr>
            <w:r/>
            <w:r>
              <w:rPr>
                <w:rFonts w:ascii="Cambria" w:hAnsi="Cambria" w:eastAsia="Cambria" w:cs="Cambria"/>
                <w:b w:val="0"/>
                <w:i w:val="0"/>
                <w:sz w:val="17"/>
              </w:rPr>
              <w:t>12 recognized</w:t>
            </w:r>
          </w:p>
        </w:tc>
      </w:tr>
      <w:tr>
        <w:tc>
          <w:tcPr>
            <w:tcW w:type="dxa" w:w="2154"/>
          </w:tcPr>
          <w:p>
            <w:pPr>
              <w:jc w:val="center"/>
            </w:pPr>
            <w:r/>
            <w:r>
              <w:rPr>
                <w:rFonts w:ascii="Cambria" w:hAnsi="Cambria" w:eastAsia="Cambria" w:cs="Cambria"/>
                <w:b w:val="0"/>
                <w:i w:val="0"/>
                <w:sz w:val="17"/>
              </w:rPr>
              <w:t>Compliance</w:t>
            </w:r>
          </w:p>
        </w:tc>
        <w:tc>
          <w:tcPr>
            <w:tcW w:type="dxa" w:w="3118"/>
          </w:tcPr>
          <w:p>
            <w:pPr>
              <w:jc w:val="left"/>
            </w:pPr>
            <w:r/>
            <w:r>
              <w:rPr>
                <w:rFonts w:ascii="Cambria" w:hAnsi="Cambria" w:eastAsia="Cambria" w:cs="Cambria"/>
                <w:b w:val="0"/>
                <w:i w:val="0"/>
                <w:sz w:val="17"/>
              </w:rPr>
              <w:t>Occasional gaps</w:t>
            </w:r>
          </w:p>
        </w:tc>
        <w:tc>
          <w:tcPr>
            <w:tcW w:type="dxa" w:w="3118"/>
          </w:tcPr>
          <w:p>
            <w:pPr>
              <w:jc w:val="center"/>
            </w:pPr>
            <w:r/>
            <w:r>
              <w:rPr>
                <w:rFonts w:ascii="Cambria" w:hAnsi="Cambria" w:eastAsia="Cambria" w:cs="Cambria"/>
                <w:b w:val="0"/>
                <w:i w:val="0"/>
                <w:sz w:val="17"/>
              </w:rPr>
              <w:t>Zero gaps; timely amendments</w:t>
            </w:r>
          </w:p>
        </w:tc>
      </w:tr>
      <w:tr>
        <w:tc>
          <w:tcPr>
            <w:tcW w:type="dxa" w:w="2154"/>
            <w:shd w:val="clear" w:color="auto" w:fill="D9D9D9"/>
          </w:tcPr>
          <w:p>
            <w:pPr>
              <w:jc w:val="center"/>
            </w:pPr>
            <w:r/>
            <w:r>
              <w:rPr>
                <w:rFonts w:ascii="Cambria" w:hAnsi="Cambria" w:eastAsia="Cambria" w:cs="Cambria"/>
                <w:b w:val="0"/>
                <w:i w:val="0"/>
                <w:sz w:val="17"/>
              </w:rPr>
              <w:t>Approval Timelines</w:t>
            </w:r>
          </w:p>
        </w:tc>
        <w:tc>
          <w:tcPr>
            <w:tcW w:type="dxa" w:w="3118"/>
            <w:shd w:val="clear" w:color="auto" w:fill="D9D9D9"/>
          </w:tcPr>
          <w:p>
            <w:pPr>
              <w:jc w:val="left"/>
            </w:pPr>
            <w:r/>
            <w:r>
              <w:rPr>
                <w:rFonts w:ascii="Cambria" w:hAnsi="Cambria" w:eastAsia="Cambria" w:cs="Cambria"/>
                <w:b w:val="0"/>
                <w:i w:val="0"/>
                <w:sz w:val="17"/>
              </w:rPr>
              <w:t>Slow, ad-hoc</w:t>
            </w:r>
          </w:p>
        </w:tc>
        <w:tc>
          <w:tcPr>
            <w:tcW w:type="dxa" w:w="3118"/>
            <w:shd w:val="clear" w:color="auto" w:fill="D9D9D9"/>
          </w:tcPr>
          <w:p>
            <w:pPr>
              <w:jc w:val="center"/>
            </w:pPr>
            <w:r/>
            <w:r>
              <w:rPr>
                <w:rFonts w:ascii="Cambria" w:hAnsi="Cambria" w:eastAsia="Cambria" w:cs="Cambria"/>
                <w:b w:val="0"/>
                <w:i w:val="0"/>
                <w:sz w:val="17"/>
              </w:rPr>
              <w:t>Streamlined; cycle time ↓25%</w:t>
            </w:r>
          </w:p>
        </w:tc>
      </w:tr>
      <w:tr>
        <w:tc>
          <w:tcPr>
            <w:tcW w:type="dxa" w:w="2154"/>
          </w:tcPr>
          <w:p>
            <w:pPr>
              <w:jc w:val="center"/>
            </w:pPr>
            <w:r/>
            <w:r>
              <w:rPr>
                <w:rFonts w:ascii="Cambria" w:hAnsi="Cambria" w:eastAsia="Cambria" w:cs="Cambria"/>
                <w:b w:val="0"/>
                <w:i w:val="0"/>
                <w:sz w:val="17"/>
              </w:rPr>
              <w:t>PhD Enrolments</w:t>
            </w:r>
          </w:p>
        </w:tc>
        <w:tc>
          <w:tcPr>
            <w:tcW w:type="dxa" w:w="3118"/>
          </w:tcPr>
          <w:p>
            <w:pPr>
              <w:jc w:val="left"/>
            </w:pPr>
            <w:r/>
            <w:r>
              <w:rPr>
                <w:rFonts w:ascii="Cambria" w:hAnsi="Cambria" w:eastAsia="Cambria" w:cs="Cambria"/>
                <w:b w:val="0"/>
                <w:i w:val="0"/>
                <w:sz w:val="17"/>
              </w:rPr>
              <w:t>Limited</w:t>
            </w:r>
          </w:p>
        </w:tc>
        <w:tc>
          <w:tcPr>
            <w:tcW w:type="dxa" w:w="3118"/>
          </w:tcPr>
          <w:p>
            <w:pPr>
              <w:jc w:val="center"/>
            </w:pPr>
            <w:r/>
            <w:r>
              <w:rPr>
                <w:rFonts w:ascii="Cambria" w:hAnsi="Cambria" w:eastAsia="Cambria" w:cs="Cambria"/>
                <w:b w:val="0"/>
                <w:i w:val="0"/>
                <w:sz w:val="17"/>
              </w:rPr>
              <w:t>Significant growth</w:t>
            </w:r>
          </w:p>
        </w:tc>
      </w:tr>
      <w:tr>
        <w:tc>
          <w:tcPr>
            <w:tcW w:type="dxa" w:w="2154"/>
            <w:shd w:val="clear" w:color="auto" w:fill="D9D9D9"/>
          </w:tcPr>
          <w:p>
            <w:pPr>
              <w:jc w:val="center"/>
            </w:pPr>
            <w:r/>
            <w:r>
              <w:rPr>
                <w:rFonts w:ascii="Cambria" w:hAnsi="Cambria" w:eastAsia="Cambria" w:cs="Cambria"/>
                <w:b w:val="0"/>
                <w:i w:val="0"/>
                <w:sz w:val="17"/>
              </w:rPr>
              <w:t>Recognition</w:t>
            </w:r>
          </w:p>
        </w:tc>
        <w:tc>
          <w:tcPr>
            <w:tcW w:type="dxa" w:w="3118"/>
            <w:shd w:val="clear" w:color="auto" w:fill="D9D9D9"/>
          </w:tcPr>
          <w:p>
            <w:pPr>
              <w:jc w:val="left"/>
            </w:pPr>
            <w:r/>
            <w:r>
              <w:rPr>
                <w:rFonts w:ascii="Cambria" w:hAnsi="Cambria" w:eastAsia="Cambria" w:cs="Cambria"/>
                <w:b w:val="0"/>
                <w:i w:val="0"/>
                <w:sz w:val="17"/>
              </w:rPr>
              <w:t>Low visibility</w:t>
            </w:r>
          </w:p>
        </w:tc>
        <w:tc>
          <w:tcPr>
            <w:tcW w:type="dxa" w:w="3118"/>
            <w:shd w:val="clear" w:color="auto" w:fill="D9D9D9"/>
          </w:tcPr>
          <w:p>
            <w:pPr>
              <w:jc w:val="center"/>
            </w:pPr>
            <w:r/>
            <w:r>
              <w:rPr>
                <w:rFonts w:ascii="Cambria" w:hAnsi="Cambria" w:eastAsia="Cambria" w:cs="Cambria"/>
                <w:b w:val="0"/>
                <w:i w:val="0"/>
                <w:sz w:val="17"/>
              </w:rPr>
              <w:t>Recognized as a research hub</w:t>
            </w:r>
          </w:p>
        </w:tc>
      </w:tr>
    </w:tbl>
    <w:p>
      <w:pPr>
        <w:spacing w:line="276" w:lineRule="auto" w:after="120"/>
        <w:jc w:val="both"/>
      </w:pPr>
      <w:r>
        <w:rPr>
          <w:rFonts w:ascii="Cambria" w:hAnsi="Cambria" w:eastAsia="Cambria" w:cs="Cambria"/>
          <w:b/>
          <w:i w:val="0"/>
          <w:sz w:val="22"/>
        </w:rPr>
        <w:t>Faculty approved as Research Guides (from 5 → 12) demonstrates the HoD’s success in boosting PhD supervision capacity</w:t>
      </w:r>
    </w:p>
    <w:p>
      <w:pPr>
        <w:spacing w:line="276" w:lineRule="auto" w:after="120"/>
        <w:jc w:val="both"/>
      </w:pPr>
      <w:r>
        <w:rPr>
          <w:rFonts w:ascii="Cambria" w:hAnsi="Cambria" w:eastAsia="Cambria" w:cs="Cambria"/>
          <w:b/>
          <w:i w:val="0"/>
          <w:sz w:val="22"/>
        </w:rPr>
        <w:t>Policy Context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UGC/CSIR/University norms require recognized faculty Research Guides to supervise PhD candidates.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The HoD’s role is to nominate eligible faculty, secure approvals, and expand research supervision capacity.</w:t>
      </w:r>
    </w:p>
    <w:p>
      <w:pPr>
        <w:spacing w:line="276" w:lineRule="auto" w:after="120"/>
        <w:jc w:val="both"/>
      </w:pPr>
      <w:r>
        <w:rPr>
          <w:rFonts w:ascii="Cambria" w:hAnsi="Cambria" w:eastAsia="Cambria" w:cs="Cambria"/>
          <w:b/>
          <w:i w:val="0"/>
          <w:sz w:val="22"/>
        </w:rPr>
        <w:t>Actions Taken by HoD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Identified and nominated faculty with PhDs, indexed publications, and research experience.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Liaised with the affiliated university/UGC to process guide recognition applications.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Organized faculty development programs to prepare more faculty for guide eligibility.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Ensured compliance with research regulations (minimum publications, experience, and academic contributions).</w:t>
      </w:r>
    </w:p>
    <w:p>
      <w:pPr>
        <w:spacing w:line="276" w:lineRule="auto" w:after="120"/>
        <w:jc w:val="both"/>
      </w:pPr>
      <w:r>
        <w:rPr>
          <w:rFonts w:ascii="Cambria" w:hAnsi="Cambria" w:eastAsia="Cambria" w:cs="Cambria"/>
          <w:b/>
          <w:i w:val="0"/>
          <w:sz w:val="22"/>
        </w:rPr>
        <w:t>Evidence/Documents Maintained</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Nomination dossiers of faculty (CV, publication list, research credentials).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Approval letters from university/UGC for recognized guides.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Meeting minutes of departmental research committees recommending nominations.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Updated list of recognized Research Directors/Guides.</w:t>
      </w:r>
    </w:p>
    <w:p>
      <w:pPr>
        <w:spacing w:before="200" w:after="160"/>
      </w:pPr>
      <w:r>
        <w:rPr>
          <w:rFonts w:ascii="Cambria" w:hAnsi="Cambria" w:eastAsia="Cambria" w:cs="Cambria"/>
          <w:b/>
          <w:i w:val="0"/>
          <w:color w:val="1F3A5F"/>
          <w:sz w:val="26"/>
        </w:rPr>
        <w:t>Measurable Outcomes (Research Guide Growth)</w:t>
      </w:r>
    </w:p>
    <w:tbl>
      <w:tblPr>
        <w:tblW w:type="auto" w:w="0"/>
        <w:jc w:val="center"/>
        <w:tblLayout w:type="fixed"/>
        <w:tblLook w:firstColumn="1" w:firstRow="1" w:lastColumn="0" w:lastRow="0" w:noHBand="0" w:noVBand="1" w:val="04A0"/>
        <w:tblLayout w:type="fixed"/>
      </w:tblPr>
      <w:tblGrid>
        <w:gridCol w:w="2721"/>
        <w:gridCol w:w="2835"/>
        <w:gridCol w:w="2835"/>
      </w:tblGrid>
      <w:tr>
        <w:tc>
          <w:tcPr>
            <w:tcW w:type="dxa" w:w="2721"/>
            <w:shd w:val="clear" w:color="auto" w:fill="1F3A5F"/>
          </w:tcPr>
          <w:p>
            <w:pPr>
              <w:jc w:val="center"/>
            </w:pPr>
            <w:r/>
            <w:r>
              <w:rPr>
                <w:rFonts w:ascii="Cambria" w:hAnsi="Cambria" w:eastAsia="Cambria" w:cs="Cambria"/>
                <w:b/>
                <w:i w:val="0"/>
                <w:color w:val="FFFFFF"/>
                <w:sz w:val="18"/>
              </w:rPr>
              <w:t>Indicator</w:t>
            </w:r>
          </w:p>
        </w:tc>
        <w:tc>
          <w:tcPr>
            <w:tcW w:type="dxa" w:w="2835"/>
            <w:shd w:val="clear" w:color="auto" w:fill="1F3A5F"/>
          </w:tcPr>
          <w:p>
            <w:pPr>
              <w:jc w:val="center"/>
            </w:pPr>
            <w:r/>
            <w:r>
              <w:rPr>
                <w:rFonts w:ascii="Cambria" w:hAnsi="Cambria" w:eastAsia="Cambria" w:cs="Cambria"/>
                <w:b/>
                <w:i w:val="0"/>
                <w:color w:val="FFFFFF"/>
                <w:sz w:val="18"/>
              </w:rPr>
              <w:t>Before (Year 1)</w:t>
            </w:r>
          </w:p>
        </w:tc>
        <w:tc>
          <w:tcPr>
            <w:tcW w:type="dxa" w:w="2835"/>
            <w:shd w:val="clear" w:color="auto" w:fill="1F3A5F"/>
          </w:tcPr>
          <w:p>
            <w:pPr>
              <w:jc w:val="center"/>
            </w:pPr>
            <w:r/>
            <w:r>
              <w:rPr>
                <w:rFonts w:ascii="Cambria" w:hAnsi="Cambria" w:eastAsia="Cambria" w:cs="Cambria"/>
                <w:b/>
                <w:i w:val="0"/>
                <w:color w:val="FFFFFF"/>
                <w:sz w:val="18"/>
              </w:rPr>
              <w:t>After (Year 3)</w:t>
            </w:r>
          </w:p>
        </w:tc>
      </w:tr>
      <w:tr>
        <w:tc>
          <w:tcPr>
            <w:tcW w:type="dxa" w:w="2721"/>
          </w:tcPr>
          <w:p>
            <w:pPr>
              <w:jc w:val="center"/>
            </w:pPr>
            <w:r/>
            <w:r>
              <w:rPr>
                <w:rFonts w:ascii="Cambria" w:hAnsi="Cambria" w:eastAsia="Cambria" w:cs="Cambria"/>
                <w:b w:val="0"/>
                <w:i w:val="0"/>
                <w:sz w:val="17"/>
              </w:rPr>
              <w:t>Faculty Recognized as Research Guides</w:t>
            </w:r>
          </w:p>
        </w:tc>
        <w:tc>
          <w:tcPr>
            <w:tcW w:type="dxa" w:w="2835"/>
          </w:tcPr>
          <w:p>
            <w:pPr>
              <w:jc w:val="left"/>
            </w:pPr>
            <w:r/>
            <w:r>
              <w:rPr>
                <w:rFonts w:ascii="Cambria" w:hAnsi="Cambria" w:eastAsia="Cambria" w:cs="Cambria"/>
                <w:b w:val="0"/>
                <w:i w:val="0"/>
                <w:sz w:val="17"/>
              </w:rPr>
              <w:t>5</w:t>
            </w:r>
          </w:p>
        </w:tc>
        <w:tc>
          <w:tcPr>
            <w:tcW w:type="dxa" w:w="2835"/>
          </w:tcPr>
          <w:p>
            <w:pPr>
              <w:jc w:val="center"/>
            </w:pPr>
            <w:r/>
            <w:r>
              <w:rPr>
                <w:rFonts w:ascii="Cambria" w:hAnsi="Cambria" w:eastAsia="Cambria" w:cs="Cambria"/>
                <w:b w:val="0"/>
                <w:i w:val="0"/>
                <w:sz w:val="17"/>
              </w:rPr>
              <w:t>12</w:t>
            </w:r>
          </w:p>
        </w:tc>
      </w:tr>
      <w:tr>
        <w:tc>
          <w:tcPr>
            <w:tcW w:type="dxa" w:w="2721"/>
            <w:shd w:val="clear" w:color="auto" w:fill="D9D9D9"/>
          </w:tcPr>
          <w:p>
            <w:pPr>
              <w:jc w:val="center"/>
            </w:pPr>
            <w:r/>
            <w:r>
              <w:rPr>
                <w:rFonts w:ascii="Cambria" w:hAnsi="Cambria" w:eastAsia="Cambria" w:cs="Cambria"/>
                <w:b w:val="0"/>
                <w:i w:val="0"/>
                <w:sz w:val="17"/>
              </w:rPr>
              <w:t>PhD Supervision Capacity</w:t>
            </w:r>
          </w:p>
        </w:tc>
        <w:tc>
          <w:tcPr>
            <w:tcW w:type="dxa" w:w="2835"/>
            <w:shd w:val="clear" w:color="auto" w:fill="D9D9D9"/>
          </w:tcPr>
          <w:p>
            <w:pPr>
              <w:jc w:val="left"/>
            </w:pPr>
            <w:r/>
            <w:r>
              <w:rPr>
                <w:rFonts w:ascii="Cambria" w:hAnsi="Cambria" w:eastAsia="Cambria" w:cs="Cambria"/>
                <w:b w:val="0"/>
                <w:i w:val="0"/>
                <w:sz w:val="17"/>
              </w:rPr>
              <w:t>~25–30 PhD scholars (avg. 5 per guide)</w:t>
            </w:r>
          </w:p>
        </w:tc>
        <w:tc>
          <w:tcPr>
            <w:tcW w:type="dxa" w:w="2835"/>
            <w:shd w:val="clear" w:color="auto" w:fill="D9D9D9"/>
          </w:tcPr>
          <w:p>
            <w:pPr>
              <w:jc w:val="center"/>
            </w:pPr>
            <w:r/>
            <w:r>
              <w:rPr>
                <w:rFonts w:ascii="Cambria" w:hAnsi="Cambria" w:eastAsia="Cambria" w:cs="Cambria"/>
                <w:b w:val="0"/>
                <w:i w:val="0"/>
                <w:sz w:val="17"/>
              </w:rPr>
              <w:t>~60 PhD scholars (avg. 5 per guide)</w:t>
            </w:r>
          </w:p>
        </w:tc>
      </w:tr>
      <w:tr>
        <w:tc>
          <w:tcPr>
            <w:tcW w:type="dxa" w:w="2721"/>
          </w:tcPr>
          <w:p>
            <w:pPr>
              <w:jc w:val="center"/>
            </w:pPr>
            <w:r/>
            <w:r>
              <w:rPr>
                <w:rFonts w:ascii="Cambria" w:hAnsi="Cambria" w:eastAsia="Cambria" w:cs="Cambria"/>
                <w:b w:val="0"/>
                <w:i w:val="0"/>
                <w:sz w:val="17"/>
              </w:rPr>
              <w:t>Funded Projects Handled</w:t>
            </w:r>
          </w:p>
        </w:tc>
        <w:tc>
          <w:tcPr>
            <w:tcW w:type="dxa" w:w="2835"/>
          </w:tcPr>
          <w:p>
            <w:pPr>
              <w:jc w:val="left"/>
            </w:pPr>
            <w:r/>
            <w:r>
              <w:rPr>
                <w:rFonts w:ascii="Cambria" w:hAnsi="Cambria" w:eastAsia="Cambria" w:cs="Cambria"/>
                <w:b w:val="0"/>
                <w:i w:val="0"/>
                <w:sz w:val="17"/>
              </w:rPr>
              <w:t>Limited, as fewer guides could apply as PIs</w:t>
            </w:r>
          </w:p>
        </w:tc>
        <w:tc>
          <w:tcPr>
            <w:tcW w:type="dxa" w:w="2835"/>
          </w:tcPr>
          <w:p>
            <w:pPr>
              <w:jc w:val="center"/>
            </w:pPr>
            <w:r/>
            <w:r>
              <w:rPr>
                <w:rFonts w:ascii="Cambria" w:hAnsi="Cambria" w:eastAsia="Cambria" w:cs="Cambria"/>
                <w:b w:val="0"/>
                <w:i w:val="0"/>
                <w:sz w:val="17"/>
              </w:rPr>
              <w:t>Expanded, with more faculty serving as PIs/Co-PIs</w:t>
            </w:r>
          </w:p>
        </w:tc>
      </w:tr>
      <w:tr>
        <w:tc>
          <w:tcPr>
            <w:tcW w:type="dxa" w:w="2721"/>
            <w:shd w:val="clear" w:color="auto" w:fill="D9D9D9"/>
          </w:tcPr>
          <w:p>
            <w:pPr>
              <w:jc w:val="center"/>
            </w:pPr>
            <w:r/>
            <w:r>
              <w:rPr>
                <w:rFonts w:ascii="Cambria" w:hAnsi="Cambria" w:eastAsia="Cambria" w:cs="Cambria"/>
                <w:b w:val="0"/>
                <w:i w:val="0"/>
                <w:sz w:val="17"/>
              </w:rPr>
              <w:t>PhD Enrolments</w:t>
            </w:r>
          </w:p>
        </w:tc>
        <w:tc>
          <w:tcPr>
            <w:tcW w:type="dxa" w:w="2835"/>
            <w:shd w:val="clear" w:color="auto" w:fill="D9D9D9"/>
          </w:tcPr>
          <w:p>
            <w:pPr>
              <w:jc w:val="left"/>
            </w:pPr>
            <w:r/>
            <w:r>
              <w:rPr>
                <w:rFonts w:ascii="Cambria" w:hAnsi="Cambria" w:eastAsia="Cambria" w:cs="Cambria"/>
                <w:b w:val="0"/>
                <w:i w:val="0"/>
                <w:sz w:val="17"/>
              </w:rPr>
              <w:t>Restricted due to limited guides</w:t>
            </w:r>
          </w:p>
        </w:tc>
        <w:tc>
          <w:tcPr>
            <w:tcW w:type="dxa" w:w="2835"/>
            <w:shd w:val="clear" w:color="auto" w:fill="D9D9D9"/>
          </w:tcPr>
          <w:p>
            <w:pPr>
              <w:jc w:val="center"/>
            </w:pPr>
            <w:r/>
            <w:r>
              <w:rPr>
                <w:rFonts w:ascii="Cambria" w:hAnsi="Cambria" w:eastAsia="Cambria" w:cs="Cambria"/>
                <w:b w:val="0"/>
                <w:i w:val="0"/>
                <w:sz w:val="17"/>
              </w:rPr>
              <w:t>Increased intake, higher scholar diversity</w:t>
            </w:r>
          </w:p>
        </w:tc>
      </w:tr>
      <w:tr>
        <w:tc>
          <w:tcPr>
            <w:tcW w:type="dxa" w:w="2721"/>
          </w:tcPr>
          <w:p>
            <w:pPr>
              <w:jc w:val="center"/>
            </w:pPr>
            <w:r/>
            <w:r>
              <w:rPr>
                <w:rFonts w:ascii="Cambria" w:hAnsi="Cambria" w:eastAsia="Cambria" w:cs="Cambria"/>
                <w:b w:val="0"/>
                <w:i w:val="0"/>
                <w:sz w:val="17"/>
              </w:rPr>
              <w:t>Institutional Reputation</w:t>
            </w:r>
          </w:p>
        </w:tc>
        <w:tc>
          <w:tcPr>
            <w:tcW w:type="dxa" w:w="2835"/>
          </w:tcPr>
          <w:p>
            <w:pPr>
              <w:jc w:val="left"/>
            </w:pPr>
            <w:r/>
            <w:r>
              <w:rPr>
                <w:rFonts w:ascii="Cambria" w:hAnsi="Cambria" w:eastAsia="Cambria" w:cs="Cambria"/>
                <w:b w:val="0"/>
                <w:i w:val="0"/>
                <w:sz w:val="17"/>
              </w:rPr>
              <w:t>Low recognition as research hub</w:t>
            </w:r>
          </w:p>
        </w:tc>
        <w:tc>
          <w:tcPr>
            <w:tcW w:type="dxa" w:w="2835"/>
          </w:tcPr>
          <w:p>
            <w:pPr>
              <w:jc w:val="center"/>
            </w:pPr>
            <w:r/>
            <w:r>
              <w:rPr>
                <w:rFonts w:ascii="Cambria" w:hAnsi="Cambria" w:eastAsia="Cambria" w:cs="Cambria"/>
                <w:b w:val="0"/>
                <w:i w:val="0"/>
                <w:sz w:val="17"/>
              </w:rPr>
              <w:t>Established reputation with increased guide capacity</w:t>
            </w:r>
          </w:p>
        </w:tc>
      </w:tr>
    </w:tbl>
    <w:p>
      <w:pPr>
        <w:spacing w:line="276" w:lineRule="auto" w:after="120"/>
        <w:jc w:val="both"/>
      </w:pPr>
      <w:r>
        <w:rPr>
          <w:rFonts w:ascii="Cambria" w:hAnsi="Cambria" w:eastAsia="Cambria" w:cs="Cambria"/>
          <w:b/>
          <w:i w:val="0"/>
          <w:sz w:val="22"/>
        </w:rPr>
        <w:t>Direct Link Between Faculty Guides and PhD Capacity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UGC/University Norms: Each recognized Research Guide can supervise a limited number of PhD candidates (e.g., 6 full-time or 8 part-time).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More Recognized Guides → More Supervision Slots: Increasing faculty guides from 5 → 12 directly increases available slots for PhD candidates.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Enhanced Admissions: The department can admit more research scholars without breaching supervision limits.</w:t>
      </w:r>
    </w:p>
    <w:p>
      <w:pPr>
        <w:spacing w:before="200" w:after="160"/>
      </w:pPr>
      <w:r>
        <w:rPr>
          <w:rFonts w:ascii="Cambria" w:hAnsi="Cambria" w:eastAsia="Cambria" w:cs="Cambria"/>
          <w:b/>
          <w:i w:val="0"/>
          <w:color w:val="1F3A5F"/>
          <w:sz w:val="26"/>
        </w:rPr>
        <w:t>Illustrative Impact</w:t>
      </w:r>
    </w:p>
    <w:tbl>
      <w:tblPr>
        <w:tblW w:type="auto" w:w="0"/>
        <w:jc w:val="center"/>
        <w:tblLayout w:type="fixed"/>
        <w:tblLook w:firstColumn="1" w:firstRow="1" w:lastColumn="0" w:lastRow="0" w:noHBand="0" w:noVBand="1" w:val="04A0"/>
        <w:tblLayout w:type="fixed"/>
      </w:tblPr>
      <w:tblGrid>
        <w:gridCol w:w="2721"/>
        <w:gridCol w:w="2835"/>
        <w:gridCol w:w="2835"/>
      </w:tblGrid>
      <w:tr>
        <w:tc>
          <w:tcPr>
            <w:tcW w:type="dxa" w:w="2721"/>
            <w:shd w:val="clear" w:color="auto" w:fill="1F3A5F"/>
          </w:tcPr>
          <w:p>
            <w:pPr>
              <w:jc w:val="center"/>
            </w:pPr>
            <w:r/>
            <w:r>
              <w:rPr>
                <w:rFonts w:ascii="Cambria" w:hAnsi="Cambria" w:eastAsia="Cambria" w:cs="Cambria"/>
                <w:b/>
                <w:i w:val="0"/>
                <w:color w:val="FFFFFF"/>
                <w:sz w:val="18"/>
              </w:rPr>
              <w:t>Indicator</w:t>
            </w:r>
          </w:p>
        </w:tc>
        <w:tc>
          <w:tcPr>
            <w:tcW w:type="dxa" w:w="2835"/>
            <w:shd w:val="clear" w:color="auto" w:fill="1F3A5F"/>
          </w:tcPr>
          <w:p>
            <w:pPr>
              <w:jc w:val="center"/>
            </w:pPr>
            <w:r/>
            <w:r>
              <w:rPr>
                <w:rFonts w:ascii="Cambria" w:hAnsi="Cambria" w:eastAsia="Cambria" w:cs="Cambria"/>
                <w:b/>
                <w:i w:val="0"/>
                <w:color w:val="FFFFFF"/>
                <w:sz w:val="18"/>
              </w:rPr>
              <w:t>Before Expansion (5 Guides)</w:t>
            </w:r>
          </w:p>
        </w:tc>
        <w:tc>
          <w:tcPr>
            <w:tcW w:type="dxa" w:w="2835"/>
            <w:shd w:val="clear" w:color="auto" w:fill="1F3A5F"/>
          </w:tcPr>
          <w:p>
            <w:pPr>
              <w:jc w:val="center"/>
            </w:pPr>
            <w:r/>
            <w:r>
              <w:rPr>
                <w:rFonts w:ascii="Cambria" w:hAnsi="Cambria" w:eastAsia="Cambria" w:cs="Cambria"/>
                <w:b/>
                <w:i w:val="0"/>
                <w:color w:val="FFFFFF"/>
                <w:sz w:val="18"/>
              </w:rPr>
              <w:t>After Expansion (12 Guides)</w:t>
            </w:r>
          </w:p>
        </w:tc>
      </w:tr>
      <w:tr>
        <w:tc>
          <w:tcPr>
            <w:tcW w:type="dxa" w:w="2721"/>
          </w:tcPr>
          <w:p>
            <w:pPr>
              <w:jc w:val="center"/>
            </w:pPr>
            <w:r/>
            <w:r>
              <w:rPr>
                <w:rFonts w:ascii="Cambria" w:hAnsi="Cambria" w:eastAsia="Cambria" w:cs="Cambria"/>
                <w:b w:val="0"/>
                <w:i w:val="0"/>
                <w:sz w:val="17"/>
              </w:rPr>
              <w:t>Average Supervision Capacity per Guide</w:t>
            </w:r>
          </w:p>
        </w:tc>
        <w:tc>
          <w:tcPr>
            <w:tcW w:type="dxa" w:w="2835"/>
          </w:tcPr>
          <w:p>
            <w:pPr>
              <w:jc w:val="left"/>
            </w:pPr>
            <w:r/>
            <w:r>
              <w:rPr>
                <w:rFonts w:ascii="Cambria" w:hAnsi="Cambria" w:eastAsia="Cambria" w:cs="Cambria"/>
                <w:b w:val="0"/>
                <w:i w:val="0"/>
                <w:sz w:val="17"/>
              </w:rPr>
              <w:t>5 scholars</w:t>
            </w:r>
          </w:p>
        </w:tc>
        <w:tc>
          <w:tcPr>
            <w:tcW w:type="dxa" w:w="2835"/>
          </w:tcPr>
          <w:p>
            <w:pPr>
              <w:jc w:val="center"/>
            </w:pPr>
            <w:r/>
            <w:r>
              <w:rPr>
                <w:rFonts w:ascii="Cambria" w:hAnsi="Cambria" w:eastAsia="Cambria" w:cs="Cambria"/>
                <w:b w:val="0"/>
                <w:i w:val="0"/>
                <w:sz w:val="17"/>
              </w:rPr>
              <w:t>5 scholars</w:t>
            </w:r>
          </w:p>
        </w:tc>
      </w:tr>
      <w:tr>
        <w:tc>
          <w:tcPr>
            <w:tcW w:type="dxa" w:w="2721"/>
            <w:shd w:val="clear" w:color="auto" w:fill="D9D9D9"/>
          </w:tcPr>
          <w:p>
            <w:pPr>
              <w:jc w:val="center"/>
            </w:pPr>
            <w:r/>
            <w:r>
              <w:rPr>
                <w:rFonts w:ascii="Cambria" w:hAnsi="Cambria" w:eastAsia="Cambria" w:cs="Cambria"/>
                <w:b w:val="0"/>
                <w:i w:val="0"/>
                <w:sz w:val="17"/>
              </w:rPr>
              <w:t>Total Supervision Capacity</w:t>
            </w:r>
          </w:p>
        </w:tc>
        <w:tc>
          <w:tcPr>
            <w:tcW w:type="dxa" w:w="2835"/>
            <w:shd w:val="clear" w:color="auto" w:fill="D9D9D9"/>
          </w:tcPr>
          <w:p>
            <w:pPr>
              <w:jc w:val="left"/>
            </w:pPr>
            <w:r/>
            <w:r>
              <w:rPr>
                <w:rFonts w:ascii="Cambria" w:hAnsi="Cambria" w:eastAsia="Cambria" w:cs="Cambria"/>
                <w:b w:val="0"/>
                <w:i w:val="0"/>
                <w:sz w:val="17"/>
              </w:rPr>
              <w:t>~25 scholars</w:t>
            </w:r>
          </w:p>
        </w:tc>
        <w:tc>
          <w:tcPr>
            <w:tcW w:type="dxa" w:w="2835"/>
            <w:shd w:val="clear" w:color="auto" w:fill="D9D9D9"/>
          </w:tcPr>
          <w:p>
            <w:pPr>
              <w:jc w:val="center"/>
            </w:pPr>
            <w:r/>
            <w:r>
              <w:rPr>
                <w:rFonts w:ascii="Cambria" w:hAnsi="Cambria" w:eastAsia="Cambria" w:cs="Cambria"/>
                <w:b w:val="0"/>
                <w:i w:val="0"/>
                <w:sz w:val="17"/>
              </w:rPr>
              <w:t>~60 scholars</w:t>
            </w:r>
          </w:p>
        </w:tc>
      </w:tr>
      <w:tr>
        <w:tc>
          <w:tcPr>
            <w:tcW w:type="dxa" w:w="2721"/>
          </w:tcPr>
          <w:p>
            <w:pPr>
              <w:jc w:val="center"/>
            </w:pPr>
            <w:r/>
            <w:r>
              <w:rPr>
                <w:rFonts w:ascii="Cambria" w:hAnsi="Cambria" w:eastAsia="Cambria" w:cs="Cambria"/>
                <w:b w:val="0"/>
                <w:i w:val="0"/>
                <w:sz w:val="17"/>
              </w:rPr>
              <w:t>Actual PhD Enrolments</w:t>
            </w:r>
          </w:p>
        </w:tc>
        <w:tc>
          <w:tcPr>
            <w:tcW w:type="dxa" w:w="2835"/>
          </w:tcPr>
          <w:p>
            <w:pPr>
              <w:jc w:val="left"/>
            </w:pPr>
            <w:r/>
            <w:r>
              <w:rPr>
                <w:rFonts w:ascii="Cambria" w:hAnsi="Cambria" w:eastAsia="Cambria" w:cs="Cambria"/>
                <w:b w:val="0"/>
                <w:i w:val="0"/>
                <w:sz w:val="17"/>
              </w:rPr>
              <w:t>Limited to ~20–25</w:t>
            </w:r>
          </w:p>
        </w:tc>
        <w:tc>
          <w:tcPr>
            <w:tcW w:type="dxa" w:w="2835"/>
          </w:tcPr>
          <w:p>
            <w:pPr>
              <w:jc w:val="center"/>
            </w:pPr>
            <w:r/>
            <w:r>
              <w:rPr>
                <w:rFonts w:ascii="Cambria" w:hAnsi="Cambria" w:eastAsia="Cambria" w:cs="Cambria"/>
                <w:b w:val="0"/>
                <w:i w:val="0"/>
                <w:sz w:val="17"/>
              </w:rPr>
              <w:t>Increased to ~55–60</w:t>
            </w:r>
          </w:p>
        </w:tc>
      </w:tr>
      <w:tr>
        <w:tc>
          <w:tcPr>
            <w:tcW w:type="dxa" w:w="2721"/>
            <w:shd w:val="clear" w:color="auto" w:fill="D9D9D9"/>
          </w:tcPr>
          <w:p>
            <w:pPr>
              <w:jc w:val="center"/>
            </w:pPr>
            <w:r/>
            <w:r>
              <w:rPr>
                <w:rFonts w:ascii="Cambria" w:hAnsi="Cambria" w:eastAsia="Cambria" w:cs="Cambria"/>
                <w:b w:val="0"/>
                <w:i w:val="0"/>
                <w:sz w:val="17"/>
              </w:rPr>
              <w:t>Funded Research Projects</w:t>
            </w:r>
          </w:p>
        </w:tc>
        <w:tc>
          <w:tcPr>
            <w:tcW w:type="dxa" w:w="2835"/>
            <w:shd w:val="clear" w:color="auto" w:fill="D9D9D9"/>
          </w:tcPr>
          <w:p>
            <w:pPr>
              <w:jc w:val="left"/>
            </w:pPr>
            <w:r/>
            <w:r>
              <w:rPr>
                <w:rFonts w:ascii="Cambria" w:hAnsi="Cambria" w:eastAsia="Cambria" w:cs="Cambria"/>
                <w:b w:val="0"/>
                <w:i w:val="0"/>
                <w:sz w:val="17"/>
              </w:rPr>
              <w:t>Restricted due to fewer PIs/Co-Guides</w:t>
            </w:r>
          </w:p>
        </w:tc>
        <w:tc>
          <w:tcPr>
            <w:tcW w:type="dxa" w:w="2835"/>
            <w:shd w:val="clear" w:color="auto" w:fill="D9D9D9"/>
          </w:tcPr>
          <w:p>
            <w:pPr>
              <w:jc w:val="center"/>
            </w:pPr>
            <w:r/>
            <w:r>
              <w:rPr>
                <w:rFonts w:ascii="Cambria" w:hAnsi="Cambria" w:eastAsia="Cambria" w:cs="Cambria"/>
                <w:b w:val="0"/>
                <w:i w:val="0"/>
                <w:sz w:val="17"/>
              </w:rPr>
              <w:t>Expanded as more faculty eligible to lead</w:t>
            </w:r>
          </w:p>
        </w:tc>
      </w:tr>
      <w:tr>
        <w:tc>
          <w:tcPr>
            <w:tcW w:type="dxa" w:w="2721"/>
          </w:tcPr>
          <w:p>
            <w:pPr>
              <w:jc w:val="center"/>
            </w:pPr>
            <w:r/>
            <w:r>
              <w:rPr>
                <w:rFonts w:ascii="Cambria" w:hAnsi="Cambria" w:eastAsia="Cambria" w:cs="Cambria"/>
                <w:b w:val="0"/>
                <w:i w:val="0"/>
                <w:sz w:val="17"/>
              </w:rPr>
              <w:t>Departmental Reputation</w:t>
            </w:r>
          </w:p>
        </w:tc>
        <w:tc>
          <w:tcPr>
            <w:tcW w:type="dxa" w:w="2835"/>
          </w:tcPr>
          <w:p>
            <w:pPr>
              <w:jc w:val="left"/>
            </w:pPr>
            <w:r/>
            <w:r>
              <w:rPr>
                <w:rFonts w:ascii="Cambria" w:hAnsi="Cambria" w:eastAsia="Cambria" w:cs="Cambria"/>
                <w:b w:val="0"/>
                <w:i w:val="0"/>
                <w:sz w:val="17"/>
              </w:rPr>
              <w:t>Small-scale PhD research hub</w:t>
            </w:r>
          </w:p>
        </w:tc>
        <w:tc>
          <w:tcPr>
            <w:tcW w:type="dxa" w:w="2835"/>
          </w:tcPr>
          <w:p>
            <w:pPr>
              <w:jc w:val="center"/>
            </w:pPr>
            <w:r/>
            <w:r>
              <w:rPr>
                <w:rFonts w:ascii="Cambria" w:hAnsi="Cambria" w:eastAsia="Cambria" w:cs="Cambria"/>
                <w:b w:val="0"/>
                <w:i w:val="0"/>
                <w:sz w:val="17"/>
              </w:rPr>
              <w:t>Recognized as a large-scale research center</w:t>
            </w:r>
          </w:p>
        </w:tc>
      </w:tr>
    </w:tbl>
    <w:p>
      <w:pPr>
        <w:spacing w:line="276" w:lineRule="auto" w:after="120"/>
        <w:jc w:val="both"/>
      </w:pPr>
      <w:r>
        <w:rPr>
          <w:rFonts w:ascii="Cambria" w:hAnsi="Cambria" w:eastAsia="Cambria" w:cs="Cambria"/>
          <w:b/>
          <w:i w:val="0"/>
          <w:sz w:val="22"/>
        </w:rPr>
        <w:t>How the HoD Enabled This Growth</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Nominated eligible faculty for Research Guide recognition.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Facilitated faculty research development (publications, projects, FDPs) to meet guide eligibility criteria.</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Liaised with UGC/University to secure official approvals.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Integrated new guides into recognized research centers, boosting enrolments.</w:t>
      </w:r>
    </w:p>
    <w:p>
      <w:pPr>
        <w:spacing w:line="276" w:lineRule="auto" w:after="120"/>
        <w:jc w:val="both"/>
      </w:pPr>
      <w:r>
        <w:rPr>
          <w:rFonts w:ascii="Cambria" w:hAnsi="Cambria" w:eastAsia="Cambria" w:cs="Cambria"/>
          <w:b/>
          <w:i w:val="0"/>
          <w:sz w:val="22"/>
        </w:rPr>
        <w:t>Cause-and-Effect: More Guides → More Research Output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Increased PhD Supervision Capacity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With more recognized guides, the department admits more PhD candidates.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Each additional scholar contributes a thesis, publications, and possibly patents during their research tenure.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Faculty Productivity Boost</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Recognized guides are more active in research since they mentor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This directly results in co-authored publications, funded projects, and patents.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Collaborative Expansion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More guides → more diverse expertise → interdisciplinary collaborations.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This attracts industry consultancy projects and joint research with external institutions.</w:t>
      </w:r>
    </w:p>
    <w:p>
      <w:pPr>
        <w:spacing w:before="200" w:after="160"/>
      </w:pPr>
      <w:r>
        <w:rPr>
          <w:rFonts w:ascii="Cambria" w:hAnsi="Cambria" w:eastAsia="Cambria" w:cs="Cambria"/>
          <w:b/>
          <w:i w:val="0"/>
          <w:color w:val="1F3A5F"/>
          <w:sz w:val="26"/>
        </w:rPr>
        <w:t>Measurable Research Growth (Guide Expansion)</w:t>
      </w:r>
    </w:p>
    <w:tbl>
      <w:tblPr>
        <w:tblW w:type="auto" w:w="0"/>
        <w:jc w:val="center"/>
        <w:tblLayout w:type="fixed"/>
        <w:tblLook w:firstColumn="1" w:firstRow="1" w:lastColumn="0" w:lastRow="0" w:noHBand="0" w:noVBand="1" w:val="04A0"/>
        <w:tblLayout w:type="fixed"/>
      </w:tblPr>
      <w:tblGrid>
        <w:gridCol w:w="2721"/>
        <w:gridCol w:w="2835"/>
        <w:gridCol w:w="2835"/>
      </w:tblGrid>
      <w:tr>
        <w:tc>
          <w:tcPr>
            <w:tcW w:type="dxa" w:w="2721"/>
            <w:shd w:val="clear" w:color="auto" w:fill="1F3A5F"/>
          </w:tcPr>
          <w:p>
            <w:pPr>
              <w:jc w:val="center"/>
            </w:pPr>
            <w:r/>
            <w:r>
              <w:rPr>
                <w:rFonts w:ascii="Cambria" w:hAnsi="Cambria" w:eastAsia="Cambria" w:cs="Cambria"/>
                <w:b/>
                <w:i w:val="0"/>
                <w:color w:val="FFFFFF"/>
                <w:sz w:val="18"/>
              </w:rPr>
              <w:t>Output Category</w:t>
            </w:r>
          </w:p>
        </w:tc>
        <w:tc>
          <w:tcPr>
            <w:tcW w:type="dxa" w:w="2835"/>
            <w:shd w:val="clear" w:color="auto" w:fill="1F3A5F"/>
          </w:tcPr>
          <w:p>
            <w:pPr>
              <w:jc w:val="center"/>
            </w:pPr>
            <w:r/>
            <w:r>
              <w:rPr>
                <w:rFonts w:ascii="Cambria" w:hAnsi="Cambria" w:eastAsia="Cambria" w:cs="Cambria"/>
                <w:b/>
                <w:i w:val="0"/>
                <w:color w:val="FFFFFF"/>
                <w:sz w:val="18"/>
              </w:rPr>
              <w:t>Before Expansion (5 Guides)</w:t>
            </w:r>
          </w:p>
        </w:tc>
        <w:tc>
          <w:tcPr>
            <w:tcW w:type="dxa" w:w="2835"/>
            <w:shd w:val="clear" w:color="auto" w:fill="1F3A5F"/>
          </w:tcPr>
          <w:p>
            <w:pPr>
              <w:jc w:val="center"/>
            </w:pPr>
            <w:r/>
            <w:r>
              <w:rPr>
                <w:rFonts w:ascii="Cambria" w:hAnsi="Cambria" w:eastAsia="Cambria" w:cs="Cambria"/>
                <w:b/>
                <w:i w:val="0"/>
                <w:color w:val="FFFFFF"/>
                <w:sz w:val="18"/>
              </w:rPr>
              <w:t>After Expansion (12 Guides)</w:t>
            </w:r>
          </w:p>
        </w:tc>
      </w:tr>
      <w:tr>
        <w:tc>
          <w:tcPr>
            <w:tcW w:type="dxa" w:w="2721"/>
          </w:tcPr>
          <w:p>
            <w:pPr>
              <w:jc w:val="center"/>
            </w:pPr>
            <w:r/>
            <w:r>
              <w:rPr>
                <w:rFonts w:ascii="Cambria" w:hAnsi="Cambria" w:eastAsia="Cambria" w:cs="Cambria"/>
                <w:b w:val="0"/>
                <w:i w:val="0"/>
                <w:sz w:val="17"/>
              </w:rPr>
              <w:t>PhD Theses Completed</w:t>
            </w:r>
          </w:p>
        </w:tc>
        <w:tc>
          <w:tcPr>
            <w:tcW w:type="dxa" w:w="2835"/>
          </w:tcPr>
          <w:p>
            <w:pPr>
              <w:jc w:val="left"/>
            </w:pPr>
            <w:r/>
            <w:r>
              <w:rPr>
                <w:rFonts w:ascii="Cambria" w:hAnsi="Cambria" w:eastAsia="Cambria" w:cs="Cambria"/>
                <w:b w:val="0"/>
                <w:i w:val="0"/>
                <w:sz w:val="17"/>
              </w:rPr>
              <w:t>~5–6 per cycle</w:t>
            </w:r>
          </w:p>
        </w:tc>
        <w:tc>
          <w:tcPr>
            <w:tcW w:type="dxa" w:w="2835"/>
          </w:tcPr>
          <w:p>
            <w:pPr>
              <w:jc w:val="center"/>
            </w:pPr>
            <w:r/>
            <w:r>
              <w:rPr>
                <w:rFonts w:ascii="Cambria" w:hAnsi="Cambria" w:eastAsia="Cambria" w:cs="Cambria"/>
                <w:b w:val="0"/>
                <w:i w:val="0"/>
                <w:sz w:val="17"/>
              </w:rPr>
              <w:t>~15–20 per cycle</w:t>
            </w:r>
          </w:p>
        </w:tc>
      </w:tr>
      <w:tr>
        <w:tc>
          <w:tcPr>
            <w:tcW w:type="dxa" w:w="2721"/>
            <w:shd w:val="clear" w:color="auto" w:fill="D9D9D9"/>
          </w:tcPr>
          <w:p>
            <w:pPr>
              <w:jc w:val="center"/>
            </w:pPr>
            <w:r/>
            <w:r>
              <w:rPr>
                <w:rFonts w:ascii="Cambria" w:hAnsi="Cambria" w:eastAsia="Cambria" w:cs="Cambria"/>
                <w:b w:val="0"/>
                <w:i w:val="0"/>
                <w:sz w:val="17"/>
              </w:rPr>
              <w:t>Publications (Scopus/WoS)</w:t>
            </w:r>
          </w:p>
        </w:tc>
        <w:tc>
          <w:tcPr>
            <w:tcW w:type="dxa" w:w="2835"/>
            <w:shd w:val="clear" w:color="auto" w:fill="D9D9D9"/>
          </w:tcPr>
          <w:p>
            <w:pPr>
              <w:jc w:val="left"/>
            </w:pPr>
            <w:r/>
            <w:r>
              <w:rPr>
                <w:rFonts w:ascii="Cambria" w:hAnsi="Cambria" w:eastAsia="Cambria" w:cs="Cambria"/>
                <w:b w:val="0"/>
                <w:i w:val="0"/>
                <w:sz w:val="17"/>
              </w:rPr>
              <w:t>~12 per year</w:t>
            </w:r>
          </w:p>
        </w:tc>
        <w:tc>
          <w:tcPr>
            <w:tcW w:type="dxa" w:w="2835"/>
            <w:shd w:val="clear" w:color="auto" w:fill="D9D9D9"/>
          </w:tcPr>
          <w:p>
            <w:pPr>
              <w:jc w:val="center"/>
            </w:pPr>
            <w:r/>
            <w:r>
              <w:rPr>
                <w:rFonts w:ascii="Cambria" w:hAnsi="Cambria" w:eastAsia="Cambria" w:cs="Cambria"/>
                <w:b w:val="0"/>
                <w:i w:val="0"/>
                <w:sz w:val="17"/>
              </w:rPr>
              <w:t>~40 per year</w:t>
            </w:r>
          </w:p>
        </w:tc>
      </w:tr>
      <w:tr>
        <w:tc>
          <w:tcPr>
            <w:tcW w:type="dxa" w:w="2721"/>
          </w:tcPr>
          <w:p>
            <w:pPr>
              <w:jc w:val="center"/>
            </w:pPr>
            <w:r/>
            <w:r>
              <w:rPr>
                <w:rFonts w:ascii="Cambria" w:hAnsi="Cambria" w:eastAsia="Cambria" w:cs="Cambria"/>
                <w:b w:val="0"/>
                <w:i w:val="0"/>
                <w:sz w:val="17"/>
              </w:rPr>
              <w:t>Patents Filed</w:t>
            </w:r>
          </w:p>
        </w:tc>
        <w:tc>
          <w:tcPr>
            <w:tcW w:type="dxa" w:w="2835"/>
          </w:tcPr>
          <w:p>
            <w:pPr>
              <w:jc w:val="left"/>
            </w:pPr>
            <w:r/>
            <w:r>
              <w:rPr>
                <w:rFonts w:ascii="Cambria" w:hAnsi="Cambria" w:eastAsia="Cambria" w:cs="Cambria"/>
                <w:b w:val="0"/>
                <w:i w:val="0"/>
                <w:sz w:val="17"/>
              </w:rPr>
              <w:t>1–2 occasionally</w:t>
            </w:r>
          </w:p>
        </w:tc>
        <w:tc>
          <w:tcPr>
            <w:tcW w:type="dxa" w:w="2835"/>
          </w:tcPr>
          <w:p>
            <w:pPr>
              <w:jc w:val="center"/>
            </w:pPr>
            <w:r/>
            <w:r>
              <w:rPr>
                <w:rFonts w:ascii="Cambria" w:hAnsi="Cambria" w:eastAsia="Cambria" w:cs="Cambria"/>
                <w:b w:val="0"/>
                <w:i w:val="0"/>
                <w:sz w:val="17"/>
              </w:rPr>
              <w:t>7–8 over 3 years</w:t>
            </w:r>
          </w:p>
        </w:tc>
      </w:tr>
      <w:tr>
        <w:tc>
          <w:tcPr>
            <w:tcW w:type="dxa" w:w="2721"/>
            <w:shd w:val="clear" w:color="auto" w:fill="D9D9D9"/>
          </w:tcPr>
          <w:p>
            <w:pPr>
              <w:jc w:val="center"/>
            </w:pPr>
            <w:r/>
            <w:r>
              <w:rPr>
                <w:rFonts w:ascii="Cambria" w:hAnsi="Cambria" w:eastAsia="Cambria" w:cs="Cambria"/>
                <w:b w:val="0"/>
                <w:i w:val="0"/>
                <w:sz w:val="17"/>
              </w:rPr>
              <w:t>Consultancy Projects</w:t>
            </w:r>
          </w:p>
        </w:tc>
        <w:tc>
          <w:tcPr>
            <w:tcW w:type="dxa" w:w="2835"/>
            <w:shd w:val="clear" w:color="auto" w:fill="D9D9D9"/>
          </w:tcPr>
          <w:p>
            <w:pPr>
              <w:jc w:val="left"/>
            </w:pPr>
            <w:r/>
            <w:r>
              <w:rPr>
                <w:rFonts w:ascii="Cambria" w:hAnsi="Cambria" w:eastAsia="Cambria" w:cs="Cambria"/>
                <w:b w:val="0"/>
                <w:i w:val="0"/>
                <w:sz w:val="17"/>
              </w:rPr>
              <w:t>Rare or minimal</w:t>
            </w:r>
          </w:p>
        </w:tc>
        <w:tc>
          <w:tcPr>
            <w:tcW w:type="dxa" w:w="2835"/>
            <w:shd w:val="clear" w:color="auto" w:fill="D9D9D9"/>
          </w:tcPr>
          <w:p>
            <w:pPr>
              <w:jc w:val="center"/>
            </w:pPr>
            <w:r/>
            <w:r>
              <w:rPr>
                <w:rFonts w:ascii="Cambria" w:hAnsi="Cambria" w:eastAsia="Cambria" w:cs="Cambria"/>
                <w:b w:val="0"/>
                <w:i w:val="0"/>
                <w:sz w:val="17"/>
              </w:rPr>
              <w:t>4–5 projects annually; revenue ↑30% YoY</w:t>
            </w:r>
          </w:p>
        </w:tc>
      </w:tr>
      <w:tr>
        <w:tc>
          <w:tcPr>
            <w:tcW w:type="dxa" w:w="2721"/>
          </w:tcPr>
          <w:p>
            <w:pPr>
              <w:jc w:val="center"/>
            </w:pPr>
            <w:r/>
            <w:r>
              <w:rPr>
                <w:rFonts w:ascii="Cambria" w:hAnsi="Cambria" w:eastAsia="Cambria" w:cs="Cambria"/>
                <w:b w:val="0"/>
                <w:i w:val="0"/>
                <w:sz w:val="17"/>
              </w:rPr>
              <w:t>Interdisciplinary Projects</w:t>
            </w:r>
          </w:p>
        </w:tc>
        <w:tc>
          <w:tcPr>
            <w:tcW w:type="dxa" w:w="2835"/>
          </w:tcPr>
          <w:p>
            <w:pPr>
              <w:jc w:val="left"/>
            </w:pPr>
            <w:r/>
            <w:r>
              <w:rPr>
                <w:rFonts w:ascii="Cambria" w:hAnsi="Cambria" w:eastAsia="Cambria" w:cs="Cambria"/>
                <w:b w:val="0"/>
                <w:i w:val="0"/>
                <w:sz w:val="17"/>
              </w:rPr>
              <w:t>Limited to 1–2</w:t>
            </w:r>
          </w:p>
        </w:tc>
        <w:tc>
          <w:tcPr>
            <w:tcW w:type="dxa" w:w="2835"/>
          </w:tcPr>
          <w:p>
            <w:pPr>
              <w:jc w:val="center"/>
            </w:pPr>
            <w:r/>
            <w:r>
              <w:rPr>
                <w:rFonts w:ascii="Cambria" w:hAnsi="Cambria" w:eastAsia="Cambria" w:cs="Cambria"/>
                <w:b w:val="0"/>
                <w:i w:val="0"/>
                <w:sz w:val="17"/>
              </w:rPr>
              <w:t>6+ active interdisciplinary collaborations</w:t>
            </w:r>
          </w:p>
        </w:tc>
      </w:tr>
    </w:tbl>
    <w:p>
      <w:pPr>
        <w:spacing w:line="276" w:lineRule="auto" w:after="120"/>
        <w:jc w:val="both"/>
      </w:pPr>
      <w:r>
        <w:rPr>
          <w:rFonts w:ascii="Cambria" w:hAnsi="Cambria" w:eastAsia="Cambria" w:cs="Cambria"/>
          <w:b/>
          <w:i w:val="0"/>
          <w:sz w:val="22"/>
        </w:rPr>
        <w:t>How HoD Enables Higher Outputs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Ensures faculty are recognized as guides, unlocking scholar admissions.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Encourages scholars and faculty to publish in indexed journals.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Facilitates patent filing support and IPR workshops.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Promotes industry MoUs that lead to consultancy projects.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Tracks progress in monthly R&amp;D meetings and IQAC reports.</w:t>
      </w:r>
    </w:p>
    <w:p>
      <w:pPr>
        <w:spacing w:line="276" w:lineRule="auto" w:after="120"/>
        <w:jc w:val="both"/>
      </w:pPr>
      <w:r>
        <w:rPr>
          <w:rFonts w:ascii="Cambria" w:hAnsi="Cambria" w:eastAsia="Cambria" w:cs="Cambria"/>
          <w:b/>
          <w:i w:val="0"/>
          <w:sz w:val="22"/>
        </w:rPr>
        <w:t>Why It Is Not Symbolic</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Recognition of faculty as Research Guides is tied to UGC/University eligibility norms (PhD, publications, research experience).</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Approvals are formal and documented, not honorary.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Each new guide translates into additional PhD seats, which lead to tangible outcomes like theses, publications, and patents.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Outputs are tracked in IQAC/Research Committee reports, ensuring accountability.</w:t>
      </w:r>
    </w:p>
    <w:p>
      <w:pPr>
        <w:spacing w:before="200" w:after="160"/>
      </w:pPr>
      <w:r>
        <w:rPr>
          <w:rFonts w:ascii="Cambria" w:hAnsi="Cambria" w:eastAsia="Cambria" w:cs="Cambria"/>
          <w:b/>
          <w:i w:val="0"/>
          <w:color w:val="1F3A5F"/>
          <w:sz w:val="26"/>
        </w:rPr>
        <w:t>Direct Measurable Outcomes</w:t>
      </w:r>
    </w:p>
    <w:tbl>
      <w:tblPr>
        <w:tblW w:type="auto" w:w="0"/>
        <w:jc w:val="center"/>
        <w:tblLayout w:type="fixed"/>
        <w:tblLook w:firstColumn="1" w:firstRow="1" w:lastColumn="0" w:lastRow="0" w:noHBand="0" w:noVBand="1" w:val="04A0"/>
        <w:tblLayout w:type="fixed"/>
      </w:tblPr>
      <w:tblGrid>
        <w:gridCol w:w="2721"/>
        <w:gridCol w:w="2835"/>
        <w:gridCol w:w="2835"/>
      </w:tblGrid>
      <w:tr>
        <w:tc>
          <w:tcPr>
            <w:tcW w:type="dxa" w:w="2721"/>
            <w:shd w:val="clear" w:color="auto" w:fill="1F3A5F"/>
          </w:tcPr>
          <w:p>
            <w:pPr>
              <w:jc w:val="center"/>
            </w:pPr>
            <w:r/>
            <w:r>
              <w:rPr>
                <w:rFonts w:ascii="Cambria" w:hAnsi="Cambria" w:eastAsia="Cambria" w:cs="Cambria"/>
                <w:b/>
                <w:i w:val="0"/>
                <w:color w:val="FFFFFF"/>
                <w:sz w:val="18"/>
              </w:rPr>
              <w:t>Research Dimension</w:t>
            </w:r>
          </w:p>
        </w:tc>
        <w:tc>
          <w:tcPr>
            <w:tcW w:type="dxa" w:w="2835"/>
            <w:shd w:val="clear" w:color="auto" w:fill="1F3A5F"/>
          </w:tcPr>
          <w:p>
            <w:pPr>
              <w:jc w:val="center"/>
            </w:pPr>
            <w:r/>
            <w:r>
              <w:rPr>
                <w:rFonts w:ascii="Cambria" w:hAnsi="Cambria" w:eastAsia="Cambria" w:cs="Cambria"/>
                <w:b/>
                <w:i w:val="0"/>
                <w:color w:val="FFFFFF"/>
                <w:sz w:val="18"/>
              </w:rPr>
              <w:t>Before Expansion (5 Guides)</w:t>
            </w:r>
          </w:p>
        </w:tc>
        <w:tc>
          <w:tcPr>
            <w:tcW w:type="dxa" w:w="2835"/>
            <w:shd w:val="clear" w:color="auto" w:fill="1F3A5F"/>
          </w:tcPr>
          <w:p>
            <w:pPr>
              <w:jc w:val="center"/>
            </w:pPr>
            <w:r/>
            <w:r>
              <w:rPr>
                <w:rFonts w:ascii="Cambria" w:hAnsi="Cambria" w:eastAsia="Cambria" w:cs="Cambria"/>
                <w:b/>
                <w:i w:val="0"/>
                <w:color w:val="FFFFFF"/>
                <w:sz w:val="18"/>
              </w:rPr>
              <w:t>After Expansion (12 Guides)</w:t>
            </w:r>
          </w:p>
        </w:tc>
      </w:tr>
      <w:tr>
        <w:tc>
          <w:tcPr>
            <w:tcW w:type="dxa" w:w="2721"/>
          </w:tcPr>
          <w:p>
            <w:pPr>
              <w:jc w:val="center"/>
            </w:pPr>
            <w:r/>
            <w:r>
              <w:rPr>
                <w:rFonts w:ascii="Cambria" w:hAnsi="Cambria" w:eastAsia="Cambria" w:cs="Cambria"/>
                <w:b w:val="0"/>
                <w:i w:val="0"/>
                <w:sz w:val="17"/>
              </w:rPr>
              <w:t>PhD Supervision Capacity</w:t>
            </w:r>
          </w:p>
        </w:tc>
        <w:tc>
          <w:tcPr>
            <w:tcW w:type="dxa" w:w="2835"/>
          </w:tcPr>
          <w:p>
            <w:pPr>
              <w:jc w:val="left"/>
            </w:pPr>
            <w:r/>
            <w:r>
              <w:rPr>
                <w:rFonts w:ascii="Cambria" w:hAnsi="Cambria" w:eastAsia="Cambria" w:cs="Cambria"/>
                <w:b w:val="0"/>
                <w:i w:val="0"/>
                <w:sz w:val="17"/>
              </w:rPr>
              <w:t>~25 scholars</w:t>
            </w:r>
          </w:p>
        </w:tc>
        <w:tc>
          <w:tcPr>
            <w:tcW w:type="dxa" w:w="2835"/>
          </w:tcPr>
          <w:p>
            <w:pPr>
              <w:jc w:val="center"/>
            </w:pPr>
            <w:r/>
            <w:r>
              <w:rPr>
                <w:rFonts w:ascii="Cambria" w:hAnsi="Cambria" w:eastAsia="Cambria" w:cs="Cambria"/>
                <w:b w:val="0"/>
                <w:i w:val="0"/>
                <w:sz w:val="17"/>
              </w:rPr>
              <w:t>~60 scholars</w:t>
            </w:r>
          </w:p>
        </w:tc>
      </w:tr>
      <w:tr>
        <w:tc>
          <w:tcPr>
            <w:tcW w:type="dxa" w:w="2721"/>
            <w:shd w:val="clear" w:color="auto" w:fill="D9D9D9"/>
          </w:tcPr>
          <w:p>
            <w:pPr>
              <w:jc w:val="center"/>
            </w:pPr>
            <w:r/>
            <w:r>
              <w:rPr>
                <w:rFonts w:ascii="Cambria" w:hAnsi="Cambria" w:eastAsia="Cambria" w:cs="Cambria"/>
                <w:b w:val="0"/>
                <w:i w:val="0"/>
                <w:sz w:val="17"/>
              </w:rPr>
              <w:t>Theses Submitted</w:t>
            </w:r>
          </w:p>
        </w:tc>
        <w:tc>
          <w:tcPr>
            <w:tcW w:type="dxa" w:w="2835"/>
            <w:shd w:val="clear" w:color="auto" w:fill="D9D9D9"/>
          </w:tcPr>
          <w:p>
            <w:pPr>
              <w:jc w:val="left"/>
            </w:pPr>
            <w:r/>
            <w:r>
              <w:rPr>
                <w:rFonts w:ascii="Cambria" w:hAnsi="Cambria" w:eastAsia="Cambria" w:cs="Cambria"/>
                <w:b w:val="0"/>
                <w:i w:val="0"/>
                <w:sz w:val="17"/>
              </w:rPr>
              <w:t>~5–6 per cycle</w:t>
            </w:r>
          </w:p>
        </w:tc>
        <w:tc>
          <w:tcPr>
            <w:tcW w:type="dxa" w:w="2835"/>
            <w:shd w:val="clear" w:color="auto" w:fill="D9D9D9"/>
          </w:tcPr>
          <w:p>
            <w:pPr>
              <w:jc w:val="center"/>
            </w:pPr>
            <w:r/>
            <w:r>
              <w:rPr>
                <w:rFonts w:ascii="Cambria" w:hAnsi="Cambria" w:eastAsia="Cambria" w:cs="Cambria"/>
                <w:b w:val="0"/>
                <w:i w:val="0"/>
                <w:sz w:val="17"/>
              </w:rPr>
              <w:t>~15–20 per cycle</w:t>
            </w:r>
          </w:p>
        </w:tc>
      </w:tr>
      <w:tr>
        <w:tc>
          <w:tcPr>
            <w:tcW w:type="dxa" w:w="2721"/>
          </w:tcPr>
          <w:p>
            <w:pPr>
              <w:jc w:val="center"/>
            </w:pPr>
            <w:r/>
            <w:r>
              <w:rPr>
                <w:rFonts w:ascii="Cambria" w:hAnsi="Cambria" w:eastAsia="Cambria" w:cs="Cambria"/>
                <w:b w:val="0"/>
                <w:i w:val="0"/>
                <w:sz w:val="17"/>
              </w:rPr>
              <w:t>Publications (Scopus/WoS)</w:t>
            </w:r>
          </w:p>
        </w:tc>
        <w:tc>
          <w:tcPr>
            <w:tcW w:type="dxa" w:w="2835"/>
          </w:tcPr>
          <w:p>
            <w:pPr>
              <w:jc w:val="left"/>
            </w:pPr>
            <w:r/>
            <w:r>
              <w:rPr>
                <w:rFonts w:ascii="Cambria" w:hAnsi="Cambria" w:eastAsia="Cambria" w:cs="Cambria"/>
                <w:b w:val="0"/>
                <w:i w:val="0"/>
                <w:sz w:val="17"/>
              </w:rPr>
              <w:t>~12 per year</w:t>
            </w:r>
          </w:p>
        </w:tc>
        <w:tc>
          <w:tcPr>
            <w:tcW w:type="dxa" w:w="2835"/>
          </w:tcPr>
          <w:p>
            <w:pPr>
              <w:jc w:val="center"/>
            </w:pPr>
            <w:r/>
            <w:r>
              <w:rPr>
                <w:rFonts w:ascii="Cambria" w:hAnsi="Cambria" w:eastAsia="Cambria" w:cs="Cambria"/>
                <w:b w:val="0"/>
                <w:i w:val="0"/>
                <w:sz w:val="17"/>
              </w:rPr>
              <w:t>~40 per year</w:t>
            </w:r>
          </w:p>
        </w:tc>
      </w:tr>
      <w:tr>
        <w:tc>
          <w:tcPr>
            <w:tcW w:type="dxa" w:w="2721"/>
            <w:shd w:val="clear" w:color="auto" w:fill="D9D9D9"/>
          </w:tcPr>
          <w:p>
            <w:pPr>
              <w:jc w:val="center"/>
            </w:pPr>
            <w:r/>
            <w:r>
              <w:rPr>
                <w:rFonts w:ascii="Cambria" w:hAnsi="Cambria" w:eastAsia="Cambria" w:cs="Cambria"/>
                <w:b w:val="0"/>
                <w:i w:val="0"/>
                <w:sz w:val="17"/>
              </w:rPr>
              <w:t>Patents Filed</w:t>
            </w:r>
          </w:p>
        </w:tc>
        <w:tc>
          <w:tcPr>
            <w:tcW w:type="dxa" w:w="2835"/>
            <w:shd w:val="clear" w:color="auto" w:fill="D9D9D9"/>
          </w:tcPr>
          <w:p>
            <w:pPr>
              <w:jc w:val="left"/>
            </w:pPr>
            <w:r/>
            <w:r>
              <w:rPr>
                <w:rFonts w:ascii="Cambria" w:hAnsi="Cambria" w:eastAsia="Cambria" w:cs="Cambria"/>
                <w:b w:val="0"/>
                <w:i w:val="0"/>
                <w:sz w:val="17"/>
              </w:rPr>
              <w:t>1–2</w:t>
            </w:r>
          </w:p>
        </w:tc>
        <w:tc>
          <w:tcPr>
            <w:tcW w:type="dxa" w:w="2835"/>
            <w:shd w:val="clear" w:color="auto" w:fill="D9D9D9"/>
          </w:tcPr>
          <w:p>
            <w:pPr>
              <w:jc w:val="center"/>
            </w:pPr>
            <w:r/>
            <w:r>
              <w:rPr>
                <w:rFonts w:ascii="Cambria" w:hAnsi="Cambria" w:eastAsia="Cambria" w:cs="Cambria"/>
                <w:b w:val="0"/>
                <w:i w:val="0"/>
                <w:sz w:val="17"/>
              </w:rPr>
              <w:t>7–8 over 3 years</w:t>
            </w:r>
          </w:p>
        </w:tc>
      </w:tr>
      <w:tr>
        <w:tc>
          <w:tcPr>
            <w:tcW w:type="dxa" w:w="2721"/>
          </w:tcPr>
          <w:p>
            <w:pPr>
              <w:jc w:val="center"/>
            </w:pPr>
            <w:r/>
            <w:r>
              <w:rPr>
                <w:rFonts w:ascii="Cambria" w:hAnsi="Cambria" w:eastAsia="Cambria" w:cs="Cambria"/>
                <w:b w:val="0"/>
                <w:i w:val="0"/>
                <w:sz w:val="17"/>
              </w:rPr>
              <w:t>Consultancy Projects</w:t>
            </w:r>
          </w:p>
        </w:tc>
        <w:tc>
          <w:tcPr>
            <w:tcW w:type="dxa" w:w="2835"/>
          </w:tcPr>
          <w:p>
            <w:pPr>
              <w:jc w:val="left"/>
            </w:pPr>
            <w:r/>
            <w:r>
              <w:rPr>
                <w:rFonts w:ascii="Cambria" w:hAnsi="Cambria" w:eastAsia="Cambria" w:cs="Cambria"/>
                <w:b w:val="0"/>
                <w:i w:val="0"/>
                <w:sz w:val="17"/>
              </w:rPr>
              <w:t>Minimal</w:t>
            </w:r>
          </w:p>
        </w:tc>
        <w:tc>
          <w:tcPr>
            <w:tcW w:type="dxa" w:w="2835"/>
          </w:tcPr>
          <w:p>
            <w:pPr>
              <w:jc w:val="center"/>
            </w:pPr>
            <w:r/>
            <w:r>
              <w:rPr>
                <w:rFonts w:ascii="Cambria" w:hAnsi="Cambria" w:eastAsia="Cambria" w:cs="Cambria"/>
                <w:b w:val="0"/>
                <w:i w:val="0"/>
                <w:sz w:val="17"/>
              </w:rPr>
              <w:t>4–5 annually; revenue ↑30% YoY</w:t>
            </w:r>
          </w:p>
        </w:tc>
      </w:tr>
      <w:tr>
        <w:tc>
          <w:tcPr>
            <w:tcW w:type="dxa" w:w="2721"/>
            <w:shd w:val="clear" w:color="auto" w:fill="D9D9D9"/>
          </w:tcPr>
          <w:p>
            <w:pPr>
              <w:jc w:val="center"/>
            </w:pPr>
            <w:r/>
            <w:r>
              <w:rPr>
                <w:rFonts w:ascii="Cambria" w:hAnsi="Cambria" w:eastAsia="Cambria" w:cs="Cambria"/>
                <w:b w:val="0"/>
                <w:i w:val="0"/>
                <w:sz w:val="17"/>
              </w:rPr>
              <w:t>Collaborations</w:t>
            </w:r>
          </w:p>
        </w:tc>
        <w:tc>
          <w:tcPr>
            <w:tcW w:type="dxa" w:w="2835"/>
            <w:shd w:val="clear" w:color="auto" w:fill="D9D9D9"/>
          </w:tcPr>
          <w:p>
            <w:pPr>
              <w:jc w:val="left"/>
            </w:pPr>
            <w:r/>
            <w:r>
              <w:rPr>
                <w:rFonts w:ascii="Cambria" w:hAnsi="Cambria" w:eastAsia="Cambria" w:cs="Cambria"/>
                <w:b w:val="0"/>
                <w:i w:val="0"/>
                <w:sz w:val="17"/>
              </w:rPr>
              <w:t>Few</w:t>
            </w:r>
          </w:p>
        </w:tc>
        <w:tc>
          <w:tcPr>
            <w:tcW w:type="dxa" w:w="2835"/>
            <w:shd w:val="clear" w:color="auto" w:fill="D9D9D9"/>
          </w:tcPr>
          <w:p>
            <w:pPr>
              <w:jc w:val="center"/>
            </w:pPr>
            <w:r/>
            <w:r>
              <w:rPr>
                <w:rFonts w:ascii="Cambria" w:hAnsi="Cambria" w:eastAsia="Cambria" w:cs="Cambria"/>
                <w:b w:val="0"/>
                <w:i w:val="0"/>
                <w:sz w:val="17"/>
              </w:rPr>
              <w:t>6+ interdisciplinary/industry projects</w:t>
            </w:r>
          </w:p>
        </w:tc>
      </w:tr>
    </w:tbl>
    <w:p>
      <w:pPr>
        <w:spacing w:line="276" w:lineRule="auto" w:after="120"/>
        <w:jc w:val="both"/>
      </w:pPr>
      <w:r>
        <w:rPr>
          <w:rFonts w:ascii="Cambria" w:hAnsi="Cambria" w:eastAsia="Cambria" w:cs="Cambria"/>
          <w:b/>
          <w:i w:val="0"/>
          <w:sz w:val="22"/>
        </w:rPr>
        <w:t>How HoD Ensures Measurable Outputs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Liaises with UGC/University to secure recognition approvals.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Expands supervision slots, leading to more scholar admissions.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Embeds research progress into monthly R&amp;D meetings and annual IQAC reporting.</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Connects scholars’ research with thrust areas, ensuring outputs align with departmental priorities.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Encourages patent filing, consultancy, and publications as mandatory deliverables.</w:t>
      </w:r>
    </w:p>
    <w:p>
      <w:pPr>
        <w:spacing w:line="276" w:lineRule="auto" w:after="120"/>
        <w:jc w:val="both"/>
      </w:pPr>
      <w:r>
        <w:rPr>
          <w:rFonts w:ascii="Cambria" w:hAnsi="Cambria" w:eastAsia="Cambria" w:cs="Cambria"/>
          <w:b/>
          <w:i w:val="0"/>
          <w:sz w:val="22"/>
        </w:rPr>
        <w:t>Strategic Dimension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Planned Expansion → HoD identifies eligible faculty, supports them in meeting UGC/University norms (PhD, indexed publications, funded projects).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Policy Alignment → Guide approvals are secured in line with UGC regulations and university ordinances, ensuring legitimacy.</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Capacity Expansion → From 5 → 12 guides, directly increasing PhD intake capacity from ~25 → ~60 scholars.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Integration with Thrust Areas → Each guide is linked to departmental R&amp;D focus areas, aligning scholar research with institutional priorities.</w:t>
      </w:r>
    </w:p>
    <w:p>
      <w:pPr>
        <w:spacing w:before="200" w:after="160"/>
      </w:pPr>
      <w:r>
        <w:rPr>
          <w:rFonts w:ascii="Cambria" w:hAnsi="Cambria" w:eastAsia="Cambria" w:cs="Cambria"/>
          <w:b/>
          <w:i w:val="0"/>
          <w:color w:val="1F3A5F"/>
          <w:sz w:val="26"/>
        </w:rPr>
        <w:t>Measurable Research Growth (Strategic)</w:t>
      </w:r>
    </w:p>
    <w:tbl>
      <w:tblPr>
        <w:tblW w:type="auto" w:w="0"/>
        <w:jc w:val="center"/>
        <w:tblLayout w:type="fixed"/>
        <w:tblLook w:firstColumn="1" w:firstRow="1" w:lastColumn="0" w:lastRow="0" w:noHBand="0" w:noVBand="1" w:val="04A0"/>
        <w:tblLayout w:type="fixed"/>
      </w:tblPr>
      <w:tblGrid>
        <w:gridCol w:w="2721"/>
        <w:gridCol w:w="2835"/>
        <w:gridCol w:w="2835"/>
      </w:tblGrid>
      <w:tr>
        <w:tc>
          <w:tcPr>
            <w:tcW w:type="dxa" w:w="2721"/>
            <w:shd w:val="clear" w:color="auto" w:fill="1F3A5F"/>
          </w:tcPr>
          <w:p>
            <w:pPr>
              <w:jc w:val="center"/>
            </w:pPr>
            <w:r/>
            <w:r>
              <w:rPr>
                <w:rFonts w:ascii="Cambria" w:hAnsi="Cambria" w:eastAsia="Cambria" w:cs="Cambria"/>
                <w:b/>
                <w:i w:val="0"/>
                <w:color w:val="FFFFFF"/>
                <w:sz w:val="18"/>
              </w:rPr>
              <w:t>Indicator</w:t>
            </w:r>
          </w:p>
        </w:tc>
        <w:tc>
          <w:tcPr>
            <w:tcW w:type="dxa" w:w="2835"/>
            <w:shd w:val="clear" w:color="auto" w:fill="1F3A5F"/>
          </w:tcPr>
          <w:p>
            <w:pPr>
              <w:jc w:val="center"/>
            </w:pPr>
            <w:r/>
            <w:r>
              <w:rPr>
                <w:rFonts w:ascii="Cambria" w:hAnsi="Cambria" w:eastAsia="Cambria" w:cs="Cambria"/>
                <w:b/>
                <w:i w:val="0"/>
                <w:color w:val="FFFFFF"/>
                <w:sz w:val="18"/>
              </w:rPr>
              <w:t>Before Expansion (5 Guides)</w:t>
            </w:r>
          </w:p>
        </w:tc>
        <w:tc>
          <w:tcPr>
            <w:tcW w:type="dxa" w:w="2835"/>
            <w:shd w:val="clear" w:color="auto" w:fill="1F3A5F"/>
          </w:tcPr>
          <w:p>
            <w:pPr>
              <w:jc w:val="center"/>
            </w:pPr>
            <w:r/>
            <w:r>
              <w:rPr>
                <w:rFonts w:ascii="Cambria" w:hAnsi="Cambria" w:eastAsia="Cambria" w:cs="Cambria"/>
                <w:b/>
                <w:i w:val="0"/>
                <w:color w:val="FFFFFF"/>
                <w:sz w:val="18"/>
              </w:rPr>
              <w:t>After Expansion (12 Guides)</w:t>
            </w:r>
          </w:p>
        </w:tc>
      </w:tr>
      <w:tr>
        <w:tc>
          <w:tcPr>
            <w:tcW w:type="dxa" w:w="2721"/>
          </w:tcPr>
          <w:p>
            <w:pPr>
              <w:jc w:val="center"/>
            </w:pPr>
            <w:r/>
            <w:r>
              <w:rPr>
                <w:rFonts w:ascii="Cambria" w:hAnsi="Cambria" w:eastAsia="Cambria" w:cs="Cambria"/>
                <w:b w:val="0"/>
                <w:i w:val="0"/>
                <w:sz w:val="17"/>
              </w:rPr>
              <w:t>PhD Supervision Capacity</w:t>
            </w:r>
          </w:p>
        </w:tc>
        <w:tc>
          <w:tcPr>
            <w:tcW w:type="dxa" w:w="2835"/>
          </w:tcPr>
          <w:p>
            <w:pPr>
              <w:jc w:val="left"/>
            </w:pPr>
            <w:r/>
            <w:r>
              <w:rPr>
                <w:rFonts w:ascii="Cambria" w:hAnsi="Cambria" w:eastAsia="Cambria" w:cs="Cambria"/>
                <w:b w:val="0"/>
                <w:i w:val="0"/>
                <w:sz w:val="17"/>
              </w:rPr>
              <w:t>~25 scholars</w:t>
            </w:r>
          </w:p>
        </w:tc>
        <w:tc>
          <w:tcPr>
            <w:tcW w:type="dxa" w:w="2835"/>
          </w:tcPr>
          <w:p>
            <w:pPr>
              <w:jc w:val="center"/>
            </w:pPr>
            <w:r/>
            <w:r>
              <w:rPr>
                <w:rFonts w:ascii="Cambria" w:hAnsi="Cambria" w:eastAsia="Cambria" w:cs="Cambria"/>
                <w:b w:val="0"/>
                <w:i w:val="0"/>
                <w:sz w:val="17"/>
              </w:rPr>
              <w:t>~60 scholars</w:t>
            </w:r>
          </w:p>
        </w:tc>
      </w:tr>
      <w:tr>
        <w:tc>
          <w:tcPr>
            <w:tcW w:type="dxa" w:w="2721"/>
            <w:shd w:val="clear" w:color="auto" w:fill="D9D9D9"/>
          </w:tcPr>
          <w:p>
            <w:pPr>
              <w:jc w:val="center"/>
            </w:pPr>
            <w:r/>
            <w:r>
              <w:rPr>
                <w:rFonts w:ascii="Cambria" w:hAnsi="Cambria" w:eastAsia="Cambria" w:cs="Cambria"/>
                <w:b w:val="0"/>
                <w:i w:val="0"/>
                <w:sz w:val="17"/>
              </w:rPr>
              <w:t>Theses Submitted</w:t>
            </w:r>
          </w:p>
        </w:tc>
        <w:tc>
          <w:tcPr>
            <w:tcW w:type="dxa" w:w="2835"/>
            <w:shd w:val="clear" w:color="auto" w:fill="D9D9D9"/>
          </w:tcPr>
          <w:p>
            <w:pPr>
              <w:jc w:val="left"/>
            </w:pPr>
            <w:r/>
            <w:r>
              <w:rPr>
                <w:rFonts w:ascii="Cambria" w:hAnsi="Cambria" w:eastAsia="Cambria" w:cs="Cambria"/>
                <w:b w:val="0"/>
                <w:i w:val="0"/>
                <w:sz w:val="17"/>
              </w:rPr>
              <w:t>5–6 per cycle</w:t>
            </w:r>
          </w:p>
        </w:tc>
        <w:tc>
          <w:tcPr>
            <w:tcW w:type="dxa" w:w="2835"/>
            <w:shd w:val="clear" w:color="auto" w:fill="D9D9D9"/>
          </w:tcPr>
          <w:p>
            <w:pPr>
              <w:jc w:val="center"/>
            </w:pPr>
            <w:r/>
            <w:r>
              <w:rPr>
                <w:rFonts w:ascii="Cambria" w:hAnsi="Cambria" w:eastAsia="Cambria" w:cs="Cambria"/>
                <w:b w:val="0"/>
                <w:i w:val="0"/>
                <w:sz w:val="17"/>
              </w:rPr>
              <w:t>15–20 per cycle</w:t>
            </w:r>
          </w:p>
        </w:tc>
      </w:tr>
      <w:tr>
        <w:tc>
          <w:tcPr>
            <w:tcW w:type="dxa" w:w="2721"/>
          </w:tcPr>
          <w:p>
            <w:pPr>
              <w:jc w:val="center"/>
            </w:pPr>
            <w:r/>
            <w:r>
              <w:rPr>
                <w:rFonts w:ascii="Cambria" w:hAnsi="Cambria" w:eastAsia="Cambria" w:cs="Cambria"/>
                <w:b w:val="0"/>
                <w:i w:val="0"/>
                <w:sz w:val="17"/>
              </w:rPr>
              <w:t>Publications (Scopus/WoS)</w:t>
            </w:r>
          </w:p>
        </w:tc>
        <w:tc>
          <w:tcPr>
            <w:tcW w:type="dxa" w:w="2835"/>
          </w:tcPr>
          <w:p>
            <w:pPr>
              <w:jc w:val="left"/>
            </w:pPr>
            <w:r/>
            <w:r>
              <w:rPr>
                <w:rFonts w:ascii="Cambria" w:hAnsi="Cambria" w:eastAsia="Cambria" w:cs="Cambria"/>
                <w:b w:val="0"/>
                <w:i w:val="0"/>
                <w:sz w:val="17"/>
              </w:rPr>
              <w:t>~12 per year</w:t>
            </w:r>
          </w:p>
        </w:tc>
        <w:tc>
          <w:tcPr>
            <w:tcW w:type="dxa" w:w="2835"/>
          </w:tcPr>
          <w:p>
            <w:pPr>
              <w:jc w:val="center"/>
            </w:pPr>
            <w:r/>
            <w:r>
              <w:rPr>
                <w:rFonts w:ascii="Cambria" w:hAnsi="Cambria" w:eastAsia="Cambria" w:cs="Cambria"/>
                <w:b w:val="0"/>
                <w:i w:val="0"/>
                <w:sz w:val="17"/>
              </w:rPr>
              <w:t>~40 per year</w:t>
            </w:r>
          </w:p>
        </w:tc>
      </w:tr>
      <w:tr>
        <w:tc>
          <w:tcPr>
            <w:tcW w:type="dxa" w:w="2721"/>
            <w:shd w:val="clear" w:color="auto" w:fill="D9D9D9"/>
          </w:tcPr>
          <w:p>
            <w:pPr>
              <w:jc w:val="center"/>
            </w:pPr>
            <w:r/>
            <w:r>
              <w:rPr>
                <w:rFonts w:ascii="Cambria" w:hAnsi="Cambria" w:eastAsia="Cambria" w:cs="Cambria"/>
                <w:b w:val="0"/>
                <w:i w:val="0"/>
                <w:sz w:val="17"/>
              </w:rPr>
              <w:t>Patents Filed</w:t>
            </w:r>
          </w:p>
        </w:tc>
        <w:tc>
          <w:tcPr>
            <w:tcW w:type="dxa" w:w="2835"/>
            <w:shd w:val="clear" w:color="auto" w:fill="D9D9D9"/>
          </w:tcPr>
          <w:p>
            <w:pPr>
              <w:jc w:val="left"/>
            </w:pPr>
            <w:r/>
            <w:r>
              <w:rPr>
                <w:rFonts w:ascii="Cambria" w:hAnsi="Cambria" w:eastAsia="Cambria" w:cs="Cambria"/>
                <w:b w:val="0"/>
                <w:i w:val="0"/>
                <w:sz w:val="17"/>
              </w:rPr>
              <w:t>1–2 occasionally</w:t>
            </w:r>
          </w:p>
        </w:tc>
        <w:tc>
          <w:tcPr>
            <w:tcW w:type="dxa" w:w="2835"/>
            <w:shd w:val="clear" w:color="auto" w:fill="D9D9D9"/>
          </w:tcPr>
          <w:p>
            <w:pPr>
              <w:jc w:val="center"/>
            </w:pPr>
            <w:r/>
            <w:r>
              <w:rPr>
                <w:rFonts w:ascii="Cambria" w:hAnsi="Cambria" w:eastAsia="Cambria" w:cs="Cambria"/>
                <w:b w:val="0"/>
                <w:i w:val="0"/>
                <w:sz w:val="17"/>
              </w:rPr>
              <w:t>7–8 in 3 years</w:t>
            </w:r>
          </w:p>
        </w:tc>
      </w:tr>
      <w:tr>
        <w:tc>
          <w:tcPr>
            <w:tcW w:type="dxa" w:w="2721"/>
          </w:tcPr>
          <w:p>
            <w:pPr>
              <w:jc w:val="center"/>
            </w:pPr>
            <w:r/>
            <w:r>
              <w:rPr>
                <w:rFonts w:ascii="Cambria" w:hAnsi="Cambria" w:eastAsia="Cambria" w:cs="Cambria"/>
                <w:b w:val="0"/>
                <w:i w:val="0"/>
                <w:sz w:val="17"/>
              </w:rPr>
              <w:t>Consultancy Revenue</w:t>
            </w:r>
          </w:p>
        </w:tc>
        <w:tc>
          <w:tcPr>
            <w:tcW w:type="dxa" w:w="2835"/>
          </w:tcPr>
          <w:p>
            <w:pPr>
              <w:jc w:val="left"/>
            </w:pPr>
            <w:r/>
            <w:r>
              <w:rPr>
                <w:rFonts w:ascii="Cambria" w:hAnsi="Cambria" w:eastAsia="Cambria" w:cs="Cambria"/>
                <w:b w:val="0"/>
                <w:i w:val="0"/>
                <w:sz w:val="17"/>
              </w:rPr>
              <w:t>Minimal</w:t>
            </w:r>
          </w:p>
        </w:tc>
        <w:tc>
          <w:tcPr>
            <w:tcW w:type="dxa" w:w="2835"/>
          </w:tcPr>
          <w:p>
            <w:pPr>
              <w:jc w:val="center"/>
            </w:pPr>
            <w:r/>
            <w:r>
              <w:rPr>
                <w:rFonts w:ascii="Cambria" w:hAnsi="Cambria" w:eastAsia="Cambria" w:cs="Cambria"/>
                <w:b w:val="0"/>
                <w:i w:val="0"/>
                <w:sz w:val="17"/>
              </w:rPr>
              <w:t>↑30% YoY from 4–5 projects annually</w:t>
            </w:r>
          </w:p>
        </w:tc>
      </w:tr>
      <w:tr>
        <w:tc>
          <w:tcPr>
            <w:tcW w:type="dxa" w:w="2721"/>
            <w:shd w:val="clear" w:color="auto" w:fill="D9D9D9"/>
          </w:tcPr>
          <w:p>
            <w:pPr>
              <w:jc w:val="center"/>
            </w:pPr>
            <w:r/>
            <w:r>
              <w:rPr>
                <w:rFonts w:ascii="Cambria" w:hAnsi="Cambria" w:eastAsia="Cambria" w:cs="Cambria"/>
                <w:b w:val="0"/>
                <w:i w:val="0"/>
                <w:sz w:val="17"/>
              </w:rPr>
              <w:t>Interdisciplinary Projects</w:t>
            </w:r>
          </w:p>
        </w:tc>
        <w:tc>
          <w:tcPr>
            <w:tcW w:type="dxa" w:w="2835"/>
            <w:shd w:val="clear" w:color="auto" w:fill="D9D9D9"/>
          </w:tcPr>
          <w:p>
            <w:pPr>
              <w:jc w:val="left"/>
            </w:pPr>
            <w:r/>
            <w:r>
              <w:rPr>
                <w:rFonts w:ascii="Cambria" w:hAnsi="Cambria" w:eastAsia="Cambria" w:cs="Cambria"/>
                <w:b w:val="0"/>
                <w:i w:val="0"/>
                <w:sz w:val="17"/>
              </w:rPr>
              <w:t>Rare</w:t>
            </w:r>
          </w:p>
        </w:tc>
        <w:tc>
          <w:tcPr>
            <w:tcW w:type="dxa" w:w="2835"/>
            <w:shd w:val="clear" w:color="auto" w:fill="D9D9D9"/>
          </w:tcPr>
          <w:p>
            <w:pPr>
              <w:jc w:val="center"/>
            </w:pPr>
            <w:r/>
            <w:r>
              <w:rPr>
                <w:rFonts w:ascii="Cambria" w:hAnsi="Cambria" w:eastAsia="Cambria" w:cs="Cambria"/>
                <w:b w:val="0"/>
                <w:i w:val="0"/>
                <w:sz w:val="17"/>
              </w:rPr>
              <w:t>6+ active collaborations</w:t>
            </w:r>
          </w:p>
        </w:tc>
      </w:tr>
    </w:tbl>
    <w:p>
      <w:pPr>
        <w:spacing w:line="276" w:lineRule="auto" w:after="120"/>
        <w:jc w:val="both"/>
      </w:pPr>
      <w:r>
        <w:rPr>
          <w:rFonts w:ascii="Cambria" w:hAnsi="Cambria" w:eastAsia="Cambria" w:cs="Cambria"/>
          <w:b/>
          <w:i w:val="0"/>
          <w:sz w:val="22"/>
        </w:rPr>
        <w:t>How HoD Ensured Strategic, Not Symbolic Expansion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Capacity-Building: Conducted FDPs/workshops to enhance faculty eligibility for guide recognition.</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Liaisoning: Actively engaged with UGC/CSIR/University to secure approvals.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Accountability: Required guides to submit annual research supervision reports.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Monitoring: Linked scholar progress to monthly R&amp;D meetings and IQAC submissions.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Outcome Orientation: Tied guide expansion to measurable outputs (theses, publications, patents, consultancy).</w:t>
      </w:r>
    </w:p>
    <w:p>
      <w:pPr>
        <w:spacing w:before="200" w:after="160"/>
      </w:pPr>
      <w:r>
        <w:rPr>
          <w:rFonts w:ascii="Cambria" w:hAnsi="Cambria" w:eastAsia="Cambria" w:cs="Cambria"/>
          <w:b/>
          <w:i w:val="0"/>
          <w:color w:val="1F3A5F"/>
          <w:sz w:val="26"/>
        </w:rPr>
        <w:t>Research Guide Expansion</w:t>
      </w:r>
    </w:p>
    <w:tbl>
      <w:tblPr>
        <w:tblW w:type="auto" w:w="0"/>
        <w:jc w:val="center"/>
        <w:tblLayout w:type="fixed"/>
        <w:tblLook w:firstColumn="1" w:firstRow="1" w:lastColumn="0" w:lastRow="0" w:noHBand="0" w:noVBand="1" w:val="04A0"/>
        <w:tblLayout w:type="fixed"/>
      </w:tblPr>
      <w:tblGrid>
        <w:gridCol w:w="1587"/>
        <w:gridCol w:w="3118"/>
        <w:gridCol w:w="2268"/>
        <w:gridCol w:w="3231"/>
      </w:tblGrid>
      <w:tr>
        <w:tc>
          <w:tcPr>
            <w:tcW w:type="dxa" w:w="1587"/>
            <w:shd w:val="clear" w:color="auto" w:fill="1F3A5F"/>
          </w:tcPr>
          <w:p>
            <w:pPr>
              <w:jc w:val="center"/>
            </w:pPr>
            <w:r/>
            <w:r>
              <w:rPr>
                <w:rFonts w:ascii="Cambria" w:hAnsi="Cambria" w:eastAsia="Cambria" w:cs="Cambria"/>
                <w:b/>
                <w:i w:val="0"/>
                <w:color w:val="FFFFFF"/>
                <w:sz w:val="16"/>
              </w:rPr>
              <w:t>Stage</w:t>
            </w:r>
          </w:p>
        </w:tc>
        <w:tc>
          <w:tcPr>
            <w:tcW w:type="dxa" w:w="3118"/>
            <w:shd w:val="clear" w:color="auto" w:fill="1F3A5F"/>
          </w:tcPr>
          <w:p>
            <w:pPr>
              <w:jc w:val="center"/>
            </w:pPr>
            <w:r/>
            <w:r>
              <w:rPr>
                <w:rFonts w:ascii="Cambria" w:hAnsi="Cambria" w:eastAsia="Cambria" w:cs="Cambria"/>
                <w:b/>
                <w:i w:val="0"/>
                <w:color w:val="FFFFFF"/>
                <w:sz w:val="16"/>
              </w:rPr>
              <w:t>Policy/Action by HoD</w:t>
            </w:r>
          </w:p>
        </w:tc>
        <w:tc>
          <w:tcPr>
            <w:tcW w:type="dxa" w:w="2268"/>
            <w:shd w:val="clear" w:color="auto" w:fill="1F3A5F"/>
          </w:tcPr>
          <w:p>
            <w:pPr>
              <w:jc w:val="center"/>
            </w:pPr>
            <w:r/>
            <w:r>
              <w:rPr>
                <w:rFonts w:ascii="Cambria" w:hAnsi="Cambria" w:eastAsia="Cambria" w:cs="Cambria"/>
                <w:b/>
                <w:i w:val="0"/>
                <w:color w:val="FFFFFF"/>
                <w:sz w:val="16"/>
              </w:rPr>
              <w:t>Evidence/Documents</w:t>
            </w:r>
          </w:p>
        </w:tc>
        <w:tc>
          <w:tcPr>
            <w:tcW w:type="dxa" w:w="3231"/>
            <w:shd w:val="clear" w:color="auto" w:fill="1F3A5F"/>
          </w:tcPr>
          <w:p>
            <w:pPr>
              <w:jc w:val="center"/>
            </w:pPr>
            <w:r/>
            <w:r>
              <w:rPr>
                <w:rFonts w:ascii="Cambria" w:hAnsi="Cambria" w:eastAsia="Cambria" w:cs="Cambria"/>
                <w:b/>
                <w:i w:val="0"/>
                <w:color w:val="FFFFFF"/>
                <w:sz w:val="16"/>
              </w:rPr>
              <w:t>Outcome (Quantitative &amp; Qualitative)</w:t>
            </w:r>
          </w:p>
        </w:tc>
      </w:tr>
      <w:tr>
        <w:tc>
          <w:tcPr>
            <w:tcW w:type="dxa" w:w="1587"/>
          </w:tcPr>
          <w:p>
            <w:pPr>
              <w:jc w:val="center"/>
            </w:pPr>
            <w:r/>
            <w:r>
              <w:rPr>
                <w:rFonts w:ascii="Cambria" w:hAnsi="Cambria" w:eastAsia="Cambria" w:cs="Cambria"/>
                <w:b w:val="0"/>
                <w:i w:val="0"/>
                <w:sz w:val="15"/>
              </w:rPr>
              <w:t>Guide Expansion</w:t>
            </w:r>
          </w:p>
        </w:tc>
        <w:tc>
          <w:tcPr>
            <w:tcW w:type="dxa" w:w="3118"/>
          </w:tcPr>
          <w:p>
            <w:pPr>
              <w:jc w:val="left"/>
            </w:pPr>
            <w:r/>
            <w:r>
              <w:rPr>
                <w:rFonts w:ascii="Cambria" w:hAnsi="Cambria" w:eastAsia="Cambria" w:cs="Cambria"/>
                <w:b w:val="0"/>
                <w:i w:val="0"/>
                <w:sz w:val="15"/>
              </w:rPr>
              <w:t>Identify and nominate eligible faculty for Research Guide approval in line with UGC/University norms.</w:t>
            </w:r>
          </w:p>
        </w:tc>
        <w:tc>
          <w:tcPr>
            <w:tcW w:type="dxa" w:w="2268"/>
          </w:tcPr>
          <w:p>
            <w:pPr>
              <w:jc w:val="center"/>
            </w:pPr>
            <w:r/>
            <w:r>
              <w:rPr>
                <w:rFonts w:ascii="Cambria" w:hAnsi="Cambria" w:eastAsia="Cambria" w:cs="Cambria"/>
                <w:b w:val="0"/>
                <w:i w:val="0"/>
                <w:sz w:val="15"/>
              </w:rPr>
              <w:t>Nomination dossiers, approval letters from UGC/University.</w:t>
            </w:r>
          </w:p>
        </w:tc>
        <w:tc>
          <w:tcPr>
            <w:tcW w:type="dxa" w:w="3231"/>
          </w:tcPr>
          <w:p>
            <w:pPr>
              <w:jc w:val="center"/>
            </w:pPr>
            <w:r/>
            <w:r>
              <w:rPr>
                <w:rFonts w:ascii="Cambria" w:hAnsi="Cambria" w:eastAsia="Cambria" w:cs="Cambria"/>
                <w:b w:val="0"/>
                <w:i w:val="0"/>
                <w:sz w:val="15"/>
              </w:rPr>
              <w:t>Faculty guides increased from 5 → 12 in 3 years.</w:t>
            </w:r>
          </w:p>
        </w:tc>
      </w:tr>
      <w:tr>
        <w:tc>
          <w:tcPr>
            <w:tcW w:type="dxa" w:w="1587"/>
            <w:shd w:val="clear" w:color="auto" w:fill="D9D9D9"/>
          </w:tcPr>
          <w:p>
            <w:pPr>
              <w:jc w:val="center"/>
            </w:pPr>
            <w:r/>
            <w:r>
              <w:rPr>
                <w:rFonts w:ascii="Cambria" w:hAnsi="Cambria" w:eastAsia="Cambria" w:cs="Cambria"/>
                <w:b w:val="0"/>
                <w:i w:val="0"/>
                <w:sz w:val="15"/>
              </w:rPr>
              <w:t>PhD Capacity</w:t>
            </w:r>
          </w:p>
        </w:tc>
        <w:tc>
          <w:tcPr>
            <w:tcW w:type="dxa" w:w="3118"/>
            <w:shd w:val="clear" w:color="auto" w:fill="D9D9D9"/>
          </w:tcPr>
          <w:p>
            <w:pPr>
              <w:jc w:val="left"/>
            </w:pPr>
            <w:r/>
            <w:r>
              <w:rPr>
                <w:rFonts w:ascii="Cambria" w:hAnsi="Cambria" w:eastAsia="Cambria" w:cs="Cambria"/>
                <w:b w:val="0"/>
                <w:i w:val="0"/>
                <w:sz w:val="15"/>
              </w:rPr>
              <w:t>Assign recognized guides to supervise PhD/PG research scholars; expand departmental intake.</w:t>
            </w:r>
          </w:p>
        </w:tc>
        <w:tc>
          <w:tcPr>
            <w:tcW w:type="dxa" w:w="2268"/>
            <w:shd w:val="clear" w:color="auto" w:fill="D9D9D9"/>
          </w:tcPr>
          <w:p>
            <w:pPr>
              <w:jc w:val="center"/>
            </w:pPr>
            <w:r/>
            <w:r>
              <w:rPr>
                <w:rFonts w:ascii="Cambria" w:hAnsi="Cambria" w:eastAsia="Cambria" w:cs="Cambria"/>
                <w:b w:val="0"/>
                <w:i w:val="0"/>
                <w:sz w:val="15"/>
              </w:rPr>
              <w:t>Scholar admission records, allocation lists.</w:t>
            </w:r>
          </w:p>
        </w:tc>
        <w:tc>
          <w:tcPr>
            <w:tcW w:type="dxa" w:w="3231"/>
            <w:shd w:val="clear" w:color="auto" w:fill="D9D9D9"/>
          </w:tcPr>
          <w:p>
            <w:pPr>
              <w:jc w:val="center"/>
            </w:pPr>
            <w:r/>
            <w:r>
              <w:rPr>
                <w:rFonts w:ascii="Cambria" w:hAnsi="Cambria" w:eastAsia="Cambria" w:cs="Cambria"/>
                <w:b w:val="0"/>
                <w:i w:val="0"/>
                <w:sz w:val="15"/>
              </w:rPr>
              <w:t>Supervision capacity expanded from ~25 → ~60 PhD scholars.</w:t>
            </w:r>
          </w:p>
        </w:tc>
      </w:tr>
      <w:tr>
        <w:tc>
          <w:tcPr>
            <w:tcW w:type="dxa" w:w="1587"/>
          </w:tcPr>
          <w:p>
            <w:pPr>
              <w:jc w:val="center"/>
            </w:pPr>
            <w:r/>
            <w:r>
              <w:rPr>
                <w:rFonts w:ascii="Cambria" w:hAnsi="Cambria" w:eastAsia="Cambria" w:cs="Cambria"/>
                <w:b w:val="0"/>
                <w:i w:val="0"/>
                <w:sz w:val="15"/>
              </w:rPr>
              <w:t>Research Outputs</w:t>
            </w:r>
          </w:p>
        </w:tc>
        <w:tc>
          <w:tcPr>
            <w:tcW w:type="dxa" w:w="3118"/>
          </w:tcPr>
          <w:p>
            <w:pPr>
              <w:jc w:val="left"/>
            </w:pPr>
            <w:r/>
            <w:r>
              <w:rPr>
                <w:rFonts w:ascii="Cambria" w:hAnsi="Cambria" w:eastAsia="Cambria" w:cs="Cambria"/>
                <w:b w:val="0"/>
                <w:i w:val="0"/>
                <w:sz w:val="15"/>
              </w:rPr>
              <w:t>Link guide–scholar work to departmental thrust areas; monitor via monthly R&amp;D meetings and IQAC reports.</w:t>
            </w:r>
          </w:p>
        </w:tc>
        <w:tc>
          <w:tcPr>
            <w:tcW w:type="dxa" w:w="2268"/>
          </w:tcPr>
          <w:p>
            <w:pPr>
              <w:jc w:val="center"/>
            </w:pPr>
            <w:r/>
            <w:r>
              <w:rPr>
                <w:rFonts w:ascii="Cambria" w:hAnsi="Cambria" w:eastAsia="Cambria" w:cs="Cambria"/>
                <w:b w:val="0"/>
                <w:i w:val="0"/>
                <w:sz w:val="15"/>
              </w:rPr>
              <w:t>Scholar theses, publications, patents, consultancy agreements.</w:t>
            </w:r>
          </w:p>
        </w:tc>
        <w:tc>
          <w:tcPr>
            <w:tcW w:type="dxa" w:w="3231"/>
          </w:tcPr>
          <w:p>
            <w:pPr>
              <w:jc w:val="center"/>
            </w:pPr>
            <w:r/>
            <w:r>
              <w:rPr>
                <w:rFonts w:ascii="Cambria" w:hAnsi="Cambria" w:eastAsia="Cambria" w:cs="Cambria"/>
                <w:b w:val="0"/>
                <w:i w:val="0"/>
                <w:sz w:val="15"/>
              </w:rPr>
              <w:t>Outputs ↑: Theses (5 → 20 per cycle), Publications (12 → 40), Patents (2 → 8), Consultancy revenue ↑30% YoY.</w:t>
            </w:r>
          </w:p>
        </w:tc>
      </w:tr>
      <w:tr>
        <w:tc>
          <w:tcPr>
            <w:tcW w:type="dxa" w:w="1587"/>
            <w:shd w:val="clear" w:color="auto" w:fill="D9D9D9"/>
          </w:tcPr>
          <w:p>
            <w:pPr>
              <w:jc w:val="center"/>
            </w:pPr>
            <w:r/>
            <w:r>
              <w:rPr>
                <w:rFonts w:ascii="Cambria" w:hAnsi="Cambria" w:eastAsia="Cambria" w:cs="Cambria"/>
                <w:b w:val="0"/>
                <w:i w:val="0"/>
                <w:sz w:val="15"/>
              </w:rPr>
              <w:t>Institutional Impact</w:t>
            </w:r>
          </w:p>
        </w:tc>
        <w:tc>
          <w:tcPr>
            <w:tcW w:type="dxa" w:w="3118"/>
            <w:shd w:val="clear" w:color="auto" w:fill="D9D9D9"/>
          </w:tcPr>
          <w:p>
            <w:pPr>
              <w:jc w:val="left"/>
            </w:pPr>
            <w:r/>
            <w:r>
              <w:rPr>
                <w:rFonts w:ascii="Cambria" w:hAnsi="Cambria" w:eastAsia="Cambria" w:cs="Cambria"/>
                <w:b w:val="0"/>
                <w:i w:val="0"/>
                <w:sz w:val="15"/>
              </w:rPr>
              <w:t>Showcase research achievements; align with NEP 2020, NAAC, and NBA benchmarks.</w:t>
            </w:r>
          </w:p>
        </w:tc>
        <w:tc>
          <w:tcPr>
            <w:tcW w:type="dxa" w:w="2268"/>
            <w:shd w:val="clear" w:color="auto" w:fill="D9D9D9"/>
          </w:tcPr>
          <w:p>
            <w:pPr>
              <w:jc w:val="center"/>
            </w:pPr>
            <w:r/>
            <w:r>
              <w:rPr>
                <w:rFonts w:ascii="Cambria" w:hAnsi="Cambria" w:eastAsia="Cambria" w:cs="Cambria"/>
                <w:b w:val="0"/>
                <w:i w:val="0"/>
                <w:sz w:val="15"/>
              </w:rPr>
              <w:t>Annual R&amp;D progress reports, NAAC/NBA SSR annexures.</w:t>
            </w:r>
          </w:p>
        </w:tc>
        <w:tc>
          <w:tcPr>
            <w:tcW w:type="dxa" w:w="3231"/>
            <w:shd w:val="clear" w:color="auto" w:fill="D9D9D9"/>
          </w:tcPr>
          <w:p>
            <w:pPr>
              <w:jc w:val="center"/>
            </w:pPr>
            <w:r/>
            <w:r>
              <w:rPr>
                <w:rFonts w:ascii="Cambria" w:hAnsi="Cambria" w:eastAsia="Cambria" w:cs="Cambria"/>
                <w:b w:val="0"/>
                <w:i w:val="0"/>
                <w:sz w:val="15"/>
              </w:rPr>
              <w:t>Department recognized as a research hub, stronger rankings/accreditation, increased funded projects and collaborations.</w:t>
            </w:r>
          </w:p>
        </w:tc>
      </w:tr>
    </w:tbl>
    <w:p>
      <w:pPr>
        <w:spacing w:before="200" w:after="160"/>
      </w:pPr>
      <w:r>
        <w:rPr>
          <w:rFonts w:ascii="Cambria" w:hAnsi="Cambria" w:eastAsia="Cambria" w:cs="Cambria"/>
          <w:b/>
          <w:i w:val="0"/>
          <w:color w:val="1F3A5F"/>
          <w:sz w:val="26"/>
        </w:rPr>
        <w:t>3-Year Progress Tracker: Guide Expansion &amp; Research Growth</w:t>
      </w:r>
    </w:p>
    <w:tbl>
      <w:tblPr>
        <w:tblW w:type="auto" w:w="0"/>
        <w:jc w:val="center"/>
        <w:tblLayout w:type="fixed"/>
        <w:tblLook w:firstColumn="1" w:firstRow="1" w:lastColumn="0" w:lastRow="0" w:noHBand="0" w:noVBand="1" w:val="04A0"/>
        <w:tblLayout w:type="fixed"/>
      </w:tblPr>
      <w:tblGrid>
        <w:gridCol w:w="1304"/>
        <w:gridCol w:w="1701"/>
        <w:gridCol w:w="1701"/>
        <w:gridCol w:w="2154"/>
        <w:gridCol w:w="1928"/>
      </w:tblGrid>
      <w:tr>
        <w:tc>
          <w:tcPr>
            <w:tcW w:type="dxa" w:w="1304"/>
            <w:shd w:val="clear" w:color="auto" w:fill="1F3A5F"/>
          </w:tcPr>
          <w:p>
            <w:pPr>
              <w:jc w:val="center"/>
            </w:pPr>
            <w:r/>
            <w:r>
              <w:rPr>
                <w:rFonts w:ascii="Cambria" w:hAnsi="Cambria" w:eastAsia="Cambria" w:cs="Cambria"/>
                <w:b/>
                <w:i w:val="0"/>
                <w:color w:val="FFFFFF"/>
                <w:sz w:val="15"/>
              </w:rPr>
              <w:t>Year</w:t>
            </w:r>
          </w:p>
        </w:tc>
        <w:tc>
          <w:tcPr>
            <w:tcW w:type="dxa" w:w="1701"/>
            <w:shd w:val="clear" w:color="auto" w:fill="1F3A5F"/>
          </w:tcPr>
          <w:p>
            <w:pPr>
              <w:jc w:val="center"/>
            </w:pPr>
            <w:r/>
            <w:r>
              <w:rPr>
                <w:rFonts w:ascii="Cambria" w:hAnsi="Cambria" w:eastAsia="Cambria" w:cs="Cambria"/>
                <w:b/>
                <w:i w:val="0"/>
                <w:color w:val="FFFFFF"/>
                <w:sz w:val="15"/>
              </w:rPr>
              <w:t>Guide Expansion</w:t>
            </w:r>
          </w:p>
        </w:tc>
        <w:tc>
          <w:tcPr>
            <w:tcW w:type="dxa" w:w="1701"/>
            <w:shd w:val="clear" w:color="auto" w:fill="1F3A5F"/>
          </w:tcPr>
          <w:p>
            <w:pPr>
              <w:jc w:val="center"/>
            </w:pPr>
            <w:r/>
            <w:r>
              <w:rPr>
                <w:rFonts w:ascii="Cambria" w:hAnsi="Cambria" w:eastAsia="Cambria" w:cs="Cambria"/>
                <w:b/>
                <w:i w:val="0"/>
                <w:color w:val="FFFFFF"/>
                <w:sz w:val="15"/>
              </w:rPr>
              <w:t>PhD Supervision Capacity</w:t>
            </w:r>
          </w:p>
        </w:tc>
        <w:tc>
          <w:tcPr>
            <w:tcW w:type="dxa" w:w="2154"/>
            <w:shd w:val="clear" w:color="auto" w:fill="1F3A5F"/>
          </w:tcPr>
          <w:p>
            <w:pPr>
              <w:jc w:val="center"/>
            </w:pPr>
            <w:r/>
            <w:r>
              <w:rPr>
                <w:rFonts w:ascii="Cambria" w:hAnsi="Cambria" w:eastAsia="Cambria" w:cs="Cambria"/>
                <w:b/>
                <w:i w:val="0"/>
                <w:color w:val="FFFFFF"/>
                <w:sz w:val="15"/>
              </w:rPr>
              <w:t>Research Outputs</w:t>
            </w:r>
          </w:p>
        </w:tc>
        <w:tc>
          <w:tcPr>
            <w:tcW w:type="dxa" w:w="1928"/>
            <w:shd w:val="clear" w:color="auto" w:fill="1F3A5F"/>
          </w:tcPr>
          <w:p>
            <w:pPr>
              <w:jc w:val="center"/>
            </w:pPr>
            <w:r/>
            <w:r>
              <w:rPr>
                <w:rFonts w:ascii="Cambria" w:hAnsi="Cambria" w:eastAsia="Cambria" w:cs="Cambria"/>
                <w:b/>
                <w:i w:val="0"/>
                <w:color w:val="FFFFFF"/>
                <w:sz w:val="15"/>
              </w:rPr>
              <w:t>Institutional Impact</w:t>
            </w:r>
          </w:p>
        </w:tc>
      </w:tr>
      <w:tr>
        <w:tc>
          <w:tcPr>
            <w:tcW w:type="dxa" w:w="1304"/>
          </w:tcPr>
          <w:p>
            <w:pPr>
              <w:jc w:val="center"/>
            </w:pPr>
            <w:r/>
            <w:r>
              <w:rPr>
                <w:rFonts w:ascii="Cambria" w:hAnsi="Cambria" w:eastAsia="Cambria" w:cs="Cambria"/>
                <w:b w:val="0"/>
                <w:i w:val="0"/>
                <w:sz w:val="14"/>
              </w:rPr>
              <w:t>Year 1 (Foundation)</w:t>
            </w:r>
          </w:p>
        </w:tc>
        <w:tc>
          <w:tcPr>
            <w:tcW w:type="dxa" w:w="1701"/>
          </w:tcPr>
          <w:p>
            <w:pPr>
              <w:jc w:val="left"/>
            </w:pPr>
            <w:r/>
            <w:r>
              <w:rPr>
                <w:rFonts w:ascii="Cambria" w:hAnsi="Cambria" w:eastAsia="Cambria" w:cs="Cambria"/>
                <w:b w:val="0"/>
                <w:i w:val="0"/>
                <w:sz w:val="14"/>
              </w:rPr>
              <w:t>5 faculty recognized as Research Guides.</w:t>
            </w:r>
          </w:p>
        </w:tc>
        <w:tc>
          <w:tcPr>
            <w:tcW w:type="dxa" w:w="1701"/>
          </w:tcPr>
          <w:p>
            <w:pPr>
              <w:jc w:val="center"/>
            </w:pPr>
            <w:r/>
            <w:r>
              <w:rPr>
                <w:rFonts w:ascii="Cambria" w:hAnsi="Cambria" w:eastAsia="Cambria" w:cs="Cambria"/>
                <w:b w:val="0"/>
                <w:i w:val="0"/>
                <w:sz w:val="14"/>
              </w:rPr>
              <w:t>Capacity for ~25 PhD scholars.</w:t>
            </w:r>
          </w:p>
        </w:tc>
        <w:tc>
          <w:tcPr>
            <w:tcW w:type="dxa" w:w="2154"/>
          </w:tcPr>
          <w:p>
            <w:pPr>
              <w:jc w:val="center"/>
            </w:pPr>
            <w:r/>
            <w:r>
              <w:rPr>
                <w:rFonts w:ascii="Cambria" w:hAnsi="Cambria" w:eastAsia="Cambria" w:cs="Cambria"/>
                <w:b w:val="0"/>
                <w:i w:val="0"/>
                <w:sz w:val="14"/>
              </w:rPr>
              <w:t>~12 publications (Scopus/WoS), 2 patents, ~5–6 theses.</w:t>
            </w:r>
          </w:p>
        </w:tc>
        <w:tc>
          <w:tcPr>
            <w:tcW w:type="dxa" w:w="1928"/>
          </w:tcPr>
          <w:p>
            <w:pPr>
              <w:jc w:val="center"/>
            </w:pPr>
            <w:r/>
            <w:r>
              <w:rPr>
                <w:rFonts w:ascii="Cambria" w:hAnsi="Cambria" w:eastAsia="Cambria" w:cs="Cambria"/>
                <w:b w:val="0"/>
                <w:i w:val="0"/>
                <w:sz w:val="14"/>
              </w:rPr>
              <w:t>1 departmental research center approved; department begins visibility as a research-active unit.</w:t>
            </w:r>
          </w:p>
        </w:tc>
      </w:tr>
      <w:tr>
        <w:tc>
          <w:tcPr>
            <w:tcW w:type="dxa" w:w="1304"/>
            <w:shd w:val="clear" w:color="auto" w:fill="D9D9D9"/>
          </w:tcPr>
          <w:p>
            <w:pPr>
              <w:jc w:val="center"/>
            </w:pPr>
            <w:r/>
            <w:r>
              <w:rPr>
                <w:rFonts w:ascii="Cambria" w:hAnsi="Cambria" w:eastAsia="Cambria" w:cs="Cambria"/>
                <w:b w:val="0"/>
                <w:i w:val="0"/>
                <w:sz w:val="14"/>
              </w:rPr>
              <w:t>Year 2 (Expansion)</w:t>
            </w:r>
          </w:p>
        </w:tc>
        <w:tc>
          <w:tcPr>
            <w:tcW w:type="dxa" w:w="1701"/>
            <w:shd w:val="clear" w:color="auto" w:fill="D9D9D9"/>
          </w:tcPr>
          <w:p>
            <w:pPr>
              <w:jc w:val="left"/>
            </w:pPr>
            <w:r/>
            <w:r>
              <w:rPr>
                <w:rFonts w:ascii="Cambria" w:hAnsi="Cambria" w:eastAsia="Cambria" w:cs="Cambria"/>
                <w:b w:val="0"/>
                <w:i w:val="0"/>
                <w:sz w:val="14"/>
              </w:rPr>
              <w:t>9 faculty recognized as Research Guides.</w:t>
            </w:r>
          </w:p>
        </w:tc>
        <w:tc>
          <w:tcPr>
            <w:tcW w:type="dxa" w:w="1701"/>
            <w:shd w:val="clear" w:color="auto" w:fill="D9D9D9"/>
          </w:tcPr>
          <w:p>
            <w:pPr>
              <w:jc w:val="center"/>
            </w:pPr>
            <w:r/>
            <w:r>
              <w:rPr>
                <w:rFonts w:ascii="Cambria" w:hAnsi="Cambria" w:eastAsia="Cambria" w:cs="Cambria"/>
                <w:b w:val="0"/>
                <w:i w:val="0"/>
                <w:sz w:val="14"/>
              </w:rPr>
              <w:t>Capacity for ~45 PhD scholars.</w:t>
            </w:r>
          </w:p>
        </w:tc>
        <w:tc>
          <w:tcPr>
            <w:tcW w:type="dxa" w:w="2154"/>
            <w:shd w:val="clear" w:color="auto" w:fill="D9D9D9"/>
          </w:tcPr>
          <w:p>
            <w:pPr>
              <w:jc w:val="center"/>
            </w:pPr>
            <w:r/>
            <w:r>
              <w:rPr>
                <w:rFonts w:ascii="Cambria" w:hAnsi="Cambria" w:eastAsia="Cambria" w:cs="Cambria"/>
                <w:b w:val="0"/>
                <w:i w:val="0"/>
                <w:sz w:val="14"/>
              </w:rPr>
              <w:t>~25 publications, 5 patents, ~10–12 theses, consultancy projects initiated.</w:t>
            </w:r>
          </w:p>
        </w:tc>
        <w:tc>
          <w:tcPr>
            <w:tcW w:type="dxa" w:w="1928"/>
            <w:shd w:val="clear" w:color="auto" w:fill="D9D9D9"/>
          </w:tcPr>
          <w:p>
            <w:pPr>
              <w:jc w:val="center"/>
            </w:pPr>
            <w:r/>
            <w:r>
              <w:rPr>
                <w:rFonts w:ascii="Cambria" w:hAnsi="Cambria" w:eastAsia="Cambria" w:cs="Cambria"/>
                <w:b w:val="0"/>
                <w:i w:val="0"/>
                <w:sz w:val="14"/>
              </w:rPr>
              <w:t>3 recognized research centers (including interdisciplinary areas); stronger liaison with UGC/University.</w:t>
            </w:r>
          </w:p>
        </w:tc>
      </w:tr>
      <w:tr>
        <w:tc>
          <w:tcPr>
            <w:tcW w:type="dxa" w:w="1304"/>
          </w:tcPr>
          <w:p>
            <w:pPr>
              <w:jc w:val="center"/>
            </w:pPr>
            <w:r/>
            <w:r>
              <w:rPr>
                <w:rFonts w:ascii="Cambria" w:hAnsi="Cambria" w:eastAsia="Cambria" w:cs="Cambria"/>
                <w:b w:val="0"/>
                <w:i w:val="0"/>
                <w:sz w:val="14"/>
              </w:rPr>
              <w:t>Year 3 (Integration &amp; Impact)</w:t>
            </w:r>
          </w:p>
        </w:tc>
        <w:tc>
          <w:tcPr>
            <w:tcW w:type="dxa" w:w="1701"/>
          </w:tcPr>
          <w:p>
            <w:pPr>
              <w:jc w:val="left"/>
            </w:pPr>
            <w:r/>
            <w:r>
              <w:rPr>
                <w:rFonts w:ascii="Cambria" w:hAnsi="Cambria" w:eastAsia="Cambria" w:cs="Cambria"/>
                <w:b w:val="0"/>
                <w:i w:val="0"/>
                <w:sz w:val="14"/>
              </w:rPr>
              <w:t>12 faculty recognized as Research Guides.</w:t>
            </w:r>
          </w:p>
        </w:tc>
        <w:tc>
          <w:tcPr>
            <w:tcW w:type="dxa" w:w="1701"/>
          </w:tcPr>
          <w:p>
            <w:pPr>
              <w:jc w:val="center"/>
            </w:pPr>
            <w:r/>
            <w:r>
              <w:rPr>
                <w:rFonts w:ascii="Cambria" w:hAnsi="Cambria" w:eastAsia="Cambria" w:cs="Cambria"/>
                <w:b w:val="0"/>
                <w:i w:val="0"/>
                <w:sz w:val="14"/>
              </w:rPr>
              <w:t>Capacity for ~60 PhD scholars.</w:t>
            </w:r>
          </w:p>
        </w:tc>
        <w:tc>
          <w:tcPr>
            <w:tcW w:type="dxa" w:w="2154"/>
          </w:tcPr>
          <w:p>
            <w:pPr>
              <w:jc w:val="center"/>
            </w:pPr>
            <w:r/>
            <w:r>
              <w:rPr>
                <w:rFonts w:ascii="Cambria" w:hAnsi="Cambria" w:eastAsia="Cambria" w:cs="Cambria"/>
                <w:b w:val="0"/>
                <w:i w:val="0"/>
                <w:sz w:val="14"/>
              </w:rPr>
              <w:t>~40 publications, 8 patents, ~15–20 theses, consultancy revenue ↑30% YoY.</w:t>
            </w:r>
          </w:p>
        </w:tc>
        <w:tc>
          <w:tcPr>
            <w:tcW w:type="dxa" w:w="1928"/>
          </w:tcPr>
          <w:p>
            <w:pPr>
              <w:jc w:val="center"/>
            </w:pPr>
            <w:r/>
            <w:r>
              <w:rPr>
                <w:rFonts w:ascii="Cambria" w:hAnsi="Cambria" w:eastAsia="Cambria" w:cs="Cambria"/>
                <w:b w:val="0"/>
                <w:i w:val="0"/>
                <w:sz w:val="14"/>
              </w:rPr>
              <w:t>Department acknowledged as a recognized research hub; 5 approved centers, active industry/university collaborations, higher NAAC/NBA scores.</w:t>
            </w:r>
          </w:p>
        </w:tc>
      </w:tr>
    </w:tbl>
    <w:p>
      <w:pPr>
        <w:spacing w:before="200" w:after="160"/>
      </w:pPr>
      <w:r>
        <w:rPr>
          <w:rFonts w:ascii="Cambria" w:hAnsi="Cambria" w:eastAsia="Cambria" w:cs="Cambria"/>
          <w:b/>
          <w:i w:val="0"/>
          <w:color w:val="1F3A5F"/>
          <w:sz w:val="26"/>
        </w:rPr>
        <w:t>Traceability Flow</w:t>
      </w:r>
    </w:p>
    <w:tbl>
      <w:tblPr>
        <w:tblW w:type="auto" w:w="0"/>
        <w:jc w:val="center"/>
        <w:tblLayout w:type="fixed"/>
        <w:tblLook w:firstColumn="1" w:firstRow="1" w:lastColumn="0" w:lastRow="0" w:noHBand="0" w:noVBand="1" w:val="04A0"/>
        <w:tblLayout w:type="fixed"/>
      </w:tblPr>
      <w:tblGrid>
        <w:gridCol w:w="1587"/>
        <w:gridCol w:w="3118"/>
        <w:gridCol w:w="2268"/>
        <w:gridCol w:w="3231"/>
      </w:tblGrid>
      <w:tr>
        <w:tc>
          <w:tcPr>
            <w:tcW w:type="dxa" w:w="1587"/>
            <w:shd w:val="clear" w:color="auto" w:fill="1F3A5F"/>
          </w:tcPr>
          <w:p>
            <w:pPr>
              <w:jc w:val="center"/>
            </w:pPr>
            <w:r/>
            <w:r>
              <w:rPr>
                <w:rFonts w:ascii="Cambria" w:hAnsi="Cambria" w:eastAsia="Cambria" w:cs="Cambria"/>
                <w:b/>
                <w:i w:val="0"/>
                <w:color w:val="FFFFFF"/>
                <w:sz w:val="16"/>
              </w:rPr>
              <w:t>Stage</w:t>
            </w:r>
          </w:p>
        </w:tc>
        <w:tc>
          <w:tcPr>
            <w:tcW w:type="dxa" w:w="3118"/>
            <w:shd w:val="clear" w:color="auto" w:fill="1F3A5F"/>
          </w:tcPr>
          <w:p>
            <w:pPr>
              <w:jc w:val="center"/>
            </w:pPr>
            <w:r/>
            <w:r>
              <w:rPr>
                <w:rFonts w:ascii="Cambria" w:hAnsi="Cambria" w:eastAsia="Cambria" w:cs="Cambria"/>
                <w:b/>
                <w:i w:val="0"/>
                <w:color w:val="FFFFFF"/>
                <w:sz w:val="16"/>
              </w:rPr>
              <w:t>Policy/Action by HoD</w:t>
            </w:r>
          </w:p>
        </w:tc>
        <w:tc>
          <w:tcPr>
            <w:tcW w:type="dxa" w:w="2268"/>
            <w:shd w:val="clear" w:color="auto" w:fill="1F3A5F"/>
          </w:tcPr>
          <w:p>
            <w:pPr>
              <w:jc w:val="center"/>
            </w:pPr>
            <w:r/>
            <w:r>
              <w:rPr>
                <w:rFonts w:ascii="Cambria" w:hAnsi="Cambria" w:eastAsia="Cambria" w:cs="Cambria"/>
                <w:b/>
                <w:i w:val="0"/>
                <w:color w:val="FFFFFF"/>
                <w:sz w:val="16"/>
              </w:rPr>
              <w:t>Evidence/Documents</w:t>
            </w:r>
          </w:p>
        </w:tc>
        <w:tc>
          <w:tcPr>
            <w:tcW w:type="dxa" w:w="3231"/>
            <w:shd w:val="clear" w:color="auto" w:fill="1F3A5F"/>
          </w:tcPr>
          <w:p>
            <w:pPr>
              <w:jc w:val="center"/>
            </w:pPr>
            <w:r/>
            <w:r>
              <w:rPr>
                <w:rFonts w:ascii="Cambria" w:hAnsi="Cambria" w:eastAsia="Cambria" w:cs="Cambria"/>
                <w:b/>
                <w:i w:val="0"/>
                <w:color w:val="FFFFFF"/>
                <w:sz w:val="16"/>
              </w:rPr>
              <w:t>Outcome (Measurable &amp; Qualitative)</w:t>
            </w:r>
          </w:p>
        </w:tc>
      </w:tr>
      <w:tr>
        <w:tc>
          <w:tcPr>
            <w:tcW w:type="dxa" w:w="1587"/>
          </w:tcPr>
          <w:p>
            <w:pPr>
              <w:jc w:val="center"/>
            </w:pPr>
            <w:r/>
            <w:r>
              <w:rPr>
                <w:rFonts w:ascii="Cambria" w:hAnsi="Cambria" w:eastAsia="Cambria" w:cs="Cambria"/>
                <w:b w:val="0"/>
                <w:i w:val="0"/>
                <w:sz w:val="15"/>
              </w:rPr>
              <w:t>Guide Recognition</w:t>
            </w:r>
          </w:p>
        </w:tc>
        <w:tc>
          <w:tcPr>
            <w:tcW w:type="dxa" w:w="3118"/>
          </w:tcPr>
          <w:p>
            <w:pPr>
              <w:jc w:val="left"/>
            </w:pPr>
            <w:r/>
            <w:r>
              <w:rPr>
                <w:rFonts w:ascii="Cambria" w:hAnsi="Cambria" w:eastAsia="Cambria" w:cs="Cambria"/>
                <w:b w:val="0"/>
                <w:i w:val="0"/>
                <w:sz w:val="15"/>
              </w:rPr>
              <w:t>Identify and nominate eligible faculty as Research Guides under UGC/University norms.</w:t>
            </w:r>
          </w:p>
        </w:tc>
        <w:tc>
          <w:tcPr>
            <w:tcW w:type="dxa" w:w="2268"/>
          </w:tcPr>
          <w:p>
            <w:pPr>
              <w:jc w:val="center"/>
            </w:pPr>
            <w:r/>
            <w:r>
              <w:rPr>
                <w:rFonts w:ascii="Cambria" w:hAnsi="Cambria" w:eastAsia="Cambria" w:cs="Cambria"/>
                <w:b w:val="0"/>
                <w:i w:val="0"/>
                <w:sz w:val="15"/>
              </w:rPr>
              <w:t>Nomination dossiers, approval letters.</w:t>
            </w:r>
          </w:p>
        </w:tc>
        <w:tc>
          <w:tcPr>
            <w:tcW w:type="dxa" w:w="3231"/>
          </w:tcPr>
          <w:p>
            <w:pPr>
              <w:jc w:val="center"/>
            </w:pPr>
            <w:r/>
            <w:r>
              <w:rPr>
                <w:rFonts w:ascii="Cambria" w:hAnsi="Cambria" w:eastAsia="Cambria" w:cs="Cambria"/>
                <w:b w:val="0"/>
                <w:i w:val="0"/>
                <w:sz w:val="15"/>
              </w:rPr>
              <w:t>Faculty guides ↑ from 5 → 12 in 3 years.</w:t>
            </w:r>
          </w:p>
        </w:tc>
      </w:tr>
      <w:tr>
        <w:tc>
          <w:tcPr>
            <w:tcW w:type="dxa" w:w="1587"/>
            <w:shd w:val="clear" w:color="auto" w:fill="D9D9D9"/>
          </w:tcPr>
          <w:p>
            <w:pPr>
              <w:jc w:val="center"/>
            </w:pPr>
            <w:r/>
            <w:r>
              <w:rPr>
                <w:rFonts w:ascii="Cambria" w:hAnsi="Cambria" w:eastAsia="Cambria" w:cs="Cambria"/>
                <w:b w:val="0"/>
                <w:i w:val="0"/>
                <w:sz w:val="15"/>
              </w:rPr>
              <w:t>Scholar Admissions</w:t>
            </w:r>
          </w:p>
        </w:tc>
        <w:tc>
          <w:tcPr>
            <w:tcW w:type="dxa" w:w="3118"/>
            <w:shd w:val="clear" w:color="auto" w:fill="D9D9D9"/>
          </w:tcPr>
          <w:p>
            <w:pPr>
              <w:jc w:val="left"/>
            </w:pPr>
            <w:r/>
            <w:r>
              <w:rPr>
                <w:rFonts w:ascii="Cambria" w:hAnsi="Cambria" w:eastAsia="Cambria" w:cs="Cambria"/>
                <w:b w:val="0"/>
                <w:i w:val="0"/>
                <w:sz w:val="15"/>
              </w:rPr>
              <w:t>Allocate recognized guides to supervise PhD scholars; expand intake aligned to supervision norms.</w:t>
            </w:r>
          </w:p>
        </w:tc>
        <w:tc>
          <w:tcPr>
            <w:tcW w:type="dxa" w:w="2268"/>
            <w:shd w:val="clear" w:color="auto" w:fill="D9D9D9"/>
          </w:tcPr>
          <w:p>
            <w:pPr>
              <w:jc w:val="center"/>
            </w:pPr>
            <w:r/>
            <w:r>
              <w:rPr>
                <w:rFonts w:ascii="Cambria" w:hAnsi="Cambria" w:eastAsia="Cambria" w:cs="Cambria"/>
                <w:b w:val="0"/>
                <w:i w:val="0"/>
                <w:sz w:val="15"/>
              </w:rPr>
              <w:t>Admission records, allocation lists.</w:t>
            </w:r>
          </w:p>
        </w:tc>
        <w:tc>
          <w:tcPr>
            <w:tcW w:type="dxa" w:w="3231"/>
            <w:shd w:val="clear" w:color="auto" w:fill="D9D9D9"/>
          </w:tcPr>
          <w:p>
            <w:pPr>
              <w:jc w:val="center"/>
            </w:pPr>
            <w:r/>
            <w:r>
              <w:rPr>
                <w:rFonts w:ascii="Cambria" w:hAnsi="Cambria" w:eastAsia="Cambria" w:cs="Cambria"/>
                <w:b w:val="0"/>
                <w:i w:val="0"/>
                <w:sz w:val="15"/>
              </w:rPr>
              <w:t>PhD capacity ↑ from 25 → 60 scholars.</w:t>
            </w:r>
          </w:p>
        </w:tc>
      </w:tr>
      <w:tr>
        <w:tc>
          <w:tcPr>
            <w:tcW w:type="dxa" w:w="1587"/>
          </w:tcPr>
          <w:p>
            <w:pPr>
              <w:jc w:val="center"/>
            </w:pPr>
            <w:r/>
            <w:r>
              <w:rPr>
                <w:rFonts w:ascii="Cambria" w:hAnsi="Cambria" w:eastAsia="Cambria" w:cs="Cambria"/>
                <w:b w:val="0"/>
                <w:i w:val="0"/>
                <w:sz w:val="15"/>
              </w:rPr>
              <w:t>Research Outputs</w:t>
            </w:r>
          </w:p>
        </w:tc>
        <w:tc>
          <w:tcPr>
            <w:tcW w:type="dxa" w:w="3118"/>
          </w:tcPr>
          <w:p>
            <w:pPr>
              <w:jc w:val="left"/>
            </w:pPr>
            <w:r/>
            <w:r>
              <w:rPr>
                <w:rFonts w:ascii="Cambria" w:hAnsi="Cambria" w:eastAsia="Cambria" w:cs="Cambria"/>
                <w:b w:val="0"/>
                <w:i w:val="0"/>
                <w:sz w:val="15"/>
              </w:rPr>
              <w:t>Monitor guide–scholar work via R&amp;D meetings; align projects with thrust areas.</w:t>
            </w:r>
          </w:p>
        </w:tc>
        <w:tc>
          <w:tcPr>
            <w:tcW w:type="dxa" w:w="2268"/>
          </w:tcPr>
          <w:p>
            <w:pPr>
              <w:jc w:val="center"/>
            </w:pPr>
            <w:r/>
            <w:r>
              <w:rPr>
                <w:rFonts w:ascii="Cambria" w:hAnsi="Cambria" w:eastAsia="Cambria" w:cs="Cambria"/>
                <w:b w:val="0"/>
                <w:i w:val="0"/>
                <w:sz w:val="15"/>
              </w:rPr>
              <w:t>Theses, publications, patents, consultancy agreements.</w:t>
            </w:r>
          </w:p>
        </w:tc>
        <w:tc>
          <w:tcPr>
            <w:tcW w:type="dxa" w:w="3231"/>
          </w:tcPr>
          <w:p>
            <w:pPr>
              <w:jc w:val="center"/>
            </w:pPr>
            <w:r/>
            <w:r>
              <w:rPr>
                <w:rFonts w:ascii="Cambria" w:hAnsi="Cambria" w:eastAsia="Cambria" w:cs="Cambria"/>
                <w:b w:val="0"/>
                <w:i w:val="0"/>
                <w:sz w:val="15"/>
              </w:rPr>
              <w:t>Outputs ↑: Theses (5 → 20), Publications (12 → 40), Patents (2 → 8), Consultancy revenue ↑30% YoY.</w:t>
            </w:r>
          </w:p>
        </w:tc>
      </w:tr>
      <w:tr>
        <w:tc>
          <w:tcPr>
            <w:tcW w:type="dxa" w:w="1587"/>
            <w:shd w:val="clear" w:color="auto" w:fill="D9D9D9"/>
          </w:tcPr>
          <w:p>
            <w:pPr>
              <w:jc w:val="center"/>
            </w:pPr>
            <w:r/>
            <w:r>
              <w:rPr>
                <w:rFonts w:ascii="Cambria" w:hAnsi="Cambria" w:eastAsia="Cambria" w:cs="Cambria"/>
                <w:b w:val="0"/>
                <w:i w:val="0"/>
                <w:sz w:val="15"/>
              </w:rPr>
              <w:t>Institutional Impact</w:t>
            </w:r>
          </w:p>
        </w:tc>
        <w:tc>
          <w:tcPr>
            <w:tcW w:type="dxa" w:w="3118"/>
            <w:shd w:val="clear" w:color="auto" w:fill="D9D9D9"/>
          </w:tcPr>
          <w:p>
            <w:pPr>
              <w:jc w:val="left"/>
            </w:pPr>
            <w:r/>
            <w:r>
              <w:rPr>
                <w:rFonts w:ascii="Cambria" w:hAnsi="Cambria" w:eastAsia="Cambria" w:cs="Cambria"/>
                <w:b w:val="0"/>
                <w:i w:val="0"/>
                <w:sz w:val="15"/>
              </w:rPr>
              <w:t>Showcase research achievements; submit IQAC/SSR reports; strengthen collaborations.</w:t>
            </w:r>
          </w:p>
        </w:tc>
        <w:tc>
          <w:tcPr>
            <w:tcW w:type="dxa" w:w="2268"/>
            <w:shd w:val="clear" w:color="auto" w:fill="D9D9D9"/>
          </w:tcPr>
          <w:p>
            <w:pPr>
              <w:jc w:val="center"/>
            </w:pPr>
            <w:r/>
            <w:r>
              <w:rPr>
                <w:rFonts w:ascii="Cambria" w:hAnsi="Cambria" w:eastAsia="Cambria" w:cs="Cambria"/>
                <w:b w:val="0"/>
                <w:i w:val="0"/>
                <w:sz w:val="15"/>
              </w:rPr>
              <w:t>Annual R&amp;D reports, NAAC/NBA annexures.</w:t>
            </w:r>
          </w:p>
        </w:tc>
        <w:tc>
          <w:tcPr>
            <w:tcW w:type="dxa" w:w="3231"/>
            <w:shd w:val="clear" w:color="auto" w:fill="D9D9D9"/>
          </w:tcPr>
          <w:p>
            <w:pPr>
              <w:jc w:val="center"/>
            </w:pPr>
            <w:r/>
            <w:r>
              <w:rPr>
                <w:rFonts w:ascii="Cambria" w:hAnsi="Cambria" w:eastAsia="Cambria" w:cs="Cambria"/>
                <w:b w:val="0"/>
                <w:i w:val="0"/>
                <w:sz w:val="15"/>
              </w:rPr>
              <w:t>Department recognized as a research hub, improved accreditation, funded projects &amp; global linkages.</w:t>
            </w:r>
          </w:p>
        </w:tc>
      </w:tr>
    </w:tbl>
    <w:p>
      <w:pPr>
        <w:spacing w:line="276" w:lineRule="auto" w:after="120"/>
        <w:jc w:val="both"/>
      </w:pPr>
      <w:r>
        <w:rPr>
          <w:rFonts w:ascii="Cambria" w:hAnsi="Cambria" w:eastAsia="Cambria" w:cs="Cambria"/>
          <w:b/>
          <w:i w:val="0"/>
          <w:sz w:val="22"/>
        </w:rPr>
        <w:t>How Capacity Expansion Transforms the Department</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Guide Recognition → Increased Capacity</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Faculty Research Guides ↑ from 5 → 12, directly increasing supervision slots from ~25 → ~60 scholars.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More guides mean the department can admit more PhD scholars without breaching UGC/University norms.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Higher Research Outputs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More scholars = more theses, publications, patents, and consultancy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Output growth is documented and measurable (Publications: 12 → 40; Patents: 2 → 8).</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Interdisciplinary &amp; Funded Projects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Expanded guide pool allows cross-disciplinary supervision.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Strengthens eligibility for national/international funded projects.</w:t>
      </w:r>
    </w:p>
    <w:p>
      <w:pPr>
        <w:spacing w:line="276" w:lineRule="auto" w:after="80"/>
        <w:ind w:left="357" w:hanging="357"/>
      </w:pPr>
      <w:r>
        <w:rPr>
          <w:rFonts w:ascii="Cambria" w:hAnsi="Cambria" w:eastAsia="Cambria" w:cs="Cambria"/>
          <w:b w:val="0"/>
          <w:i w:val="0"/>
          <w:sz w:val="22"/>
        </w:rPr>
        <w:t xml:space="preserve">• </w:t>
      </w:r>
      <w:r>
        <w:rPr>
          <w:rFonts w:ascii="Cambria" w:hAnsi="Cambria" w:eastAsia="Cambria" w:cs="Cambria"/>
          <w:b w:val="0"/>
          <w:i w:val="0"/>
          <w:sz w:val="22"/>
        </w:rPr>
        <w:t>Institutional Recognition</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Recognized as a research hub by UGC/University through approved research centers.</w:t>
      </w:r>
    </w:p>
    <w:p>
      <w:pPr>
        <w:spacing w:line="276" w:lineRule="auto" w:after="80"/>
        <w:ind w:left="714" w:hanging="357"/>
      </w:pPr>
      <w:r>
        <w:rPr>
          <w:rFonts w:ascii="Cambria" w:hAnsi="Cambria" w:eastAsia="Cambria" w:cs="Cambria"/>
          <w:b w:val="0"/>
          <w:i w:val="0"/>
          <w:sz w:val="22"/>
        </w:rPr>
        <w:t xml:space="preserve">o </w:t>
      </w:r>
      <w:r>
        <w:rPr>
          <w:rFonts w:ascii="Cambria" w:hAnsi="Cambria" w:eastAsia="Cambria" w:cs="Cambria"/>
          <w:b w:val="0"/>
          <w:i w:val="0"/>
          <w:sz w:val="22"/>
        </w:rPr>
        <w:t>Attracts collaborations with industry, CSIR labs, and international universities.</w:t>
      </w:r>
    </w:p>
    <w:p>
      <w:pPr>
        <w:spacing w:before="200" w:after="160"/>
      </w:pPr>
      <w:r>
        <w:rPr>
          <w:rFonts w:ascii="Cambria" w:hAnsi="Cambria" w:eastAsia="Cambria" w:cs="Cambria"/>
          <w:b/>
          <w:i w:val="0"/>
          <w:color w:val="1F3A5F"/>
          <w:sz w:val="26"/>
        </w:rPr>
        <w:t>Capacity &amp; Recognition Growth</w:t>
      </w:r>
    </w:p>
    <w:tbl>
      <w:tblPr>
        <w:tblW w:type="auto" w:w="0"/>
        <w:jc w:val="center"/>
        <w:tblLayout w:type="fixed"/>
        <w:tblLook w:firstColumn="1" w:firstRow="1" w:lastColumn="0" w:lastRow="0" w:noHBand="0" w:noVBand="1" w:val="04A0"/>
        <w:tblLayout w:type="fixed"/>
      </w:tblPr>
      <w:tblGrid>
        <w:gridCol w:w="2721"/>
        <w:gridCol w:w="2835"/>
        <w:gridCol w:w="2835"/>
      </w:tblGrid>
      <w:tr>
        <w:tc>
          <w:tcPr>
            <w:tcW w:type="dxa" w:w="2721"/>
            <w:shd w:val="clear" w:color="auto" w:fill="1F3A5F"/>
          </w:tcPr>
          <w:p>
            <w:pPr>
              <w:jc w:val="center"/>
            </w:pPr>
            <w:r/>
            <w:r>
              <w:rPr>
                <w:rFonts w:ascii="Cambria" w:hAnsi="Cambria" w:eastAsia="Cambria" w:cs="Cambria"/>
                <w:b/>
                <w:i w:val="0"/>
                <w:color w:val="FFFFFF"/>
                <w:sz w:val="18"/>
              </w:rPr>
              <w:t>Dimension</w:t>
            </w:r>
          </w:p>
        </w:tc>
        <w:tc>
          <w:tcPr>
            <w:tcW w:type="dxa" w:w="2835"/>
            <w:shd w:val="clear" w:color="auto" w:fill="1F3A5F"/>
          </w:tcPr>
          <w:p>
            <w:pPr>
              <w:jc w:val="center"/>
            </w:pPr>
            <w:r/>
            <w:r>
              <w:rPr>
                <w:rFonts w:ascii="Cambria" w:hAnsi="Cambria" w:eastAsia="Cambria" w:cs="Cambria"/>
                <w:b/>
                <w:i w:val="0"/>
                <w:color w:val="FFFFFF"/>
                <w:sz w:val="18"/>
              </w:rPr>
              <w:t>Before Expansion (5 Guides)</w:t>
            </w:r>
          </w:p>
        </w:tc>
        <w:tc>
          <w:tcPr>
            <w:tcW w:type="dxa" w:w="2835"/>
            <w:shd w:val="clear" w:color="auto" w:fill="1F3A5F"/>
          </w:tcPr>
          <w:p>
            <w:pPr>
              <w:jc w:val="center"/>
            </w:pPr>
            <w:r/>
            <w:r>
              <w:rPr>
                <w:rFonts w:ascii="Cambria" w:hAnsi="Cambria" w:eastAsia="Cambria" w:cs="Cambria"/>
                <w:b/>
                <w:i w:val="0"/>
                <w:color w:val="FFFFFF"/>
                <w:sz w:val="18"/>
              </w:rPr>
              <w:t>After Expansion (12 Guides)</w:t>
            </w:r>
          </w:p>
        </w:tc>
      </w:tr>
      <w:tr>
        <w:tc>
          <w:tcPr>
            <w:tcW w:type="dxa" w:w="2721"/>
          </w:tcPr>
          <w:p>
            <w:pPr>
              <w:jc w:val="center"/>
            </w:pPr>
            <w:r/>
            <w:r>
              <w:rPr>
                <w:rFonts w:ascii="Cambria" w:hAnsi="Cambria" w:eastAsia="Cambria" w:cs="Cambria"/>
                <w:b w:val="0"/>
                <w:i w:val="0"/>
                <w:sz w:val="17"/>
              </w:rPr>
              <w:t>PhD Supervision Capacity</w:t>
            </w:r>
          </w:p>
        </w:tc>
        <w:tc>
          <w:tcPr>
            <w:tcW w:type="dxa" w:w="2835"/>
          </w:tcPr>
          <w:p>
            <w:pPr>
              <w:jc w:val="left"/>
            </w:pPr>
            <w:r/>
            <w:r>
              <w:rPr>
                <w:rFonts w:ascii="Cambria" w:hAnsi="Cambria" w:eastAsia="Cambria" w:cs="Cambria"/>
                <w:b w:val="0"/>
                <w:i w:val="0"/>
                <w:sz w:val="17"/>
              </w:rPr>
              <w:t>~25 scholars</w:t>
            </w:r>
          </w:p>
        </w:tc>
        <w:tc>
          <w:tcPr>
            <w:tcW w:type="dxa" w:w="2835"/>
          </w:tcPr>
          <w:p>
            <w:pPr>
              <w:jc w:val="center"/>
            </w:pPr>
            <w:r/>
            <w:r>
              <w:rPr>
                <w:rFonts w:ascii="Cambria" w:hAnsi="Cambria" w:eastAsia="Cambria" w:cs="Cambria"/>
                <w:b w:val="0"/>
                <w:i w:val="0"/>
                <w:sz w:val="17"/>
              </w:rPr>
              <w:t>~60 scholars</w:t>
            </w:r>
          </w:p>
        </w:tc>
      </w:tr>
      <w:tr>
        <w:tc>
          <w:tcPr>
            <w:tcW w:type="dxa" w:w="2721"/>
            <w:shd w:val="clear" w:color="auto" w:fill="D9D9D9"/>
          </w:tcPr>
          <w:p>
            <w:pPr>
              <w:jc w:val="center"/>
            </w:pPr>
            <w:r/>
            <w:r>
              <w:rPr>
                <w:rFonts w:ascii="Cambria" w:hAnsi="Cambria" w:eastAsia="Cambria" w:cs="Cambria"/>
                <w:b w:val="0"/>
                <w:i w:val="0"/>
                <w:sz w:val="17"/>
              </w:rPr>
              <w:t>Research Centers Recognized</w:t>
            </w:r>
          </w:p>
        </w:tc>
        <w:tc>
          <w:tcPr>
            <w:tcW w:type="dxa" w:w="2835"/>
            <w:shd w:val="clear" w:color="auto" w:fill="D9D9D9"/>
          </w:tcPr>
          <w:p>
            <w:pPr>
              <w:jc w:val="left"/>
            </w:pPr>
            <w:r/>
            <w:r>
              <w:rPr>
                <w:rFonts w:ascii="Cambria" w:hAnsi="Cambria" w:eastAsia="Cambria" w:cs="Cambria"/>
                <w:b w:val="0"/>
                <w:i w:val="0"/>
                <w:sz w:val="17"/>
              </w:rPr>
              <w:t>1</w:t>
            </w:r>
          </w:p>
        </w:tc>
        <w:tc>
          <w:tcPr>
            <w:tcW w:type="dxa" w:w="2835"/>
            <w:shd w:val="clear" w:color="auto" w:fill="D9D9D9"/>
          </w:tcPr>
          <w:p>
            <w:pPr>
              <w:jc w:val="center"/>
            </w:pPr>
            <w:r/>
            <w:r>
              <w:rPr>
                <w:rFonts w:ascii="Cambria" w:hAnsi="Cambria" w:eastAsia="Cambria" w:cs="Cambria"/>
                <w:b w:val="0"/>
                <w:i w:val="0"/>
                <w:sz w:val="17"/>
              </w:rPr>
              <w:t>5 (including interdisciplinary)</w:t>
            </w:r>
          </w:p>
        </w:tc>
      </w:tr>
      <w:tr>
        <w:tc>
          <w:tcPr>
            <w:tcW w:type="dxa" w:w="2721"/>
          </w:tcPr>
          <w:p>
            <w:pPr>
              <w:jc w:val="center"/>
            </w:pPr>
            <w:r/>
            <w:r>
              <w:rPr>
                <w:rFonts w:ascii="Cambria" w:hAnsi="Cambria" w:eastAsia="Cambria" w:cs="Cambria"/>
                <w:b w:val="0"/>
                <w:i w:val="0"/>
                <w:sz w:val="17"/>
              </w:rPr>
              <w:t>Publications (Scopus/WoS)</w:t>
            </w:r>
          </w:p>
        </w:tc>
        <w:tc>
          <w:tcPr>
            <w:tcW w:type="dxa" w:w="2835"/>
          </w:tcPr>
          <w:p>
            <w:pPr>
              <w:jc w:val="left"/>
            </w:pPr>
            <w:r/>
            <w:r>
              <w:rPr>
                <w:rFonts w:ascii="Cambria" w:hAnsi="Cambria" w:eastAsia="Cambria" w:cs="Cambria"/>
                <w:b w:val="0"/>
                <w:i w:val="0"/>
                <w:sz w:val="17"/>
              </w:rPr>
              <w:t>~12 per year</w:t>
            </w:r>
          </w:p>
        </w:tc>
        <w:tc>
          <w:tcPr>
            <w:tcW w:type="dxa" w:w="2835"/>
          </w:tcPr>
          <w:p>
            <w:pPr>
              <w:jc w:val="center"/>
            </w:pPr>
            <w:r/>
            <w:r>
              <w:rPr>
                <w:rFonts w:ascii="Cambria" w:hAnsi="Cambria" w:eastAsia="Cambria" w:cs="Cambria"/>
                <w:b w:val="0"/>
                <w:i w:val="0"/>
                <w:sz w:val="17"/>
              </w:rPr>
              <w:t>~40 per year</w:t>
            </w:r>
          </w:p>
        </w:tc>
      </w:tr>
      <w:tr>
        <w:tc>
          <w:tcPr>
            <w:tcW w:type="dxa" w:w="2721"/>
            <w:shd w:val="clear" w:color="auto" w:fill="D9D9D9"/>
          </w:tcPr>
          <w:p>
            <w:pPr>
              <w:jc w:val="center"/>
            </w:pPr>
            <w:r/>
            <w:r>
              <w:rPr>
                <w:rFonts w:ascii="Cambria" w:hAnsi="Cambria" w:eastAsia="Cambria" w:cs="Cambria"/>
                <w:b w:val="0"/>
                <w:i w:val="0"/>
                <w:sz w:val="17"/>
              </w:rPr>
              <w:t>Patents Filed</w:t>
            </w:r>
          </w:p>
        </w:tc>
        <w:tc>
          <w:tcPr>
            <w:tcW w:type="dxa" w:w="2835"/>
            <w:shd w:val="clear" w:color="auto" w:fill="D9D9D9"/>
          </w:tcPr>
          <w:p>
            <w:pPr>
              <w:jc w:val="left"/>
            </w:pPr>
            <w:r/>
            <w:r>
              <w:rPr>
                <w:rFonts w:ascii="Cambria" w:hAnsi="Cambria" w:eastAsia="Cambria" w:cs="Cambria"/>
                <w:b w:val="0"/>
                <w:i w:val="0"/>
                <w:sz w:val="17"/>
              </w:rPr>
              <w:t>1–2</w:t>
            </w:r>
          </w:p>
        </w:tc>
        <w:tc>
          <w:tcPr>
            <w:tcW w:type="dxa" w:w="2835"/>
            <w:shd w:val="clear" w:color="auto" w:fill="D9D9D9"/>
          </w:tcPr>
          <w:p>
            <w:pPr>
              <w:jc w:val="center"/>
            </w:pPr>
            <w:r/>
            <w:r>
              <w:rPr>
                <w:rFonts w:ascii="Cambria" w:hAnsi="Cambria" w:eastAsia="Cambria" w:cs="Cambria"/>
                <w:b w:val="0"/>
                <w:i w:val="0"/>
                <w:sz w:val="17"/>
              </w:rPr>
              <w:t>7–8</w:t>
            </w:r>
          </w:p>
        </w:tc>
      </w:tr>
      <w:tr>
        <w:tc>
          <w:tcPr>
            <w:tcW w:type="dxa" w:w="2721"/>
          </w:tcPr>
          <w:p>
            <w:pPr>
              <w:jc w:val="center"/>
            </w:pPr>
            <w:r/>
            <w:r>
              <w:rPr>
                <w:rFonts w:ascii="Cambria" w:hAnsi="Cambria" w:eastAsia="Cambria" w:cs="Cambria"/>
                <w:b w:val="0"/>
                <w:i w:val="0"/>
                <w:sz w:val="17"/>
              </w:rPr>
              <w:t>Consultancy Projects</w:t>
            </w:r>
          </w:p>
        </w:tc>
        <w:tc>
          <w:tcPr>
            <w:tcW w:type="dxa" w:w="2835"/>
          </w:tcPr>
          <w:p>
            <w:pPr>
              <w:jc w:val="left"/>
            </w:pPr>
            <w:r/>
            <w:r>
              <w:rPr>
                <w:rFonts w:ascii="Cambria" w:hAnsi="Cambria" w:eastAsia="Cambria" w:cs="Cambria"/>
                <w:b w:val="0"/>
                <w:i w:val="0"/>
                <w:sz w:val="17"/>
              </w:rPr>
              <w:t>Minimal</w:t>
            </w:r>
          </w:p>
        </w:tc>
        <w:tc>
          <w:tcPr>
            <w:tcW w:type="dxa" w:w="2835"/>
          </w:tcPr>
          <w:p>
            <w:pPr>
              <w:jc w:val="center"/>
            </w:pPr>
            <w:r/>
            <w:r>
              <w:rPr>
                <w:rFonts w:ascii="Cambria" w:hAnsi="Cambria" w:eastAsia="Cambria" w:cs="Cambria"/>
                <w:b w:val="0"/>
                <w:i w:val="0"/>
                <w:sz w:val="17"/>
              </w:rPr>
              <w:t>4–5 annually; revenue ↑30% YoY</w:t>
            </w:r>
          </w:p>
        </w:tc>
      </w:tr>
      <w:tr>
        <w:tc>
          <w:tcPr>
            <w:tcW w:type="dxa" w:w="2721"/>
            <w:shd w:val="clear" w:color="auto" w:fill="D9D9D9"/>
          </w:tcPr>
          <w:p>
            <w:pPr>
              <w:jc w:val="center"/>
            </w:pPr>
            <w:r/>
            <w:r>
              <w:rPr>
                <w:rFonts w:ascii="Cambria" w:hAnsi="Cambria" w:eastAsia="Cambria" w:cs="Cambria"/>
                <w:b w:val="0"/>
                <w:i w:val="0"/>
                <w:sz w:val="17"/>
              </w:rPr>
              <w:t>Institutional Status</w:t>
            </w:r>
          </w:p>
        </w:tc>
        <w:tc>
          <w:tcPr>
            <w:tcW w:type="dxa" w:w="2835"/>
            <w:shd w:val="clear" w:color="auto" w:fill="D9D9D9"/>
          </w:tcPr>
          <w:p>
            <w:pPr>
              <w:jc w:val="left"/>
            </w:pPr>
            <w:r/>
            <w:r>
              <w:rPr>
                <w:rFonts w:ascii="Cambria" w:hAnsi="Cambria" w:eastAsia="Cambria" w:cs="Cambria"/>
                <w:b w:val="0"/>
                <w:i w:val="0"/>
                <w:sz w:val="17"/>
              </w:rPr>
              <w:t>Limited recognition</w:t>
            </w:r>
          </w:p>
        </w:tc>
        <w:tc>
          <w:tcPr>
            <w:tcW w:type="dxa" w:w="2835"/>
            <w:shd w:val="clear" w:color="auto" w:fill="D9D9D9"/>
          </w:tcPr>
          <w:p>
            <w:pPr>
              <w:jc w:val="center"/>
            </w:pPr>
            <w:r/>
            <w:r>
              <w:rPr>
                <w:rFonts w:ascii="Cambria" w:hAnsi="Cambria" w:eastAsia="Cambria" w:cs="Cambria"/>
                <w:b w:val="0"/>
                <w:i w:val="0"/>
                <w:sz w:val="17"/>
              </w:rPr>
              <w:t>Established as a recognized research hub</w:t>
            </w:r>
          </w:p>
        </w:tc>
      </w:tr>
    </w:tbl>
    <w:p>
      <w:r>
        <w:br w:type="page"/>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cs="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