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color w:val="FF0000"/>
          <w:sz w:val="52"/>
        </w:rPr>
        <w:t>Executive and Leadership Structure of Universities</w:t>
      </w:r>
    </w:p>
    <w:p>
      <w:pPr>
        <w:spacing w:after="600"/>
        <w:jc w:val="center"/>
      </w:pPr>
      <w:r>
        <w:rPr>
          <w:rFonts w:ascii="Cambria" w:hAnsi="Cambria"/>
          <w:b/>
          <w:sz w:val="28"/>
        </w:rPr>
        <w:t>Strategic Responsibilities in Higher Education Administration in India</w:t>
      </w:r>
    </w:p>
    <w:p>
      <w:pPr>
        <w:spacing w:before="1200"/>
        <w:jc w:val="center"/>
      </w:pPr>
      <w:r>
        <w:rPr>
          <w:rFonts w:ascii="Cambria" w:hAnsi="Cambria"/>
          <w:b/>
          <w:sz w:val="26"/>
        </w:rPr>
        <w:t>Dr Venkata Rama Krishna Tottempudi</w:t>
      </w:r>
    </w:p>
    <w:p>
      <w:pPr>
        <w:jc w:val="center"/>
      </w:pPr>
      <w:r>
        <w:rPr>
          <w:rFonts w:ascii="Cambria" w:hAnsi="Cambria"/>
          <w:b/>
          <w:sz w:val="26"/>
        </w:rPr>
        <w:t>Sai Saran Tottempudi</w:t>
      </w:r>
    </w:p>
    <w:p>
      <w:r>
        <w:br w:type="page"/>
      </w:r>
    </w:p>
    <w:p>
      <w:pPr>
        <w:keepNext/>
        <w:spacing w:before="160" w:after="120"/>
      </w:pPr>
      <w:r>
        <w:rPr>
          <w:rFonts w:ascii="Cambria" w:hAnsi="Cambria"/>
          <w:b/>
          <w:color w:val="1F3A5F"/>
          <w:sz w:val="30"/>
        </w:rPr>
        <w:t>Acknowledgement</w:t>
      </w:r>
    </w:p>
    <w:p>
      <w:pPr>
        <w:jc w:val="both"/>
      </w:pPr>
      <w:r>
        <w:rPr>
          <w:rFonts w:ascii="Cambria" w:hAnsi="Cambria"/>
          <w:b w:val="0"/>
          <w:i w:val="0"/>
          <w:sz w:val="22"/>
        </w:rPr>
        <w:t>I express my sincere gratitude to all those who have contributed, directly and indirectly, to the successful completion of this work on the Executive and Leadership Structure of Universities. I am deeply indebted to my mentors, colleagues, and academic peers who have provided valuable guidance, constructive feedback, and encouragement throughout the preparation of this study.</w:t>
      </w:r>
    </w:p>
    <w:p>
      <w:pPr>
        <w:jc w:val="both"/>
      </w:pPr>
      <w:r>
        <w:rPr>
          <w:rFonts w:ascii="Cambria" w:hAnsi="Cambria"/>
          <w:b w:val="0"/>
          <w:i w:val="0"/>
          <w:sz w:val="22"/>
        </w:rPr>
        <w:t>I wish to acknowledge the support of educational administrators, policy experts, and institutional leaders whose insights into governance practices and higher education management helped shape the perspectives presented in this work. Special thanks are due to the scholars, researchers, and practitioners whose published works and research provided the foundation for understanding the diverse models of university leadership and administration.</w:t>
      </w:r>
    </w:p>
    <w:p>
      <w:pPr>
        <w:jc w:val="both"/>
      </w:pPr>
      <w:r>
        <w:rPr>
          <w:rFonts w:ascii="Cambria" w:hAnsi="Cambria"/>
          <w:b w:val="0"/>
          <w:i w:val="0"/>
          <w:sz w:val="22"/>
        </w:rPr>
        <w:t>I also extend my appreciation to the universities and academic institutions in India and abroad that have served as case references, demonstrating how effective governance and leadership contribute to academic excellence, administrative efficiency, financial sustainability, and global competitiveness.</w:t>
      </w:r>
    </w:p>
    <w:p>
      <w:pPr>
        <w:jc w:val="both"/>
      </w:pPr>
      <w:r>
        <w:rPr>
          <w:rFonts w:ascii="Cambria" w:hAnsi="Cambria"/>
          <w:b w:val="0"/>
          <w:i w:val="0"/>
          <w:sz w:val="22"/>
        </w:rPr>
        <w:t>Finally, I acknowledge the unwavering support of my family, friends, and well-wishers, whose encouragement has been invaluable in completing this academic endeavor.</w:t>
      </w:r>
    </w:p>
    <w:p>
      <w:pPr>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r>
        <w:rPr>
          <w:rFonts w:ascii="Cambria" w:hAnsi="Cambria"/>
          <w:b/>
          <w:i w:val="0"/>
          <w:sz w:val="22"/>
        </w:rPr>
        <w:t>Dr. V. Rama Krishna Tottempudi</w:t>
      </w:r>
    </w:p>
    <w:p>
      <w:r>
        <w:rPr>
          <w:rFonts w:ascii="Cambria" w:hAnsi="Cambria"/>
          <w:b/>
          <w:i w:val="0"/>
          <w:sz w:val="22"/>
        </w:rPr>
        <w:t>Sai Saran Tottempudi</w:t>
      </w:r>
    </w:p>
    <w:p>
      <w:r>
        <w:br w:type="page"/>
      </w:r>
    </w:p>
    <w:p>
      <w:pPr>
        <w:keepNext/>
        <w:spacing w:before="160" w:after="120"/>
      </w:pPr>
      <w:r>
        <w:rPr>
          <w:rFonts w:ascii="Cambria" w:hAnsi="Cambria"/>
          <w:b/>
          <w:color w:val="1F3A5F"/>
          <w:sz w:val="30"/>
        </w:rPr>
        <w:t>About Dr. T. V. Rama Krishna</w:t>
      </w:r>
    </w:p>
    <w:p>
      <w:pPr>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 and 3 in SCI journals</w:t>
      </w:r>
      <w:r>
        <w:rPr>
          <w:rFonts w:ascii="Cambria" w:hAnsi="Cambria"/>
          <w:b w:val="0"/>
          <w:i w:val="0"/>
          <w:sz w:val="22"/>
        </w:rPr>
        <w:t>. His research expertise is widely recognized, and his profile can be accessed here: Scopus Author ID – 56397099300.</w:t>
      </w:r>
    </w:p>
    <w:p>
      <w:pPr>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jc w:val="both"/>
      </w:pPr>
      <w:r>
        <w:rPr>
          <w:rFonts w:ascii="Cambria" w:hAnsi="Cambria"/>
          <w:b w:val="0"/>
          <w:i w:val="0"/>
          <w:sz w:val="22"/>
        </w:rPr>
        <w:t>LinkedIn Profile: Dr. Tottempudi Venkata Rama Krishna</w:t>
      </w:r>
    </w:p>
    <w:p>
      <w:r>
        <w:br w:type="page"/>
      </w:r>
    </w:p>
    <w:p>
      <w:pPr>
        <w:keepNext/>
        <w:spacing w:before="160" w:after="120"/>
      </w:pPr>
      <w:r>
        <w:rPr>
          <w:rFonts w:ascii="Cambria" w:hAnsi="Cambria"/>
          <w:b/>
          <w:color w:val="1F3A5F"/>
          <w:sz w:val="30"/>
        </w:rPr>
        <w:t>Abstract</w:t>
      </w:r>
    </w:p>
    <w:p>
      <w:pPr>
        <w:jc w:val="both"/>
      </w:pPr>
      <w:r>
        <w:rPr>
          <w:rFonts w:ascii="Cambria" w:hAnsi="Cambria"/>
          <w:b w:val="0"/>
          <w:i w:val="0"/>
          <w:sz w:val="22"/>
        </w:rPr>
        <w:t>The executive and leadership structure of universities represents a multi-layered governance framework that ensures the effective management of academic, administrative, and financial responsibilities. While the titles, hierarchies, and models vary across countries and institutions, the fundamental purpose of this structure remains consistent—to balance academic freedom with administrative efficiency, financial sustainability with accountability, and local engagement with global competitiveness. At the ceremonial level, the Chancellor or Visitor often serves as the symbolic head of the university, conferring degrees, presiding over convocations, and providing legitimacy and prestige to the institution. The core executive authority rests with the Vice-Chancellor (VC), who is the chief executive officer responsible for academic leadership, policy formulation, financial management, and strategic direction. The VC's role is complemented by Pro-Vice-Chancellors (PVCs) or Deputy Vice-Chancellors, who act as domain-specific leaders in areas such as academics, research, student affairs, finance, and international relations. This distribution of responsibilities ensures operational efficiency and allows the university to respond effectively to the evolving demands of higher education.</w:t>
      </w:r>
    </w:p>
    <w:p>
      <w:pPr>
        <w:jc w:val="both"/>
      </w:pPr>
      <w:r>
        <w:rPr>
          <w:rFonts w:ascii="Cambria" w:hAnsi="Cambria"/>
          <w:b w:val="0"/>
          <w:i w:val="0"/>
          <w:sz w:val="22"/>
        </w:rPr>
        <w:t>Supporting the Vice-Chancellor and Pro-Vice-Chancellors are the core administrative officers, including the Registrar, Finance Officer, Controller of Examinations, Director of HR &amp; Administration, Librarian or Director of Library Services, and Directors of Internal Quality Assurance, Public Relations, and International Relations. Each plays a crucial role in sustaining the operational backbone of the institution. The Registrar ensures the integrity of records, statutes, and academic administration; the Finance Officer safeguards fiscal accountability and long-term sustainability; the Controller of Examinations upholds the credibility of the assessment system; and the Director of IQAC ensures quality assurance and accreditation compliance. These officers are vital in linking academic leadership with operational efficiency, thereby strengthening institutional governance.</w:t>
      </w:r>
    </w:p>
    <w:p>
      <w:pPr>
        <w:jc w:val="both"/>
      </w:pPr>
      <w:r>
        <w:rPr>
          <w:rFonts w:ascii="Cambria" w:hAnsi="Cambria"/>
          <w:b w:val="0"/>
          <w:i w:val="0"/>
          <w:sz w:val="22"/>
        </w:rPr>
        <w:t>At the academic level, Deans of Faculties/Schools and Heads of Departments (HoDs) provide leadership closer to the faculty and student community. Deans oversee curriculum design, research promotion, faculty evaluation, and accreditation readiness at the school level, while HoDs ensure the delivery of teaching, research, mentoring, and departmental administration. Together, they form the backbone of academic leadership by translating institutional strategies into departmental practices. Complementing this structure, specialized offices such as the PR Office and International Office manage branding, media relations, and global engagement, enhancing visibility and competitiveness.</w:t>
      </w:r>
    </w:p>
    <w:p>
      <w:pPr>
        <w:jc w:val="both"/>
      </w:pPr>
      <w:r>
        <w:rPr>
          <w:rFonts w:ascii="Cambria" w:hAnsi="Cambria"/>
          <w:b w:val="0"/>
          <w:i w:val="0"/>
          <w:sz w:val="22"/>
        </w:rPr>
        <w:t>In conclusion, the executive and leadership structure of universities is designed to ensure integration of governance, accountability, and innovation. By combining ceremonial legitimacy, executive leadership, administrative efficiency, and academic vision, universities can pursue excellence in teaching, research, and community service while positioning themselves as competitive and credible institutions in a global higher education landscape.</w:t>
      </w:r>
    </w:p>
    <w:p>
      <w:r>
        <w:br w:type="page"/>
      </w:r>
    </w:p>
    <w:p>
      <w:pPr>
        <w:keepNext/>
        <w:spacing w:before="160" w:after="120"/>
      </w:pPr>
      <w:r>
        <w:rPr>
          <w:rFonts w:ascii="Cambria" w:hAnsi="Cambria"/>
          <w:b/>
          <w:color w:val="1F3A5F"/>
          <w:sz w:val="30"/>
        </w:rPr>
        <w:t>Table of Contents</w:t>
      </w:r>
    </w:p>
    <w:tbl>
      <w:tblPr>
        <w:tblW w:type="auto" w:w="0"/>
        <w:tblLayout w:type="fixed"/>
        <w:tblLook w:firstColumn="1" w:firstRow="1" w:lastColumn="0" w:lastRow="0" w:noHBand="0" w:noVBand="1" w:val="04A0"/>
        <w:tblLayout w:type="fixed"/>
      </w:tblPr>
      <w:tblGrid>
        <w:gridCol w:w="850"/>
        <w:gridCol w:w="7541"/>
        <w:gridCol w:w="1020"/>
      </w:tblGrid>
      <w:tr>
        <w:tc>
          <w:tcPr>
            <w:tcW w:type="dxa" w:w="850"/>
            <w:shd w:val="clear" w:color="auto" w:fill="1F3A5F"/>
            <w:tcW w:w="850" w:type="dxa"/>
          </w:tcPr>
          <w:p>
            <w:pPr>
              <w:jc w:val="center"/>
            </w:pPr>
            <w:r/>
            <w:r>
              <w:rPr>
                <w:rFonts w:ascii="Cambria" w:hAnsi="Cambria"/>
                <w:b/>
                <w:color w:val="FFFFFF"/>
                <w:sz w:val="22"/>
              </w:rPr>
              <w:t>S. No</w:t>
            </w:r>
          </w:p>
        </w:tc>
        <w:tc>
          <w:tcPr>
            <w:tcW w:type="dxa" w:w="7540"/>
            <w:shd w:val="clear" w:color="auto" w:fill="1F3A5F"/>
            <w:tcW w:w="7541" w:type="dxa"/>
          </w:tcPr>
          <w:p>
            <w:pPr>
              <w:jc w:val="center"/>
            </w:pPr>
            <w:r/>
            <w:r>
              <w:rPr>
                <w:rFonts w:ascii="Cambria" w:hAnsi="Cambria"/>
                <w:b/>
                <w:color w:val="FFFFFF"/>
                <w:sz w:val="22"/>
              </w:rPr>
              <w:t>Content</w:t>
            </w:r>
          </w:p>
        </w:tc>
        <w:tc>
          <w:tcPr>
            <w:tcW w:type="dxa" w:w="1020"/>
            <w:shd w:val="clear" w:color="auto" w:fill="1F3A5F"/>
            <w:tcW w:w="1020" w:type="dxa"/>
          </w:tcPr>
          <w:p>
            <w:pPr>
              <w:jc w:val="center"/>
            </w:pPr>
            <w:r/>
            <w:r>
              <w:rPr>
                <w:rFonts w:ascii="Cambria" w:hAnsi="Cambria"/>
                <w:b/>
                <w:color w:val="FFFFFF"/>
                <w:sz w:val="22"/>
              </w:rPr>
              <w:t>Pg. No</w:t>
            </w:r>
          </w:p>
        </w:tc>
      </w:tr>
      <w:tr>
        <w:tc>
          <w:tcPr>
            <w:tcW w:type="dxa" w:w="850"/>
            <w:tcW w:w="850" w:type="dxa"/>
          </w:tcPr>
          <w:p>
            <w:pPr>
              <w:jc w:val="left"/>
            </w:pPr>
            <w:r/>
            <w:r>
              <w:rPr>
                <w:rFonts w:ascii="Cambria" w:hAnsi="Cambria"/>
                <w:b w:val="0"/>
                <w:sz w:val="21"/>
              </w:rPr>
              <w:t>1</w:t>
            </w:r>
          </w:p>
        </w:tc>
        <w:tc>
          <w:tcPr>
            <w:tcW w:type="dxa" w:w="7540"/>
            <w:tcW w:w="7541" w:type="dxa"/>
          </w:tcPr>
          <w:p>
            <w:pPr>
              <w:jc w:val="center"/>
            </w:pPr>
            <w:r/>
            <w:r>
              <w:rPr>
                <w:rFonts w:ascii="Cambria" w:hAnsi="Cambria"/>
                <w:b w:val="0"/>
                <w:sz w:val="21"/>
              </w:rPr>
              <w:t>Executive &amp; Leadership Structure of a University</w:t>
            </w:r>
          </w:p>
        </w:tc>
        <w:tc>
          <w:tcPr>
            <w:tcW w:type="dxa" w:w="1020"/>
            <w:tcW w:w="1020" w:type="dxa"/>
          </w:tcPr>
          <w:p>
            <w:pPr>
              <w:jc w:val="center"/>
            </w:pPr>
            <w:r/>
            <w:r>
              <w:rPr>
                <w:rFonts w:ascii="Cambria" w:hAnsi="Cambria"/>
                <w:b w:val="0"/>
                <w:sz w:val="21"/>
              </w:rPr>
              <w:t>01</w:t>
            </w:r>
          </w:p>
        </w:tc>
      </w:tr>
      <w:tr>
        <w:tc>
          <w:tcPr>
            <w:tcW w:type="dxa" w:w="850"/>
            <w:tcW w:w="850" w:type="dxa"/>
            <w:shd w:val="clear" w:color="auto" w:fill="D9E2EC"/>
          </w:tcPr>
          <w:p>
            <w:pPr>
              <w:jc w:val="left"/>
            </w:pPr>
            <w:r/>
            <w:r>
              <w:rPr>
                <w:rFonts w:ascii="Cambria" w:hAnsi="Cambria"/>
                <w:b w:val="0"/>
                <w:sz w:val="21"/>
              </w:rPr>
              <w:t>2</w:t>
            </w:r>
          </w:p>
        </w:tc>
        <w:tc>
          <w:tcPr>
            <w:tcW w:type="dxa" w:w="7540"/>
            <w:tcW w:w="7541" w:type="dxa"/>
            <w:shd w:val="clear" w:color="auto" w:fill="D9E2EC"/>
          </w:tcPr>
          <w:p>
            <w:pPr>
              <w:jc w:val="center"/>
            </w:pPr>
            <w:r/>
            <w:r>
              <w:rPr>
                <w:rFonts w:ascii="Cambria" w:hAnsi="Cambria"/>
                <w:b w:val="0"/>
                <w:sz w:val="21"/>
              </w:rPr>
              <w:t>Ceremonial &amp; Governing Head- Chancellor</w:t>
            </w:r>
          </w:p>
        </w:tc>
        <w:tc>
          <w:tcPr>
            <w:tcW w:type="dxa" w:w="1020"/>
            <w:tcW w:w="1020" w:type="dxa"/>
            <w:shd w:val="clear" w:color="auto" w:fill="D9E2EC"/>
          </w:tcPr>
          <w:p>
            <w:pPr>
              <w:jc w:val="center"/>
            </w:pPr>
            <w:r/>
            <w:r>
              <w:rPr>
                <w:rFonts w:ascii="Cambria" w:hAnsi="Cambria"/>
                <w:b w:val="0"/>
                <w:sz w:val="21"/>
              </w:rPr>
              <w:t>05</w:t>
            </w:r>
          </w:p>
        </w:tc>
      </w:tr>
      <w:tr>
        <w:tc>
          <w:tcPr>
            <w:tcW w:type="dxa" w:w="850"/>
            <w:tcW w:w="850" w:type="dxa"/>
          </w:tcPr>
          <w:p>
            <w:pPr>
              <w:jc w:val="left"/>
            </w:pPr>
            <w:r/>
            <w:r>
              <w:rPr>
                <w:rFonts w:ascii="Cambria" w:hAnsi="Cambria"/>
                <w:b w:val="0"/>
                <w:sz w:val="21"/>
              </w:rPr>
              <w:t>3</w:t>
            </w:r>
          </w:p>
        </w:tc>
        <w:tc>
          <w:tcPr>
            <w:tcW w:type="dxa" w:w="7540"/>
            <w:tcW w:w="7541" w:type="dxa"/>
          </w:tcPr>
          <w:p>
            <w:pPr>
              <w:jc w:val="center"/>
            </w:pPr>
            <w:r/>
            <w:r>
              <w:rPr>
                <w:rFonts w:ascii="Cambria" w:hAnsi="Cambria"/>
                <w:b w:val="0"/>
                <w:sz w:val="21"/>
              </w:rPr>
              <w:t>Chief Executive Leadership -Vice-Chancellor</w:t>
            </w:r>
          </w:p>
        </w:tc>
        <w:tc>
          <w:tcPr>
            <w:tcW w:type="dxa" w:w="1020"/>
            <w:tcW w:w="1020" w:type="dxa"/>
          </w:tcPr>
          <w:p>
            <w:pPr>
              <w:jc w:val="center"/>
            </w:pPr>
            <w:r/>
            <w:r>
              <w:rPr>
                <w:rFonts w:ascii="Cambria" w:hAnsi="Cambria"/>
                <w:b w:val="0"/>
                <w:sz w:val="21"/>
              </w:rPr>
              <w:t>08</w:t>
            </w:r>
          </w:p>
        </w:tc>
      </w:tr>
      <w:tr>
        <w:tc>
          <w:tcPr>
            <w:tcW w:type="dxa" w:w="850"/>
            <w:tcW w:w="850" w:type="dxa"/>
            <w:shd w:val="clear" w:color="auto" w:fill="D9E2EC"/>
          </w:tcPr>
          <w:p>
            <w:pPr>
              <w:jc w:val="left"/>
            </w:pPr>
            <w:r/>
            <w:r>
              <w:rPr>
                <w:rFonts w:ascii="Cambria" w:hAnsi="Cambria"/>
                <w:b w:val="0"/>
                <w:sz w:val="21"/>
              </w:rPr>
              <w:t>4</w:t>
            </w:r>
          </w:p>
        </w:tc>
        <w:tc>
          <w:tcPr>
            <w:tcW w:type="dxa" w:w="7540"/>
            <w:tcW w:w="7541" w:type="dxa"/>
            <w:shd w:val="clear" w:color="auto" w:fill="D9E2EC"/>
          </w:tcPr>
          <w:p>
            <w:pPr>
              <w:jc w:val="center"/>
            </w:pPr>
            <w:r/>
            <w:r>
              <w:rPr>
                <w:rFonts w:ascii="Cambria" w:hAnsi="Cambria"/>
                <w:b w:val="0"/>
                <w:sz w:val="21"/>
              </w:rPr>
              <w:t>Pro-Vice-Chancellors (PVCs)</w:t>
            </w:r>
          </w:p>
        </w:tc>
        <w:tc>
          <w:tcPr>
            <w:tcW w:type="dxa" w:w="1020"/>
            <w:tcW w:w="1020" w:type="dxa"/>
            <w:shd w:val="clear" w:color="auto" w:fill="D9E2EC"/>
          </w:tcPr>
          <w:p>
            <w:pPr>
              <w:jc w:val="center"/>
            </w:pPr>
            <w:r/>
            <w:r>
              <w:rPr>
                <w:rFonts w:ascii="Cambria" w:hAnsi="Cambria"/>
                <w:b w:val="0"/>
                <w:sz w:val="21"/>
              </w:rPr>
              <w:t>22</w:t>
            </w:r>
          </w:p>
        </w:tc>
      </w:tr>
      <w:tr>
        <w:tc>
          <w:tcPr>
            <w:tcW w:type="dxa" w:w="850"/>
            <w:tcW w:w="850" w:type="dxa"/>
          </w:tcPr>
          <w:p>
            <w:pPr>
              <w:jc w:val="left"/>
            </w:pPr>
            <w:r/>
            <w:r>
              <w:rPr>
                <w:rFonts w:ascii="Cambria" w:hAnsi="Cambria"/>
                <w:b w:val="0"/>
                <w:sz w:val="21"/>
              </w:rPr>
              <w:t>5</w:t>
            </w:r>
          </w:p>
        </w:tc>
        <w:tc>
          <w:tcPr>
            <w:tcW w:type="dxa" w:w="7540"/>
            <w:tcW w:w="7541" w:type="dxa"/>
          </w:tcPr>
          <w:p>
            <w:pPr>
              <w:jc w:val="center"/>
            </w:pPr>
            <w:r/>
            <w:r>
              <w:rPr>
                <w:rFonts w:ascii="Cambria" w:hAnsi="Cambria"/>
                <w:b w:val="0"/>
                <w:sz w:val="21"/>
              </w:rPr>
              <w:t>Core Administrative Officers in University Governance</w:t>
            </w:r>
          </w:p>
        </w:tc>
        <w:tc>
          <w:tcPr>
            <w:tcW w:type="dxa" w:w="1020"/>
            <w:tcW w:w="1020" w:type="dxa"/>
          </w:tcPr>
          <w:p>
            <w:pPr>
              <w:jc w:val="center"/>
            </w:pPr>
            <w:r/>
            <w:r>
              <w:rPr>
                <w:rFonts w:ascii="Cambria" w:hAnsi="Cambria"/>
                <w:b w:val="0"/>
                <w:sz w:val="21"/>
              </w:rPr>
              <w:t>28</w:t>
            </w:r>
          </w:p>
        </w:tc>
      </w:tr>
      <w:tr>
        <w:tc>
          <w:tcPr>
            <w:tcW w:type="dxa" w:w="850"/>
            <w:tcW w:w="850" w:type="dxa"/>
            <w:shd w:val="clear" w:color="auto" w:fill="D9E2EC"/>
          </w:tcPr>
          <w:p>
            <w:pPr>
              <w:jc w:val="left"/>
            </w:pPr>
            <w:r/>
            <w:r>
              <w:rPr>
                <w:rFonts w:ascii="Cambria" w:hAnsi="Cambria"/>
                <w:b w:val="0"/>
                <w:sz w:val="21"/>
              </w:rPr>
              <w:t>6</w:t>
            </w:r>
          </w:p>
        </w:tc>
        <w:tc>
          <w:tcPr>
            <w:tcW w:type="dxa" w:w="7540"/>
            <w:tcW w:w="7541" w:type="dxa"/>
            <w:shd w:val="clear" w:color="auto" w:fill="D9E2EC"/>
          </w:tcPr>
          <w:p>
            <w:pPr>
              <w:jc w:val="center"/>
            </w:pPr>
            <w:r/>
            <w:r>
              <w:rPr>
                <w:rFonts w:ascii="Cambria" w:hAnsi="Cambria"/>
                <w:b w:val="0"/>
                <w:sz w:val="21"/>
              </w:rPr>
              <w:t>Registrar</w:t>
            </w:r>
          </w:p>
        </w:tc>
        <w:tc>
          <w:tcPr>
            <w:tcW w:type="dxa" w:w="1020"/>
            <w:tcW w:w="1020" w:type="dxa"/>
            <w:shd w:val="clear" w:color="auto" w:fill="D9E2EC"/>
          </w:tcPr>
          <w:p>
            <w:pPr>
              <w:jc w:val="center"/>
            </w:pPr>
            <w:r/>
            <w:r>
              <w:rPr>
                <w:rFonts w:ascii="Cambria" w:hAnsi="Cambria"/>
                <w:b w:val="0"/>
                <w:sz w:val="21"/>
              </w:rPr>
              <w:t>33</w:t>
            </w:r>
          </w:p>
        </w:tc>
      </w:tr>
      <w:tr>
        <w:tc>
          <w:tcPr>
            <w:tcW w:type="dxa" w:w="850"/>
            <w:tcW w:w="850" w:type="dxa"/>
          </w:tcPr>
          <w:p>
            <w:pPr>
              <w:jc w:val="left"/>
            </w:pPr>
            <w:r/>
            <w:r>
              <w:rPr>
                <w:rFonts w:ascii="Cambria" w:hAnsi="Cambria"/>
                <w:b w:val="0"/>
                <w:sz w:val="21"/>
              </w:rPr>
              <w:t>7</w:t>
            </w:r>
          </w:p>
        </w:tc>
        <w:tc>
          <w:tcPr>
            <w:tcW w:type="dxa" w:w="7540"/>
            <w:tcW w:w="7541" w:type="dxa"/>
          </w:tcPr>
          <w:p>
            <w:pPr>
              <w:jc w:val="center"/>
            </w:pPr>
            <w:r/>
            <w:r>
              <w:rPr>
                <w:rFonts w:ascii="Cambria" w:hAnsi="Cambria"/>
                <w:b w:val="0"/>
                <w:sz w:val="21"/>
              </w:rPr>
              <w:t>Controller of Examinations (CoE)</w:t>
            </w:r>
          </w:p>
        </w:tc>
        <w:tc>
          <w:tcPr>
            <w:tcW w:type="dxa" w:w="1020"/>
            <w:tcW w:w="1020" w:type="dxa"/>
          </w:tcPr>
          <w:p>
            <w:pPr>
              <w:jc w:val="center"/>
            </w:pPr>
            <w:r/>
            <w:r>
              <w:rPr>
                <w:rFonts w:ascii="Cambria" w:hAnsi="Cambria"/>
                <w:b w:val="0"/>
                <w:sz w:val="21"/>
              </w:rPr>
              <w:t>41</w:t>
            </w:r>
          </w:p>
        </w:tc>
      </w:tr>
      <w:tr>
        <w:tc>
          <w:tcPr>
            <w:tcW w:type="dxa" w:w="850"/>
            <w:tcW w:w="850" w:type="dxa"/>
            <w:shd w:val="clear" w:color="auto" w:fill="D9E2EC"/>
          </w:tcPr>
          <w:p>
            <w:pPr>
              <w:jc w:val="left"/>
            </w:pPr>
            <w:r/>
            <w:r>
              <w:rPr>
                <w:rFonts w:ascii="Cambria" w:hAnsi="Cambria"/>
                <w:b w:val="0"/>
                <w:sz w:val="21"/>
              </w:rPr>
              <w:t>8</w:t>
            </w:r>
          </w:p>
        </w:tc>
        <w:tc>
          <w:tcPr>
            <w:tcW w:type="dxa" w:w="7540"/>
            <w:tcW w:w="7541" w:type="dxa"/>
            <w:shd w:val="clear" w:color="auto" w:fill="D9E2EC"/>
          </w:tcPr>
          <w:p>
            <w:pPr>
              <w:jc w:val="center"/>
            </w:pPr>
            <w:r/>
            <w:r>
              <w:rPr>
                <w:rFonts w:ascii="Cambria" w:hAnsi="Cambria"/>
                <w:b w:val="0"/>
                <w:sz w:val="21"/>
              </w:rPr>
              <w:t>Finance Officer</w:t>
            </w:r>
          </w:p>
        </w:tc>
        <w:tc>
          <w:tcPr>
            <w:tcW w:type="dxa" w:w="1020"/>
            <w:tcW w:w="1020" w:type="dxa"/>
            <w:shd w:val="clear" w:color="auto" w:fill="D9E2EC"/>
          </w:tcPr>
          <w:p>
            <w:pPr>
              <w:jc w:val="center"/>
            </w:pPr>
            <w:r/>
            <w:r>
              <w:rPr>
                <w:rFonts w:ascii="Cambria" w:hAnsi="Cambria"/>
                <w:b w:val="0"/>
                <w:sz w:val="21"/>
              </w:rPr>
              <w:t>46</w:t>
            </w:r>
          </w:p>
        </w:tc>
      </w:tr>
      <w:tr>
        <w:tc>
          <w:tcPr>
            <w:tcW w:type="dxa" w:w="850"/>
            <w:tcW w:w="850" w:type="dxa"/>
          </w:tcPr>
          <w:p>
            <w:pPr>
              <w:jc w:val="left"/>
            </w:pPr>
            <w:r/>
            <w:r>
              <w:rPr>
                <w:rFonts w:ascii="Cambria" w:hAnsi="Cambria"/>
                <w:b w:val="0"/>
                <w:sz w:val="21"/>
              </w:rPr>
              <w:t>9</w:t>
            </w:r>
          </w:p>
        </w:tc>
        <w:tc>
          <w:tcPr>
            <w:tcW w:type="dxa" w:w="7540"/>
            <w:tcW w:w="7541" w:type="dxa"/>
          </w:tcPr>
          <w:p>
            <w:pPr>
              <w:jc w:val="center"/>
            </w:pPr>
            <w:r/>
            <w:r>
              <w:rPr>
                <w:rFonts w:ascii="Cambria" w:hAnsi="Cambria"/>
                <w:b w:val="0"/>
                <w:sz w:val="21"/>
              </w:rPr>
              <w:t>Director – Internal Quality Assurance Cell (IQAC)</w:t>
            </w:r>
          </w:p>
        </w:tc>
        <w:tc>
          <w:tcPr>
            <w:tcW w:type="dxa" w:w="1020"/>
            <w:tcW w:w="1020" w:type="dxa"/>
          </w:tcPr>
          <w:p>
            <w:pPr>
              <w:jc w:val="center"/>
            </w:pPr>
            <w:r/>
            <w:r>
              <w:rPr>
                <w:rFonts w:ascii="Cambria" w:hAnsi="Cambria"/>
                <w:b w:val="0"/>
                <w:sz w:val="21"/>
              </w:rPr>
              <w:t>50</w:t>
            </w:r>
          </w:p>
        </w:tc>
      </w:tr>
      <w:tr>
        <w:tc>
          <w:tcPr>
            <w:tcW w:type="dxa" w:w="850"/>
            <w:tcW w:w="850" w:type="dxa"/>
            <w:shd w:val="clear" w:color="auto" w:fill="D9E2EC"/>
          </w:tcPr>
          <w:p>
            <w:pPr>
              <w:jc w:val="left"/>
            </w:pPr>
            <w:r/>
            <w:r>
              <w:rPr>
                <w:rFonts w:ascii="Cambria" w:hAnsi="Cambria"/>
                <w:b w:val="0"/>
                <w:sz w:val="21"/>
              </w:rPr>
              <w:t>10</w:t>
            </w:r>
          </w:p>
        </w:tc>
        <w:tc>
          <w:tcPr>
            <w:tcW w:type="dxa" w:w="7540"/>
            <w:tcW w:w="7541" w:type="dxa"/>
            <w:shd w:val="clear" w:color="auto" w:fill="D9E2EC"/>
          </w:tcPr>
          <w:p>
            <w:pPr>
              <w:jc w:val="center"/>
            </w:pPr>
            <w:r/>
            <w:r>
              <w:rPr>
                <w:rFonts w:ascii="Cambria" w:hAnsi="Cambria"/>
                <w:b w:val="0"/>
                <w:sz w:val="21"/>
              </w:rPr>
              <w:t>Director of HR &amp; Administration</w:t>
            </w:r>
          </w:p>
        </w:tc>
        <w:tc>
          <w:tcPr>
            <w:tcW w:type="dxa" w:w="1020"/>
            <w:tcW w:w="1020" w:type="dxa"/>
            <w:shd w:val="clear" w:color="auto" w:fill="D9E2EC"/>
          </w:tcPr>
          <w:p>
            <w:pPr>
              <w:jc w:val="center"/>
            </w:pPr>
            <w:r/>
            <w:r>
              <w:rPr>
                <w:rFonts w:ascii="Cambria" w:hAnsi="Cambria"/>
                <w:b w:val="0"/>
                <w:sz w:val="21"/>
              </w:rPr>
              <w:t>54</w:t>
            </w:r>
          </w:p>
        </w:tc>
      </w:tr>
      <w:tr>
        <w:tc>
          <w:tcPr>
            <w:tcW w:type="dxa" w:w="850"/>
            <w:tcW w:w="850" w:type="dxa"/>
          </w:tcPr>
          <w:p>
            <w:pPr>
              <w:jc w:val="left"/>
            </w:pPr>
            <w:r/>
            <w:r>
              <w:rPr>
                <w:rFonts w:ascii="Cambria" w:hAnsi="Cambria"/>
                <w:b w:val="0"/>
                <w:sz w:val="21"/>
              </w:rPr>
              <w:t>11</w:t>
            </w:r>
          </w:p>
        </w:tc>
        <w:tc>
          <w:tcPr>
            <w:tcW w:type="dxa" w:w="7540"/>
            <w:tcW w:w="7541" w:type="dxa"/>
          </w:tcPr>
          <w:p>
            <w:pPr>
              <w:jc w:val="center"/>
            </w:pPr>
            <w:r/>
            <w:r>
              <w:rPr>
                <w:rFonts w:ascii="Cambria" w:hAnsi="Cambria"/>
                <w:b w:val="0"/>
                <w:sz w:val="21"/>
              </w:rPr>
              <w:t>Academic Leadership</w:t>
            </w:r>
          </w:p>
        </w:tc>
        <w:tc>
          <w:tcPr>
            <w:tcW w:type="dxa" w:w="1020"/>
            <w:tcW w:w="1020" w:type="dxa"/>
          </w:tcPr>
          <w:p>
            <w:pPr>
              <w:jc w:val="center"/>
            </w:pPr>
            <w:r/>
            <w:r>
              <w:rPr>
                <w:rFonts w:ascii="Cambria" w:hAnsi="Cambria"/>
                <w:b w:val="0"/>
                <w:sz w:val="21"/>
              </w:rPr>
              <w:t>58</w:t>
            </w:r>
          </w:p>
        </w:tc>
      </w:tr>
      <w:tr>
        <w:tc>
          <w:tcPr>
            <w:tcW w:type="dxa" w:w="850"/>
            <w:tcW w:w="850" w:type="dxa"/>
            <w:shd w:val="clear" w:color="auto" w:fill="D9E2EC"/>
          </w:tcPr>
          <w:p>
            <w:pPr>
              <w:jc w:val="left"/>
            </w:pPr>
            <w:r/>
            <w:r>
              <w:rPr>
                <w:rFonts w:ascii="Cambria" w:hAnsi="Cambria"/>
                <w:b w:val="0"/>
                <w:sz w:val="21"/>
              </w:rPr>
              <w:t>12</w:t>
            </w:r>
          </w:p>
        </w:tc>
        <w:tc>
          <w:tcPr>
            <w:tcW w:type="dxa" w:w="7540"/>
            <w:tcW w:w="7541" w:type="dxa"/>
            <w:shd w:val="clear" w:color="auto" w:fill="D9E2EC"/>
          </w:tcPr>
          <w:p>
            <w:pPr>
              <w:jc w:val="center"/>
            </w:pPr>
            <w:r/>
            <w:r>
              <w:rPr>
                <w:rFonts w:ascii="Cambria" w:hAnsi="Cambria"/>
                <w:b w:val="0"/>
                <w:sz w:val="21"/>
              </w:rPr>
              <w:t>Deans of Faculties / Schools</w:t>
            </w:r>
          </w:p>
        </w:tc>
        <w:tc>
          <w:tcPr>
            <w:tcW w:type="dxa" w:w="1020"/>
            <w:tcW w:w="1020" w:type="dxa"/>
            <w:shd w:val="clear" w:color="auto" w:fill="D9E2EC"/>
          </w:tcPr>
          <w:p>
            <w:pPr>
              <w:jc w:val="center"/>
            </w:pPr>
            <w:r/>
            <w:r>
              <w:rPr>
                <w:rFonts w:ascii="Cambria" w:hAnsi="Cambria"/>
                <w:b w:val="0"/>
                <w:sz w:val="21"/>
              </w:rPr>
              <w:t>60</w:t>
            </w:r>
          </w:p>
        </w:tc>
      </w:tr>
      <w:tr>
        <w:tc>
          <w:tcPr>
            <w:tcW w:type="dxa" w:w="850"/>
            <w:tcW w:w="850" w:type="dxa"/>
          </w:tcPr>
          <w:p>
            <w:pPr>
              <w:jc w:val="left"/>
            </w:pPr>
            <w:r/>
            <w:r>
              <w:rPr>
                <w:rFonts w:ascii="Cambria" w:hAnsi="Cambria"/>
                <w:b w:val="0"/>
                <w:sz w:val="21"/>
              </w:rPr>
              <w:t>13</w:t>
            </w:r>
          </w:p>
        </w:tc>
        <w:tc>
          <w:tcPr>
            <w:tcW w:type="dxa" w:w="7540"/>
            <w:tcW w:w="7541" w:type="dxa"/>
          </w:tcPr>
          <w:p>
            <w:pPr>
              <w:jc w:val="center"/>
            </w:pPr>
            <w:r/>
            <w:r>
              <w:rPr>
                <w:rFonts w:ascii="Cambria" w:hAnsi="Cambria"/>
                <w:b w:val="0"/>
                <w:sz w:val="21"/>
              </w:rPr>
              <w:t>Heads of Departments (HoDs)</w:t>
            </w:r>
          </w:p>
        </w:tc>
        <w:tc>
          <w:tcPr>
            <w:tcW w:type="dxa" w:w="1020"/>
            <w:tcW w:w="1020" w:type="dxa"/>
          </w:tcPr>
          <w:p>
            <w:pPr>
              <w:jc w:val="center"/>
            </w:pPr>
            <w:r/>
            <w:r>
              <w:rPr>
                <w:rFonts w:ascii="Cambria" w:hAnsi="Cambria"/>
                <w:b w:val="0"/>
                <w:sz w:val="21"/>
              </w:rPr>
              <w:t>64</w:t>
            </w:r>
          </w:p>
        </w:tc>
      </w:tr>
      <w:tr>
        <w:tc>
          <w:tcPr>
            <w:tcW w:type="dxa" w:w="850"/>
            <w:tcW w:w="850" w:type="dxa"/>
            <w:shd w:val="clear" w:color="auto" w:fill="D9E2EC"/>
          </w:tcPr>
          <w:p>
            <w:pPr>
              <w:jc w:val="left"/>
            </w:pPr>
            <w:r/>
            <w:r>
              <w:rPr>
                <w:rFonts w:ascii="Cambria" w:hAnsi="Cambria"/>
                <w:b w:val="0"/>
                <w:sz w:val="21"/>
              </w:rPr>
              <w:t>14</w:t>
            </w:r>
          </w:p>
        </w:tc>
        <w:tc>
          <w:tcPr>
            <w:tcW w:type="dxa" w:w="7540"/>
            <w:tcW w:w="7541" w:type="dxa"/>
            <w:shd w:val="clear" w:color="auto" w:fill="D9E2EC"/>
          </w:tcPr>
          <w:p>
            <w:pPr>
              <w:jc w:val="center"/>
            </w:pPr>
            <w:r/>
            <w:r>
              <w:rPr>
                <w:rFonts w:ascii="Cambria" w:hAnsi="Cambria"/>
                <w:b w:val="0"/>
                <w:sz w:val="21"/>
              </w:rPr>
              <w:t>Librarian / Director of Library Services</w:t>
            </w:r>
          </w:p>
        </w:tc>
        <w:tc>
          <w:tcPr>
            <w:tcW w:type="dxa" w:w="1020"/>
            <w:tcW w:w="1020" w:type="dxa"/>
            <w:shd w:val="clear" w:color="auto" w:fill="D9E2EC"/>
          </w:tcPr>
          <w:p>
            <w:pPr>
              <w:jc w:val="center"/>
            </w:pPr>
            <w:r/>
            <w:r>
              <w:rPr>
                <w:rFonts w:ascii="Cambria" w:hAnsi="Cambria"/>
                <w:b w:val="0"/>
                <w:sz w:val="21"/>
              </w:rPr>
              <w:t>68</w:t>
            </w:r>
          </w:p>
        </w:tc>
      </w:tr>
      <w:tr>
        <w:tc>
          <w:tcPr>
            <w:tcW w:type="dxa" w:w="850"/>
            <w:tcW w:w="850" w:type="dxa"/>
          </w:tcPr>
          <w:p>
            <w:pPr>
              <w:jc w:val="left"/>
            </w:pPr>
            <w:r/>
            <w:r>
              <w:rPr>
                <w:rFonts w:ascii="Cambria" w:hAnsi="Cambria"/>
                <w:b w:val="0"/>
                <w:sz w:val="21"/>
              </w:rPr>
              <w:t>15</w:t>
            </w:r>
          </w:p>
        </w:tc>
        <w:tc>
          <w:tcPr>
            <w:tcW w:type="dxa" w:w="7540"/>
            <w:tcW w:w="7541" w:type="dxa"/>
          </w:tcPr>
          <w:p>
            <w:pPr>
              <w:jc w:val="center"/>
            </w:pPr>
            <w:r/>
            <w:r>
              <w:rPr>
                <w:rFonts w:ascii="Cambria" w:hAnsi="Cambria"/>
                <w:b w:val="0"/>
                <w:sz w:val="21"/>
              </w:rPr>
              <w:t>Public Relations / International Office</w:t>
            </w:r>
          </w:p>
        </w:tc>
        <w:tc>
          <w:tcPr>
            <w:tcW w:type="dxa" w:w="1020"/>
            <w:tcW w:w="1020" w:type="dxa"/>
          </w:tcPr>
          <w:p>
            <w:pPr>
              <w:jc w:val="center"/>
            </w:pPr>
            <w:r/>
            <w:r>
              <w:rPr>
                <w:rFonts w:ascii="Cambria" w:hAnsi="Cambria"/>
                <w:b w:val="0"/>
                <w:sz w:val="21"/>
              </w:rPr>
              <w:t>72</w:t>
            </w:r>
          </w:p>
        </w:tc>
      </w:tr>
      <w:tr>
        <w:tc>
          <w:tcPr>
            <w:tcW w:type="dxa" w:w="850"/>
            <w:tcW w:w="850" w:type="dxa"/>
            <w:shd w:val="clear" w:color="auto" w:fill="D9E2EC"/>
          </w:tcPr>
          <w:p>
            <w:pPr>
              <w:jc w:val="left"/>
            </w:pPr>
            <w:r/>
            <w:r>
              <w:rPr>
                <w:rFonts w:ascii="Cambria" w:hAnsi="Cambria"/>
                <w:b w:val="0"/>
                <w:sz w:val="21"/>
              </w:rPr>
              <w:t>16</w:t>
            </w:r>
          </w:p>
        </w:tc>
        <w:tc>
          <w:tcPr>
            <w:tcW w:type="dxa" w:w="7540"/>
            <w:tcW w:w="7541" w:type="dxa"/>
            <w:shd w:val="clear" w:color="auto" w:fill="D9E2EC"/>
          </w:tcPr>
          <w:p>
            <w:pPr>
              <w:jc w:val="center"/>
            </w:pPr>
            <w:r/>
            <w:r>
              <w:rPr>
                <w:rFonts w:ascii="Cambria" w:hAnsi="Cambria"/>
                <w:b w:val="0"/>
                <w:sz w:val="21"/>
              </w:rPr>
              <w:t>References</w:t>
            </w:r>
          </w:p>
        </w:tc>
        <w:tc>
          <w:tcPr>
            <w:tcW w:type="dxa" w:w="1020"/>
            <w:tcW w:w="1020" w:type="dxa"/>
            <w:shd w:val="clear" w:color="auto" w:fill="D9E2EC"/>
          </w:tcPr>
          <w:p>
            <w:pPr>
              <w:jc w:val="center"/>
            </w:pPr>
            <w:r/>
            <w:r>
              <w:rPr>
                <w:rFonts w:ascii="Cambria" w:hAnsi="Cambria"/>
                <w:b w:val="0"/>
                <w:sz w:val="21"/>
              </w:rPr>
              <w:t>76</w:t>
            </w:r>
          </w:p>
        </w:tc>
      </w:tr>
    </w:tbl>
    <w:p>
      <w:r>
        <w:br w:type="page"/>
      </w:r>
    </w:p>
    <w:p>
      <w:pPr>
        <w:keepNext/>
        <w:spacing w:before="240" w:after="120"/>
      </w:pPr>
      <w:r>
        <w:rPr>
          <w:rFonts w:ascii="Cambria" w:hAnsi="Cambria"/>
          <w:b/>
          <w:color w:val="1F3A5F"/>
          <w:sz w:val="36"/>
        </w:rPr>
        <w:t>1. Executive &amp; Leadership Structure of a University</w:t>
      </w:r>
    </w:p>
    <w:p>
      <w:pPr>
        <w:jc w:val="both"/>
      </w:pPr>
      <w:r>
        <w:rPr>
          <w:rFonts w:ascii="Cambria" w:hAnsi="Cambria"/>
          <w:b w:val="0"/>
          <w:i w:val="0"/>
          <w:sz w:val="22"/>
        </w:rPr>
        <w:t>The executive and leadership structure of a university is a multi-layered system designed to manage the complex interplay of academic, administrative, and financial functions. While the specific titles, hierarchies, and governance models may vary across countries and institutions, the underlying principles and core responsibilities remain broadly similar. At its foundation, this structure is meant to balance academic freedom with administrative efficiency, financial sustainability with social responsibility, and global competitiveness with local engagement. Universities are among the most multifaceted organizations in society, and their leadership structures reflect this diversity, ensuring that teaching, research, innovation, and community service are all integrated into a coherent institutional mission.</w:t>
      </w:r>
    </w:p>
    <w:p>
      <w:pPr>
        <w:jc w:val="both"/>
      </w:pPr>
      <w:r>
        <w:rPr>
          <w:rFonts w:ascii="Cambria" w:hAnsi="Cambria"/>
          <w:b w:val="0"/>
          <w:i w:val="0"/>
          <w:sz w:val="22"/>
        </w:rPr>
        <w:t>At the apex of most universities is the Chancellor, who serves as the ceremonial and, in some systems, the statutory head of the institution. The Chancellor typically presides over convocations, confers degrees, and provides legitimacy and prestige to the university. Although the Chancellor's role is largely symbolic in many contexts, in others—particularly in public universities—this position carries governing authority, such as approving statutes, appointing the Vice-Chancellor, or providing oversight on key decisions. In countries like India, the Chancellor is often the Governor of the state for state universities, while in the UK and Commonwealth systems, Chancellors are usually eminent public figures. This symbolic leadership role provides external visibility, connects the institution to government and society, and ensures continuity of tradition and legitimacy.</w:t>
      </w:r>
    </w:p>
    <w:p>
      <w:pPr>
        <w:jc w:val="both"/>
      </w:pPr>
      <w:r>
        <w:rPr>
          <w:rFonts w:ascii="Cambria" w:hAnsi="Cambria"/>
          <w:b w:val="0"/>
          <w:i w:val="0"/>
          <w:sz w:val="22"/>
        </w:rPr>
        <w:t>The Vice-Chancellor (VC) is the chief executive officer of the university and is the most important figure in the day-to-day governance of the institution. The VC is responsible for the overall academic, administrative, and financial leadership of the university, ensuring that its mission is fulfilled in alignment with national policies, accreditation standards, and global trends. As the executive head, the VC manages strategic planning, policy formulation, faculty recruitment, student affairs, financial sustainability, and external relations. In many systems, the VC is appointed for a fixed term—usually three to five years—by the Chancellor, Governing Body, or through a search committee involving eminent academics and administrators. A good VC must possess a strong academic background, proven administrative experience, visionary leadership, and personal integrity, as they act as the balancing force between academic excellence and operational efficiency. They are also expected to represent the university at national and international platforms, forging partnerships with governments, industries, and global institutions.</w:t>
      </w:r>
    </w:p>
    <w:p>
      <w:pPr>
        <w:jc w:val="both"/>
      </w:pPr>
      <w:r>
        <w:rPr>
          <w:rFonts w:ascii="Cambria" w:hAnsi="Cambria"/>
          <w:b w:val="0"/>
          <w:i w:val="0"/>
          <w:sz w:val="22"/>
        </w:rPr>
        <w:t>Supporting the Vice-Chancellor are Pro-Vice-Chancellors (PVCs) or Deputy Vice-Chancellors (DVCs)</w:t>
      </w:r>
      <w:r>
        <w:rPr>
          <w:rFonts w:ascii="Cambria" w:hAnsi="Cambria"/>
          <w:b w:val="0"/>
          <w:i w:val="0"/>
          <w:sz w:val="22"/>
        </w:rPr>
        <w:t>, who act as domain-specific leaders. They usually oversee specialized areas such as academics, research, international relations, student affairs, or finance. Their role is both operational and strategic: they assist the VC in execution, monitoring, and specialized governance. For instance, a Pro-Vice-Chancellor (Research) might focus on improving grant funding, fostering innovation, and enhancing publication quality, while a Pro-Vice-Chancellor (Academic) would concentrate on curriculum design, faculty evaluation, and teaching quality. PVCs ensure that the broad policies of the university are translated into actionable outcomes at the faculty and departmental levels. By distributing responsibilities among multiple leaders, universities create a governance model that is both efficient and adaptive.</w:t>
      </w:r>
    </w:p>
    <w:p>
      <w:pPr>
        <w:jc w:val="both"/>
      </w:pPr>
      <w:r>
        <w:rPr>
          <w:rFonts w:ascii="Cambria" w:hAnsi="Cambria"/>
          <w:b w:val="0"/>
          <w:i w:val="0"/>
          <w:sz w:val="22"/>
        </w:rPr>
        <w:t xml:space="preserve">Beneath the VC and PVC level are the core administrative officers who manage essential functions of the university. These include the Registrar, the Finance Officer (FO), and the Controller of Examinations (CoE). </w:t>
      </w:r>
      <w:r>
        <w:rPr>
          <w:rFonts w:ascii="Cambria" w:hAnsi="Cambria"/>
          <w:b w:val="0"/>
          <w:i w:val="0"/>
          <w:sz w:val="22"/>
        </w:rPr>
        <w:t>The Registrar</w:t>
      </w:r>
      <w:r>
        <w:rPr>
          <w:rFonts w:ascii="Cambria" w:hAnsi="Cambria"/>
          <w:b w:val="0"/>
          <w:i w:val="0"/>
          <w:sz w:val="22"/>
        </w:rPr>
        <w:t xml:space="preserve"> is the custodian of records, statutes, and official communications, acting as the central point of coordination for academic and administrative matters. They are responsible for maintaining student records, issuing academic transcripts, supporting the Governing Bodies, and ensuring compliance with regulations. </w:t>
      </w:r>
      <w:r>
        <w:rPr>
          <w:rFonts w:ascii="Cambria" w:hAnsi="Cambria"/>
          <w:b w:val="0"/>
          <w:i w:val="0"/>
          <w:sz w:val="22"/>
        </w:rPr>
        <w:t>The Finance Officer</w:t>
      </w:r>
      <w:r>
        <w:rPr>
          <w:rFonts w:ascii="Cambria" w:hAnsi="Cambria"/>
          <w:b w:val="0"/>
          <w:i w:val="0"/>
          <w:sz w:val="22"/>
        </w:rPr>
        <w:t xml:space="preserve"> serves as the financial guardian of the institution, managing budgets, accounts, payrolls, grants, audits, and long-term financial sustainability. In an era where universities rely on multiple sources of income—government funding, tuition fees, endowments, industry partnerships, and international collaborations—the Finance Officer plays a critical role in diversifying revenue streams and ensuring accountability. </w:t>
      </w:r>
      <w:r>
        <w:rPr>
          <w:rFonts w:ascii="Cambria" w:hAnsi="Cambria"/>
          <w:b w:val="0"/>
          <w:i w:val="0"/>
          <w:sz w:val="22"/>
        </w:rPr>
        <w:t>The Controller of Examinations</w:t>
      </w:r>
      <w:r>
        <w:rPr>
          <w:rFonts w:ascii="Cambria" w:hAnsi="Cambria"/>
          <w:b w:val="0"/>
          <w:i w:val="0"/>
          <w:sz w:val="22"/>
        </w:rPr>
        <w:t xml:space="preserve"> is responsible for maintaining the integrity of the examination and assessment process, which is central to academic credibility. From scheduling exams and printing confidential question papers to supervising evaluation, announcing results, and issuing certificates, the CoE safeguards transparency, fairness, and trust in the institution's academic system.</w:t>
      </w:r>
    </w:p>
    <w:p>
      <w:pPr>
        <w:jc w:val="both"/>
      </w:pPr>
      <w:r>
        <w:rPr>
          <w:rFonts w:ascii="Cambria" w:hAnsi="Cambria"/>
          <w:b w:val="0"/>
          <w:i w:val="0"/>
          <w:sz w:val="22"/>
        </w:rPr>
        <w:t>Alongside these officers, universities also rely on specialized directors for strategic functions. The Director of the Internal Quality Assurance Cell (IQAC) ensures compliance with accreditation frameworks like NAAC, NBA, NIRF, QS, and THE. The IQAC Director oversees quality benchmarks, prepares self-study reports, conducts audits, and integrates feedback mechanisms, ensuring a culture of continuous improvement. The Director of Human Resources &amp; Administration manages faculty recruitment, promotions, performance appraisals, and staff welfare, ensuring that the unique needs of a diverse workforce—faculty, researchers, staff, and student workers—are met. Similarly, the Librarian or Director of Library Services manages knowledge resources, both print and digital, ensuring that faculty and students have access to global research databases, digital repositories, and e-learning tools. The Director of Public Relations / International Office handles branding, media relations, alumni networks, and international collaborations, enhancing the university's visibility and competitiveness on a global stage. Together, these directors form the middle leadership layer, linking executive decision-making with operational outcomes.</w:t>
      </w:r>
    </w:p>
    <w:p>
      <w:pPr>
        <w:jc w:val="both"/>
      </w:pPr>
      <w:r>
        <w:rPr>
          <w:rFonts w:ascii="Cambria" w:hAnsi="Cambria"/>
          <w:b w:val="0"/>
          <w:i w:val="0"/>
          <w:sz w:val="22"/>
        </w:rPr>
        <w:t>At the academic leadership level, Deans of Faculties or Schools and Heads of Departments (HoDs) play vital roles. Deans oversee broad academic divisions such as Engineering, Sciences, Arts, Medicine, and Business. They are responsible for curriculum design, faculty development, research promotion, quality assurance, and resource mobilization within their schools. They serve as strategic leaders, aligning faculty-level objectives with the university's mission. Heads of Departments, on the other hand, function as operational leaders, managing day-to-day teaching schedules, faculty workloads, departmental research, student mentoring, and examinations. While Deans focus on policy and vision at the faculty level, HoDs ensure execution at the departmental level. Together, they form the backbone of academic governance, ensuring that institutional goals are translated into classroom practice and research outcomes.</w:t>
      </w:r>
    </w:p>
    <w:p>
      <w:pPr>
        <w:jc w:val="both"/>
      </w:pPr>
      <w:r>
        <w:rPr>
          <w:rFonts w:ascii="Cambria" w:hAnsi="Cambria"/>
          <w:b w:val="0"/>
          <w:i w:val="0"/>
          <w:sz w:val="22"/>
        </w:rPr>
        <w:t>Modern universities also require a layer of specialized offices and committees to address cross-cutting themes. Committees such as Academic Councils, Boards of Studies, Finance Committees, and Research &amp; Ethics Committees provide collegial governance and shared decision-making. These bodies ensure transparency, collective accountability, and faculty participation in academic and administrative decisions. In many institutions, student unions and alumni councils are also included, providing stakeholder voices in governance. Such inclusivity reflects the collegial spirit of higher education and ensures that universities remain responsive to societal needs.</w:t>
      </w:r>
    </w:p>
    <w:p>
      <w:pPr>
        <w:jc w:val="both"/>
      </w:pPr>
      <w:r>
        <w:rPr>
          <w:rFonts w:ascii="Cambria" w:hAnsi="Cambria"/>
          <w:b w:val="0"/>
          <w:i w:val="0"/>
          <w:sz w:val="22"/>
        </w:rPr>
        <w:t>The structure of university leadership also adapts to global trends. With increasing emphasis on internationalization, sustainability, and digital transformation, many institutions now appoint dedicated officers for international affairs, sustainability, digital learning, and industry partnerships.</w:t>
      </w:r>
      <w:r>
        <w:rPr>
          <w:rFonts w:ascii="Cambria" w:hAnsi="Cambria"/>
          <w:b w:val="0"/>
          <w:i w:val="0"/>
          <w:sz w:val="22"/>
        </w:rPr>
        <w:t xml:space="preserve"> For example, a Pro-Vice-Chancellor for Global Engagement may work on attracting international students and establishing overseas campuses, while a Chief Digital Officer may focus on e-learning platforms, artificial intelligence integration, and digital governance. Similarly, universities are increasingly recognizing the importance of diversity, equity, and inclusion (DEI), appointing officers to promote inclusive policies and equitable opportunities for students and staff.</w:t>
      </w:r>
    </w:p>
    <w:p>
      <w:pPr>
        <w:jc w:val="both"/>
      </w:pPr>
      <w:r>
        <w:rPr>
          <w:rFonts w:ascii="Cambria" w:hAnsi="Cambria"/>
          <w:b w:val="0"/>
          <w:i w:val="0"/>
          <w:sz w:val="22"/>
        </w:rPr>
        <w:t>An effective executive and leadership structure must demonstrate both vertical integration and horizontal collaboration. Vertically, authority flows from the Chancellor and Governing Body to the Vice-Chancellor, PVCs, Deans, HoDs, and faculty. Horizontally, collaboration among functional units—finance, HR, library, PR, IQAC, and examinations—ensures that no function operates in isolation. This balance between hierarchy and collegiality is what makes university governance unique compared to corporate or government systems.</w:t>
      </w:r>
    </w:p>
    <w:p>
      <w:pPr>
        <w:jc w:val="both"/>
      </w:pPr>
      <w:r>
        <w:rPr>
          <w:rFonts w:ascii="Cambria" w:hAnsi="Cambria"/>
          <w:b w:val="0"/>
          <w:i w:val="0"/>
          <w:sz w:val="22"/>
        </w:rPr>
        <w:t>The qualities of good university leadership are not confined to managerial competence but extend to visionary academic stewardship.</w:t>
      </w:r>
      <w:r>
        <w:rPr>
          <w:rFonts w:ascii="Cambria" w:hAnsi="Cambria"/>
          <w:b w:val="0"/>
          <w:i w:val="0"/>
          <w:sz w:val="22"/>
        </w:rPr>
        <w:t xml:space="preserve"> Leaders must navigate the tension between tradition and innovation, balancing the preservation of academic freedom with the demands of accountability and efficiency. They must also be effective communicators, engaging with students, faculty, government, industry, alumni, and society. Integrity, transparency, fairness, and inclusivity are essential qualities, as universities are not only centers of learning but also public institutions accountable to multiple stakeholders.</w:t>
      </w:r>
    </w:p>
    <w:p>
      <w:pPr>
        <w:pStyle w:val="ListBullet"/>
        <w:jc w:val="both"/>
      </w:pPr>
      <w:r>
        <w:rPr>
          <w:rFonts w:ascii="Cambria" w:hAnsi="Cambria"/>
          <w:sz w:val="22"/>
        </w:rPr>
        <w:t>1. Ceremonial &amp; Governing Head</w:t>
      </w:r>
    </w:p>
    <w:p>
      <w:pPr>
        <w:pStyle w:val="ListBullet2"/>
        <w:jc w:val="both"/>
      </w:pPr>
      <w:r>
        <w:rPr>
          <w:rFonts w:ascii="Cambria" w:hAnsi="Cambria"/>
          <w:sz w:val="22"/>
        </w:rPr>
        <w:t>Chancellor</w:t>
      </w:r>
    </w:p>
    <w:p>
      <w:pPr>
        <w:pStyle w:val="ListBullet"/>
        <w:jc w:val="both"/>
      </w:pPr>
      <w:r>
        <w:rPr>
          <w:rFonts w:ascii="Cambria" w:hAnsi="Cambria"/>
          <w:sz w:val="22"/>
        </w:rPr>
        <w:t>Ceremonial head of the university.</w:t>
      </w:r>
    </w:p>
    <w:p>
      <w:pPr>
        <w:pStyle w:val="ListBullet"/>
        <w:jc w:val="both"/>
      </w:pPr>
      <w:r>
        <w:rPr>
          <w:rFonts w:ascii="Cambria" w:hAnsi="Cambria"/>
          <w:sz w:val="22"/>
        </w:rPr>
        <w:t>Confers degrees, presides over convocations.</w:t>
      </w:r>
    </w:p>
    <w:p>
      <w:pPr>
        <w:pStyle w:val="ListBullet"/>
        <w:jc w:val="both"/>
      </w:pPr>
      <w:r>
        <w:rPr>
          <w:rFonts w:ascii="Cambria" w:hAnsi="Cambria"/>
          <w:sz w:val="22"/>
        </w:rPr>
        <w:t>Provides prestige, legitimacy, and external visibility.</w:t>
      </w:r>
    </w:p>
    <w:p>
      <w:pPr>
        <w:pStyle w:val="ListBullet"/>
        <w:jc w:val="both"/>
      </w:pPr>
      <w:r>
        <w:rPr>
          <w:rFonts w:ascii="Cambria" w:hAnsi="Cambria"/>
          <w:sz w:val="22"/>
        </w:rPr>
        <w:t>Approves statutes and appointments (in many systems).</w:t>
      </w:r>
    </w:p>
    <w:p>
      <w:pPr>
        <w:pStyle w:val="ListBullet"/>
        <w:jc w:val="both"/>
      </w:pPr>
      <w:r>
        <w:rPr>
          <w:rFonts w:ascii="Cambria" w:hAnsi="Cambria"/>
          <w:sz w:val="22"/>
        </w:rPr>
        <w:t>2. Chief Executive Leadership</w:t>
      </w:r>
    </w:p>
    <w:p>
      <w:pPr>
        <w:pStyle w:val="ListBullet2"/>
        <w:jc w:val="both"/>
      </w:pPr>
      <w:r>
        <w:rPr>
          <w:rFonts w:ascii="Cambria" w:hAnsi="Cambria"/>
          <w:sz w:val="22"/>
        </w:rPr>
        <w:t>Vice-Chancellor</w:t>
      </w:r>
    </w:p>
    <w:p>
      <w:pPr>
        <w:pStyle w:val="ListBullet"/>
        <w:jc w:val="both"/>
      </w:pPr>
      <w:r>
        <w:rPr>
          <w:rFonts w:ascii="Cambria" w:hAnsi="Cambria"/>
          <w:sz w:val="22"/>
        </w:rPr>
        <w:t>The highest executive authority of the university.</w:t>
      </w:r>
    </w:p>
    <w:p>
      <w:pPr>
        <w:pStyle w:val="ListBullet"/>
        <w:jc w:val="both"/>
      </w:pPr>
      <w:r>
        <w:rPr>
          <w:rFonts w:ascii="Cambria" w:hAnsi="Cambria"/>
          <w:sz w:val="22"/>
        </w:rPr>
        <w:t>Responsible for academic, administrative, financial, and strategic leadership.</w:t>
      </w:r>
    </w:p>
    <w:p>
      <w:pPr>
        <w:pStyle w:val="ListBullet"/>
        <w:jc w:val="both"/>
      </w:pPr>
      <w:r>
        <w:rPr>
          <w:rFonts w:ascii="Cambria" w:hAnsi="Cambria"/>
          <w:sz w:val="22"/>
        </w:rPr>
        <w:t>Represents the university nationally and internationally.</w:t>
      </w:r>
    </w:p>
    <w:p>
      <w:pPr>
        <w:pStyle w:val="ListBullet"/>
        <w:jc w:val="both"/>
      </w:pPr>
      <w:r>
        <w:rPr>
          <w:rFonts w:ascii="Cambria" w:hAnsi="Cambria"/>
          <w:sz w:val="22"/>
        </w:rPr>
        <w:t>Ensures balance between teaching, research, extension, and governance.</w:t>
      </w:r>
    </w:p>
    <w:p>
      <w:pPr>
        <w:pStyle w:val="ListBullet"/>
        <w:jc w:val="both"/>
      </w:pPr>
      <w:r>
        <w:rPr>
          <w:rFonts w:ascii="Cambria" w:hAnsi="Cambria"/>
          <w:sz w:val="22"/>
        </w:rPr>
        <w:t>3. Domain-Specific Leadership (Pro-Vice-Chancellors / Deputy Vice-Chancellors)</w:t>
      </w:r>
    </w:p>
    <w:p>
      <w:pPr>
        <w:pStyle w:val="ListBullet2"/>
        <w:jc w:val="both"/>
      </w:pPr>
      <w:r>
        <w:rPr>
          <w:rFonts w:ascii="Cambria" w:hAnsi="Cambria"/>
          <w:sz w:val="22"/>
        </w:rPr>
        <w:t>Appointed to manage specialized portfolios under the Vice-Chancellor.</w:t>
      </w:r>
    </w:p>
    <w:p>
      <w:pPr>
        <w:pStyle w:val="ListBullet2"/>
        <w:jc w:val="both"/>
      </w:pPr>
      <w:r>
        <w:rPr>
          <w:rFonts w:ascii="Cambria" w:hAnsi="Cambria"/>
          <w:sz w:val="22"/>
        </w:rPr>
        <w:t>Common divisions include:</w:t>
      </w:r>
    </w:p>
    <w:p>
      <w:pPr>
        <w:pStyle w:val="ListBullet"/>
        <w:jc w:val="both"/>
      </w:pPr>
      <w:r>
        <w:rPr>
          <w:rFonts w:ascii="Cambria" w:hAnsi="Cambria"/>
          <w:sz w:val="22"/>
        </w:rPr>
        <w:t>Pro-VC (Academic Affairs): Curriculum, pedagogy, accreditation, examinations.</w:t>
      </w:r>
    </w:p>
    <w:p>
      <w:pPr>
        <w:pStyle w:val="ListBullet"/>
        <w:jc w:val="both"/>
      </w:pPr>
      <w:r>
        <w:rPr>
          <w:rFonts w:ascii="Cambria" w:hAnsi="Cambria"/>
          <w:sz w:val="22"/>
        </w:rPr>
        <w:t>Pro-VC (Research &amp; Innovation): R&amp;D, patents, publications, international projects.</w:t>
      </w:r>
    </w:p>
    <w:p>
      <w:pPr>
        <w:pStyle w:val="ListBullet"/>
        <w:jc w:val="both"/>
      </w:pPr>
      <w:r>
        <w:rPr>
          <w:rFonts w:ascii="Cambria" w:hAnsi="Cambria"/>
          <w:sz w:val="22"/>
        </w:rPr>
        <w:t>Pro-VC (Administration &amp; Finance): HR, budgeting, infrastructure, audits.</w:t>
      </w:r>
    </w:p>
    <w:p>
      <w:pPr>
        <w:pStyle w:val="ListBullet"/>
        <w:jc w:val="both"/>
      </w:pPr>
      <w:r>
        <w:rPr>
          <w:rFonts w:ascii="Cambria" w:hAnsi="Cambria"/>
          <w:sz w:val="22"/>
        </w:rPr>
        <w:t>Pro-VC (Student Affairs): Welfare, scholarships, placements, counseling.</w:t>
      </w:r>
    </w:p>
    <w:p>
      <w:pPr>
        <w:pStyle w:val="ListBullet"/>
        <w:jc w:val="both"/>
      </w:pPr>
      <w:r>
        <w:rPr>
          <w:rFonts w:ascii="Cambria" w:hAnsi="Cambria"/>
          <w:sz w:val="22"/>
        </w:rPr>
        <w:t>Pro-VC (International Relations): MoUs, student/faculty exchanges, global rankings.</w:t>
      </w:r>
    </w:p>
    <w:p>
      <w:pPr>
        <w:pStyle w:val="ListBullet"/>
        <w:jc w:val="both"/>
      </w:pPr>
      <w:r>
        <w:rPr>
          <w:rFonts w:ascii="Cambria" w:hAnsi="Cambria"/>
          <w:sz w:val="22"/>
        </w:rPr>
        <w:t>4. Core Administrative Officers</w:t>
      </w:r>
    </w:p>
    <w:p>
      <w:pPr>
        <w:pStyle w:val="ListBullet2"/>
        <w:jc w:val="both"/>
      </w:pPr>
      <w:r>
        <w:rPr>
          <w:rFonts w:ascii="Cambria" w:hAnsi="Cambria"/>
          <w:sz w:val="22"/>
        </w:rPr>
        <w:t>Registrar</w:t>
      </w:r>
    </w:p>
    <w:p>
      <w:pPr>
        <w:pStyle w:val="ListBullet"/>
        <w:jc w:val="both"/>
      </w:pPr>
      <w:r>
        <w:rPr>
          <w:rFonts w:ascii="Cambria" w:hAnsi="Cambria"/>
          <w:sz w:val="22"/>
        </w:rPr>
        <w:t>Custodian of records, ordinances, statutes.</w:t>
      </w:r>
    </w:p>
    <w:p>
      <w:pPr>
        <w:pStyle w:val="ListBullet"/>
        <w:jc w:val="both"/>
      </w:pPr>
      <w:r>
        <w:rPr>
          <w:rFonts w:ascii="Cambria" w:hAnsi="Cambria"/>
          <w:sz w:val="22"/>
        </w:rPr>
        <w:t>Handles admissions, exams, academic governance, policy documentation.</w:t>
      </w:r>
    </w:p>
    <w:p>
      <w:pPr>
        <w:pStyle w:val="ListBullet2"/>
        <w:jc w:val="both"/>
      </w:pPr>
      <w:r>
        <w:rPr>
          <w:rFonts w:ascii="Cambria" w:hAnsi="Cambria"/>
          <w:sz w:val="22"/>
        </w:rPr>
        <w:t>Controller of Examinations</w:t>
      </w:r>
    </w:p>
    <w:p>
      <w:pPr>
        <w:pStyle w:val="ListBullet"/>
        <w:jc w:val="both"/>
      </w:pPr>
      <w:r>
        <w:rPr>
          <w:rFonts w:ascii="Cambria" w:hAnsi="Cambria"/>
          <w:sz w:val="22"/>
        </w:rPr>
        <w:t>Conducts exams, maintains evaluation integrity, issues results and certificates.</w:t>
      </w:r>
    </w:p>
    <w:p>
      <w:pPr>
        <w:pStyle w:val="ListBullet2"/>
        <w:jc w:val="both"/>
      </w:pPr>
      <w:r>
        <w:rPr>
          <w:rFonts w:ascii="Cambria" w:hAnsi="Cambria"/>
          <w:sz w:val="22"/>
        </w:rPr>
        <w:t>Finance Officer / Bursar / CFO</w:t>
      </w:r>
    </w:p>
    <w:p>
      <w:pPr>
        <w:pStyle w:val="ListBullet"/>
        <w:jc w:val="both"/>
      </w:pPr>
      <w:r>
        <w:rPr>
          <w:rFonts w:ascii="Cambria" w:hAnsi="Cambria"/>
          <w:sz w:val="22"/>
        </w:rPr>
        <w:t>Manages accounts, payrolls, grants, audits, and long-term financial sustainability.</w:t>
      </w:r>
    </w:p>
    <w:p>
      <w:pPr>
        <w:pStyle w:val="ListBullet2"/>
        <w:jc w:val="both"/>
      </w:pPr>
      <w:r>
        <w:rPr>
          <w:rFonts w:ascii="Cambria" w:hAnsi="Cambria"/>
          <w:sz w:val="22"/>
        </w:rPr>
        <w:t>Director – IQAC (Internal Quality Assurance Cell)</w:t>
      </w:r>
    </w:p>
    <w:p>
      <w:pPr>
        <w:pStyle w:val="ListBullet"/>
        <w:jc w:val="both"/>
      </w:pPr>
      <w:r>
        <w:rPr>
          <w:rFonts w:ascii="Cambria" w:hAnsi="Cambria"/>
          <w:sz w:val="22"/>
        </w:rPr>
        <w:t>Monitors quality assurance, accreditation, and compliance with NAAC/NBA/NIRF standards.</w:t>
      </w:r>
    </w:p>
    <w:p>
      <w:pPr>
        <w:pStyle w:val="ListBullet2"/>
        <w:jc w:val="both"/>
      </w:pPr>
      <w:r>
        <w:rPr>
          <w:rFonts w:ascii="Cambria" w:hAnsi="Cambria"/>
          <w:sz w:val="22"/>
        </w:rPr>
        <w:t>Director of HR &amp; Administration</w:t>
      </w:r>
    </w:p>
    <w:p>
      <w:pPr>
        <w:pStyle w:val="ListBullet"/>
        <w:jc w:val="both"/>
      </w:pPr>
      <w:r>
        <w:rPr>
          <w:rFonts w:ascii="Cambria" w:hAnsi="Cambria"/>
          <w:sz w:val="22"/>
        </w:rPr>
        <w:t>Faculty recruitment, promotions, performance appraisal, staff grievance redressal.</w:t>
      </w:r>
    </w:p>
    <w:p>
      <w:pPr>
        <w:pStyle w:val="ListBullet"/>
        <w:jc w:val="both"/>
      </w:pPr>
      <w:r>
        <w:rPr>
          <w:rFonts w:ascii="Cambria" w:hAnsi="Cambria"/>
          <w:sz w:val="22"/>
        </w:rPr>
        <w:t>5. Academic Leadership</w:t>
      </w:r>
    </w:p>
    <w:p>
      <w:pPr>
        <w:pStyle w:val="ListBullet2"/>
        <w:jc w:val="both"/>
      </w:pPr>
      <w:r>
        <w:rPr>
          <w:rFonts w:ascii="Cambria" w:hAnsi="Cambria"/>
          <w:sz w:val="22"/>
        </w:rPr>
        <w:t>Deans of Faculties / Schools</w:t>
      </w:r>
    </w:p>
    <w:p>
      <w:pPr>
        <w:pStyle w:val="ListBullet"/>
        <w:jc w:val="both"/>
      </w:pPr>
      <w:r>
        <w:rPr>
          <w:rFonts w:ascii="Cambria" w:hAnsi="Cambria"/>
          <w:sz w:val="22"/>
        </w:rPr>
        <w:t>Oversee faculties such as Engineering, Sciences, Arts, Medicine, Business, etc.</w:t>
      </w:r>
    </w:p>
    <w:p>
      <w:pPr>
        <w:pStyle w:val="ListBullet"/>
        <w:jc w:val="both"/>
      </w:pPr>
      <w:r>
        <w:rPr>
          <w:rFonts w:ascii="Cambria" w:hAnsi="Cambria"/>
          <w:sz w:val="22"/>
        </w:rPr>
        <w:t>Ensure curriculum design, research activities, faculty evaluation, and academic quality.</w:t>
      </w:r>
    </w:p>
    <w:p>
      <w:pPr>
        <w:pStyle w:val="ListBullet2"/>
        <w:jc w:val="both"/>
      </w:pPr>
      <w:r>
        <w:rPr>
          <w:rFonts w:ascii="Cambria" w:hAnsi="Cambria"/>
          <w:sz w:val="22"/>
        </w:rPr>
        <w:t>Heads of Departments (HoDs)</w:t>
      </w:r>
    </w:p>
    <w:p>
      <w:pPr>
        <w:pStyle w:val="ListBullet"/>
        <w:jc w:val="both"/>
      </w:pPr>
      <w:r>
        <w:rPr>
          <w:rFonts w:ascii="Cambria" w:hAnsi="Cambria"/>
          <w:sz w:val="22"/>
        </w:rPr>
        <w:t>Direct academic departments (e.g., Physics, Computer Science, Law).</w:t>
      </w:r>
    </w:p>
    <w:p>
      <w:pPr>
        <w:pStyle w:val="ListBullet"/>
        <w:jc w:val="both"/>
      </w:pPr>
      <w:r>
        <w:rPr>
          <w:rFonts w:ascii="Cambria" w:hAnsi="Cambria"/>
          <w:sz w:val="22"/>
        </w:rPr>
        <w:t>Manage teaching schedules, departmental research, faculty workload, and student mentoring.</w:t>
      </w:r>
    </w:p>
    <w:p>
      <w:pPr>
        <w:pStyle w:val="ListBullet"/>
        <w:jc w:val="both"/>
      </w:pPr>
      <w:r>
        <w:rPr>
          <w:rFonts w:ascii="Cambria" w:hAnsi="Cambria"/>
          <w:sz w:val="22"/>
        </w:rPr>
        <w:t>6. Extended Executive &amp; Support Units</w:t>
      </w:r>
    </w:p>
    <w:p>
      <w:pPr>
        <w:pStyle w:val="ListBullet2"/>
        <w:jc w:val="both"/>
      </w:pPr>
      <w:r>
        <w:rPr>
          <w:rFonts w:ascii="Cambria" w:hAnsi="Cambria"/>
          <w:sz w:val="22"/>
        </w:rPr>
        <w:t>Librarian / Director of Library Services – Knowledge resource management.</w:t>
      </w:r>
    </w:p>
    <w:p>
      <w:pPr>
        <w:pStyle w:val="ListBullet2"/>
        <w:jc w:val="both"/>
      </w:pPr>
      <w:r>
        <w:rPr>
          <w:rFonts w:ascii="Cambria" w:hAnsi="Cambria"/>
          <w:sz w:val="22"/>
        </w:rPr>
        <w:t>Director – Research &amp; Development Cell – Research funding, consultancy, innovation.</w:t>
      </w:r>
    </w:p>
    <w:p>
      <w:pPr>
        <w:pStyle w:val="ListBullet2"/>
        <w:jc w:val="both"/>
      </w:pPr>
      <w:r>
        <w:rPr>
          <w:rFonts w:ascii="Cambria" w:hAnsi="Cambria"/>
          <w:sz w:val="22"/>
        </w:rPr>
        <w:t>Director – Career Development &amp; Placement Cell – Industry partnerships, employability.</w:t>
      </w:r>
    </w:p>
    <w:p>
      <w:pPr>
        <w:pStyle w:val="ListBullet2"/>
        <w:jc w:val="both"/>
      </w:pPr>
      <w:r>
        <w:rPr>
          <w:rFonts w:ascii="Cambria" w:hAnsi="Cambria"/>
          <w:sz w:val="22"/>
        </w:rPr>
        <w:t>Dean of Students / Director of Student Welfare – Student engagement, scholarships, clubs.</w:t>
      </w:r>
    </w:p>
    <w:p>
      <w:pPr>
        <w:pStyle w:val="ListBullet2"/>
        <w:jc w:val="both"/>
      </w:pPr>
      <w:r>
        <w:rPr>
          <w:rFonts w:ascii="Cambria" w:hAnsi="Cambria"/>
          <w:sz w:val="22"/>
        </w:rPr>
        <w:t>Public Relations / International Office – Branding, media relations, international outreach.</w:t>
      </w:r>
    </w:p>
    <w:p>
      <w:r>
        <w:br w:type="page"/>
      </w:r>
    </w:p>
    <w:p>
      <w:pPr>
        <w:keepNext/>
        <w:spacing w:before="240" w:after="120"/>
      </w:pPr>
      <w:r>
        <w:rPr>
          <w:rFonts w:ascii="Cambria" w:hAnsi="Cambria"/>
          <w:b/>
          <w:color w:val="1F3A5F"/>
          <w:sz w:val="36"/>
        </w:rPr>
        <w:t>2. Ceremonial &amp; Governing Head- Chancellor</w:t>
      </w:r>
    </w:p>
    <w:p>
      <w:pPr>
        <w:jc w:val="both"/>
      </w:pPr>
      <w:r>
        <w:rPr>
          <w:rFonts w:ascii="Cambria" w:hAnsi="Cambria"/>
          <w:b w:val="0"/>
          <w:i w:val="0"/>
          <w:sz w:val="22"/>
        </w:rPr>
        <w:t>The role of a university Chancellor varies significantly across countries and even across institutions within the same country, reflecting differences in governance traditions, legal frameworks, and cultural expectations. In some contexts, the Chancellor functions as a largely ceremonial figurehead, while in others, they hold extensive executive authority as the chief leader of the institution. The scope of responsibilities often depends on whether the university is part of a larger higher education system or a stand-alone autonomous institution, as well as the historical traditions that shape its governance model.</w:t>
      </w:r>
    </w:p>
    <w:p>
      <w:pPr>
        <w:jc w:val="both"/>
      </w:pPr>
      <w:r>
        <w:rPr>
          <w:rFonts w:ascii="Cambria" w:hAnsi="Cambria"/>
          <w:b w:val="0"/>
          <w:i w:val="0"/>
          <w:sz w:val="22"/>
        </w:rPr>
        <w:t>In many Commonwealth countries such as the United Kingdom, Australia, and India, the Chancellor is typically regarded as the ceremonial head of the university, with the primary role of presiding over convocations, awarding degrees, and representing the institution in public life. These Chancellors are often distinguished figures from politics, business, or society, chosen to provide prestige and external visibility to the university. Their involvement in day-to-day governance is minimal, as the executive authority is vested in the Vice-Chancellor, who serves as the academic and administrative chief executive. In such systems, the Chancellor embodies tradition and continuity, linking the university with the broader society while leaving operational matters to professional academic leaders.</w:t>
      </w:r>
    </w:p>
    <w:p>
      <w:pPr>
        <w:jc w:val="both"/>
      </w:pPr>
      <w:r>
        <w:rPr>
          <w:rFonts w:ascii="Cambria" w:hAnsi="Cambria"/>
          <w:b w:val="0"/>
          <w:i w:val="0"/>
          <w:sz w:val="22"/>
        </w:rPr>
        <w:t>By contrast, in the United States, the term “Chancellor” can mean something quite different. In many U.S. university systems, such as the University of California, the Chancellor of each campus functions as the chief executive officer, responsible for both academic and administrative leadership. In this model, the Chancellor combines ceremonial duties with executive power, much like the Vice-Chancellor in the Commonwealth system. Where universities operate within state-wide systems, the Chancellor may report to a Board of Regents or Trustees, who collectively provide governance oversight. At the same time, in some independent U.S. institutions, the title “Chancellor” may refer to the overall system leader, while individual campuses are headed by Presidents.</w:t>
      </w:r>
    </w:p>
    <w:p>
      <w:pPr>
        <w:jc w:val="both"/>
      </w:pPr>
      <w:r>
        <w:rPr>
          <w:rFonts w:ascii="Cambria" w:hAnsi="Cambria"/>
          <w:b w:val="0"/>
          <w:i w:val="0"/>
          <w:sz w:val="22"/>
        </w:rPr>
        <w:t>In continental Europe, the role of the Chancellor also differs. For example, in Germany, the Chancellor (Kanzler) is primarily an administrative leader, managing finances, personnel, and infrastructure, while the Rector or President serves as the academic head. This model reflects a separation of academic and administrative authority, ensuring that universities are managed with both intellectual leadership and organizational efficiency. Similarly, in other European countries, the Chancellor may serve as a government-appointed officer who ensures compliance with regulations, particularly in public universities.</w:t>
      </w:r>
    </w:p>
    <w:p>
      <w:pPr>
        <w:jc w:val="both"/>
      </w:pPr>
      <w:r>
        <w:rPr>
          <w:rFonts w:ascii="Cambria" w:hAnsi="Cambria"/>
          <w:b w:val="0"/>
          <w:i w:val="0"/>
          <w:sz w:val="22"/>
        </w:rPr>
        <w:t>In India, the Chancellor is usually the Governor of the state in the case of state universities, or a distinguished person appointed by the government in the case of private institutions. The Chancellor formally appoints the Vice-Chancellor, approves statutes, and presides over convocation ceremonies. Although their role is mostly ceremonial, the Chancellor retains certain statutory powers that can influence the direction of the university, especially in regulatory compliance and leadership appointments. By contrast, in some private or deemed universities, the Chancellor may be the founder or a senior trustee, holding substantial influence in both ceremonial and executive functions.</w:t>
      </w:r>
    </w:p>
    <w:p>
      <w:pPr>
        <w:jc w:val="both"/>
      </w:pPr>
      <w:r>
        <w:rPr>
          <w:rFonts w:ascii="Cambria" w:hAnsi="Cambria"/>
          <w:b w:val="0"/>
          <w:i w:val="0"/>
          <w:sz w:val="22"/>
        </w:rPr>
        <w:t>The variation in responsibilities demonstrates that the Chancellor's position is deeply shaped by tradition, system governance, and national policy. Where the Chancellor is ceremonial, the office contributes prestige, external relations, and symbolic continuity. Where the Chancellor is executive, the role demands managerial acumen, strategic vision, and accountability for academic and financial performance. In hybrid systems, the Chancellor may act as a guardian of statutes, a link to government, or a strategic overseer, balancing symbolic leadership with regulatory authority.</w:t>
      </w:r>
    </w:p>
    <w:p>
      <w:pPr>
        <w:pStyle w:val="ListBullet"/>
        <w:jc w:val="both"/>
      </w:pPr>
      <w:r>
        <w:rPr>
          <w:rFonts w:ascii="Cambria" w:hAnsi="Cambria"/>
          <w:sz w:val="22"/>
        </w:rPr>
        <w:t>1. Position and Role</w:t>
      </w:r>
    </w:p>
    <w:p>
      <w:pPr>
        <w:pStyle w:val="ListBullet2"/>
        <w:jc w:val="both"/>
      </w:pPr>
      <w:r>
        <w:rPr>
          <w:rFonts w:ascii="Cambria" w:hAnsi="Cambria"/>
          <w:sz w:val="22"/>
        </w:rPr>
        <w:t>The Chancellor is the ceremonial head of the university and holds the highest constitutional position in the institution's governance structure.</w:t>
      </w:r>
    </w:p>
    <w:p>
      <w:pPr>
        <w:pStyle w:val="ListBullet2"/>
        <w:jc w:val="both"/>
      </w:pPr>
      <w:r>
        <w:rPr>
          <w:rFonts w:ascii="Cambria" w:hAnsi="Cambria"/>
          <w:sz w:val="22"/>
        </w:rPr>
        <w:t>In State Universities in India, the Chancellor is usually the Governor of the State.</w:t>
      </w:r>
    </w:p>
    <w:p>
      <w:pPr>
        <w:pStyle w:val="ListBullet2"/>
        <w:jc w:val="both"/>
      </w:pPr>
      <w:r>
        <w:rPr>
          <w:rFonts w:ascii="Cambria" w:hAnsi="Cambria"/>
          <w:sz w:val="22"/>
        </w:rPr>
        <w:t>In Central Universities, the President of India functions as the Visitor, a role parallel to the Chancellor.</w:t>
      </w:r>
    </w:p>
    <w:p>
      <w:pPr>
        <w:pStyle w:val="ListBullet2"/>
        <w:jc w:val="both"/>
      </w:pPr>
      <w:r>
        <w:rPr>
          <w:rFonts w:ascii="Cambria" w:hAnsi="Cambria"/>
          <w:sz w:val="22"/>
        </w:rPr>
        <w:t>In private or deemed universities, the Chancellor is often the founder or a nominee of the sponsoring body.</w:t>
      </w:r>
    </w:p>
    <w:p>
      <w:pPr>
        <w:pStyle w:val="ListBullet2"/>
        <w:jc w:val="both"/>
      </w:pPr>
      <w:r>
        <w:rPr>
          <w:rFonts w:ascii="Cambria" w:hAnsi="Cambria"/>
          <w:sz w:val="22"/>
        </w:rPr>
        <w:t>Unlike the Vice-Chancellor, the Chancellor is not involved in daily administration but acts as a guardian of integrity, fairness, and autonomy.</w:t>
      </w:r>
    </w:p>
    <w:p>
      <w:pPr>
        <w:pStyle w:val="ListBullet"/>
        <w:jc w:val="both"/>
      </w:pPr>
      <w:r>
        <w:rPr>
          <w:rFonts w:ascii="Cambria" w:hAnsi="Cambria"/>
          <w:sz w:val="22"/>
        </w:rPr>
        <w:t>2. Core Responsibilities</w:t>
      </w:r>
    </w:p>
    <w:p>
      <w:pPr>
        <w:pStyle w:val="ListBullet2"/>
        <w:jc w:val="both"/>
      </w:pPr>
      <w:r>
        <w:rPr>
          <w:rFonts w:ascii="Cambria" w:hAnsi="Cambria"/>
          <w:sz w:val="22"/>
        </w:rPr>
        <w:t>Appointment of Vice-Chancellor</w:t>
      </w:r>
    </w:p>
    <w:p>
      <w:pPr>
        <w:pStyle w:val="ListBullet"/>
        <w:jc w:val="both"/>
      </w:pPr>
      <w:r>
        <w:rPr>
          <w:rFonts w:ascii="Cambria" w:hAnsi="Cambria"/>
          <w:sz w:val="22"/>
        </w:rPr>
        <w:t>The Chancellor appoints the Vice-Chancellor based on recommendations from a Search-cum-Selection Committee.</w:t>
      </w:r>
    </w:p>
    <w:p>
      <w:pPr>
        <w:pStyle w:val="ListBullet"/>
        <w:jc w:val="both"/>
      </w:pPr>
      <w:r>
        <w:rPr>
          <w:rFonts w:ascii="Cambria" w:hAnsi="Cambria"/>
          <w:sz w:val="22"/>
        </w:rPr>
        <w:t>Ensures merit-based, transparent leadership selection.</w:t>
      </w:r>
    </w:p>
    <w:p>
      <w:pPr>
        <w:pStyle w:val="ListBullet2"/>
        <w:jc w:val="both"/>
      </w:pPr>
      <w:r>
        <w:rPr>
          <w:rFonts w:ascii="Cambria" w:hAnsi="Cambria"/>
          <w:sz w:val="22"/>
        </w:rPr>
        <w:t>Ceremonial Duties</w:t>
      </w:r>
    </w:p>
    <w:p>
      <w:pPr>
        <w:pStyle w:val="ListBullet"/>
        <w:jc w:val="both"/>
      </w:pPr>
      <w:r>
        <w:rPr>
          <w:rFonts w:ascii="Cambria" w:hAnsi="Cambria"/>
          <w:sz w:val="22"/>
        </w:rPr>
        <w:t>Presides over convocations, confers degrees, and represents the dignity of the institution.</w:t>
      </w:r>
    </w:p>
    <w:p>
      <w:pPr>
        <w:pStyle w:val="ListBullet2"/>
        <w:jc w:val="both"/>
      </w:pPr>
      <w:r>
        <w:rPr>
          <w:rFonts w:ascii="Cambria" w:hAnsi="Cambria"/>
          <w:sz w:val="22"/>
        </w:rPr>
        <w:t>Oversight of Governance</w:t>
      </w:r>
    </w:p>
    <w:p>
      <w:pPr>
        <w:pStyle w:val="ListBullet"/>
        <w:jc w:val="both"/>
      </w:pPr>
      <w:r>
        <w:rPr>
          <w:rFonts w:ascii="Cambria" w:hAnsi="Cambria"/>
          <w:sz w:val="22"/>
        </w:rPr>
        <w:t>Approves statutes, ordinances, and amendments passed by university authorities.</w:t>
      </w:r>
    </w:p>
    <w:p>
      <w:pPr>
        <w:pStyle w:val="ListBullet"/>
        <w:jc w:val="both"/>
      </w:pPr>
      <w:r>
        <w:rPr>
          <w:rFonts w:ascii="Cambria" w:hAnsi="Cambria"/>
          <w:sz w:val="22"/>
        </w:rPr>
        <w:t>Ensures alignment of university functioning with state or national higher education laws.</w:t>
      </w:r>
    </w:p>
    <w:p>
      <w:pPr>
        <w:pStyle w:val="ListBullet2"/>
        <w:jc w:val="both"/>
      </w:pPr>
      <w:r>
        <w:rPr>
          <w:rFonts w:ascii="Cambria" w:hAnsi="Cambria"/>
          <w:sz w:val="22"/>
        </w:rPr>
        <w:t>Conflict Resolution</w:t>
      </w:r>
    </w:p>
    <w:p>
      <w:pPr>
        <w:pStyle w:val="ListBullet"/>
        <w:jc w:val="both"/>
      </w:pPr>
      <w:r>
        <w:rPr>
          <w:rFonts w:ascii="Cambria" w:hAnsi="Cambria"/>
          <w:sz w:val="22"/>
        </w:rPr>
        <w:t>Acts as the final authority in cases of disputes between the university and government or among university bodies.</w:t>
      </w:r>
    </w:p>
    <w:p>
      <w:pPr>
        <w:pStyle w:val="ListBullet2"/>
        <w:jc w:val="both"/>
      </w:pPr>
      <w:r>
        <w:rPr>
          <w:rFonts w:ascii="Cambria" w:hAnsi="Cambria"/>
          <w:sz w:val="22"/>
        </w:rPr>
        <w:t>Promoting Autonomy and Integrity</w:t>
      </w:r>
    </w:p>
    <w:p>
      <w:pPr>
        <w:pStyle w:val="ListBullet"/>
        <w:jc w:val="both"/>
      </w:pPr>
      <w:r>
        <w:rPr>
          <w:rFonts w:ascii="Cambria" w:hAnsi="Cambria"/>
          <w:sz w:val="22"/>
        </w:rPr>
        <w:t>Safeguards academic freedom and insulates the institution from undue political or external interference.</w:t>
      </w:r>
    </w:p>
    <w:p>
      <w:pPr>
        <w:pStyle w:val="ListBullet"/>
        <w:jc w:val="both"/>
      </w:pPr>
      <w:r>
        <w:rPr>
          <w:rFonts w:ascii="Cambria" w:hAnsi="Cambria"/>
          <w:sz w:val="22"/>
        </w:rPr>
        <w:t>3. Relationship with Vice-Chancellor and Governing Bodies</w:t>
      </w:r>
    </w:p>
    <w:p>
      <w:pPr>
        <w:pStyle w:val="ListBullet2"/>
        <w:jc w:val="both"/>
      </w:pPr>
      <w:r>
        <w:rPr>
          <w:rFonts w:ascii="Cambria" w:hAnsi="Cambria"/>
          <w:sz w:val="22"/>
        </w:rPr>
        <w:t>The Chancellor is the appointing and supervisory authority for the Vice-Chancellor.</w:t>
      </w:r>
    </w:p>
    <w:p>
      <w:pPr>
        <w:pStyle w:val="ListBullet2"/>
        <w:jc w:val="both"/>
      </w:pPr>
      <w:r>
        <w:rPr>
          <w:rFonts w:ascii="Cambria" w:hAnsi="Cambria"/>
          <w:sz w:val="22"/>
        </w:rPr>
        <w:t>Delegates executive powers to the Vice-Chancellor but retains ceremonial oversight.</w:t>
      </w:r>
    </w:p>
    <w:p>
      <w:pPr>
        <w:pStyle w:val="ListBullet2"/>
        <w:jc w:val="both"/>
      </w:pPr>
      <w:r>
        <w:rPr>
          <w:rFonts w:ascii="Cambria" w:hAnsi="Cambria"/>
          <w:sz w:val="22"/>
        </w:rPr>
        <w:t>Acts as a balancing figure between government policy, university autonomy, and academic leadership.</w:t>
      </w:r>
    </w:p>
    <w:p>
      <w:pPr>
        <w:pStyle w:val="ListBullet2"/>
        <w:jc w:val="both"/>
      </w:pPr>
      <w:r>
        <w:rPr>
          <w:rFonts w:ascii="Cambria" w:hAnsi="Cambria"/>
          <w:sz w:val="22"/>
        </w:rPr>
        <w:t>Ensures that statutory bodies such as the Executive Council, Academic Council, and Finance Committee function within prescribed regulations.</w:t>
      </w:r>
    </w:p>
    <w:p>
      <w:pPr>
        <w:pStyle w:val="ListBullet"/>
        <w:jc w:val="both"/>
      </w:pPr>
      <w:r>
        <w:rPr>
          <w:rFonts w:ascii="Cambria" w:hAnsi="Cambria"/>
          <w:sz w:val="22"/>
        </w:rPr>
        <w:t>4. Qualities of a Good Chancellor</w:t>
      </w:r>
    </w:p>
    <w:p>
      <w:pPr>
        <w:pStyle w:val="ListBullet2"/>
        <w:jc w:val="both"/>
      </w:pPr>
      <w:r>
        <w:rPr>
          <w:rFonts w:ascii="Cambria" w:hAnsi="Cambria"/>
          <w:sz w:val="22"/>
        </w:rPr>
        <w:t>Must embody neutrality, fairness, and dignity.</w:t>
      </w:r>
    </w:p>
    <w:p>
      <w:pPr>
        <w:pStyle w:val="ListBullet2"/>
        <w:jc w:val="both"/>
      </w:pPr>
      <w:r>
        <w:rPr>
          <w:rFonts w:ascii="Cambria" w:hAnsi="Cambria"/>
          <w:sz w:val="22"/>
        </w:rPr>
        <w:t>Should remain apolitical and act in the best interests of higher education.</w:t>
      </w:r>
    </w:p>
    <w:p>
      <w:pPr>
        <w:pStyle w:val="ListBullet2"/>
        <w:jc w:val="both"/>
      </w:pPr>
      <w:r>
        <w:rPr>
          <w:rFonts w:ascii="Cambria" w:hAnsi="Cambria"/>
          <w:sz w:val="22"/>
        </w:rPr>
        <w:t>Needs the ability to safeguard the university's autonomy while ensuring accountability.</w:t>
      </w:r>
    </w:p>
    <w:p>
      <w:pPr>
        <w:pStyle w:val="ListBullet2"/>
        <w:jc w:val="both"/>
      </w:pPr>
      <w:r>
        <w:rPr>
          <w:rFonts w:ascii="Cambria" w:hAnsi="Cambria"/>
          <w:sz w:val="22"/>
        </w:rPr>
        <w:t>Should serve as a mentor and guiding figure to the Vice-Chancellor and academic community.</w:t>
      </w:r>
    </w:p>
    <w:p>
      <w:pPr>
        <w:pStyle w:val="ListBullet"/>
        <w:jc w:val="both"/>
      </w:pPr>
      <w:r>
        <w:rPr>
          <w:rFonts w:ascii="Cambria" w:hAnsi="Cambria"/>
          <w:sz w:val="22"/>
        </w:rPr>
        <w:t>5. Limitations of Role</w:t>
      </w:r>
    </w:p>
    <w:p>
      <w:pPr>
        <w:pStyle w:val="ListBullet2"/>
        <w:jc w:val="both"/>
      </w:pPr>
      <w:r>
        <w:rPr>
          <w:rFonts w:ascii="Cambria" w:hAnsi="Cambria"/>
          <w:sz w:val="22"/>
        </w:rPr>
        <w:t>In most systems, the Chancellor does not engage in daily academic or administrative decisions.</w:t>
      </w:r>
    </w:p>
    <w:p>
      <w:pPr>
        <w:pStyle w:val="ListBullet2"/>
        <w:jc w:val="both"/>
      </w:pPr>
      <w:r>
        <w:rPr>
          <w:rFonts w:ascii="Cambria" w:hAnsi="Cambria"/>
          <w:sz w:val="22"/>
        </w:rPr>
        <w:t>The Chancellor's power is largely supervisory and ceremonial, while execution lies with the Vice-Chancellor and university administration.</w:t>
      </w:r>
    </w:p>
    <w:p>
      <w:pPr>
        <w:keepNext/>
        <w:spacing w:before="160" w:after="120"/>
      </w:pPr>
      <w:r>
        <w:rPr>
          <w:rFonts w:ascii="Cambria" w:hAnsi="Cambria"/>
          <w:b/>
          <w:color w:val="1F3A5F"/>
          <w:sz w:val="30"/>
        </w:rPr>
        <w:t>Ceremonial &amp; Governing Head</w:t>
      </w:r>
    </w:p>
    <w:p>
      <w:pPr>
        <w:pStyle w:val="ListBullet"/>
        <w:jc w:val="both"/>
      </w:pPr>
      <w:r>
        <w:rPr>
          <w:rFonts w:ascii="Cambria" w:hAnsi="Cambria"/>
          <w:sz w:val="22"/>
        </w:rPr>
        <w:t>Chancellor as Ceremonial Head</w:t>
      </w:r>
    </w:p>
    <w:p>
      <w:pPr>
        <w:pStyle w:val="ListBullet2"/>
        <w:jc w:val="both"/>
      </w:pPr>
      <w:r>
        <w:rPr>
          <w:rFonts w:ascii="Cambria" w:hAnsi="Cambria"/>
          <w:sz w:val="22"/>
        </w:rPr>
        <w:t>The Chancellor is the highest constitutional authority in the university structure, serving primarily as the ceremonial head.</w:t>
      </w:r>
    </w:p>
    <w:p>
      <w:pPr>
        <w:pStyle w:val="ListBullet2"/>
        <w:jc w:val="both"/>
      </w:pPr>
      <w:r>
        <w:rPr>
          <w:rFonts w:ascii="Cambria" w:hAnsi="Cambria"/>
          <w:sz w:val="22"/>
        </w:rPr>
        <w:t>Symbolizes the dignity, heritage, and legitimacy of the institution.</w:t>
      </w:r>
    </w:p>
    <w:p>
      <w:pPr>
        <w:pStyle w:val="ListBullet2"/>
        <w:jc w:val="both"/>
      </w:pPr>
      <w:r>
        <w:rPr>
          <w:rFonts w:ascii="Cambria" w:hAnsi="Cambria"/>
          <w:sz w:val="22"/>
        </w:rPr>
        <w:t>In India, the Governor of the State is usually the Chancellor of state universities, while in central universities the President of India functions as the Visitor (a role parallel to the Chancellor).</w:t>
      </w:r>
    </w:p>
    <w:p>
      <w:pPr>
        <w:pStyle w:val="ListBullet2"/>
        <w:jc w:val="both"/>
      </w:pPr>
      <w:r>
        <w:rPr>
          <w:rFonts w:ascii="Cambria" w:hAnsi="Cambria"/>
          <w:sz w:val="22"/>
        </w:rPr>
        <w:t>In private and deemed universities, the Chancellor is often the founder or a nominee of the sponsoring body.</w:t>
      </w:r>
    </w:p>
    <w:p>
      <w:pPr>
        <w:pStyle w:val="ListBullet"/>
        <w:jc w:val="both"/>
      </w:pPr>
      <w:r>
        <w:rPr>
          <w:rFonts w:ascii="Cambria" w:hAnsi="Cambria"/>
          <w:sz w:val="22"/>
        </w:rPr>
        <w:t>Core Ceremonial Functions</w:t>
      </w:r>
    </w:p>
    <w:p>
      <w:pPr>
        <w:pStyle w:val="ListBullet2"/>
        <w:jc w:val="both"/>
      </w:pPr>
      <w:r>
        <w:rPr>
          <w:rFonts w:ascii="Cambria" w:hAnsi="Cambria"/>
          <w:sz w:val="22"/>
        </w:rPr>
        <w:t>Presides over Convocations – confers degrees, diplomas, and honors upon graduates.</w:t>
      </w:r>
    </w:p>
    <w:p>
      <w:pPr>
        <w:pStyle w:val="ListBullet2"/>
        <w:jc w:val="both"/>
      </w:pPr>
      <w:r>
        <w:rPr>
          <w:rFonts w:ascii="Cambria" w:hAnsi="Cambria"/>
          <w:sz w:val="22"/>
        </w:rPr>
        <w:t>Represents Institutional Prestige – upholds the symbolic stature of the university in academic and public life.</w:t>
      </w:r>
    </w:p>
    <w:p>
      <w:pPr>
        <w:pStyle w:val="ListBullet2"/>
        <w:jc w:val="both"/>
      </w:pPr>
      <w:r>
        <w:rPr>
          <w:rFonts w:ascii="Cambria" w:hAnsi="Cambria"/>
          <w:sz w:val="22"/>
        </w:rPr>
        <w:t>Maintains External Visibility – serves as a bridge between the university and government, society, and international academia.</w:t>
      </w:r>
    </w:p>
    <w:p>
      <w:pPr>
        <w:pStyle w:val="ListBullet"/>
        <w:jc w:val="both"/>
      </w:pPr>
      <w:r>
        <w:rPr>
          <w:rFonts w:ascii="Cambria" w:hAnsi="Cambria"/>
          <w:sz w:val="22"/>
        </w:rPr>
        <w:t>Governing &amp; Supervisory Functions</w:t>
      </w:r>
    </w:p>
    <w:p>
      <w:pPr>
        <w:pStyle w:val="ListBullet2"/>
        <w:jc w:val="both"/>
      </w:pPr>
      <w:r>
        <w:rPr>
          <w:rFonts w:ascii="Cambria" w:hAnsi="Cambria"/>
          <w:sz w:val="22"/>
        </w:rPr>
        <w:t>Approval of Statutes and Ordinances – validates important rules, amendments, and university policies passed by governing bodies.</w:t>
      </w:r>
    </w:p>
    <w:p>
      <w:pPr>
        <w:pStyle w:val="ListBullet2"/>
        <w:jc w:val="both"/>
      </w:pPr>
      <w:r>
        <w:rPr>
          <w:rFonts w:ascii="Cambria" w:hAnsi="Cambria"/>
          <w:sz w:val="22"/>
        </w:rPr>
        <w:t>Appointment of Vice-Chancellor – selects the Vice-Chancellor from the panel recommended by the Search-cum-Selection Committee.</w:t>
      </w:r>
    </w:p>
    <w:p>
      <w:pPr>
        <w:pStyle w:val="ListBullet2"/>
        <w:jc w:val="both"/>
      </w:pPr>
      <w:r>
        <w:rPr>
          <w:rFonts w:ascii="Cambria" w:hAnsi="Cambria"/>
          <w:sz w:val="22"/>
        </w:rPr>
        <w:t>Oversight Role – ensures the university functions in accordance with state/national higher education laws.</w:t>
      </w:r>
    </w:p>
    <w:p>
      <w:pPr>
        <w:pStyle w:val="ListBullet2"/>
        <w:jc w:val="both"/>
      </w:pPr>
      <w:r>
        <w:rPr>
          <w:rFonts w:ascii="Cambria" w:hAnsi="Cambria"/>
          <w:sz w:val="22"/>
        </w:rPr>
        <w:t>Dispute Resolution – acts as a final authority in cases of conflict between university bodies or between the university and government.</w:t>
      </w:r>
    </w:p>
    <w:p>
      <w:pPr>
        <w:pStyle w:val="ListBullet"/>
        <w:jc w:val="both"/>
      </w:pPr>
      <w:r>
        <w:rPr>
          <w:rFonts w:ascii="Cambria" w:hAnsi="Cambria"/>
          <w:sz w:val="22"/>
        </w:rPr>
        <w:t>Importance of the Chancellor's Role</w:t>
      </w:r>
    </w:p>
    <w:p>
      <w:pPr>
        <w:pStyle w:val="ListBullet2"/>
        <w:jc w:val="both"/>
      </w:pPr>
      <w:r>
        <w:rPr>
          <w:rFonts w:ascii="Cambria" w:hAnsi="Cambria"/>
          <w:sz w:val="22"/>
        </w:rPr>
        <w:t>Provides legitimacy and continuity in governance.</w:t>
      </w:r>
    </w:p>
    <w:p>
      <w:pPr>
        <w:pStyle w:val="ListBullet2"/>
        <w:jc w:val="both"/>
      </w:pPr>
      <w:r>
        <w:rPr>
          <w:rFonts w:ascii="Cambria" w:hAnsi="Cambria"/>
          <w:sz w:val="22"/>
        </w:rPr>
        <w:t>Acts as a neutral figure safeguarding academic autonomy against external or political pressures.</w:t>
      </w:r>
    </w:p>
    <w:p>
      <w:pPr>
        <w:pStyle w:val="ListBullet2"/>
        <w:jc w:val="both"/>
      </w:pPr>
      <w:r>
        <w:rPr>
          <w:rFonts w:ascii="Cambria" w:hAnsi="Cambria"/>
          <w:sz w:val="22"/>
        </w:rPr>
        <w:t>Brings prestige and credibility, enhancing the institution's image.</w:t>
      </w:r>
    </w:p>
    <w:p>
      <w:pPr>
        <w:pStyle w:val="ListBullet2"/>
        <w:jc w:val="both"/>
      </w:pPr>
      <w:r>
        <w:rPr>
          <w:rFonts w:ascii="Cambria" w:hAnsi="Cambria"/>
          <w:sz w:val="22"/>
        </w:rPr>
        <w:t>Ensures that senior appointments and policies are executed fairly.</w:t>
      </w:r>
    </w:p>
    <w:p>
      <w:r>
        <w:br w:type="page"/>
      </w:r>
    </w:p>
    <w:p>
      <w:pPr>
        <w:keepNext/>
        <w:spacing w:before="240" w:after="120"/>
      </w:pPr>
      <w:r>
        <w:rPr>
          <w:rFonts w:ascii="Cambria" w:hAnsi="Cambria"/>
          <w:b/>
          <w:color w:val="1F3A5F"/>
          <w:sz w:val="36"/>
        </w:rPr>
        <w:t>3. Chief Executive Leadership -Vice-Chancellor</w:t>
      </w:r>
    </w:p>
    <w:p>
      <w:pPr>
        <w:jc w:val="both"/>
      </w:pPr>
      <w:r>
        <w:rPr>
          <w:rFonts w:ascii="Cambria" w:hAnsi="Cambria"/>
          <w:b w:val="0"/>
          <w:i w:val="0"/>
          <w:sz w:val="22"/>
        </w:rPr>
        <w:t>The Vice-Chancellor (VC) occupies the most pivotal executive position in the governance and administration of a university. In different parts of the world, this role is often designated by alternative titles such as President, Rector, or Principal, yet the responsibilities remain fundamentally aligned: to serve as the chief academic and administrative officer of the institution. The office of the Vice-Chancellor is central to ensuring that the university not only fulfills its statutory obligations but also advances as a dynamic center of teaching, research, innovation, and societal engagement. As the executive head, the Vice-Chancellor acts as the vital link between the ceremonial governance led by the Chancellor or Visitor and the operational leadership exercised by the Registrar, Deans, Heads of Departments, and faculty members. The position thus demands a delicate balance between visionary leadership, efficient administration, and academic stewardship.</w:t>
      </w:r>
    </w:p>
    <w:p>
      <w:pPr>
        <w:jc w:val="both"/>
      </w:pPr>
      <w:r>
        <w:rPr>
          <w:rFonts w:ascii="Cambria" w:hAnsi="Cambria"/>
          <w:b w:val="0"/>
          <w:i w:val="0"/>
          <w:sz w:val="22"/>
        </w:rPr>
        <w:t>The Vice-Chancellor is entrusted with the academic leadership of the institution, which constitutes the heart of a university's mission. This involves overseeing the development, revision, and implementation of curricula across faculties, ensuring that academic programs remain relevant, rigorous, and aligned with national as well as global standards. The VC presides over the Academic Council or Senate, the highest academic authority of the university, where decisions on new courses, pedagogical strategies, examination regulations, and accreditation processes are deliberated. Furthermore, the Vice-Chancellor plays a decisive role in fostering a culture of research and innovation by encouraging faculty members to pursue funded projects, publish in reputed journals, and engage in interdisciplinary collaborations. In the modern knowledge economy, universities are judged by their research output and global rankings, and hence the Vice-Chancellor must actively promote initiatives that enhance the institution's scholarly reputation.</w:t>
      </w:r>
    </w:p>
    <w:p>
      <w:pPr>
        <w:jc w:val="both"/>
      </w:pPr>
      <w:r>
        <w:rPr>
          <w:rFonts w:ascii="Cambria" w:hAnsi="Cambria"/>
          <w:b w:val="0"/>
          <w:i w:val="0"/>
          <w:sz w:val="22"/>
        </w:rPr>
        <w:t>Equally significant is the administrative leadership exercised by the Vice-Chancellor. As the chief executive, the VC is responsible for the day-to-day functioning of the university, ensuring that governance structures operate efficiently and in harmony with statutory frameworks. The VC supervises the Registrar, Finance Officer, Controller of Examinations, Deans, and other senior administrators, ensuring that academic policies are executed smoothly and that regulatory compliance is maintained. Administrative responsibilities include overseeing staff recruitment, faculty promotions, grievance redressal, and the creation of policies for student welfare. By ensuring that the administrative apparatus remains transparent, accountable, and participatory, the Vice-Chancellor strengthens institutional credibility and trust among stakeholders.</w:t>
      </w:r>
    </w:p>
    <w:p>
      <w:pPr>
        <w:jc w:val="both"/>
      </w:pPr>
      <w:r>
        <w:rPr>
          <w:rFonts w:ascii="Cambria" w:hAnsi="Cambria"/>
          <w:b w:val="0"/>
          <w:i w:val="0"/>
          <w:sz w:val="22"/>
        </w:rPr>
        <w:t>The Vice-Chancellor also shoulders the responsibility of financial stewardship. Universities today face immense financial pressures owing to reduced state funding, the demand for infrastructural expansion, and the rising costs of technology-enabled learning. It becomes the role of the VC to work in close coordination with the Finance Officer and relevant committees to ensure prudent budgeting, efficient resource allocation, and sustainability in financial planning. Additionally, the VC must explore avenues for resource mobilization through alumni engagement, endowment funds, industry partnerships, consultancy projects, and international collaborations. A financially sustainable university under the Vice-Chancellor's leadership ensures that academic and research priorities can be supported without compromising long-term institutional stability.</w:t>
      </w:r>
    </w:p>
    <w:p>
      <w:pPr>
        <w:jc w:val="both"/>
      </w:pPr>
      <w:r>
        <w:rPr>
          <w:rFonts w:ascii="Cambria" w:hAnsi="Cambria"/>
          <w:b w:val="0"/>
          <w:i w:val="0"/>
          <w:sz w:val="22"/>
        </w:rPr>
        <w:t>Another vital dimension of the Vice-Chancellor's office lies in student welfare and inclusivity. A university exists for its learners, and the VC must create an environment that fosters intellectual growth, personal development, and holistic well-being. This includes ensuring robust student support services such as counseling, scholarships, mental health programs, grievance redressal mechanisms, and equal opportunities policies. The Vice-Chancellor is expected to champion inclusivity, diversity, and equity by promoting policies that support marginalized groups, international students, and differently-abled learners. By placing students at the center of governance, the VC strengthens the social responsibility and accessibility of higher education.</w:t>
      </w:r>
    </w:p>
    <w:p>
      <w:pPr>
        <w:jc w:val="both"/>
      </w:pPr>
      <w:r>
        <w:rPr>
          <w:rFonts w:ascii="Cambria" w:hAnsi="Cambria"/>
          <w:b w:val="0"/>
          <w:i w:val="0"/>
          <w:sz w:val="22"/>
        </w:rPr>
        <w:t>The Vice-Chancellor also functions as the external representative of the university, acting as its public face at the national and international levels. This role involves building strategic partnerships with government bodies, industries, research institutions, and foreign universities. Through Memoranda of Understanding (MoUs), international collaborations, student and faculty exchange programs, and joint research ventures, the VC enhances the global standing of the institution. Effective networking, lobbying, and advocacy by the Vice-Chancellor can secure policy support, research grants, and recognition in global ranking frameworks such as QS, THE, and ARWU. This external representation is critical in an era where universities are increasingly judged by their global competitiveness and societal impact.</w:t>
      </w:r>
    </w:p>
    <w:p>
      <w:pPr>
        <w:jc w:val="both"/>
      </w:pPr>
      <w:r>
        <w:rPr>
          <w:rFonts w:ascii="Cambria" w:hAnsi="Cambria"/>
          <w:b w:val="0"/>
          <w:i w:val="0"/>
          <w:sz w:val="22"/>
        </w:rPr>
        <w:t>Appointment to the position of Vice-Chancellor is usually carried out through a rigorous process, involving a search-cum-selection committee constituted by the Chancellor, Visitor, or Government, depending on national legislation. The committee evaluates distinguished academicians and administrators with proven records of scholarship, leadership, and integrity. The tenure of the Vice-Chancellor typically ranges between three to five years, though renewable in some systems, thereby ensuring both continuity and accountability. The legitimacy of the appointment process and the stature of the individual selected have a profound impact on the credibility and performance of the university.</w:t>
      </w:r>
    </w:p>
    <w:p>
      <w:pPr>
        <w:jc w:val="both"/>
      </w:pPr>
      <w:r>
        <w:rPr>
          <w:rFonts w:ascii="Cambria" w:hAnsi="Cambria"/>
          <w:b w:val="0"/>
          <w:i w:val="0"/>
          <w:sz w:val="22"/>
        </w:rPr>
        <w:t>A good Vice-Chancellor is expected to embody qualities that transcend routine administration. Academic excellence is a fundamental requirement, with most appointees having extensive experience as senior professors, researchers, or administrators. However, visionary leadership is equally critical. The VC must anticipate global trends in higher education, such as digital transformation, interdisciplinary learning, sustainability, and employability, and adapt the institution accordingly. Integrity and transparency in decision-making are indispensable to ensure that stakeholders—faculty, students, alumni, and the public—have confidence in the administration. Furthermore, the ability to communicate effectively with diverse groups, ranging from government officials to grassroots communities, defines the effectiveness of a Vice-Chancellor.</w:t>
      </w:r>
    </w:p>
    <w:p>
      <w:pPr>
        <w:jc w:val="both"/>
      </w:pPr>
      <w:r>
        <w:rPr>
          <w:rFonts w:ascii="Cambria" w:hAnsi="Cambria"/>
          <w:b w:val="0"/>
          <w:i w:val="0"/>
          <w:sz w:val="22"/>
        </w:rPr>
        <w:t>Supporting the Vice-Chancellor are Pro-Vice-Chancellors or Deputy Vice-Chancellors, each entrusted with specialized domains such as academics, research, finance, international relations, and student affairs. This structure enables the VC to delegate responsibilities while retaining overall oversight. Additionally, senior officers like the Registrar, Controller of Examinations, Finance Officer, and Deans operate under the strategic direction of the Vice-Chancellor, making the VC the central point of coordination in the university's executive structure.</w:t>
      </w:r>
    </w:p>
    <w:p>
      <w:pPr>
        <w:jc w:val="both"/>
      </w:pPr>
      <w:r>
        <w:rPr>
          <w:rFonts w:ascii="Cambria" w:hAnsi="Cambria"/>
          <w:b w:val="0"/>
          <w:i w:val="0"/>
          <w:sz w:val="22"/>
        </w:rPr>
        <w:t>In conclusion, the Vice-Chancellor is the cornerstone of university administration, embodying the dual role of an academic leader and an executive administrator. By integrating governance, academic excellence, research innovation, financial stability, and student welfare, the Vice-Chancellor ensures that the university not only survives but thrives in an increasingly competitive and complex global higher education landscape. The effectiveness of a university is in many ways a reflection of the vision, competence, and integrity of its Vice-Chancellor. Hence, this office is not merely an administrative necessity but the fulcrum of academic progress and societal advancement.</w:t>
      </w:r>
    </w:p>
    <w:p>
      <w:pPr>
        <w:keepNext/>
        <w:spacing w:before="160" w:after="120"/>
      </w:pPr>
      <w:r>
        <w:rPr>
          <w:rFonts w:ascii="Cambria" w:hAnsi="Cambria"/>
          <w:b/>
          <w:color w:val="1F3A5F"/>
          <w:sz w:val="30"/>
        </w:rPr>
        <w:t>Role and Responsibilities of the Vice-Chancellor (VC)</w:t>
      </w:r>
    </w:p>
    <w:p>
      <w:pPr>
        <w:jc w:val="both"/>
      </w:pPr>
      <w:r>
        <w:rPr>
          <w:rFonts w:ascii="Cambria" w:hAnsi="Cambria"/>
          <w:b w:val="0"/>
          <w:i w:val="0"/>
          <w:sz w:val="22"/>
        </w:rPr>
        <w:t>The Vice-Chancellor (VC) is the pivotal authority in the executive and academic governance of a university. Across different higher education systems, the position may be termed President, Rector, or Principal, yet the essence of the role remains consistent: the VC is entrusted with leading the institution as its chief executive officer. The office combines academic leadership with administrative responsibility, financial oversight with strategic planning, and internal governance with external representation. The VC is expected to safeguard the autonomy of the university, uphold academic integrity, and foster an environment conducive to teaching, research, innovation, and holistic student development. In this sense, the role of the Vice-Chancellor transcends routine management and embodies visionary leadership aimed at aligning the university with the rapidly changing global higher education landscape.</w:t>
      </w:r>
    </w:p>
    <w:p>
      <w:pPr>
        <w:jc w:val="both"/>
      </w:pPr>
      <w:r>
        <w:rPr>
          <w:rFonts w:ascii="Cambria" w:hAnsi="Cambria"/>
          <w:b w:val="0"/>
          <w:i w:val="0"/>
          <w:sz w:val="22"/>
        </w:rPr>
        <w:t>One of the most prominent responsibilities of the Vice-Chancellor lies in academic leadership. Universities are academic communities at their core, and the VC is expected to provide direction in curriculum development, pedagogical innovation, and quality assurance. As the chairperson of the Academic Council or Senate, the VC oversees the introduction of new academic programs, the revision of syllabi, and the adoption of outcome-based education models. Ensuring academic standards that meet national accreditation requirements such as NAAC and NBA, and international benchmarking through QS or THE rankings, is central to this function. The VC must encourage faculty members to engage in research, collaborate across disciplines, and contribute to global scholarship through publications and patents. In an era where knowledge production and dissemination are highly dynamic, the VC has the responsibility to balance traditional academic rigor with contemporary demands for interdisciplinary studies, employability skills, and technological integration in education.</w:t>
      </w:r>
    </w:p>
    <w:p>
      <w:pPr>
        <w:jc w:val="both"/>
      </w:pPr>
      <w:r>
        <w:rPr>
          <w:rFonts w:ascii="Cambria" w:hAnsi="Cambria"/>
          <w:b w:val="0"/>
          <w:i w:val="0"/>
          <w:sz w:val="22"/>
        </w:rPr>
        <w:t>Equally significant is the administrative leadership exercised by the Vice-Chancellor. The VC is the executive head responsible for the efficient functioning of all operational units of the university. This includes supervising the Registrar, Finance Officer, Controller of Examinations, Deans of Faculties, and Heads of Departments. Administrative duties cover a wide spectrum ranging from faculty recruitment, performance appraisal, and promotions, to student discipline, grievance redressal, and institutional compliance. The VC ensures that governance processes are transparent, participatory, and accountable, thereby upholding the credibility of the institution. Unlike the largely ceremonial role of the Chancellor, the Vice-Chancellor carries the responsibility of translating policies framed by the governing bodies into practice, ensuring that strategic decisions result in tangible outcomes in academics, research, and outreach.</w:t>
      </w:r>
    </w:p>
    <w:p>
      <w:pPr>
        <w:jc w:val="both"/>
      </w:pPr>
      <w:r>
        <w:rPr>
          <w:rFonts w:ascii="Cambria" w:hAnsi="Cambria"/>
          <w:b w:val="0"/>
          <w:i w:val="0"/>
          <w:sz w:val="22"/>
        </w:rPr>
        <w:t>The Vice-Chancellor also plays a critical role in strategic planning and policy execution. Universities today must operate not only as centers of education but also as engines of innovation, social development, and global competitiveness. The VC is expected to articulate and implement a vision and mission that resonate with both local needs and international benchmarks. This involves creating long-term development plans that address infrastructure expansion, digital transformation, sustainability, and industry linkages. The VC ensures alignment with national priorities such as the National Education Policy (NEP) 2020 in India, and international goals like the United Nations Sustainable Development Goals (SDGs). In this sense, the VC is both a strategist and a reformer, guiding the university through structural changes and ensuring that institutional practices are future-ready.</w:t>
      </w:r>
    </w:p>
    <w:p>
      <w:pPr>
        <w:jc w:val="both"/>
      </w:pPr>
      <w:r>
        <w:rPr>
          <w:rFonts w:ascii="Cambria" w:hAnsi="Cambria"/>
          <w:b w:val="0"/>
          <w:i w:val="0"/>
          <w:sz w:val="22"/>
        </w:rPr>
        <w:t>A central responsibility of the Vice-Chancellor is financial management. With declining government funding in many countries, universities increasingly rely on self-generated resources, grants, and partnerships. The VC, in coordination with the Finance Officer and Finance Committee, ensures prudent budgeting, financial transparency, and efficient resource allocation. Mobilization of funds through alumni donations, endowments, consultancy projects, and international collaborations falls under the purview of the Vice-Chancellor. By ensuring financial sustainability, the VC guarantees that academic and research priorities can be adequately supported without compromising institutional autonomy. Furthermore, the VC has to balance affordability for students with the financial requirements of maintaining a competitive global university.</w:t>
      </w:r>
    </w:p>
    <w:p>
      <w:pPr>
        <w:jc w:val="both"/>
      </w:pPr>
      <w:r>
        <w:rPr>
          <w:rFonts w:ascii="Cambria" w:hAnsi="Cambria"/>
          <w:b w:val="0"/>
          <w:i w:val="0"/>
          <w:sz w:val="22"/>
        </w:rPr>
        <w:t>Another area of growing importance is student welfare and inclusivity. A university's success is ultimately measured by the academic growth, employability, and holistic development of its students. The Vice-Chancellor ensures that the institution provides robust student support services, including scholarships, career counseling, mentorship programs, mental health facilities, and grievance redressal mechanisms. The VC must also promote inclusivity by supporting marginalized groups, women, differently-abled students, and international learners, thereby ensuring diversity and equity on campus. The establishment of strong placement cells, internship programs, and entrepreneurship development centers also falls under the VC's oversight, reflecting the institution's commitment to student employability and career readiness.</w:t>
      </w:r>
    </w:p>
    <w:p>
      <w:pPr>
        <w:jc w:val="both"/>
      </w:pPr>
      <w:r>
        <w:rPr>
          <w:rFonts w:ascii="Cambria" w:hAnsi="Cambria"/>
          <w:b w:val="0"/>
          <w:i w:val="0"/>
          <w:sz w:val="22"/>
        </w:rPr>
        <w:t>The Vice-Chancellor also serves as the external representative and ambassador of the university. Universities today operate in a competitive global environment where reputation and international partnerships play a significant role in success. The VC builds relationships with government agencies, industries, non-governmental organizations, and foreign universities to expand opportunities for collaboration. Signing Memoranda of Understanding (MoUs), facilitating student and faculty exchange programs, and initiating joint research ventures enhance the university's international standing. Representation in conferences, policy forums, and global education summits strengthens the visibility and credibility of the institution. In this capacity, the VC is both the face of the university and a negotiator for its interests on a global stage.</w:t>
      </w:r>
    </w:p>
    <w:p>
      <w:pPr>
        <w:jc w:val="both"/>
      </w:pPr>
      <w:r>
        <w:rPr>
          <w:rFonts w:ascii="Cambria" w:hAnsi="Cambria"/>
          <w:b w:val="0"/>
          <w:i w:val="0"/>
          <w:sz w:val="22"/>
        </w:rPr>
        <w:t>Equally crucial is the Vice-Chancellor's role in governance and integrity. The VC must safeguard the autonomy of the university while ensuring compliance with statutory regulations. This includes maintaining the fairness of examinations, ensuring anti-plagiarism practices in research, and upholding ethical standards in teaching and administration. Transparent decision-making processes, democratic consultation with faculty and students, and effective grievance redressal mechanisms are essential hallmarks of good governance. By promoting accountability and ethical conduct, the VC ensures that the university retains public trust and academic credibility.</w:t>
      </w:r>
    </w:p>
    <w:p>
      <w:pPr>
        <w:jc w:val="both"/>
      </w:pPr>
      <w:r>
        <w:rPr>
          <w:rFonts w:ascii="Cambria" w:hAnsi="Cambria"/>
          <w:b w:val="0"/>
          <w:i w:val="0"/>
          <w:sz w:val="22"/>
        </w:rPr>
        <w:t>The appointment process of Vice-Chancellors highlights the importance of the role. Typically, a search-cum-selection committee identifies distinguished academicians and administrators with proven leadership skills, integrity, and a record of scholarly excellence. The Chancellor, Visitor, or relevant Government authority makes the final appointment, often for a fixed term of three to five years, with renewal options depending on performance. The process ensures that only individuals of high standing and vision assume this critical leadership role.</w:t>
      </w:r>
    </w:p>
    <w:p>
      <w:pPr>
        <w:jc w:val="both"/>
      </w:pPr>
      <w:r>
        <w:rPr>
          <w:rFonts w:ascii="Cambria" w:hAnsi="Cambria"/>
          <w:b w:val="0"/>
          <w:i w:val="0"/>
          <w:sz w:val="22"/>
        </w:rPr>
        <w:t>A successful Vice-Chancellor embodies a unique combination of qualities. Academic distinction is essential, but so is visionary leadership, the ability to inspire faculty and students, and competence in managing complex organizations. Integrity, impartiality, and effective communication skills are indispensable in navigating the diverse expectations of stakeholders. In the digital era, the VC must also be technologically informed, capable of guiding universities through digital transformation, online learning, and cybersecurity challenges.</w:t>
      </w:r>
    </w:p>
    <w:p>
      <w:pPr>
        <w:jc w:val="both"/>
      </w:pPr>
      <w:r>
        <w:rPr>
          <w:rFonts w:ascii="Cambria" w:hAnsi="Cambria"/>
          <w:b w:val="0"/>
          <w:i w:val="0"/>
          <w:sz w:val="22"/>
        </w:rPr>
        <w:t>In conclusion, the Vice-Chancellor is the cornerstone of university governance, embodying the integration of academic leadership, administrative efficiency, financial sustainability, student welfare, and global representation. The VC's responsibilities go far beyond day-to-day management; they encompass shaping the identity and trajectory of the institution in alignment with societal needs and international standards. The effectiveness of a university is often a direct reflection of the vision, competence, and integrity of its Vice-Chancellor. Therefore, the role is not only pivotal in the functioning of the institution but also instrumental in shaping the future of higher education in a rapidly evolving global context.</w:t>
      </w:r>
    </w:p>
    <w:p>
      <w:pPr>
        <w:keepNext/>
        <w:spacing w:before="160" w:after="120"/>
      </w:pPr>
      <w:r>
        <w:rPr>
          <w:rFonts w:ascii="Cambria" w:hAnsi="Cambria"/>
          <w:b/>
          <w:color w:val="1F3A5F"/>
          <w:sz w:val="30"/>
        </w:rPr>
        <w:t>Vice-Chancellor (VC)</w:t>
      </w:r>
    </w:p>
    <w:tbl>
      <w:tblPr>
        <w:tblW w:type="auto" w:w="0"/>
        <w:tblLayout w:type="fixed"/>
        <w:tblLook w:firstColumn="1" w:firstRow="1" w:lastColumn="0" w:lastRow="0" w:noHBand="0" w:noVBand="1" w:val="04A0"/>
        <w:tblLayout w:type="fixed"/>
      </w:tblPr>
      <w:tblGrid>
        <w:gridCol w:w="1701"/>
        <w:gridCol w:w="3005"/>
        <w:gridCol w:w="2438"/>
        <w:gridCol w:w="2268"/>
      </w:tblGrid>
      <w:tr>
        <w:tc>
          <w:tcPr>
            <w:tcW w:type="dxa" w:w="1701"/>
            <w:shd w:val="clear" w:color="auto" w:fill="1F3A5F"/>
            <w:tcW w:w="1701" w:type="dxa"/>
          </w:tcPr>
          <w:p>
            <w:pPr>
              <w:jc w:val="center"/>
            </w:pPr>
            <w:r/>
            <w:r>
              <w:rPr>
                <w:rFonts w:ascii="Cambria" w:hAnsi="Cambria"/>
                <w:b/>
                <w:color w:val="FFFFFF"/>
                <w:sz w:val="21"/>
              </w:rPr>
              <w:t>Role</w:t>
            </w:r>
          </w:p>
        </w:tc>
        <w:tc>
          <w:tcPr>
            <w:tcW w:type="dxa" w:w="3005"/>
            <w:shd w:val="clear" w:color="auto" w:fill="1F3A5F"/>
            <w:tcW w:w="3005" w:type="dxa"/>
          </w:tcPr>
          <w:p>
            <w:pPr>
              <w:jc w:val="center"/>
            </w:pPr>
            <w:r/>
            <w:r>
              <w:rPr>
                <w:rFonts w:ascii="Cambria" w:hAnsi="Cambria"/>
                <w:b/>
                <w:color w:val="FFFFFF"/>
                <w:sz w:val="21"/>
              </w:rPr>
              <w:t>Actions</w:t>
            </w:r>
          </w:p>
        </w:tc>
        <w:tc>
          <w:tcPr>
            <w:tcW w:type="dxa" w:w="2438"/>
            <w:shd w:val="clear" w:color="auto" w:fill="1F3A5F"/>
            <w:tcW w:w="2438" w:type="dxa"/>
          </w:tcPr>
          <w:p>
            <w:pPr>
              <w:jc w:val="center"/>
            </w:pPr>
            <w:r/>
            <w:r>
              <w:rPr>
                <w:rFonts w:ascii="Cambria" w:hAnsi="Cambria"/>
                <w:b/>
                <w:color w:val="FFFFFF"/>
                <w:sz w:val="21"/>
              </w:rPr>
              <w:t>Expected Outcomes</w:t>
            </w:r>
          </w:p>
        </w:tc>
        <w:tc>
          <w:tcPr>
            <w:tcW w:type="dxa" w:w="2268"/>
            <w:shd w:val="clear" w:color="auto" w:fill="1F3A5F"/>
            <w:tcW w:w="2268" w:type="dxa"/>
          </w:tcPr>
          <w:p>
            <w:pPr>
              <w:jc w:val="center"/>
            </w:pPr>
            <w:r/>
            <w:r>
              <w:rPr>
                <w:rFonts w:ascii="Cambria" w:hAnsi="Cambria"/>
                <w:b/>
                <w:color w:val="FFFFFF"/>
                <w:sz w:val="21"/>
              </w:rPr>
              <w:t>Evidence / Documentation</w:t>
            </w:r>
          </w:p>
        </w:tc>
      </w:tr>
      <w:tr>
        <w:tc>
          <w:tcPr>
            <w:tcW w:type="dxa" w:w="1701"/>
            <w:tcW w:w="1701" w:type="dxa"/>
          </w:tcPr>
          <w:p>
            <w:pPr>
              <w:jc w:val="left"/>
            </w:pPr>
            <w:r/>
            <w:r>
              <w:rPr>
                <w:rFonts w:ascii="Cambria" w:hAnsi="Cambria"/>
                <w:b w:val="0"/>
                <w:sz w:val="19"/>
              </w:rPr>
              <w:t>Academic Leadership</w:t>
            </w:r>
          </w:p>
        </w:tc>
        <w:tc>
          <w:tcPr>
            <w:tcW w:type="dxa" w:w="3005"/>
            <w:tcW w:w="3005" w:type="dxa"/>
          </w:tcPr>
          <w:p>
            <w:pPr>
              <w:jc w:val="left"/>
            </w:pPr>
            <w:r/>
            <w:r>
              <w:rPr>
                <w:rFonts w:ascii="Cambria" w:hAnsi="Cambria"/>
                <w:b w:val="0"/>
                <w:sz w:val="19"/>
              </w:rPr>
              <w:t>- Chairs Academic Council / Senate meetings.</w:t>
            </w:r>
          </w:p>
          <w:p>
            <w:pPr>
              <w:jc w:val="left"/>
            </w:pPr>
            <w:r>
              <w:rPr>
                <w:rFonts w:ascii="Cambria" w:hAnsi="Cambria"/>
                <w:b w:val="0"/>
                <w:sz w:val="19"/>
              </w:rPr>
              <w:t>- Approves new programs, curricula, and pedagogical reforms.</w:t>
            </w:r>
          </w:p>
          <w:p>
            <w:pPr>
              <w:jc w:val="left"/>
            </w:pPr>
            <w:r>
              <w:rPr>
                <w:rFonts w:ascii="Cambria" w:hAnsi="Cambria"/>
                <w:b w:val="0"/>
                <w:sz w:val="19"/>
              </w:rPr>
              <w:t>- Promotes interdisciplinary teaching and research.</w:t>
            </w:r>
          </w:p>
        </w:tc>
        <w:tc>
          <w:tcPr>
            <w:tcW w:type="dxa" w:w="2438"/>
            <w:tcW w:w="2438" w:type="dxa"/>
          </w:tcPr>
          <w:p>
            <w:pPr>
              <w:jc w:val="left"/>
            </w:pPr>
            <w:r/>
            <w:r>
              <w:rPr>
                <w:rFonts w:ascii="Cambria" w:hAnsi="Cambria"/>
                <w:b w:val="0"/>
                <w:sz w:val="19"/>
              </w:rPr>
              <w:t>- High-quality curriculum aligned with NEP 2020 / global standards.</w:t>
            </w:r>
          </w:p>
          <w:p>
            <w:pPr>
              <w:jc w:val="left"/>
            </w:pPr>
            <w:r>
              <w:rPr>
                <w:rFonts w:ascii="Cambria" w:hAnsi="Cambria"/>
                <w:b w:val="0"/>
                <w:sz w:val="19"/>
              </w:rPr>
              <w:t>- Improved student learning outcomes and employability.</w:t>
            </w:r>
          </w:p>
          <w:p>
            <w:pPr>
              <w:jc w:val="left"/>
            </w:pPr>
            <w:r>
              <w:rPr>
                <w:rFonts w:ascii="Cambria" w:hAnsi="Cambria"/>
                <w:b w:val="0"/>
                <w:sz w:val="19"/>
              </w:rPr>
              <w:t>- Enhanced research output and innovation.</w:t>
            </w:r>
          </w:p>
        </w:tc>
        <w:tc>
          <w:tcPr>
            <w:tcW w:type="dxa" w:w="2268"/>
            <w:tcW w:w="2268" w:type="dxa"/>
          </w:tcPr>
          <w:p>
            <w:pPr>
              <w:jc w:val="left"/>
            </w:pPr>
            <w:r/>
            <w:r>
              <w:rPr>
                <w:rFonts w:ascii="Cambria" w:hAnsi="Cambria"/>
                <w:b w:val="0"/>
                <w:sz w:val="19"/>
              </w:rPr>
              <w:t>- Minutes of Academic Council / Senate.</w:t>
            </w:r>
          </w:p>
          <w:p>
            <w:pPr>
              <w:jc w:val="left"/>
            </w:pPr>
            <w:r>
              <w:rPr>
                <w:rFonts w:ascii="Cambria" w:hAnsi="Cambria"/>
                <w:b w:val="0"/>
                <w:sz w:val="19"/>
              </w:rPr>
              <w:t>- Curriculum approval documents.</w:t>
            </w:r>
          </w:p>
          <w:p>
            <w:pPr>
              <w:jc w:val="left"/>
            </w:pPr>
            <w:r>
              <w:rPr>
                <w:rFonts w:ascii="Cambria" w:hAnsi="Cambria"/>
                <w:b w:val="0"/>
                <w:sz w:val="19"/>
              </w:rPr>
              <w:t>- NAAC/NBA accreditation reports.</w:t>
            </w:r>
          </w:p>
          <w:p>
            <w:pPr>
              <w:jc w:val="left"/>
            </w:pPr>
            <w:r>
              <w:rPr>
                <w:rFonts w:ascii="Cambria" w:hAnsi="Cambria"/>
                <w:b w:val="0"/>
                <w:sz w:val="19"/>
              </w:rPr>
              <w:t>- Research publications, patents, funded projects.</w:t>
            </w:r>
          </w:p>
        </w:tc>
      </w:tr>
      <w:tr>
        <w:tc>
          <w:tcPr>
            <w:tcW w:type="dxa" w:w="1701"/>
            <w:tcW w:w="1701" w:type="dxa"/>
            <w:shd w:val="clear" w:color="auto" w:fill="D9E2EC"/>
          </w:tcPr>
          <w:p>
            <w:pPr>
              <w:jc w:val="left"/>
            </w:pPr>
            <w:r/>
            <w:r>
              <w:rPr>
                <w:rFonts w:ascii="Cambria" w:hAnsi="Cambria"/>
                <w:b w:val="0"/>
                <w:sz w:val="19"/>
              </w:rPr>
              <w:t>Administrative Leadership</w:t>
            </w:r>
          </w:p>
        </w:tc>
        <w:tc>
          <w:tcPr>
            <w:tcW w:type="dxa" w:w="3005"/>
            <w:tcW w:w="3005" w:type="dxa"/>
            <w:shd w:val="clear" w:color="auto" w:fill="D9E2EC"/>
          </w:tcPr>
          <w:p>
            <w:pPr>
              <w:jc w:val="left"/>
            </w:pPr>
            <w:r/>
            <w:r>
              <w:rPr>
                <w:rFonts w:ascii="Cambria" w:hAnsi="Cambria"/>
                <w:b w:val="0"/>
                <w:sz w:val="19"/>
              </w:rPr>
              <w:t>- Supervises Registrar, Deans, HoDs, Controller of Examinations.</w:t>
            </w:r>
          </w:p>
          <w:p>
            <w:pPr>
              <w:jc w:val="left"/>
            </w:pPr>
            <w:r>
              <w:rPr>
                <w:rFonts w:ascii="Cambria" w:hAnsi="Cambria"/>
                <w:b w:val="0"/>
                <w:sz w:val="19"/>
              </w:rPr>
              <w:t>- Implements governance policies.</w:t>
            </w:r>
          </w:p>
          <w:p>
            <w:pPr>
              <w:jc w:val="left"/>
            </w:pPr>
            <w:r>
              <w:rPr>
                <w:rFonts w:ascii="Cambria" w:hAnsi="Cambria"/>
                <w:b w:val="0"/>
                <w:sz w:val="19"/>
              </w:rPr>
              <w:t>- Maintains discipline and grievance redressal.</w:t>
            </w:r>
          </w:p>
        </w:tc>
        <w:tc>
          <w:tcPr>
            <w:tcW w:type="dxa" w:w="2438"/>
            <w:tcW w:w="2438" w:type="dxa"/>
            <w:shd w:val="clear" w:color="auto" w:fill="D9E2EC"/>
          </w:tcPr>
          <w:p>
            <w:pPr>
              <w:jc w:val="left"/>
            </w:pPr>
            <w:r/>
            <w:r>
              <w:rPr>
                <w:rFonts w:ascii="Cambria" w:hAnsi="Cambria"/>
                <w:b w:val="0"/>
                <w:sz w:val="19"/>
              </w:rPr>
              <w:t>- Efficient institutional governance.</w:t>
            </w:r>
          </w:p>
          <w:p>
            <w:pPr>
              <w:jc w:val="left"/>
            </w:pPr>
            <w:r>
              <w:rPr>
                <w:rFonts w:ascii="Cambria" w:hAnsi="Cambria"/>
                <w:b w:val="0"/>
                <w:sz w:val="19"/>
              </w:rPr>
              <w:t>- Transparent and accountable administration.</w:t>
            </w:r>
          </w:p>
          <w:p>
            <w:pPr>
              <w:jc w:val="left"/>
            </w:pPr>
            <w:r>
              <w:rPr>
                <w:rFonts w:ascii="Cambria" w:hAnsi="Cambria"/>
                <w:b w:val="0"/>
                <w:sz w:val="19"/>
              </w:rPr>
              <w:t>- Reduced grievances and conflicts.</w:t>
            </w:r>
          </w:p>
        </w:tc>
        <w:tc>
          <w:tcPr>
            <w:tcW w:type="dxa" w:w="2268"/>
            <w:tcW w:w="2268" w:type="dxa"/>
            <w:shd w:val="clear" w:color="auto" w:fill="D9E2EC"/>
          </w:tcPr>
          <w:p>
            <w:pPr>
              <w:jc w:val="left"/>
            </w:pPr>
            <w:r/>
            <w:r>
              <w:rPr>
                <w:rFonts w:ascii="Cambria" w:hAnsi="Cambria"/>
                <w:b w:val="0"/>
                <w:sz w:val="19"/>
              </w:rPr>
              <w:t>- Annual reports.</w:t>
            </w:r>
          </w:p>
          <w:p>
            <w:pPr>
              <w:jc w:val="left"/>
            </w:pPr>
            <w:r>
              <w:rPr>
                <w:rFonts w:ascii="Cambria" w:hAnsi="Cambria"/>
                <w:b w:val="0"/>
                <w:sz w:val="19"/>
              </w:rPr>
              <w:t>- Governance policy circulars.</w:t>
            </w:r>
          </w:p>
          <w:p>
            <w:pPr>
              <w:jc w:val="left"/>
            </w:pPr>
            <w:r>
              <w:rPr>
                <w:rFonts w:ascii="Cambria" w:hAnsi="Cambria"/>
                <w:b w:val="0"/>
                <w:sz w:val="19"/>
              </w:rPr>
              <w:t>- HR records.</w:t>
            </w:r>
          </w:p>
          <w:p>
            <w:pPr>
              <w:jc w:val="left"/>
            </w:pPr>
            <w:r>
              <w:rPr>
                <w:rFonts w:ascii="Cambria" w:hAnsi="Cambria"/>
                <w:b w:val="0"/>
                <w:sz w:val="19"/>
              </w:rPr>
              <w:t>- Grievance redressal reports.</w:t>
            </w:r>
          </w:p>
        </w:tc>
      </w:tr>
      <w:tr>
        <w:tc>
          <w:tcPr>
            <w:tcW w:type="dxa" w:w="1701"/>
            <w:tcW w:w="1701" w:type="dxa"/>
          </w:tcPr>
          <w:p>
            <w:pPr>
              <w:jc w:val="left"/>
            </w:pPr>
            <w:r/>
            <w:r>
              <w:rPr>
                <w:rFonts w:ascii="Cambria" w:hAnsi="Cambria"/>
                <w:b w:val="0"/>
                <w:sz w:val="19"/>
              </w:rPr>
              <w:t>Strategic Planning &amp; Policy Execution</w:t>
            </w:r>
          </w:p>
        </w:tc>
        <w:tc>
          <w:tcPr>
            <w:tcW w:type="dxa" w:w="3005"/>
            <w:tcW w:w="3005" w:type="dxa"/>
          </w:tcPr>
          <w:p>
            <w:pPr>
              <w:jc w:val="left"/>
            </w:pPr>
            <w:r/>
            <w:r>
              <w:rPr>
                <w:rFonts w:ascii="Cambria" w:hAnsi="Cambria"/>
                <w:b w:val="0"/>
                <w:sz w:val="19"/>
              </w:rPr>
              <w:t>- Frames institutional vision, mission, and strategic plan.</w:t>
            </w:r>
          </w:p>
          <w:p>
            <w:pPr>
              <w:jc w:val="left"/>
            </w:pPr>
            <w:r>
              <w:rPr>
                <w:rFonts w:ascii="Cambria" w:hAnsi="Cambria"/>
                <w:b w:val="0"/>
                <w:sz w:val="19"/>
              </w:rPr>
              <w:t>- Aligns with NAAC/NIRF/QS benchmarks.</w:t>
            </w:r>
          </w:p>
          <w:p>
            <w:pPr>
              <w:jc w:val="left"/>
            </w:pPr>
            <w:r>
              <w:rPr>
                <w:rFonts w:ascii="Cambria" w:hAnsi="Cambria"/>
                <w:b w:val="0"/>
                <w:sz w:val="19"/>
              </w:rPr>
              <w:t>- Leads infrastructure and digital transformation initiatives.</w:t>
            </w:r>
          </w:p>
        </w:tc>
        <w:tc>
          <w:tcPr>
            <w:tcW w:type="dxa" w:w="2438"/>
            <w:tcW w:w="2438" w:type="dxa"/>
          </w:tcPr>
          <w:p>
            <w:pPr>
              <w:jc w:val="left"/>
            </w:pPr>
            <w:r/>
            <w:r>
              <w:rPr>
                <w:rFonts w:ascii="Cambria" w:hAnsi="Cambria"/>
                <w:b w:val="0"/>
                <w:sz w:val="19"/>
              </w:rPr>
              <w:t>- Long-term institutional growth.</w:t>
            </w:r>
          </w:p>
          <w:p>
            <w:pPr>
              <w:jc w:val="left"/>
            </w:pPr>
            <w:r>
              <w:rPr>
                <w:rFonts w:ascii="Cambria" w:hAnsi="Cambria"/>
                <w:b w:val="0"/>
                <w:sz w:val="19"/>
              </w:rPr>
              <w:t>- Improved global rankings.</w:t>
            </w:r>
          </w:p>
          <w:p>
            <w:pPr>
              <w:jc w:val="left"/>
            </w:pPr>
            <w:r>
              <w:rPr>
                <w:rFonts w:ascii="Cambria" w:hAnsi="Cambria"/>
                <w:b w:val="0"/>
                <w:sz w:val="19"/>
              </w:rPr>
              <w:t>- Sustainable campus and digital governance.</w:t>
            </w:r>
          </w:p>
        </w:tc>
        <w:tc>
          <w:tcPr>
            <w:tcW w:type="dxa" w:w="2268"/>
            <w:tcW w:w="2268" w:type="dxa"/>
          </w:tcPr>
          <w:p>
            <w:pPr>
              <w:jc w:val="left"/>
            </w:pPr>
            <w:r/>
            <w:r>
              <w:rPr>
                <w:rFonts w:ascii="Cambria" w:hAnsi="Cambria"/>
                <w:b w:val="0"/>
                <w:sz w:val="19"/>
              </w:rPr>
              <w:t>- Strategic plan documents.</w:t>
            </w:r>
          </w:p>
          <w:p>
            <w:pPr>
              <w:jc w:val="left"/>
            </w:pPr>
            <w:r>
              <w:rPr>
                <w:rFonts w:ascii="Cambria" w:hAnsi="Cambria"/>
                <w:b w:val="0"/>
                <w:sz w:val="19"/>
              </w:rPr>
              <w:t>- Vision &amp; Mission statements.</w:t>
            </w:r>
          </w:p>
          <w:p>
            <w:pPr>
              <w:jc w:val="left"/>
            </w:pPr>
            <w:r>
              <w:rPr>
                <w:rFonts w:ascii="Cambria" w:hAnsi="Cambria"/>
                <w:b w:val="0"/>
                <w:sz w:val="19"/>
              </w:rPr>
              <w:t>- NIRF/QS ranking reports.</w:t>
            </w:r>
          </w:p>
          <w:p>
            <w:pPr>
              <w:jc w:val="left"/>
            </w:pPr>
            <w:r>
              <w:rPr>
                <w:rFonts w:ascii="Cambria" w:hAnsi="Cambria"/>
                <w:b w:val="0"/>
                <w:sz w:val="19"/>
              </w:rPr>
              <w:t>- ICT policy and implementation reports.</w:t>
            </w:r>
          </w:p>
        </w:tc>
      </w:tr>
      <w:tr>
        <w:tc>
          <w:tcPr>
            <w:tcW w:type="dxa" w:w="1701"/>
            <w:tcW w:w="1701" w:type="dxa"/>
            <w:shd w:val="clear" w:color="auto" w:fill="D9E2EC"/>
          </w:tcPr>
          <w:p>
            <w:pPr>
              <w:jc w:val="left"/>
            </w:pPr>
            <w:r/>
            <w:r>
              <w:rPr>
                <w:rFonts w:ascii="Cambria" w:hAnsi="Cambria"/>
                <w:b w:val="0"/>
                <w:sz w:val="19"/>
              </w:rPr>
              <w:t>Financial Management</w:t>
            </w:r>
          </w:p>
        </w:tc>
        <w:tc>
          <w:tcPr>
            <w:tcW w:type="dxa" w:w="3005"/>
            <w:tcW w:w="3005" w:type="dxa"/>
            <w:shd w:val="clear" w:color="auto" w:fill="D9E2EC"/>
          </w:tcPr>
          <w:p>
            <w:pPr>
              <w:jc w:val="left"/>
            </w:pPr>
            <w:r/>
            <w:r>
              <w:rPr>
                <w:rFonts w:ascii="Cambria" w:hAnsi="Cambria"/>
                <w:b w:val="0"/>
                <w:sz w:val="19"/>
              </w:rPr>
              <w:t>- Works with Finance Officer to prepare and approve budgets.</w:t>
            </w:r>
          </w:p>
          <w:p>
            <w:pPr>
              <w:jc w:val="left"/>
            </w:pPr>
            <w:r>
              <w:rPr>
                <w:rFonts w:ascii="Cambria" w:hAnsi="Cambria"/>
                <w:b w:val="0"/>
                <w:sz w:val="19"/>
              </w:rPr>
              <w:t>- Mobilizes funds via alumni, industry, and consultancy.</w:t>
            </w:r>
          </w:p>
          <w:p>
            <w:pPr>
              <w:jc w:val="left"/>
            </w:pPr>
            <w:r>
              <w:rPr>
                <w:rFonts w:ascii="Cambria" w:hAnsi="Cambria"/>
                <w:b w:val="0"/>
                <w:sz w:val="19"/>
              </w:rPr>
              <w:t>- Ensures transparent audits.</w:t>
            </w:r>
          </w:p>
        </w:tc>
        <w:tc>
          <w:tcPr>
            <w:tcW w:type="dxa" w:w="2438"/>
            <w:tcW w:w="2438" w:type="dxa"/>
            <w:shd w:val="clear" w:color="auto" w:fill="D9E2EC"/>
          </w:tcPr>
          <w:p>
            <w:pPr>
              <w:jc w:val="left"/>
            </w:pPr>
            <w:r/>
            <w:r>
              <w:rPr>
                <w:rFonts w:ascii="Cambria" w:hAnsi="Cambria"/>
                <w:b w:val="0"/>
                <w:sz w:val="19"/>
              </w:rPr>
              <w:t>- Financial stability and sustainability.</w:t>
            </w:r>
          </w:p>
          <w:p>
            <w:pPr>
              <w:jc w:val="left"/>
            </w:pPr>
            <w:r>
              <w:rPr>
                <w:rFonts w:ascii="Cambria" w:hAnsi="Cambria"/>
                <w:b w:val="0"/>
                <w:sz w:val="19"/>
              </w:rPr>
              <w:t>- Diversified revenue sources.</w:t>
            </w:r>
          </w:p>
          <w:p>
            <w:pPr>
              <w:jc w:val="left"/>
            </w:pPr>
            <w:r>
              <w:rPr>
                <w:rFonts w:ascii="Cambria" w:hAnsi="Cambria"/>
                <w:b w:val="0"/>
                <w:sz w:val="19"/>
              </w:rPr>
              <w:t>- Compliance with audit standards.</w:t>
            </w:r>
          </w:p>
        </w:tc>
        <w:tc>
          <w:tcPr>
            <w:tcW w:type="dxa" w:w="2268"/>
            <w:tcW w:w="2268" w:type="dxa"/>
            <w:shd w:val="clear" w:color="auto" w:fill="D9E2EC"/>
          </w:tcPr>
          <w:p>
            <w:pPr>
              <w:jc w:val="left"/>
            </w:pPr>
            <w:r/>
            <w:r>
              <w:rPr>
                <w:rFonts w:ascii="Cambria" w:hAnsi="Cambria"/>
                <w:b w:val="0"/>
                <w:sz w:val="19"/>
              </w:rPr>
              <w:t>- Audited financial statements.</w:t>
            </w:r>
          </w:p>
          <w:p>
            <w:pPr>
              <w:jc w:val="left"/>
            </w:pPr>
            <w:r>
              <w:rPr>
                <w:rFonts w:ascii="Cambria" w:hAnsi="Cambria"/>
                <w:b w:val="0"/>
                <w:sz w:val="19"/>
              </w:rPr>
              <w:t>- Budget documents.</w:t>
            </w:r>
          </w:p>
          <w:p>
            <w:pPr>
              <w:jc w:val="left"/>
            </w:pPr>
            <w:r>
              <w:rPr>
                <w:rFonts w:ascii="Cambria" w:hAnsi="Cambria"/>
                <w:b w:val="0"/>
                <w:sz w:val="19"/>
              </w:rPr>
              <w:t>- MoUs with industry/alumni.</w:t>
            </w:r>
          </w:p>
          <w:p>
            <w:pPr>
              <w:jc w:val="left"/>
            </w:pPr>
            <w:r>
              <w:rPr>
                <w:rFonts w:ascii="Cambria" w:hAnsi="Cambria"/>
                <w:b w:val="0"/>
                <w:sz w:val="19"/>
              </w:rPr>
              <w:t>- Endowment fund records.</w:t>
            </w:r>
          </w:p>
        </w:tc>
      </w:tr>
      <w:tr>
        <w:tc>
          <w:tcPr>
            <w:tcW w:type="dxa" w:w="1701"/>
            <w:tcW w:w="1701" w:type="dxa"/>
          </w:tcPr>
          <w:p>
            <w:pPr>
              <w:jc w:val="left"/>
            </w:pPr>
            <w:r/>
            <w:r>
              <w:rPr>
                <w:rFonts w:ascii="Cambria" w:hAnsi="Cambria"/>
                <w:b w:val="0"/>
                <w:sz w:val="19"/>
              </w:rPr>
              <w:t>Research &amp; Innovation Promotion</w:t>
            </w:r>
          </w:p>
        </w:tc>
        <w:tc>
          <w:tcPr>
            <w:tcW w:type="dxa" w:w="3005"/>
            <w:tcW w:w="3005" w:type="dxa"/>
          </w:tcPr>
          <w:p>
            <w:pPr>
              <w:jc w:val="left"/>
            </w:pPr>
            <w:r/>
            <w:r>
              <w:rPr>
                <w:rFonts w:ascii="Cambria" w:hAnsi="Cambria"/>
                <w:b w:val="0"/>
                <w:sz w:val="19"/>
              </w:rPr>
              <w:t>- Establishes R&amp;D cell and incubation centers.</w:t>
            </w:r>
          </w:p>
          <w:p>
            <w:pPr>
              <w:jc w:val="left"/>
            </w:pPr>
            <w:r>
              <w:rPr>
                <w:rFonts w:ascii="Cambria" w:hAnsi="Cambria"/>
                <w:b w:val="0"/>
                <w:sz w:val="19"/>
              </w:rPr>
              <w:t>- Encourages faculty research and consultancy.</w:t>
            </w:r>
          </w:p>
          <w:p>
            <w:pPr>
              <w:jc w:val="left"/>
            </w:pPr>
            <w:r>
              <w:rPr>
                <w:rFonts w:ascii="Cambria" w:hAnsi="Cambria"/>
                <w:b w:val="0"/>
                <w:sz w:val="19"/>
              </w:rPr>
              <w:t>- Facilitates national/international collaborations.</w:t>
            </w:r>
          </w:p>
        </w:tc>
        <w:tc>
          <w:tcPr>
            <w:tcW w:type="dxa" w:w="2438"/>
            <w:tcW w:w="2438" w:type="dxa"/>
          </w:tcPr>
          <w:p>
            <w:pPr>
              <w:jc w:val="left"/>
            </w:pPr>
            <w:r/>
            <w:r>
              <w:rPr>
                <w:rFonts w:ascii="Cambria" w:hAnsi="Cambria"/>
                <w:b w:val="0"/>
                <w:sz w:val="19"/>
              </w:rPr>
              <w:t>- Increased research funding.</w:t>
            </w:r>
          </w:p>
          <w:p>
            <w:pPr>
              <w:jc w:val="left"/>
            </w:pPr>
            <w:r>
              <w:rPr>
                <w:rFonts w:ascii="Cambria" w:hAnsi="Cambria"/>
                <w:b w:val="0"/>
                <w:sz w:val="19"/>
              </w:rPr>
              <w:t>- More patents, start-ups, and industry projects.</w:t>
            </w:r>
          </w:p>
          <w:p>
            <w:pPr>
              <w:jc w:val="left"/>
            </w:pPr>
            <w:r>
              <w:rPr>
                <w:rFonts w:ascii="Cambria" w:hAnsi="Cambria"/>
                <w:b w:val="0"/>
                <w:sz w:val="19"/>
              </w:rPr>
              <w:t>- Stronger international collaborations.</w:t>
            </w:r>
          </w:p>
        </w:tc>
        <w:tc>
          <w:tcPr>
            <w:tcW w:type="dxa" w:w="2268"/>
            <w:tcW w:w="2268" w:type="dxa"/>
          </w:tcPr>
          <w:p>
            <w:pPr>
              <w:jc w:val="left"/>
            </w:pPr>
            <w:r/>
            <w:r>
              <w:rPr>
                <w:rFonts w:ascii="Cambria" w:hAnsi="Cambria"/>
                <w:b w:val="0"/>
                <w:sz w:val="19"/>
              </w:rPr>
              <w:t>- R&amp;D annual reports.</w:t>
            </w:r>
          </w:p>
          <w:p>
            <w:pPr>
              <w:jc w:val="left"/>
            </w:pPr>
            <w:r>
              <w:rPr>
                <w:rFonts w:ascii="Cambria" w:hAnsi="Cambria"/>
                <w:b w:val="0"/>
                <w:sz w:val="19"/>
              </w:rPr>
              <w:t>- MoUs with research partners.</w:t>
            </w:r>
          </w:p>
          <w:p>
            <w:pPr>
              <w:jc w:val="left"/>
            </w:pPr>
            <w:r>
              <w:rPr>
                <w:rFonts w:ascii="Cambria" w:hAnsi="Cambria"/>
                <w:b w:val="0"/>
                <w:sz w:val="19"/>
              </w:rPr>
              <w:t>- Consultancy project records.</w:t>
            </w:r>
          </w:p>
          <w:p>
            <w:pPr>
              <w:jc w:val="left"/>
            </w:pPr>
            <w:r>
              <w:rPr>
                <w:rFonts w:ascii="Cambria" w:hAnsi="Cambria"/>
                <w:b w:val="0"/>
                <w:sz w:val="19"/>
              </w:rPr>
              <w:t>- Innovation/Startup registration.</w:t>
            </w:r>
          </w:p>
        </w:tc>
      </w:tr>
      <w:tr>
        <w:tc>
          <w:tcPr>
            <w:tcW w:type="dxa" w:w="1701"/>
            <w:tcW w:w="1701" w:type="dxa"/>
            <w:shd w:val="clear" w:color="auto" w:fill="D9E2EC"/>
          </w:tcPr>
          <w:p>
            <w:pPr>
              <w:jc w:val="left"/>
            </w:pPr>
            <w:r/>
            <w:r>
              <w:rPr>
                <w:rFonts w:ascii="Cambria" w:hAnsi="Cambria"/>
                <w:b w:val="0"/>
                <w:sz w:val="19"/>
              </w:rPr>
              <w:t>Student Welfare &amp; Inclusivity</w:t>
            </w:r>
          </w:p>
        </w:tc>
        <w:tc>
          <w:tcPr>
            <w:tcW w:type="dxa" w:w="3005"/>
            <w:tcW w:w="3005" w:type="dxa"/>
            <w:shd w:val="clear" w:color="auto" w:fill="D9E2EC"/>
          </w:tcPr>
          <w:p>
            <w:pPr>
              <w:jc w:val="left"/>
            </w:pPr>
            <w:r/>
            <w:r>
              <w:rPr>
                <w:rFonts w:ascii="Cambria" w:hAnsi="Cambria"/>
                <w:b w:val="0"/>
                <w:sz w:val="19"/>
              </w:rPr>
              <w:t>- Ensures scholarships, counseling, career services.</w:t>
            </w:r>
          </w:p>
          <w:p>
            <w:pPr>
              <w:jc w:val="left"/>
            </w:pPr>
            <w:r>
              <w:rPr>
                <w:rFonts w:ascii="Cambria" w:hAnsi="Cambria"/>
                <w:b w:val="0"/>
                <w:sz w:val="19"/>
              </w:rPr>
              <w:t>- Promotes diversity, equity, and inclusivity.</w:t>
            </w:r>
          </w:p>
          <w:p>
            <w:pPr>
              <w:jc w:val="left"/>
            </w:pPr>
            <w:r>
              <w:rPr>
                <w:rFonts w:ascii="Cambria" w:hAnsi="Cambria"/>
                <w:b w:val="0"/>
                <w:sz w:val="19"/>
              </w:rPr>
              <w:t>- Oversees placements and internships.</w:t>
            </w:r>
          </w:p>
        </w:tc>
        <w:tc>
          <w:tcPr>
            <w:tcW w:type="dxa" w:w="2438"/>
            <w:tcW w:w="2438" w:type="dxa"/>
            <w:shd w:val="clear" w:color="auto" w:fill="D9E2EC"/>
          </w:tcPr>
          <w:p>
            <w:pPr>
              <w:jc w:val="left"/>
            </w:pPr>
            <w:r/>
            <w:r>
              <w:rPr>
                <w:rFonts w:ascii="Cambria" w:hAnsi="Cambria"/>
                <w:b w:val="0"/>
                <w:sz w:val="19"/>
              </w:rPr>
              <w:t>- Improved student satisfaction and retention.</w:t>
            </w:r>
          </w:p>
          <w:p>
            <w:pPr>
              <w:jc w:val="left"/>
            </w:pPr>
            <w:r>
              <w:rPr>
                <w:rFonts w:ascii="Cambria" w:hAnsi="Cambria"/>
                <w:b w:val="0"/>
                <w:sz w:val="19"/>
              </w:rPr>
              <w:t>- Higher employability and entrepreneurship rates.</w:t>
            </w:r>
          </w:p>
          <w:p>
            <w:pPr>
              <w:jc w:val="left"/>
            </w:pPr>
            <w:r>
              <w:rPr>
                <w:rFonts w:ascii="Cambria" w:hAnsi="Cambria"/>
                <w:b w:val="0"/>
                <w:sz w:val="19"/>
              </w:rPr>
              <w:t>- Inclusive campus culture.</w:t>
            </w:r>
          </w:p>
        </w:tc>
        <w:tc>
          <w:tcPr>
            <w:tcW w:type="dxa" w:w="2268"/>
            <w:tcW w:w="2268" w:type="dxa"/>
            <w:shd w:val="clear" w:color="auto" w:fill="D9E2EC"/>
          </w:tcPr>
          <w:p>
            <w:pPr>
              <w:jc w:val="left"/>
            </w:pPr>
            <w:r/>
            <w:r>
              <w:rPr>
                <w:rFonts w:ascii="Cambria" w:hAnsi="Cambria"/>
                <w:b w:val="0"/>
                <w:sz w:val="19"/>
              </w:rPr>
              <w:t>- Student satisfaction surveys.</w:t>
            </w:r>
          </w:p>
          <w:p>
            <w:pPr>
              <w:jc w:val="left"/>
            </w:pPr>
            <w:r>
              <w:rPr>
                <w:rFonts w:ascii="Cambria" w:hAnsi="Cambria"/>
                <w:b w:val="0"/>
                <w:sz w:val="19"/>
              </w:rPr>
              <w:t>- Placement reports.</w:t>
            </w:r>
          </w:p>
          <w:p>
            <w:pPr>
              <w:jc w:val="left"/>
            </w:pPr>
            <w:r>
              <w:rPr>
                <w:rFonts w:ascii="Cambria" w:hAnsi="Cambria"/>
                <w:b w:val="0"/>
                <w:sz w:val="19"/>
              </w:rPr>
              <w:t>- Diversity and inclusion policy records.</w:t>
            </w:r>
          </w:p>
          <w:p>
            <w:pPr>
              <w:jc w:val="left"/>
            </w:pPr>
            <w:r>
              <w:rPr>
                <w:rFonts w:ascii="Cambria" w:hAnsi="Cambria"/>
                <w:b w:val="0"/>
                <w:sz w:val="19"/>
              </w:rPr>
              <w:t>- Counseling and mentorship records.</w:t>
            </w:r>
          </w:p>
        </w:tc>
      </w:tr>
      <w:tr>
        <w:tc>
          <w:tcPr>
            <w:tcW w:type="dxa" w:w="1701"/>
            <w:tcW w:w="1701" w:type="dxa"/>
          </w:tcPr>
          <w:p>
            <w:pPr>
              <w:jc w:val="left"/>
            </w:pPr>
            <w:r/>
            <w:r>
              <w:rPr>
                <w:rFonts w:ascii="Cambria" w:hAnsi="Cambria"/>
                <w:b w:val="0"/>
                <w:sz w:val="19"/>
              </w:rPr>
              <w:t>External Representation &amp; Networking</w:t>
            </w:r>
          </w:p>
        </w:tc>
        <w:tc>
          <w:tcPr>
            <w:tcW w:type="dxa" w:w="3005"/>
            <w:tcW w:w="3005" w:type="dxa"/>
          </w:tcPr>
          <w:p>
            <w:pPr>
              <w:jc w:val="left"/>
            </w:pPr>
            <w:r/>
            <w:r>
              <w:rPr>
                <w:rFonts w:ascii="Cambria" w:hAnsi="Cambria"/>
                <w:b w:val="0"/>
                <w:sz w:val="19"/>
              </w:rPr>
              <w:t>- Represents the university in government, industry, and international forums.</w:t>
            </w:r>
          </w:p>
          <w:p>
            <w:pPr>
              <w:jc w:val="left"/>
            </w:pPr>
            <w:r>
              <w:rPr>
                <w:rFonts w:ascii="Cambria" w:hAnsi="Cambria"/>
                <w:b w:val="0"/>
                <w:sz w:val="19"/>
              </w:rPr>
              <w:t>- Signs MoUs for collaboration.</w:t>
            </w:r>
          </w:p>
          <w:p>
            <w:pPr>
              <w:jc w:val="left"/>
            </w:pPr>
            <w:r>
              <w:rPr>
                <w:rFonts w:ascii="Cambria" w:hAnsi="Cambria"/>
                <w:b w:val="0"/>
                <w:sz w:val="19"/>
              </w:rPr>
              <w:t>- Promotes alumni engagement.</w:t>
            </w:r>
          </w:p>
        </w:tc>
        <w:tc>
          <w:tcPr>
            <w:tcW w:type="dxa" w:w="2438"/>
            <w:tcW w:w="2438" w:type="dxa"/>
          </w:tcPr>
          <w:p>
            <w:pPr>
              <w:jc w:val="left"/>
            </w:pPr>
            <w:r/>
            <w:r>
              <w:rPr>
                <w:rFonts w:ascii="Cambria" w:hAnsi="Cambria"/>
                <w:b w:val="0"/>
                <w:sz w:val="19"/>
              </w:rPr>
              <w:t>- Strengthened industry-academia linkages.</w:t>
            </w:r>
          </w:p>
          <w:p>
            <w:pPr>
              <w:jc w:val="left"/>
            </w:pPr>
            <w:r>
              <w:rPr>
                <w:rFonts w:ascii="Cambria" w:hAnsi="Cambria"/>
                <w:b w:val="0"/>
                <w:sz w:val="19"/>
              </w:rPr>
              <w:t>- Enhanced global recognition.</w:t>
            </w:r>
          </w:p>
          <w:p>
            <w:pPr>
              <w:jc w:val="left"/>
            </w:pPr>
            <w:r>
              <w:rPr>
                <w:rFonts w:ascii="Cambria" w:hAnsi="Cambria"/>
                <w:b w:val="0"/>
                <w:sz w:val="19"/>
              </w:rPr>
              <w:t>- Strong alumni network support.</w:t>
            </w:r>
          </w:p>
        </w:tc>
        <w:tc>
          <w:tcPr>
            <w:tcW w:type="dxa" w:w="2268"/>
            <w:tcW w:w="2268" w:type="dxa"/>
          </w:tcPr>
          <w:p>
            <w:pPr>
              <w:jc w:val="left"/>
            </w:pPr>
            <w:r/>
            <w:r>
              <w:rPr>
                <w:rFonts w:ascii="Cambria" w:hAnsi="Cambria"/>
                <w:b w:val="0"/>
                <w:sz w:val="19"/>
              </w:rPr>
              <w:t>- MoUs and partnership agreements.</w:t>
            </w:r>
          </w:p>
          <w:p>
            <w:pPr>
              <w:jc w:val="left"/>
            </w:pPr>
            <w:r>
              <w:rPr>
                <w:rFonts w:ascii="Cambria" w:hAnsi="Cambria"/>
                <w:b w:val="0"/>
                <w:sz w:val="19"/>
              </w:rPr>
              <w:t>- Alumni contribution records.</w:t>
            </w:r>
          </w:p>
          <w:p>
            <w:pPr>
              <w:jc w:val="left"/>
            </w:pPr>
            <w:r>
              <w:rPr>
                <w:rFonts w:ascii="Cambria" w:hAnsi="Cambria"/>
                <w:b w:val="0"/>
                <w:sz w:val="19"/>
              </w:rPr>
              <w:t>- International collaboration reports.</w:t>
            </w:r>
          </w:p>
        </w:tc>
      </w:tr>
      <w:tr>
        <w:tc>
          <w:tcPr>
            <w:tcW w:type="dxa" w:w="1701"/>
            <w:tcW w:w="1701" w:type="dxa"/>
            <w:shd w:val="clear" w:color="auto" w:fill="D9E2EC"/>
          </w:tcPr>
          <w:p>
            <w:pPr>
              <w:jc w:val="left"/>
            </w:pPr>
            <w:r/>
            <w:r>
              <w:rPr>
                <w:rFonts w:ascii="Cambria" w:hAnsi="Cambria"/>
                <w:b w:val="0"/>
                <w:sz w:val="19"/>
              </w:rPr>
              <w:t>Governance &amp; Integrity</w:t>
            </w:r>
          </w:p>
        </w:tc>
        <w:tc>
          <w:tcPr>
            <w:tcW w:type="dxa" w:w="3005"/>
            <w:tcW w:w="3005" w:type="dxa"/>
            <w:shd w:val="clear" w:color="auto" w:fill="D9E2EC"/>
          </w:tcPr>
          <w:p>
            <w:pPr>
              <w:jc w:val="left"/>
            </w:pPr>
            <w:r/>
            <w:r>
              <w:rPr>
                <w:rFonts w:ascii="Cambria" w:hAnsi="Cambria"/>
                <w:b w:val="0"/>
                <w:sz w:val="19"/>
              </w:rPr>
              <w:t>- Upholds ethical standards in teaching, research, and exams.</w:t>
            </w:r>
          </w:p>
          <w:p>
            <w:pPr>
              <w:jc w:val="left"/>
            </w:pPr>
            <w:r>
              <w:rPr>
                <w:rFonts w:ascii="Cambria" w:hAnsi="Cambria"/>
                <w:b w:val="0"/>
                <w:sz w:val="19"/>
              </w:rPr>
              <w:t>- Ensures transparent decision-making.</w:t>
            </w:r>
          </w:p>
          <w:p>
            <w:pPr>
              <w:jc w:val="left"/>
            </w:pPr>
            <w:r>
              <w:rPr>
                <w:rFonts w:ascii="Cambria" w:hAnsi="Cambria"/>
                <w:b w:val="0"/>
                <w:sz w:val="19"/>
              </w:rPr>
              <w:t>- Promotes participatory governance.</w:t>
            </w:r>
          </w:p>
        </w:tc>
        <w:tc>
          <w:tcPr>
            <w:tcW w:type="dxa" w:w="2438"/>
            <w:tcW w:w="2438" w:type="dxa"/>
            <w:shd w:val="clear" w:color="auto" w:fill="D9E2EC"/>
          </w:tcPr>
          <w:p>
            <w:pPr>
              <w:jc w:val="left"/>
            </w:pPr>
            <w:r/>
            <w:r>
              <w:rPr>
                <w:rFonts w:ascii="Cambria" w:hAnsi="Cambria"/>
                <w:b w:val="0"/>
                <w:sz w:val="19"/>
              </w:rPr>
              <w:t>- Academic integrity maintained.</w:t>
            </w:r>
          </w:p>
          <w:p>
            <w:pPr>
              <w:jc w:val="left"/>
            </w:pPr>
            <w:r>
              <w:rPr>
                <w:rFonts w:ascii="Cambria" w:hAnsi="Cambria"/>
                <w:b w:val="0"/>
                <w:sz w:val="19"/>
              </w:rPr>
              <w:t>- Stakeholder trust and accountability.</w:t>
            </w:r>
          </w:p>
          <w:p>
            <w:pPr>
              <w:jc w:val="left"/>
            </w:pPr>
            <w:r>
              <w:rPr>
                <w:rFonts w:ascii="Cambria" w:hAnsi="Cambria"/>
                <w:b w:val="0"/>
                <w:sz w:val="19"/>
              </w:rPr>
              <w:t>- Strong internal audit and compliance.</w:t>
            </w:r>
          </w:p>
        </w:tc>
        <w:tc>
          <w:tcPr>
            <w:tcW w:type="dxa" w:w="2268"/>
            <w:tcW w:w="2268" w:type="dxa"/>
            <w:shd w:val="clear" w:color="auto" w:fill="D9E2EC"/>
          </w:tcPr>
          <w:p>
            <w:pPr>
              <w:jc w:val="left"/>
            </w:pPr>
            <w:r/>
            <w:r>
              <w:rPr>
                <w:rFonts w:ascii="Cambria" w:hAnsi="Cambria"/>
                <w:b w:val="0"/>
                <w:sz w:val="19"/>
              </w:rPr>
              <w:t>- Anti-plagiarism reports.</w:t>
            </w:r>
          </w:p>
          <w:p>
            <w:pPr>
              <w:jc w:val="left"/>
            </w:pPr>
            <w:r>
              <w:rPr>
                <w:rFonts w:ascii="Cambria" w:hAnsi="Cambria"/>
                <w:b w:val="0"/>
                <w:sz w:val="19"/>
              </w:rPr>
              <w:t>- Examination regulations.</w:t>
            </w:r>
          </w:p>
          <w:p>
            <w:pPr>
              <w:jc w:val="left"/>
            </w:pPr>
            <w:r>
              <w:rPr>
                <w:rFonts w:ascii="Cambria" w:hAnsi="Cambria"/>
                <w:b w:val="0"/>
                <w:sz w:val="19"/>
              </w:rPr>
              <w:t>- IQAC/AQAR reports.</w:t>
            </w:r>
          </w:p>
          <w:p>
            <w:pPr>
              <w:jc w:val="left"/>
            </w:pPr>
            <w:r>
              <w:rPr>
                <w:rFonts w:ascii="Cambria" w:hAnsi="Cambria"/>
                <w:b w:val="0"/>
                <w:sz w:val="19"/>
              </w:rPr>
              <w:t>- Stakeholder meeting minutes.</w:t>
            </w:r>
          </w:p>
        </w:tc>
      </w:tr>
    </w:tbl>
    <w:p>
      <w:pPr>
        <w:keepNext/>
        <w:spacing w:before="160" w:after="120"/>
      </w:pPr>
      <w:r>
        <w:rPr>
          <w:rFonts w:ascii="Cambria" w:hAnsi="Cambria"/>
          <w:b/>
          <w:color w:val="1F3A5F"/>
          <w:sz w:val="30"/>
        </w:rPr>
        <w:t>Powers and Functions of the Vice-Chancellor</w:t>
      </w:r>
    </w:p>
    <w:p>
      <w:pPr>
        <w:jc w:val="both"/>
      </w:pPr>
      <w:r>
        <w:rPr>
          <w:rFonts w:ascii="Cambria" w:hAnsi="Cambria"/>
          <w:b w:val="0"/>
          <w:i/>
          <w:sz w:val="22"/>
        </w:rPr>
        <w:t>[Diagram: Vice-Chancellor Powers &amp; Functions, organized into four domains – Academic, Administrative, Financial, and Disciplinary – detailed in the sections below.]</w:t>
      </w:r>
    </w:p>
    <w:p>
      <w:pPr>
        <w:jc w:val="both"/>
      </w:pPr>
      <w:r>
        <w:rPr>
          <w:rFonts w:ascii="Cambria" w:hAnsi="Cambria"/>
          <w:b/>
          <w:i w:val="0"/>
          <w:sz w:val="22"/>
        </w:rPr>
        <w:t>1) Academic Head and Principal Executive Officer</w:t>
      </w:r>
    </w:p>
    <w:p>
      <w:pPr>
        <w:pStyle w:val="ListBullet"/>
        <w:jc w:val="both"/>
      </w:pPr>
      <w:r>
        <w:rPr>
          <w:rFonts w:ascii="Cambria" w:hAnsi="Cambria"/>
          <w:sz w:val="22"/>
        </w:rPr>
        <w:t>The Vice-Chancellor (VC) is regarded as the chief architect of the university's vision and mission.</w:t>
      </w:r>
    </w:p>
    <w:p>
      <w:pPr>
        <w:pStyle w:val="ListBullet"/>
        <w:jc w:val="both"/>
      </w:pPr>
      <w:r>
        <w:rPr>
          <w:rFonts w:ascii="Cambria" w:hAnsi="Cambria"/>
          <w:sz w:val="22"/>
        </w:rPr>
        <w:t>As the Academic Head, the VC directs teaching programs, curriculum reforms, examination policies, and research activities.</w:t>
      </w:r>
    </w:p>
    <w:p>
      <w:pPr>
        <w:pStyle w:val="ListBullet"/>
        <w:jc w:val="both"/>
      </w:pPr>
      <w:r>
        <w:rPr>
          <w:rFonts w:ascii="Cambria" w:hAnsi="Cambria"/>
          <w:sz w:val="22"/>
        </w:rPr>
        <w:t>As the Principal Executive Officer, the VC manages governance, coordinates with statutory bodies, oversees finance, and ensures policy implementation.</w:t>
      </w:r>
    </w:p>
    <w:p>
      <w:pPr>
        <w:pStyle w:val="ListBullet"/>
        <w:jc w:val="both"/>
      </w:pPr>
      <w:r>
        <w:rPr>
          <w:rFonts w:ascii="Cambria" w:hAnsi="Cambria"/>
          <w:sz w:val="22"/>
        </w:rPr>
        <w:t>The five-year tenure (or till 70 years of age) ensures stability while allowing for leadership renewal. This also aligns with national and international best practices in higher education leadership.</w:t>
      </w:r>
    </w:p>
    <w:p>
      <w:pPr>
        <w:jc w:val="both"/>
      </w:pPr>
      <w:r>
        <w:rPr>
          <w:rFonts w:ascii="Cambria" w:hAnsi="Cambria"/>
          <w:b/>
          <w:i w:val="0"/>
          <w:sz w:val="22"/>
        </w:rPr>
        <w:t>2) Exercising Powers under Rules and Regulations</w:t>
      </w:r>
    </w:p>
    <w:p>
      <w:pPr>
        <w:pStyle w:val="ListBullet"/>
        <w:jc w:val="both"/>
      </w:pPr>
      <w:r>
        <w:rPr>
          <w:rFonts w:ascii="Cambria" w:hAnsi="Cambria"/>
          <w:sz w:val="22"/>
        </w:rPr>
        <w:t>The University Act, statutes, ordinances, and regulations define the legal authority of the VC.</w:t>
      </w:r>
    </w:p>
    <w:p>
      <w:pPr>
        <w:pStyle w:val="ListBullet"/>
        <w:jc w:val="both"/>
      </w:pPr>
      <w:r>
        <w:rPr>
          <w:rFonts w:ascii="Cambria" w:hAnsi="Cambria"/>
          <w:sz w:val="22"/>
        </w:rPr>
        <w:t>These provisions empower the VC to act as the final interpreting authority for academic and administrative rules.</w:t>
      </w:r>
    </w:p>
    <w:p>
      <w:pPr>
        <w:pStyle w:val="ListBullet"/>
        <w:jc w:val="both"/>
      </w:pPr>
      <w:r>
        <w:rPr>
          <w:rFonts w:ascii="Cambria" w:hAnsi="Cambria"/>
          <w:sz w:val="22"/>
        </w:rPr>
        <w:t>Examples include:</w:t>
      </w:r>
    </w:p>
    <w:p>
      <w:pPr>
        <w:pStyle w:val="ListBullet2"/>
        <w:jc w:val="both"/>
      </w:pPr>
      <w:r>
        <w:rPr>
          <w:rFonts w:ascii="Cambria" w:hAnsi="Cambria"/>
          <w:sz w:val="22"/>
        </w:rPr>
        <w:t>Overseeing student discipline policies</w:t>
      </w:r>
    </w:p>
    <w:p>
      <w:pPr>
        <w:pStyle w:val="ListBullet2"/>
        <w:jc w:val="both"/>
      </w:pPr>
      <w:r>
        <w:rPr>
          <w:rFonts w:ascii="Cambria" w:hAnsi="Cambria"/>
          <w:sz w:val="22"/>
        </w:rPr>
        <w:t>Approving syllabus changes and exam reforms</w:t>
      </w:r>
    </w:p>
    <w:p>
      <w:pPr>
        <w:pStyle w:val="ListBullet2"/>
        <w:jc w:val="both"/>
      </w:pPr>
      <w:r>
        <w:rPr>
          <w:rFonts w:ascii="Cambria" w:hAnsi="Cambria"/>
          <w:sz w:val="22"/>
        </w:rPr>
        <w:t>Supervising financial decisions in line with rules</w:t>
      </w:r>
    </w:p>
    <w:p>
      <w:pPr>
        <w:pStyle w:val="ListBullet"/>
        <w:jc w:val="both"/>
      </w:pPr>
      <w:r>
        <w:rPr>
          <w:rFonts w:ascii="Cambria" w:hAnsi="Cambria"/>
          <w:sz w:val="22"/>
        </w:rPr>
        <w:t>The VC is therefore the guardian of institutional integrity and legality.</w:t>
      </w:r>
    </w:p>
    <w:p>
      <w:pPr>
        <w:jc w:val="both"/>
      </w:pPr>
      <w:r>
        <w:rPr>
          <w:rFonts w:ascii="Cambria" w:hAnsi="Cambria"/>
          <w:b/>
          <w:i w:val="0"/>
          <w:sz w:val="22"/>
        </w:rPr>
        <w:t>3) Powers Delegated by University Authorities</w:t>
      </w:r>
    </w:p>
    <w:p>
      <w:pPr>
        <w:pStyle w:val="ListBullet"/>
        <w:jc w:val="both"/>
      </w:pPr>
      <w:r>
        <w:rPr>
          <w:rFonts w:ascii="Cambria" w:hAnsi="Cambria"/>
          <w:sz w:val="22"/>
        </w:rPr>
        <w:t>The VC acts as a link between policy-making bodies and the administration.</w:t>
      </w:r>
    </w:p>
    <w:p>
      <w:pPr>
        <w:pStyle w:val="ListBullet"/>
        <w:jc w:val="both"/>
      </w:pPr>
      <w:r>
        <w:rPr>
          <w:rFonts w:ascii="Cambria" w:hAnsi="Cambria"/>
          <w:sz w:val="22"/>
        </w:rPr>
        <w:t>University governing bodies (Senate, Executive Council, Academic Council, Syndicate, Finance Committee) may delegate specific responsibilities.</w:t>
      </w:r>
    </w:p>
    <w:p>
      <w:pPr>
        <w:pStyle w:val="ListBullet"/>
        <w:jc w:val="both"/>
      </w:pPr>
      <w:r>
        <w:rPr>
          <w:rFonts w:ascii="Cambria" w:hAnsi="Cambria"/>
          <w:sz w:val="22"/>
        </w:rPr>
        <w:t>Delegated powers include:</w:t>
      </w:r>
    </w:p>
    <w:p>
      <w:pPr>
        <w:pStyle w:val="ListBullet2"/>
        <w:jc w:val="both"/>
      </w:pPr>
      <w:r>
        <w:rPr>
          <w:rFonts w:ascii="Cambria" w:hAnsi="Cambria"/>
          <w:sz w:val="22"/>
        </w:rPr>
        <w:t>Recruitment approvals</w:t>
      </w:r>
    </w:p>
    <w:p>
      <w:pPr>
        <w:pStyle w:val="ListBullet2"/>
        <w:jc w:val="both"/>
      </w:pPr>
      <w:r>
        <w:rPr>
          <w:rFonts w:ascii="Cambria" w:hAnsi="Cambria"/>
          <w:sz w:val="22"/>
        </w:rPr>
        <w:t>Approval of budgets and expenditure</w:t>
      </w:r>
    </w:p>
    <w:p>
      <w:pPr>
        <w:pStyle w:val="ListBullet2"/>
        <w:jc w:val="both"/>
      </w:pPr>
      <w:r>
        <w:rPr>
          <w:rFonts w:ascii="Cambria" w:hAnsi="Cambria"/>
          <w:sz w:val="22"/>
        </w:rPr>
        <w:t>Strategic planning and resource mobilization</w:t>
      </w:r>
    </w:p>
    <w:p>
      <w:pPr>
        <w:pStyle w:val="ListBullet"/>
        <w:jc w:val="both"/>
      </w:pPr>
      <w:r>
        <w:rPr>
          <w:rFonts w:ascii="Cambria" w:hAnsi="Cambria"/>
          <w:sz w:val="22"/>
        </w:rPr>
        <w:t>This ensures flexibility and decentralization while still maintaining accountability.</w:t>
      </w:r>
    </w:p>
    <w:p>
      <w:pPr>
        <w:jc w:val="both"/>
      </w:pPr>
      <w:r>
        <w:rPr>
          <w:rFonts w:ascii="Cambria" w:hAnsi="Cambria"/>
          <w:b/>
          <w:i w:val="0"/>
          <w:sz w:val="22"/>
        </w:rPr>
        <w:t>4) Delegation of Powers</w:t>
      </w:r>
    </w:p>
    <w:p>
      <w:pPr>
        <w:pStyle w:val="ListBullet"/>
        <w:jc w:val="both"/>
      </w:pPr>
      <w:r>
        <w:rPr>
          <w:rFonts w:ascii="Cambria" w:hAnsi="Cambria"/>
          <w:sz w:val="22"/>
        </w:rPr>
        <w:t>While the VC holds supreme authority, effective governance requires empowerment of officers such as:</w:t>
      </w:r>
    </w:p>
    <w:p>
      <w:pPr>
        <w:pStyle w:val="ListBullet2"/>
        <w:jc w:val="both"/>
      </w:pPr>
      <w:r>
        <w:rPr>
          <w:rFonts w:ascii="Cambria" w:hAnsi="Cambria"/>
          <w:sz w:val="22"/>
        </w:rPr>
        <w:t>Registrar – general administration and records</w:t>
      </w:r>
    </w:p>
    <w:p>
      <w:pPr>
        <w:pStyle w:val="ListBullet2"/>
        <w:jc w:val="both"/>
      </w:pPr>
      <w:r>
        <w:rPr>
          <w:rFonts w:ascii="Cambria" w:hAnsi="Cambria"/>
          <w:sz w:val="22"/>
        </w:rPr>
        <w:t>Deans – academic coordination</w:t>
      </w:r>
    </w:p>
    <w:p>
      <w:pPr>
        <w:pStyle w:val="ListBullet2"/>
        <w:jc w:val="both"/>
      </w:pPr>
      <w:r>
        <w:rPr>
          <w:rFonts w:ascii="Cambria" w:hAnsi="Cambria"/>
          <w:sz w:val="22"/>
        </w:rPr>
        <w:t>Controller of Examinations – examination management</w:t>
      </w:r>
    </w:p>
    <w:p>
      <w:pPr>
        <w:pStyle w:val="ListBullet2"/>
        <w:jc w:val="both"/>
      </w:pPr>
      <w:r>
        <w:rPr>
          <w:rFonts w:ascii="Cambria" w:hAnsi="Cambria"/>
          <w:sz w:val="22"/>
        </w:rPr>
        <w:t>Finance Officer – financial management</w:t>
      </w:r>
    </w:p>
    <w:p>
      <w:pPr>
        <w:pStyle w:val="ListBullet"/>
        <w:jc w:val="both"/>
      </w:pPr>
      <w:r>
        <w:rPr>
          <w:rFonts w:ascii="Cambria" w:hAnsi="Cambria"/>
          <w:sz w:val="22"/>
        </w:rPr>
        <w:t>Delegation helps avoid bureaucratic bottlenecks and promotes operational efficiency.</w:t>
      </w:r>
    </w:p>
    <w:p>
      <w:pPr>
        <w:pStyle w:val="ListBullet"/>
        <w:jc w:val="both"/>
      </w:pPr>
      <w:r>
        <w:rPr>
          <w:rFonts w:ascii="Cambria" w:hAnsi="Cambria"/>
          <w:sz w:val="22"/>
        </w:rPr>
        <w:t>However, the VC retains the right to review, amend, or withdraw delegated powers if misused.</w:t>
      </w:r>
    </w:p>
    <w:p>
      <w:pPr>
        <w:jc w:val="both"/>
      </w:pPr>
      <w:r>
        <w:rPr>
          <w:rFonts w:ascii="Cambria" w:hAnsi="Cambria"/>
          <w:b/>
          <w:i w:val="0"/>
          <w:sz w:val="22"/>
        </w:rPr>
        <w:t>5) Authority for Allocation of Accommodation</w:t>
      </w:r>
    </w:p>
    <w:p>
      <w:pPr>
        <w:pStyle w:val="ListBullet"/>
        <w:jc w:val="both"/>
      </w:pPr>
      <w:r>
        <w:rPr>
          <w:rFonts w:ascii="Cambria" w:hAnsi="Cambria"/>
          <w:sz w:val="22"/>
        </w:rPr>
        <w:t>University campuses often face challenges in housing faculty, staff, and students.</w:t>
      </w:r>
    </w:p>
    <w:p>
      <w:pPr>
        <w:pStyle w:val="ListBullet"/>
        <w:jc w:val="both"/>
      </w:pPr>
      <w:r>
        <w:rPr>
          <w:rFonts w:ascii="Cambria" w:hAnsi="Cambria"/>
          <w:sz w:val="22"/>
        </w:rPr>
        <w:t>The VC, as final authority, ensures:</w:t>
      </w:r>
    </w:p>
    <w:p>
      <w:pPr>
        <w:pStyle w:val="ListBullet2"/>
        <w:jc w:val="both"/>
      </w:pPr>
      <w:r>
        <w:rPr>
          <w:rFonts w:ascii="Cambria" w:hAnsi="Cambria"/>
          <w:sz w:val="22"/>
        </w:rPr>
        <w:t>Fair and transparent allocation based on seniority, role, and availability</w:t>
      </w:r>
    </w:p>
    <w:p>
      <w:pPr>
        <w:pStyle w:val="ListBullet2"/>
        <w:jc w:val="both"/>
      </w:pPr>
      <w:r>
        <w:rPr>
          <w:rFonts w:ascii="Cambria" w:hAnsi="Cambria"/>
          <w:sz w:val="22"/>
        </w:rPr>
        <w:t>Prioritization for essential staff like wardens, security, or medical officers</w:t>
      </w:r>
    </w:p>
    <w:p>
      <w:pPr>
        <w:pStyle w:val="ListBullet2"/>
        <w:jc w:val="both"/>
      </w:pPr>
      <w:r>
        <w:rPr>
          <w:rFonts w:ascii="Cambria" w:hAnsi="Cambria"/>
          <w:sz w:val="22"/>
        </w:rPr>
        <w:t>Efficient use of limited housing stock</w:t>
      </w:r>
    </w:p>
    <w:p>
      <w:pPr>
        <w:pStyle w:val="ListBullet"/>
        <w:jc w:val="both"/>
      </w:pPr>
      <w:r>
        <w:rPr>
          <w:rFonts w:ascii="Cambria" w:hAnsi="Cambria"/>
          <w:sz w:val="22"/>
        </w:rPr>
        <w:t>This prevents conflicts and promotes harmony within the campus community.</w:t>
      </w:r>
    </w:p>
    <w:p>
      <w:pPr>
        <w:jc w:val="both"/>
      </w:pPr>
      <w:r>
        <w:rPr>
          <w:rFonts w:ascii="Cambria" w:hAnsi="Cambria"/>
          <w:b/>
          <w:i w:val="0"/>
          <w:sz w:val="22"/>
        </w:rPr>
        <w:t>6) Specific Powers of the Vice-Chancellor</w:t>
      </w:r>
    </w:p>
    <w:p>
      <w:r>
        <w:rPr>
          <w:rFonts w:ascii="Cambria" w:hAnsi="Cambria"/>
          <w:b/>
          <w:i w:val="0"/>
          <w:sz w:val="22"/>
        </w:rPr>
        <w:t>(a) To Inspect Departments, Centres, and Sections</w:t>
      </w:r>
    </w:p>
    <w:p>
      <w:pPr>
        <w:pStyle w:val="ListBullet"/>
        <w:jc w:val="both"/>
      </w:pPr>
      <w:r>
        <w:rPr>
          <w:rFonts w:ascii="Cambria" w:hAnsi="Cambria"/>
          <w:sz w:val="22"/>
        </w:rPr>
        <w:t>The VC conducts academic and administrative inspections.</w:t>
      </w:r>
    </w:p>
    <w:p>
      <w:pPr>
        <w:pStyle w:val="ListBullet"/>
        <w:jc w:val="both"/>
      </w:pPr>
      <w:r>
        <w:rPr>
          <w:rFonts w:ascii="Cambria" w:hAnsi="Cambria"/>
          <w:sz w:val="22"/>
        </w:rPr>
        <w:t>These visits ensure:</w:t>
      </w:r>
    </w:p>
    <w:p>
      <w:pPr>
        <w:pStyle w:val="ListBullet2"/>
        <w:jc w:val="both"/>
      </w:pPr>
      <w:r>
        <w:rPr>
          <w:rFonts w:ascii="Cambria" w:hAnsi="Cambria"/>
          <w:sz w:val="22"/>
        </w:rPr>
        <w:t>Proper teaching-learning standards</w:t>
      </w:r>
    </w:p>
    <w:p>
      <w:pPr>
        <w:pStyle w:val="ListBullet2"/>
        <w:jc w:val="both"/>
      </w:pPr>
      <w:r>
        <w:rPr>
          <w:rFonts w:ascii="Cambria" w:hAnsi="Cambria"/>
          <w:sz w:val="22"/>
        </w:rPr>
        <w:t>Adequate infrastructure and resources</w:t>
      </w:r>
    </w:p>
    <w:p>
      <w:pPr>
        <w:pStyle w:val="ListBullet2"/>
        <w:jc w:val="both"/>
      </w:pPr>
      <w:r>
        <w:rPr>
          <w:rFonts w:ascii="Cambria" w:hAnsi="Cambria"/>
          <w:sz w:val="22"/>
        </w:rPr>
        <w:t>Compliance with policies and regulations</w:t>
      </w:r>
    </w:p>
    <w:p>
      <w:pPr>
        <w:pStyle w:val="ListBullet"/>
        <w:jc w:val="both"/>
      </w:pPr>
      <w:r>
        <w:rPr>
          <w:rFonts w:ascii="Cambria" w:hAnsi="Cambria"/>
          <w:sz w:val="22"/>
        </w:rPr>
        <w:t>Inspections maintain accountability and encourage continuous improvement.</w:t>
      </w:r>
    </w:p>
    <w:p>
      <w:r>
        <w:rPr>
          <w:rFonts w:ascii="Cambria" w:hAnsi="Cambria"/>
          <w:b/>
          <w:i w:val="0"/>
          <w:sz w:val="22"/>
        </w:rPr>
        <w:t>(b) To Institute Enquiries</w:t>
      </w:r>
    </w:p>
    <w:p>
      <w:pPr>
        <w:pStyle w:val="ListBullet"/>
        <w:jc w:val="both"/>
      </w:pPr>
      <w:r>
        <w:rPr>
          <w:rFonts w:ascii="Cambria" w:hAnsi="Cambria"/>
          <w:sz w:val="22"/>
        </w:rPr>
        <w:t>The VC can initiate fact-finding committees or disciplinary proceedings.</w:t>
      </w:r>
    </w:p>
    <w:p>
      <w:pPr>
        <w:pStyle w:val="ListBullet"/>
        <w:jc w:val="both"/>
      </w:pPr>
      <w:r>
        <w:rPr>
          <w:rFonts w:ascii="Cambria" w:hAnsi="Cambria"/>
          <w:sz w:val="22"/>
        </w:rPr>
        <w:t>Examples:</w:t>
      </w:r>
    </w:p>
    <w:p>
      <w:pPr>
        <w:pStyle w:val="ListBullet2"/>
        <w:jc w:val="both"/>
      </w:pPr>
      <w:r>
        <w:rPr>
          <w:rFonts w:ascii="Cambria" w:hAnsi="Cambria"/>
          <w:sz w:val="22"/>
        </w:rPr>
        <w:t>Malpractices in examinations</w:t>
      </w:r>
    </w:p>
    <w:p>
      <w:pPr>
        <w:pStyle w:val="ListBullet2"/>
        <w:jc w:val="both"/>
      </w:pPr>
      <w:r>
        <w:rPr>
          <w:rFonts w:ascii="Cambria" w:hAnsi="Cambria"/>
          <w:sz w:val="22"/>
        </w:rPr>
        <w:t>Financial irregularities</w:t>
      </w:r>
    </w:p>
    <w:p>
      <w:pPr>
        <w:pStyle w:val="ListBullet2"/>
        <w:jc w:val="both"/>
      </w:pPr>
      <w:r>
        <w:rPr>
          <w:rFonts w:ascii="Cambria" w:hAnsi="Cambria"/>
          <w:sz w:val="22"/>
        </w:rPr>
        <w:t>Student indiscipline or faculty misconduct</w:t>
      </w:r>
    </w:p>
    <w:p>
      <w:pPr>
        <w:pStyle w:val="ListBullet"/>
        <w:jc w:val="both"/>
      </w:pPr>
      <w:r>
        <w:rPr>
          <w:rFonts w:ascii="Cambria" w:hAnsi="Cambria"/>
          <w:sz w:val="22"/>
        </w:rPr>
        <w:t>Ensures justice, transparency, and rule of law within the institution.</w:t>
      </w:r>
    </w:p>
    <w:p>
      <w:r>
        <w:rPr>
          <w:rFonts w:ascii="Cambria" w:hAnsi="Cambria"/>
          <w:b/>
          <w:i w:val="0"/>
          <w:sz w:val="22"/>
        </w:rPr>
        <w:t>(c) To Invite Eminent Persons</w:t>
      </w:r>
    </w:p>
    <w:p>
      <w:pPr>
        <w:pStyle w:val="ListBullet"/>
        <w:jc w:val="both"/>
      </w:pPr>
      <w:r>
        <w:rPr>
          <w:rFonts w:ascii="Cambria" w:hAnsi="Cambria"/>
          <w:sz w:val="22"/>
        </w:rPr>
        <w:t>The VC strengthens academic culture by inviting renowned scholars, scientists, industry leaders, and social reformers.</w:t>
      </w:r>
    </w:p>
    <w:p>
      <w:pPr>
        <w:pStyle w:val="ListBullet"/>
        <w:jc w:val="both"/>
      </w:pPr>
      <w:r>
        <w:rPr>
          <w:rFonts w:ascii="Cambria" w:hAnsi="Cambria"/>
          <w:sz w:val="22"/>
        </w:rPr>
        <w:t>Such lectures enhance:</w:t>
      </w:r>
    </w:p>
    <w:p>
      <w:pPr>
        <w:pStyle w:val="ListBullet2"/>
        <w:jc w:val="both"/>
      </w:pPr>
      <w:r>
        <w:rPr>
          <w:rFonts w:ascii="Cambria" w:hAnsi="Cambria"/>
          <w:sz w:val="22"/>
        </w:rPr>
        <w:t>Student exposure to real-world knowledge</w:t>
      </w:r>
    </w:p>
    <w:p>
      <w:pPr>
        <w:pStyle w:val="ListBullet2"/>
        <w:jc w:val="both"/>
      </w:pPr>
      <w:r>
        <w:rPr>
          <w:rFonts w:ascii="Cambria" w:hAnsi="Cambria"/>
          <w:sz w:val="22"/>
        </w:rPr>
        <w:t>Faculty development through interaction with experts</w:t>
      </w:r>
    </w:p>
    <w:p>
      <w:pPr>
        <w:pStyle w:val="ListBullet2"/>
        <w:jc w:val="both"/>
      </w:pPr>
      <w:r>
        <w:rPr>
          <w:rFonts w:ascii="Cambria" w:hAnsi="Cambria"/>
          <w:sz w:val="22"/>
        </w:rPr>
        <w:t>University prestige in the academic community</w:t>
      </w:r>
    </w:p>
    <w:p>
      <w:r>
        <w:rPr>
          <w:rFonts w:ascii="Cambria" w:hAnsi="Cambria"/>
          <w:b/>
          <w:i w:val="0"/>
          <w:sz w:val="22"/>
        </w:rPr>
        <w:t>(d) To Depute Employees</w:t>
      </w:r>
    </w:p>
    <w:p>
      <w:pPr>
        <w:pStyle w:val="ListBullet"/>
        <w:jc w:val="both"/>
      </w:pPr>
      <w:r>
        <w:rPr>
          <w:rFonts w:ascii="Cambria" w:hAnsi="Cambria"/>
          <w:sz w:val="22"/>
        </w:rPr>
        <w:t>VC encourages professional development by deputing staff to seminars, workshops, and conferences.</w:t>
      </w:r>
    </w:p>
    <w:p>
      <w:pPr>
        <w:pStyle w:val="ListBullet"/>
        <w:jc w:val="both"/>
      </w:pPr>
      <w:r>
        <w:rPr>
          <w:rFonts w:ascii="Cambria" w:hAnsi="Cambria"/>
          <w:sz w:val="22"/>
        </w:rPr>
        <w:t>Approves financial support like TA (Travel Allowance), DA (Daily Allowance), registration fees.</w:t>
      </w:r>
    </w:p>
    <w:p>
      <w:pPr>
        <w:pStyle w:val="ListBullet"/>
        <w:jc w:val="both"/>
      </w:pPr>
      <w:r>
        <w:rPr>
          <w:rFonts w:ascii="Cambria" w:hAnsi="Cambria"/>
          <w:sz w:val="22"/>
        </w:rPr>
        <w:t>Promotes a culture of lifelong learning and innovation.</w:t>
      </w:r>
    </w:p>
    <w:p>
      <w:r>
        <w:rPr>
          <w:rFonts w:ascii="Cambria" w:hAnsi="Cambria"/>
          <w:b/>
          <w:i w:val="0"/>
          <w:sz w:val="22"/>
        </w:rPr>
        <w:t>(e) To Decide Scholarships, Fellowships, and Freeships</w:t>
      </w:r>
    </w:p>
    <w:p>
      <w:pPr>
        <w:pStyle w:val="ListBullet"/>
        <w:jc w:val="both"/>
      </w:pPr>
      <w:r>
        <w:rPr>
          <w:rFonts w:ascii="Cambria" w:hAnsi="Cambria"/>
          <w:sz w:val="22"/>
        </w:rPr>
        <w:t>VC ensures equitable distribution of financial aid to students.</w:t>
      </w:r>
    </w:p>
    <w:p>
      <w:pPr>
        <w:pStyle w:val="ListBullet"/>
        <w:jc w:val="both"/>
      </w:pPr>
      <w:r>
        <w:rPr>
          <w:rFonts w:ascii="Cambria" w:hAnsi="Cambria"/>
          <w:sz w:val="22"/>
        </w:rPr>
        <w:t>Balances merit-based and need-based criteria.</w:t>
      </w:r>
    </w:p>
    <w:p>
      <w:pPr>
        <w:pStyle w:val="ListBullet"/>
        <w:jc w:val="both"/>
      </w:pPr>
      <w:r>
        <w:rPr>
          <w:rFonts w:ascii="Cambria" w:hAnsi="Cambria"/>
          <w:sz w:val="22"/>
        </w:rPr>
        <w:t>Plays a key role in promoting inclusive education by supporting students from disadvantaged backgrounds.</w:t>
      </w:r>
    </w:p>
    <w:p>
      <w:r>
        <w:rPr>
          <w:rFonts w:ascii="Cambria" w:hAnsi="Cambria"/>
          <w:b/>
          <w:i w:val="0"/>
          <w:sz w:val="22"/>
        </w:rPr>
        <w:t>(f) To Transfer Administrative Officers</w:t>
      </w:r>
    </w:p>
    <w:p>
      <w:pPr>
        <w:pStyle w:val="ListBullet"/>
        <w:jc w:val="both"/>
      </w:pPr>
      <w:r>
        <w:rPr>
          <w:rFonts w:ascii="Cambria" w:hAnsi="Cambria"/>
          <w:sz w:val="22"/>
        </w:rPr>
        <w:t>VC ensures effective use of human resources by rotating staff across departments.</w:t>
      </w:r>
    </w:p>
    <w:p>
      <w:pPr>
        <w:pStyle w:val="ListBullet"/>
        <w:jc w:val="both"/>
      </w:pPr>
      <w:r>
        <w:rPr>
          <w:rFonts w:ascii="Cambria" w:hAnsi="Cambria"/>
          <w:sz w:val="22"/>
        </w:rPr>
        <w:t>Prevents stagnation and promotes institutional efficiency.</w:t>
      </w:r>
    </w:p>
    <w:p>
      <w:pPr>
        <w:pStyle w:val="ListBullet"/>
        <w:jc w:val="both"/>
      </w:pPr>
      <w:r>
        <w:rPr>
          <w:rFonts w:ascii="Cambria" w:hAnsi="Cambria"/>
          <w:sz w:val="22"/>
        </w:rPr>
        <w:t>Transfers may also address issues of conflict of interest or inefficiency.</w:t>
      </w:r>
    </w:p>
    <w:p>
      <w:r>
        <w:rPr>
          <w:rFonts w:ascii="Cambria" w:hAnsi="Cambria"/>
          <w:b/>
          <w:i w:val="0"/>
          <w:sz w:val="22"/>
        </w:rPr>
        <w:t>(g) To Order Retirement and Sanction Benefits</w:t>
      </w:r>
    </w:p>
    <w:p>
      <w:pPr>
        <w:pStyle w:val="ListBullet"/>
        <w:jc w:val="both"/>
      </w:pPr>
      <w:r>
        <w:rPr>
          <w:rFonts w:ascii="Cambria" w:hAnsi="Cambria"/>
          <w:sz w:val="22"/>
        </w:rPr>
        <w:t>VC enforces rules of superannuation and retirement benefits.</w:t>
      </w:r>
    </w:p>
    <w:p>
      <w:pPr>
        <w:pStyle w:val="ListBullet"/>
        <w:jc w:val="both"/>
      </w:pPr>
      <w:r>
        <w:rPr>
          <w:rFonts w:ascii="Cambria" w:hAnsi="Cambria"/>
          <w:sz w:val="22"/>
        </w:rPr>
        <w:t>Ensures smooth transition in staff turnover.</w:t>
      </w:r>
    </w:p>
    <w:p>
      <w:pPr>
        <w:pStyle w:val="ListBullet"/>
        <w:jc w:val="both"/>
      </w:pPr>
      <w:r>
        <w:rPr>
          <w:rFonts w:ascii="Cambria" w:hAnsi="Cambria"/>
          <w:sz w:val="22"/>
        </w:rPr>
        <w:t>Retirement decisions are taken in accordance with government and university rules, maintaining fairness.</w:t>
      </w:r>
    </w:p>
    <w:p>
      <w:r>
        <w:rPr>
          <w:rFonts w:ascii="Cambria" w:hAnsi="Cambria"/>
          <w:b/>
          <w:i w:val="0"/>
          <w:sz w:val="22"/>
        </w:rPr>
        <w:t>(h) To Sanction Installations</w:t>
      </w:r>
    </w:p>
    <w:p>
      <w:pPr>
        <w:pStyle w:val="ListBullet"/>
        <w:jc w:val="both"/>
      </w:pPr>
      <w:r>
        <w:rPr>
          <w:rFonts w:ascii="Cambria" w:hAnsi="Cambria"/>
          <w:sz w:val="22"/>
        </w:rPr>
        <w:t>VC modernizes the institution by authorizing installation of telecommunication and IT infrastructure.</w:t>
      </w:r>
    </w:p>
    <w:p>
      <w:pPr>
        <w:pStyle w:val="ListBullet"/>
        <w:jc w:val="both"/>
      </w:pPr>
      <w:r>
        <w:rPr>
          <w:rFonts w:ascii="Cambria" w:hAnsi="Cambria"/>
          <w:sz w:val="22"/>
        </w:rPr>
        <w:t>Examples:</w:t>
      </w:r>
    </w:p>
    <w:p>
      <w:pPr>
        <w:pStyle w:val="ListBullet2"/>
        <w:jc w:val="both"/>
      </w:pPr>
      <w:r>
        <w:rPr>
          <w:rFonts w:ascii="Cambria" w:hAnsi="Cambria"/>
          <w:sz w:val="22"/>
        </w:rPr>
        <w:t>Internet systems in hostels and departments</w:t>
      </w:r>
    </w:p>
    <w:p>
      <w:pPr>
        <w:pStyle w:val="ListBullet2"/>
        <w:jc w:val="both"/>
      </w:pPr>
      <w:r>
        <w:rPr>
          <w:rFonts w:ascii="Cambria" w:hAnsi="Cambria"/>
          <w:sz w:val="22"/>
        </w:rPr>
        <w:t>Intercom facilities for offices</w:t>
      </w:r>
    </w:p>
    <w:p>
      <w:pPr>
        <w:pStyle w:val="ListBullet2"/>
        <w:jc w:val="both"/>
      </w:pPr>
      <w:r>
        <w:rPr>
          <w:rFonts w:ascii="Cambria" w:hAnsi="Cambria"/>
          <w:sz w:val="22"/>
        </w:rPr>
        <w:t>Computers in residences of senior staff</w:t>
      </w:r>
    </w:p>
    <w:p>
      <w:pPr>
        <w:pStyle w:val="ListBullet"/>
        <w:jc w:val="both"/>
      </w:pPr>
      <w:r>
        <w:rPr>
          <w:rFonts w:ascii="Cambria" w:hAnsi="Cambria"/>
          <w:sz w:val="22"/>
        </w:rPr>
        <w:t>This helps build a digitally enabled campus.</w:t>
      </w:r>
    </w:p>
    <w:p>
      <w:r>
        <w:rPr>
          <w:rFonts w:ascii="Cambria" w:hAnsi="Cambria"/>
          <w:b/>
          <w:i w:val="0"/>
          <w:sz w:val="22"/>
        </w:rPr>
        <w:t>(i) To Order Officiating Arrangements</w:t>
      </w:r>
    </w:p>
    <w:p>
      <w:pPr>
        <w:pStyle w:val="ListBullet"/>
        <w:jc w:val="both"/>
      </w:pPr>
      <w:r>
        <w:rPr>
          <w:rFonts w:ascii="Cambria" w:hAnsi="Cambria"/>
          <w:sz w:val="22"/>
        </w:rPr>
        <w:t>VC can make temporary arrangements in case of:</w:t>
      </w:r>
    </w:p>
    <w:p>
      <w:pPr>
        <w:pStyle w:val="ListBullet2"/>
        <w:jc w:val="both"/>
      </w:pPr>
      <w:r>
        <w:rPr>
          <w:rFonts w:ascii="Cambria" w:hAnsi="Cambria"/>
          <w:sz w:val="22"/>
        </w:rPr>
        <w:t>Sudden vacancies</w:t>
      </w:r>
    </w:p>
    <w:p>
      <w:pPr>
        <w:pStyle w:val="ListBullet2"/>
        <w:jc w:val="both"/>
      </w:pPr>
      <w:r>
        <w:rPr>
          <w:rFonts w:ascii="Cambria" w:hAnsi="Cambria"/>
          <w:sz w:val="22"/>
        </w:rPr>
        <w:t>Emergency leave of key officers</w:t>
      </w:r>
    </w:p>
    <w:p>
      <w:pPr>
        <w:pStyle w:val="ListBullet"/>
        <w:jc w:val="both"/>
      </w:pPr>
      <w:r>
        <w:rPr>
          <w:rFonts w:ascii="Cambria" w:hAnsi="Cambria"/>
          <w:sz w:val="22"/>
        </w:rPr>
        <w:t>Prevents disruption of daily operations.</w:t>
      </w:r>
    </w:p>
    <w:p>
      <w:r>
        <w:rPr>
          <w:rFonts w:ascii="Cambria" w:hAnsi="Cambria"/>
          <w:b/>
          <w:i w:val="0"/>
          <w:sz w:val="22"/>
        </w:rPr>
        <w:t>(j) To Permit Employees for External Duty</w:t>
      </w:r>
    </w:p>
    <w:p>
      <w:pPr>
        <w:pStyle w:val="ListBullet"/>
        <w:jc w:val="both"/>
      </w:pPr>
      <w:r>
        <w:rPr>
          <w:rFonts w:ascii="Cambria" w:hAnsi="Cambria"/>
          <w:sz w:val="22"/>
        </w:rPr>
        <w:t>VC may grant permission for staff to participate in national committees, advisory groups, or research projects.</w:t>
      </w:r>
    </w:p>
    <w:p>
      <w:pPr>
        <w:pStyle w:val="ListBullet"/>
        <w:jc w:val="both"/>
      </w:pPr>
      <w:r>
        <w:rPr>
          <w:rFonts w:ascii="Cambria" w:hAnsi="Cambria"/>
          <w:sz w:val="22"/>
        </w:rPr>
        <w:t>Absence is considered as Official Duty (OD), not leave.</w:t>
      </w:r>
    </w:p>
    <w:p>
      <w:pPr>
        <w:pStyle w:val="ListBullet"/>
        <w:jc w:val="both"/>
      </w:pPr>
      <w:r>
        <w:rPr>
          <w:rFonts w:ascii="Cambria" w:hAnsi="Cambria"/>
          <w:sz w:val="22"/>
        </w:rPr>
        <w:t>Enhances university's visibility and networking in the higher education ecosystem.</w:t>
      </w:r>
    </w:p>
    <w:p>
      <w:r>
        <w:rPr>
          <w:rFonts w:ascii="Cambria" w:hAnsi="Cambria"/>
          <w:b/>
          <w:i w:val="0"/>
          <w:sz w:val="22"/>
        </w:rPr>
        <w:t>(k) To Appoint Paper Setters, Examiners, and Experts</w:t>
      </w:r>
    </w:p>
    <w:p>
      <w:pPr>
        <w:pStyle w:val="ListBullet"/>
        <w:jc w:val="both"/>
      </w:pPr>
      <w:r>
        <w:rPr>
          <w:rFonts w:ascii="Cambria" w:hAnsi="Cambria"/>
          <w:sz w:val="22"/>
        </w:rPr>
        <w:t>VC ensures academic integrity by appointing:</w:t>
      </w:r>
    </w:p>
    <w:p>
      <w:pPr>
        <w:pStyle w:val="ListBullet2"/>
        <w:jc w:val="both"/>
      </w:pPr>
      <w:r>
        <w:rPr>
          <w:rFonts w:ascii="Cambria" w:hAnsi="Cambria"/>
          <w:sz w:val="22"/>
        </w:rPr>
        <w:t>Paper setters for examinations</w:t>
      </w:r>
    </w:p>
    <w:p>
      <w:pPr>
        <w:pStyle w:val="ListBullet2"/>
        <w:jc w:val="both"/>
      </w:pPr>
      <w:r>
        <w:rPr>
          <w:rFonts w:ascii="Cambria" w:hAnsi="Cambria"/>
          <w:sz w:val="22"/>
        </w:rPr>
        <w:t>Examiners and evaluators for assessments</w:t>
      </w:r>
    </w:p>
    <w:p>
      <w:pPr>
        <w:pStyle w:val="ListBullet2"/>
        <w:jc w:val="both"/>
      </w:pPr>
      <w:r>
        <w:rPr>
          <w:rFonts w:ascii="Cambria" w:hAnsi="Cambria"/>
          <w:sz w:val="22"/>
        </w:rPr>
        <w:t>Experts for thesis/dissertation adjudication</w:t>
      </w:r>
    </w:p>
    <w:p>
      <w:pPr>
        <w:pStyle w:val="ListBullet"/>
        <w:jc w:val="both"/>
      </w:pPr>
      <w:r>
        <w:rPr>
          <w:rFonts w:ascii="Cambria" w:hAnsi="Cambria"/>
          <w:sz w:val="22"/>
        </w:rPr>
        <w:t>This maintains fairness, transparency, and academic standards.</w:t>
      </w:r>
    </w:p>
    <w:p>
      <w:pPr>
        <w:pStyle w:val="ListBullet"/>
        <w:jc w:val="both"/>
      </w:pPr>
      <w:r>
        <w:rPr>
          <w:rFonts w:ascii="Cambria" w:hAnsi="Cambria"/>
          <w:sz w:val="22"/>
        </w:rPr>
        <w:t>Publishing results is also the VC's responsibility.</w:t>
      </w:r>
    </w:p>
    <w:p>
      <w:r>
        <w:rPr>
          <w:rFonts w:ascii="Cambria" w:hAnsi="Cambria"/>
          <w:b/>
          <w:i w:val="0"/>
          <w:sz w:val="22"/>
        </w:rPr>
        <w:t>(l) To Appoint Committees</w:t>
      </w:r>
    </w:p>
    <w:p>
      <w:pPr>
        <w:pStyle w:val="ListBullet"/>
        <w:jc w:val="both"/>
      </w:pPr>
      <w:r>
        <w:rPr>
          <w:rFonts w:ascii="Cambria" w:hAnsi="Cambria"/>
          <w:sz w:val="22"/>
        </w:rPr>
        <w:t>VC can set up task forces, inquiry committees, or advisory boards on academic, administrative, or financial issues.</w:t>
      </w:r>
    </w:p>
    <w:p>
      <w:pPr>
        <w:pStyle w:val="ListBullet"/>
        <w:jc w:val="both"/>
      </w:pPr>
      <w:r>
        <w:rPr>
          <w:rFonts w:ascii="Cambria" w:hAnsi="Cambria"/>
          <w:sz w:val="22"/>
        </w:rPr>
        <w:t>Sanctions honorarium for experts, ensuring recognition of their services.</w:t>
      </w:r>
    </w:p>
    <w:p>
      <w:pPr>
        <w:pStyle w:val="ListBullet"/>
        <w:jc w:val="both"/>
      </w:pPr>
      <w:r>
        <w:rPr>
          <w:rFonts w:ascii="Cambria" w:hAnsi="Cambria"/>
          <w:sz w:val="22"/>
        </w:rPr>
        <w:t>Encourages collaborative decision-making.</w:t>
      </w:r>
    </w:p>
    <w:p>
      <w:r>
        <w:rPr>
          <w:rFonts w:ascii="Cambria" w:hAnsi="Cambria"/>
          <w:b/>
          <w:i w:val="0"/>
          <w:sz w:val="22"/>
        </w:rPr>
        <w:t>Overall, Role of the Vice-Chancellor</w:t>
      </w:r>
    </w:p>
    <w:p>
      <w:pPr>
        <w:pStyle w:val="ListBullet"/>
        <w:jc w:val="both"/>
      </w:pPr>
      <w:r>
        <w:rPr>
          <w:rFonts w:ascii="Cambria" w:hAnsi="Cambria"/>
          <w:sz w:val="22"/>
        </w:rPr>
        <w:t>Visionary Leader – Shapes the future direction of the University.</w:t>
      </w:r>
    </w:p>
    <w:p>
      <w:pPr>
        <w:pStyle w:val="ListBullet"/>
        <w:jc w:val="both"/>
      </w:pPr>
      <w:r>
        <w:rPr>
          <w:rFonts w:ascii="Cambria" w:hAnsi="Cambria"/>
          <w:sz w:val="22"/>
        </w:rPr>
        <w:t>Academic Guardian – Safeguards teaching, learning, and research quality.</w:t>
      </w:r>
    </w:p>
    <w:p>
      <w:pPr>
        <w:pStyle w:val="ListBullet"/>
        <w:jc w:val="both"/>
      </w:pPr>
      <w:r>
        <w:rPr>
          <w:rFonts w:ascii="Cambria" w:hAnsi="Cambria"/>
          <w:sz w:val="22"/>
        </w:rPr>
        <w:t>Administrative Head – Ensures efficient management of resources.</w:t>
      </w:r>
    </w:p>
    <w:p>
      <w:pPr>
        <w:pStyle w:val="ListBullet"/>
        <w:jc w:val="both"/>
      </w:pPr>
      <w:r>
        <w:rPr>
          <w:rFonts w:ascii="Cambria" w:hAnsi="Cambria"/>
          <w:sz w:val="22"/>
        </w:rPr>
        <w:t>Financial Authority – Oversees scholarships, infrastructure, and staff welfare.</w:t>
      </w:r>
    </w:p>
    <w:p>
      <w:pPr>
        <w:pStyle w:val="ListBullet"/>
        <w:jc w:val="both"/>
      </w:pPr>
      <w:r>
        <w:rPr>
          <w:rFonts w:ascii="Cambria" w:hAnsi="Cambria"/>
          <w:sz w:val="22"/>
        </w:rPr>
        <w:t>Disciplinary Authority – Maintains order, fairness, and institutional integrity.</w:t>
      </w:r>
    </w:p>
    <w:p>
      <w:pPr>
        <w:keepNext/>
        <w:spacing w:before="160" w:after="120"/>
      </w:pPr>
      <w:r>
        <w:rPr>
          <w:rFonts w:ascii="Cambria" w:hAnsi="Cambria"/>
          <w:b/>
          <w:color w:val="1F3A5F"/>
          <w:sz w:val="30"/>
        </w:rPr>
        <w:t>Powers and Functions of the Vice-Chancellor</w:t>
      </w:r>
    </w:p>
    <w:tbl>
      <w:tblPr>
        <w:tblW w:type="auto" w:w="0"/>
        <w:tblLayout w:type="fixed"/>
        <w:tblLook w:firstColumn="1" w:firstRow="1" w:lastColumn="0" w:lastRow="0" w:noHBand="0" w:noVBand="1" w:val="04A0"/>
        <w:tblLayout w:type="fixed"/>
      </w:tblPr>
      <w:tblGrid>
        <w:gridCol w:w="1417"/>
        <w:gridCol w:w="4025"/>
        <w:gridCol w:w="3402"/>
      </w:tblGrid>
      <w:tr>
        <w:tc>
          <w:tcPr>
            <w:tcW w:type="dxa" w:w="1417"/>
            <w:shd w:val="clear" w:color="auto" w:fill="1F3A5F"/>
            <w:tcW w:w="1417" w:type="dxa"/>
          </w:tcPr>
          <w:p>
            <w:pPr>
              <w:jc w:val="center"/>
            </w:pPr>
            <w:r/>
            <w:r>
              <w:rPr>
                <w:rFonts w:ascii="Cambria" w:hAnsi="Cambria"/>
                <w:b/>
                <w:color w:val="FFFFFF"/>
                <w:sz w:val="21"/>
              </w:rPr>
              <w:t>Domain</w:t>
            </w:r>
          </w:p>
        </w:tc>
        <w:tc>
          <w:tcPr>
            <w:tcW w:type="dxa" w:w="4025"/>
            <w:shd w:val="clear" w:color="auto" w:fill="1F3A5F"/>
            <w:tcW w:w="4025" w:type="dxa"/>
          </w:tcPr>
          <w:p>
            <w:pPr>
              <w:jc w:val="center"/>
            </w:pPr>
            <w:r/>
            <w:r>
              <w:rPr>
                <w:rFonts w:ascii="Cambria" w:hAnsi="Cambria"/>
                <w:b/>
                <w:color w:val="FFFFFF"/>
                <w:sz w:val="21"/>
              </w:rPr>
              <w:t>Specific Powers</w:t>
            </w:r>
          </w:p>
        </w:tc>
        <w:tc>
          <w:tcPr>
            <w:tcW w:type="dxa" w:w="3402"/>
            <w:shd w:val="clear" w:color="auto" w:fill="1F3A5F"/>
            <w:tcW w:w="3402" w:type="dxa"/>
          </w:tcPr>
          <w:p>
            <w:pPr>
              <w:jc w:val="center"/>
            </w:pPr>
            <w:r/>
            <w:r>
              <w:rPr>
                <w:rFonts w:ascii="Cambria" w:hAnsi="Cambria"/>
                <w:b/>
                <w:color w:val="FFFFFF"/>
                <w:sz w:val="21"/>
              </w:rPr>
              <w:t>Impact on University</w:t>
            </w:r>
          </w:p>
        </w:tc>
      </w:tr>
      <w:tr>
        <w:tc>
          <w:tcPr>
            <w:tcW w:type="dxa" w:w="1417"/>
            <w:tcW w:w="1417" w:type="dxa"/>
          </w:tcPr>
          <w:p>
            <w:pPr>
              <w:jc w:val="left"/>
            </w:pPr>
            <w:r/>
            <w:r>
              <w:rPr>
                <w:rFonts w:ascii="Cambria" w:hAnsi="Cambria"/>
                <w:b w:val="0"/>
                <w:sz w:val="19"/>
              </w:rPr>
              <w:t>Academic</w:t>
            </w:r>
          </w:p>
        </w:tc>
        <w:tc>
          <w:tcPr>
            <w:tcW w:type="dxa" w:w="4025"/>
            <w:tcW w:w="4025" w:type="dxa"/>
          </w:tcPr>
          <w:p>
            <w:pPr>
              <w:jc w:val="left"/>
            </w:pPr>
            <w:r/>
            <w:r>
              <w:rPr>
                <w:rFonts w:ascii="Cambria" w:hAnsi="Cambria"/>
                <w:b w:val="0"/>
                <w:sz w:val="19"/>
              </w:rPr>
              <w:t>- Academic Head of the University</w:t>
            </w:r>
          </w:p>
          <w:p>
            <w:pPr>
              <w:jc w:val="left"/>
            </w:pPr>
            <w:r>
              <w:rPr>
                <w:rFonts w:ascii="Cambria" w:hAnsi="Cambria"/>
                <w:b w:val="0"/>
                <w:sz w:val="19"/>
              </w:rPr>
              <w:t>- Inspect departments, centres, and sections</w:t>
            </w:r>
          </w:p>
          <w:p>
            <w:pPr>
              <w:jc w:val="left"/>
            </w:pPr>
            <w:r>
              <w:rPr>
                <w:rFonts w:ascii="Cambria" w:hAnsi="Cambria"/>
                <w:b w:val="0"/>
                <w:sz w:val="19"/>
              </w:rPr>
              <w:t>- Appoint paper setters, examiners, adjudicators, and experts</w:t>
            </w:r>
          </w:p>
          <w:p>
            <w:pPr>
              <w:jc w:val="left"/>
            </w:pPr>
            <w:r>
              <w:rPr>
                <w:rFonts w:ascii="Cambria" w:hAnsi="Cambria"/>
                <w:b w:val="0"/>
                <w:sz w:val="19"/>
              </w:rPr>
              <w:t>- Publish examination results</w:t>
            </w:r>
          </w:p>
          <w:p>
            <w:pPr>
              <w:jc w:val="left"/>
            </w:pPr>
            <w:r>
              <w:rPr>
                <w:rFonts w:ascii="Cambria" w:hAnsi="Cambria"/>
                <w:b w:val="0"/>
                <w:sz w:val="19"/>
              </w:rPr>
              <w:t>- Invite eminent persons for lectures and sanction remuneration</w:t>
            </w:r>
          </w:p>
          <w:p>
            <w:pPr>
              <w:jc w:val="left"/>
            </w:pPr>
            <w:r>
              <w:rPr>
                <w:rFonts w:ascii="Cambria" w:hAnsi="Cambria"/>
                <w:b w:val="0"/>
                <w:sz w:val="19"/>
              </w:rPr>
              <w:t>- Decide on scholarships, fellowships, and freeships</w:t>
            </w:r>
          </w:p>
          <w:p>
            <w:pPr>
              <w:jc w:val="left"/>
            </w:pPr>
            <w:r>
              <w:rPr>
                <w:rFonts w:ascii="Cambria" w:hAnsi="Cambria"/>
                <w:b w:val="0"/>
                <w:sz w:val="19"/>
              </w:rPr>
              <w:t>- Appoint academic committees and sanction honorarium</w:t>
            </w:r>
          </w:p>
          <w:p>
            <w:pPr>
              <w:jc w:val="left"/>
            </w:pPr>
            <w:r>
              <w:rPr>
                <w:rFonts w:ascii="Cambria" w:hAnsi="Cambria"/>
                <w:b w:val="0"/>
                <w:sz w:val="19"/>
              </w:rPr>
              <w:t>- Depute faculty/staff to seminars, workshops, and conferences</w:t>
            </w:r>
          </w:p>
        </w:tc>
        <w:tc>
          <w:tcPr>
            <w:tcW w:type="dxa" w:w="3402"/>
            <w:tcW w:w="3402" w:type="dxa"/>
          </w:tcPr>
          <w:p>
            <w:pPr>
              <w:jc w:val="left"/>
            </w:pPr>
            <w:r/>
            <w:r>
              <w:rPr>
                <w:rFonts w:ascii="Cambria" w:hAnsi="Cambria"/>
                <w:b w:val="0"/>
                <w:sz w:val="19"/>
              </w:rPr>
              <w:t>- Maintains academic quality and standards</w:t>
            </w:r>
          </w:p>
          <w:p>
            <w:pPr>
              <w:jc w:val="left"/>
            </w:pPr>
            <w:r>
              <w:rPr>
                <w:rFonts w:ascii="Cambria" w:hAnsi="Cambria"/>
                <w:b w:val="0"/>
                <w:sz w:val="19"/>
              </w:rPr>
              <w:t>- Strengthens research and teaching</w:t>
            </w:r>
          </w:p>
          <w:p>
            <w:pPr>
              <w:jc w:val="left"/>
            </w:pPr>
            <w:r>
              <w:rPr>
                <w:rFonts w:ascii="Cambria" w:hAnsi="Cambria"/>
                <w:b w:val="0"/>
                <w:sz w:val="19"/>
              </w:rPr>
              <w:t>- Ensures fairness in examinations</w:t>
            </w:r>
          </w:p>
          <w:p>
            <w:pPr>
              <w:jc w:val="left"/>
            </w:pPr>
            <w:r>
              <w:rPr>
                <w:rFonts w:ascii="Cambria" w:hAnsi="Cambria"/>
                <w:b w:val="0"/>
                <w:sz w:val="19"/>
              </w:rPr>
              <w:t>- Promotes innovation and exposure through external lectures</w:t>
            </w:r>
          </w:p>
          <w:p>
            <w:pPr>
              <w:jc w:val="left"/>
            </w:pPr>
            <w:r>
              <w:rPr>
                <w:rFonts w:ascii="Cambria" w:hAnsi="Cambria"/>
                <w:b w:val="0"/>
                <w:sz w:val="19"/>
              </w:rPr>
              <w:t>- Supports inclusive education through financial aid</w:t>
            </w:r>
          </w:p>
          <w:p>
            <w:pPr>
              <w:jc w:val="left"/>
            </w:pPr>
            <w:r>
              <w:rPr>
                <w:rFonts w:ascii="Cambria" w:hAnsi="Cambria"/>
                <w:b w:val="0"/>
                <w:sz w:val="19"/>
              </w:rPr>
              <w:t>- Encourages professional growth of faculty/staff</w:t>
            </w:r>
          </w:p>
        </w:tc>
      </w:tr>
      <w:tr>
        <w:tc>
          <w:tcPr>
            <w:tcW w:type="dxa" w:w="1417"/>
            <w:tcW w:w="1417" w:type="dxa"/>
            <w:shd w:val="clear" w:color="auto" w:fill="D9E2EC"/>
          </w:tcPr>
          <w:p>
            <w:pPr>
              <w:jc w:val="left"/>
            </w:pPr>
            <w:r/>
            <w:r>
              <w:rPr>
                <w:rFonts w:ascii="Cambria" w:hAnsi="Cambria"/>
                <w:b w:val="0"/>
                <w:sz w:val="19"/>
              </w:rPr>
              <w:t>Administrative</w:t>
            </w:r>
          </w:p>
        </w:tc>
        <w:tc>
          <w:tcPr>
            <w:tcW w:type="dxa" w:w="4025"/>
            <w:tcW w:w="4025" w:type="dxa"/>
            <w:shd w:val="clear" w:color="auto" w:fill="D9E2EC"/>
          </w:tcPr>
          <w:p>
            <w:pPr>
              <w:jc w:val="left"/>
            </w:pPr>
            <w:r/>
            <w:r>
              <w:rPr>
                <w:rFonts w:ascii="Cambria" w:hAnsi="Cambria"/>
                <w:b w:val="0"/>
                <w:sz w:val="19"/>
              </w:rPr>
              <w:t>- Principal Executive Officer with general control</w:t>
            </w:r>
          </w:p>
          <w:p>
            <w:pPr>
              <w:jc w:val="left"/>
            </w:pPr>
            <w:r>
              <w:rPr>
                <w:rFonts w:ascii="Cambria" w:hAnsi="Cambria"/>
                <w:b w:val="0"/>
                <w:sz w:val="19"/>
              </w:rPr>
              <w:t>- Holds office for 5 years or until 70 years</w:t>
            </w:r>
          </w:p>
          <w:p>
            <w:pPr>
              <w:jc w:val="left"/>
            </w:pPr>
            <w:r>
              <w:rPr>
                <w:rFonts w:ascii="Cambria" w:hAnsi="Cambria"/>
                <w:b w:val="0"/>
                <w:sz w:val="19"/>
              </w:rPr>
              <w:t>- Exercises powers under statutes and delegated authority</w:t>
            </w:r>
          </w:p>
          <w:p>
            <w:pPr>
              <w:jc w:val="left"/>
            </w:pPr>
            <w:r>
              <w:rPr>
                <w:rFonts w:ascii="Cambria" w:hAnsi="Cambria"/>
                <w:b w:val="0"/>
                <w:sz w:val="19"/>
              </w:rPr>
              <w:t>- Delegate powers to officers</w:t>
            </w:r>
          </w:p>
          <w:p>
            <w:pPr>
              <w:jc w:val="left"/>
            </w:pPr>
            <w:r>
              <w:rPr>
                <w:rFonts w:ascii="Cambria" w:hAnsi="Cambria"/>
                <w:b w:val="0"/>
                <w:sz w:val="19"/>
              </w:rPr>
              <w:t>- Final authority for allocation of accommodation</w:t>
            </w:r>
          </w:p>
          <w:p>
            <w:pPr>
              <w:jc w:val="left"/>
            </w:pPr>
            <w:r>
              <w:rPr>
                <w:rFonts w:ascii="Cambria" w:hAnsi="Cambria"/>
                <w:b w:val="0"/>
                <w:sz w:val="19"/>
              </w:rPr>
              <w:t>- Transfer administrative officers</w:t>
            </w:r>
          </w:p>
          <w:p>
            <w:pPr>
              <w:jc w:val="left"/>
            </w:pPr>
            <w:r>
              <w:rPr>
                <w:rFonts w:ascii="Cambria" w:hAnsi="Cambria"/>
                <w:b w:val="0"/>
                <w:sz w:val="19"/>
              </w:rPr>
              <w:t>- Order officiating arrangements</w:t>
            </w:r>
          </w:p>
          <w:p>
            <w:pPr>
              <w:jc w:val="left"/>
            </w:pPr>
            <w:r>
              <w:rPr>
                <w:rFonts w:ascii="Cambria" w:hAnsi="Cambria"/>
                <w:b w:val="0"/>
                <w:sz w:val="19"/>
              </w:rPr>
              <w:t>- Institute enquiries</w:t>
            </w:r>
          </w:p>
          <w:p>
            <w:pPr>
              <w:jc w:val="left"/>
            </w:pPr>
            <w:r>
              <w:rPr>
                <w:rFonts w:ascii="Cambria" w:hAnsi="Cambria"/>
                <w:b w:val="0"/>
                <w:sz w:val="19"/>
              </w:rPr>
              <w:t>- Permit employees to attend external committee meetings</w:t>
            </w:r>
          </w:p>
          <w:p>
            <w:pPr>
              <w:jc w:val="left"/>
            </w:pPr>
            <w:r>
              <w:rPr>
                <w:rFonts w:ascii="Cambria" w:hAnsi="Cambria"/>
                <w:b w:val="0"/>
                <w:sz w:val="19"/>
              </w:rPr>
              <w:t>- Sanction installation of telecommunication/IT systems</w:t>
            </w:r>
          </w:p>
        </w:tc>
        <w:tc>
          <w:tcPr>
            <w:tcW w:type="dxa" w:w="3402"/>
            <w:tcW w:w="3402" w:type="dxa"/>
            <w:shd w:val="clear" w:color="auto" w:fill="D9E2EC"/>
          </w:tcPr>
          <w:p>
            <w:pPr>
              <w:jc w:val="left"/>
            </w:pPr>
            <w:r/>
            <w:r>
              <w:rPr>
                <w:rFonts w:ascii="Cambria" w:hAnsi="Cambria"/>
                <w:b w:val="0"/>
                <w:sz w:val="19"/>
              </w:rPr>
              <w:t>- Ensures smooth day-to-day functioning</w:t>
            </w:r>
          </w:p>
          <w:p>
            <w:pPr>
              <w:jc w:val="left"/>
            </w:pPr>
            <w:r>
              <w:rPr>
                <w:rFonts w:ascii="Cambria" w:hAnsi="Cambria"/>
                <w:b w:val="0"/>
                <w:sz w:val="19"/>
              </w:rPr>
              <w:t>- Promotes decentralization and efficiency</w:t>
            </w:r>
          </w:p>
          <w:p>
            <w:pPr>
              <w:jc w:val="left"/>
            </w:pPr>
            <w:r>
              <w:rPr>
                <w:rFonts w:ascii="Cambria" w:hAnsi="Cambria"/>
                <w:b w:val="0"/>
                <w:sz w:val="19"/>
              </w:rPr>
              <w:t>- Prevents disruptions in governance</w:t>
            </w:r>
          </w:p>
          <w:p>
            <w:pPr>
              <w:jc w:val="left"/>
            </w:pPr>
            <w:r>
              <w:rPr>
                <w:rFonts w:ascii="Cambria" w:hAnsi="Cambria"/>
                <w:b w:val="0"/>
                <w:sz w:val="19"/>
              </w:rPr>
              <w:t>- Enhances transparency in accommodation allocation</w:t>
            </w:r>
          </w:p>
          <w:p>
            <w:pPr>
              <w:jc w:val="left"/>
            </w:pPr>
            <w:r>
              <w:rPr>
                <w:rFonts w:ascii="Cambria" w:hAnsi="Cambria"/>
                <w:b w:val="0"/>
                <w:sz w:val="19"/>
              </w:rPr>
              <w:t>- Provides modern infrastructure and IT support</w:t>
            </w:r>
          </w:p>
          <w:p>
            <w:pPr>
              <w:jc w:val="left"/>
            </w:pPr>
            <w:r>
              <w:rPr>
                <w:rFonts w:ascii="Cambria" w:hAnsi="Cambria"/>
                <w:b w:val="0"/>
                <w:sz w:val="19"/>
              </w:rPr>
              <w:t>- Builds collaboration with government and external agencies</w:t>
            </w:r>
          </w:p>
        </w:tc>
      </w:tr>
      <w:tr>
        <w:tc>
          <w:tcPr>
            <w:tcW w:type="dxa" w:w="1417"/>
            <w:tcW w:w="1417" w:type="dxa"/>
          </w:tcPr>
          <w:p>
            <w:pPr>
              <w:jc w:val="left"/>
            </w:pPr>
            <w:r/>
            <w:r>
              <w:rPr>
                <w:rFonts w:ascii="Cambria" w:hAnsi="Cambria"/>
                <w:b w:val="0"/>
                <w:sz w:val="19"/>
              </w:rPr>
              <w:t>Financial</w:t>
            </w:r>
          </w:p>
        </w:tc>
        <w:tc>
          <w:tcPr>
            <w:tcW w:type="dxa" w:w="4025"/>
            <w:tcW w:w="4025" w:type="dxa"/>
          </w:tcPr>
          <w:p>
            <w:pPr>
              <w:jc w:val="left"/>
            </w:pPr>
            <w:r/>
            <w:r>
              <w:rPr>
                <w:rFonts w:ascii="Cambria" w:hAnsi="Cambria"/>
                <w:b w:val="0"/>
                <w:sz w:val="19"/>
              </w:rPr>
              <w:t>- Exercise statutory financial powers</w:t>
            </w:r>
          </w:p>
          <w:p>
            <w:pPr>
              <w:jc w:val="left"/>
            </w:pPr>
            <w:r>
              <w:rPr>
                <w:rFonts w:ascii="Cambria" w:hAnsi="Cambria"/>
                <w:b w:val="0"/>
                <w:sz w:val="19"/>
              </w:rPr>
              <w:t>- Sanction remuneration for guest speakers</w:t>
            </w:r>
          </w:p>
          <w:p>
            <w:pPr>
              <w:jc w:val="left"/>
            </w:pPr>
            <w:r>
              <w:rPr>
                <w:rFonts w:ascii="Cambria" w:hAnsi="Cambria"/>
                <w:b w:val="0"/>
                <w:sz w:val="19"/>
              </w:rPr>
              <w:t>- Approve TA, DA, and registration fees for deputed staff</w:t>
            </w:r>
          </w:p>
          <w:p>
            <w:pPr>
              <w:jc w:val="left"/>
            </w:pPr>
            <w:r>
              <w:rPr>
                <w:rFonts w:ascii="Cambria" w:hAnsi="Cambria"/>
                <w:b w:val="0"/>
                <w:sz w:val="19"/>
              </w:rPr>
              <w:t>- Decide scholarships, fellowships, freeships</w:t>
            </w:r>
          </w:p>
          <w:p>
            <w:pPr>
              <w:jc w:val="left"/>
            </w:pPr>
            <w:r>
              <w:rPr>
                <w:rFonts w:ascii="Cambria" w:hAnsi="Cambria"/>
                <w:b w:val="0"/>
                <w:sz w:val="19"/>
              </w:rPr>
              <w:t>- Sanction retirement benefits</w:t>
            </w:r>
          </w:p>
          <w:p>
            <w:pPr>
              <w:jc w:val="left"/>
            </w:pPr>
            <w:r>
              <w:rPr>
                <w:rFonts w:ascii="Cambria" w:hAnsi="Cambria"/>
                <w:b w:val="0"/>
                <w:sz w:val="19"/>
              </w:rPr>
              <w:t>- Approve IT and communication installations</w:t>
            </w:r>
          </w:p>
          <w:p>
            <w:pPr>
              <w:jc w:val="left"/>
            </w:pPr>
            <w:r>
              <w:rPr>
                <w:rFonts w:ascii="Cambria" w:hAnsi="Cambria"/>
                <w:b w:val="0"/>
                <w:sz w:val="19"/>
              </w:rPr>
              <w:t>- Sanction honorarium for committees</w:t>
            </w:r>
          </w:p>
        </w:tc>
        <w:tc>
          <w:tcPr>
            <w:tcW w:type="dxa" w:w="3402"/>
            <w:tcW w:w="3402" w:type="dxa"/>
          </w:tcPr>
          <w:p>
            <w:pPr>
              <w:jc w:val="left"/>
            </w:pPr>
            <w:r/>
            <w:r>
              <w:rPr>
                <w:rFonts w:ascii="Cambria" w:hAnsi="Cambria"/>
                <w:b w:val="0"/>
                <w:sz w:val="19"/>
              </w:rPr>
              <w:t>- Ensures responsible financial management</w:t>
            </w:r>
          </w:p>
          <w:p>
            <w:pPr>
              <w:jc w:val="left"/>
            </w:pPr>
            <w:r>
              <w:rPr>
                <w:rFonts w:ascii="Cambria" w:hAnsi="Cambria"/>
                <w:b w:val="0"/>
                <w:sz w:val="19"/>
              </w:rPr>
              <w:t>- Supports academic and research activities financially</w:t>
            </w:r>
          </w:p>
          <w:p>
            <w:pPr>
              <w:jc w:val="left"/>
            </w:pPr>
            <w:r>
              <w:rPr>
                <w:rFonts w:ascii="Cambria" w:hAnsi="Cambria"/>
                <w:b w:val="0"/>
                <w:sz w:val="19"/>
              </w:rPr>
              <w:t>- Encourages staff participation in professional development</w:t>
            </w:r>
          </w:p>
          <w:p>
            <w:pPr>
              <w:jc w:val="left"/>
            </w:pPr>
            <w:r>
              <w:rPr>
                <w:rFonts w:ascii="Cambria" w:hAnsi="Cambria"/>
                <w:b w:val="0"/>
                <w:sz w:val="19"/>
              </w:rPr>
              <w:t>- Provides financial aid for students</w:t>
            </w:r>
          </w:p>
          <w:p>
            <w:pPr>
              <w:jc w:val="left"/>
            </w:pPr>
            <w:r>
              <w:rPr>
                <w:rFonts w:ascii="Cambria" w:hAnsi="Cambria"/>
                <w:b w:val="0"/>
                <w:sz w:val="19"/>
              </w:rPr>
              <w:t>- Facilitates retirement security for employees</w:t>
            </w:r>
          </w:p>
          <w:p>
            <w:pPr>
              <w:jc w:val="left"/>
            </w:pPr>
            <w:r>
              <w:rPr>
                <w:rFonts w:ascii="Cambria" w:hAnsi="Cambria"/>
                <w:b w:val="0"/>
                <w:sz w:val="19"/>
              </w:rPr>
              <w:t>- Promotes digital and modern infrastructure</w:t>
            </w:r>
          </w:p>
        </w:tc>
      </w:tr>
      <w:tr>
        <w:tc>
          <w:tcPr>
            <w:tcW w:type="dxa" w:w="1417"/>
            <w:tcW w:w="1417" w:type="dxa"/>
            <w:shd w:val="clear" w:color="auto" w:fill="D9E2EC"/>
          </w:tcPr>
          <w:p>
            <w:pPr>
              <w:jc w:val="left"/>
            </w:pPr>
            <w:r/>
            <w:r>
              <w:rPr>
                <w:rFonts w:ascii="Cambria" w:hAnsi="Cambria"/>
                <w:b w:val="0"/>
                <w:sz w:val="19"/>
              </w:rPr>
              <w:t>Disciplinary</w:t>
            </w:r>
          </w:p>
        </w:tc>
        <w:tc>
          <w:tcPr>
            <w:tcW w:type="dxa" w:w="4025"/>
            <w:tcW w:w="4025" w:type="dxa"/>
            <w:shd w:val="clear" w:color="auto" w:fill="D9E2EC"/>
          </w:tcPr>
          <w:p>
            <w:pPr>
              <w:jc w:val="left"/>
            </w:pPr>
            <w:r/>
            <w:r>
              <w:rPr>
                <w:rFonts w:ascii="Cambria" w:hAnsi="Cambria"/>
                <w:b w:val="0"/>
                <w:sz w:val="19"/>
              </w:rPr>
              <w:t>- Institute enquiries into misconduct or irregularities</w:t>
            </w:r>
          </w:p>
          <w:p>
            <w:pPr>
              <w:jc w:val="left"/>
            </w:pPr>
            <w:r>
              <w:rPr>
                <w:rFonts w:ascii="Cambria" w:hAnsi="Cambria"/>
                <w:b w:val="0"/>
                <w:sz w:val="19"/>
              </w:rPr>
              <w:t>- Order retirement of employees at superannuation</w:t>
            </w:r>
          </w:p>
          <w:p>
            <w:pPr>
              <w:jc w:val="left"/>
            </w:pPr>
            <w:r>
              <w:rPr>
                <w:rFonts w:ascii="Cambria" w:hAnsi="Cambria"/>
                <w:b w:val="0"/>
                <w:sz w:val="19"/>
              </w:rPr>
              <w:t>- Transfer staff to maintain efficiency</w:t>
            </w:r>
          </w:p>
          <w:p>
            <w:pPr>
              <w:jc w:val="left"/>
            </w:pPr>
            <w:r>
              <w:rPr>
                <w:rFonts w:ascii="Cambria" w:hAnsi="Cambria"/>
                <w:b w:val="0"/>
                <w:sz w:val="19"/>
              </w:rPr>
              <w:t>- Enforce discipline across academics and administration</w:t>
            </w:r>
          </w:p>
        </w:tc>
        <w:tc>
          <w:tcPr>
            <w:tcW w:type="dxa" w:w="3402"/>
            <w:tcW w:w="3402" w:type="dxa"/>
            <w:shd w:val="clear" w:color="auto" w:fill="D9E2EC"/>
          </w:tcPr>
          <w:p>
            <w:pPr>
              <w:jc w:val="left"/>
            </w:pPr>
            <w:r/>
            <w:r>
              <w:rPr>
                <w:rFonts w:ascii="Cambria" w:hAnsi="Cambria"/>
                <w:b w:val="0"/>
                <w:sz w:val="19"/>
              </w:rPr>
              <w:t>- Upholds institutional discipline and integrity</w:t>
            </w:r>
          </w:p>
          <w:p>
            <w:pPr>
              <w:jc w:val="left"/>
            </w:pPr>
            <w:r>
              <w:rPr>
                <w:rFonts w:ascii="Cambria" w:hAnsi="Cambria"/>
                <w:b w:val="0"/>
                <w:sz w:val="19"/>
              </w:rPr>
              <w:t>- Ensures accountability among staff and faculty</w:t>
            </w:r>
          </w:p>
          <w:p>
            <w:pPr>
              <w:jc w:val="left"/>
            </w:pPr>
            <w:r>
              <w:rPr>
                <w:rFonts w:ascii="Cambria" w:hAnsi="Cambria"/>
                <w:b w:val="0"/>
                <w:sz w:val="19"/>
              </w:rPr>
              <w:t>- Prevents malpractices and misconduct</w:t>
            </w:r>
          </w:p>
          <w:p>
            <w:pPr>
              <w:jc w:val="left"/>
            </w:pPr>
            <w:r>
              <w:rPr>
                <w:rFonts w:ascii="Cambria" w:hAnsi="Cambria"/>
                <w:b w:val="0"/>
                <w:sz w:val="19"/>
              </w:rPr>
              <w:t>- Promotes fairness and justice within the university</w:t>
            </w:r>
          </w:p>
        </w:tc>
      </w:tr>
    </w:tbl>
    <w:p>
      <w:pPr>
        <w:keepNext/>
        <w:spacing w:before="160" w:after="120"/>
      </w:pPr>
      <w:r>
        <w:rPr>
          <w:rFonts w:ascii="Cambria" w:hAnsi="Cambria"/>
          <w:b/>
          <w:color w:val="1F3A5F"/>
          <w:sz w:val="30"/>
        </w:rPr>
        <w:t>Appointment &amp; Tenure of Vice-Chancellor (VC)</w:t>
      </w:r>
    </w:p>
    <w:p>
      <w:pPr>
        <w:pStyle w:val="ListBullet"/>
        <w:jc w:val="both"/>
      </w:pPr>
      <w:r>
        <w:rPr>
          <w:rFonts w:ascii="Cambria" w:hAnsi="Cambria"/>
          <w:sz w:val="22"/>
        </w:rPr>
        <w:t>Appointing Authority</w:t>
      </w:r>
    </w:p>
    <w:p>
      <w:pPr>
        <w:pStyle w:val="ListBullet2"/>
        <w:jc w:val="both"/>
      </w:pPr>
      <w:r>
        <w:rPr>
          <w:rFonts w:ascii="Cambria" w:hAnsi="Cambria"/>
          <w:sz w:val="22"/>
        </w:rPr>
        <w:t>The Chancellor of the University (often the Governor of the State for state universities) is the appointing authority.</w:t>
      </w:r>
    </w:p>
    <w:p>
      <w:pPr>
        <w:pStyle w:val="ListBullet2"/>
        <w:jc w:val="both"/>
      </w:pPr>
      <w:r>
        <w:rPr>
          <w:rFonts w:ascii="Cambria" w:hAnsi="Cambria"/>
          <w:sz w:val="22"/>
        </w:rPr>
        <w:t>In Central Universities, the Visitor (the President of India) appoints the Vice-Chancellor.</w:t>
      </w:r>
    </w:p>
    <w:p>
      <w:pPr>
        <w:pStyle w:val="ListBullet2"/>
        <w:jc w:val="both"/>
      </w:pPr>
      <w:r>
        <w:rPr>
          <w:rFonts w:ascii="Cambria" w:hAnsi="Cambria"/>
          <w:sz w:val="22"/>
        </w:rPr>
        <w:t>In deemed and private universities, the appointment is made as per the University Grants Commission (UGC) regulations and the statutes of the university, subject to approval by the sponsoring body or government.</w:t>
      </w:r>
    </w:p>
    <w:p>
      <w:pPr>
        <w:pStyle w:val="ListBullet"/>
        <w:jc w:val="both"/>
      </w:pPr>
      <w:r>
        <w:rPr>
          <w:rFonts w:ascii="Cambria" w:hAnsi="Cambria"/>
          <w:sz w:val="22"/>
        </w:rPr>
        <w:t>Selection Process</w:t>
      </w:r>
    </w:p>
    <w:p>
      <w:pPr>
        <w:pStyle w:val="ListBullet2"/>
        <w:jc w:val="both"/>
      </w:pPr>
      <w:r>
        <w:rPr>
          <w:rFonts w:ascii="Cambria" w:hAnsi="Cambria"/>
          <w:sz w:val="22"/>
        </w:rPr>
        <w:t>A Search-cum-Selection Committee is constituted, generally comprising:</w:t>
      </w:r>
    </w:p>
    <w:p>
      <w:pPr>
        <w:pStyle w:val="ListBullet"/>
        <w:jc w:val="both"/>
      </w:pPr>
      <w:r>
        <w:rPr>
          <w:rFonts w:ascii="Cambria" w:hAnsi="Cambria"/>
          <w:sz w:val="22"/>
        </w:rPr>
        <w:t>A nominee of the Chancellor/Visitor.</w:t>
      </w:r>
    </w:p>
    <w:p>
      <w:pPr>
        <w:pStyle w:val="ListBullet"/>
        <w:jc w:val="both"/>
      </w:pPr>
      <w:r>
        <w:rPr>
          <w:rFonts w:ascii="Cambria" w:hAnsi="Cambria"/>
          <w:sz w:val="22"/>
        </w:rPr>
        <w:t>A nominee of the University's Executive Council/Syndicate.</w:t>
      </w:r>
    </w:p>
    <w:p>
      <w:pPr>
        <w:pStyle w:val="ListBullet"/>
        <w:jc w:val="both"/>
      </w:pPr>
      <w:r>
        <w:rPr>
          <w:rFonts w:ascii="Cambria" w:hAnsi="Cambria"/>
          <w:sz w:val="22"/>
        </w:rPr>
        <w:t>A nominee of the UGC or State Government.</w:t>
      </w:r>
    </w:p>
    <w:p>
      <w:pPr>
        <w:pStyle w:val="ListBullet2"/>
        <w:jc w:val="both"/>
      </w:pPr>
      <w:r>
        <w:rPr>
          <w:rFonts w:ascii="Cambria" w:hAnsi="Cambria"/>
          <w:sz w:val="22"/>
        </w:rPr>
        <w:t>The committee shortlists eminent academicians with distinguished teaching, research, and administrative experience.</w:t>
      </w:r>
    </w:p>
    <w:p>
      <w:pPr>
        <w:pStyle w:val="ListBullet2"/>
        <w:jc w:val="both"/>
      </w:pPr>
      <w:r>
        <w:rPr>
          <w:rFonts w:ascii="Cambria" w:hAnsi="Cambria"/>
          <w:sz w:val="22"/>
        </w:rPr>
        <w:t>The panel usually recommends a list of three candidates, in order of preference, to the Chancellor/Visitor.</w:t>
      </w:r>
    </w:p>
    <w:p>
      <w:pPr>
        <w:pStyle w:val="ListBullet2"/>
        <w:jc w:val="both"/>
      </w:pPr>
      <w:r>
        <w:rPr>
          <w:rFonts w:ascii="Cambria" w:hAnsi="Cambria"/>
          <w:sz w:val="22"/>
        </w:rPr>
        <w:t>The Chancellor/Visitor makes the final selection and appointment from this panel.</w:t>
      </w:r>
    </w:p>
    <w:p>
      <w:pPr>
        <w:pStyle w:val="ListBullet"/>
        <w:jc w:val="both"/>
      </w:pPr>
      <w:r>
        <w:rPr>
          <w:rFonts w:ascii="Cambria" w:hAnsi="Cambria"/>
          <w:sz w:val="22"/>
        </w:rPr>
        <w:t>Eligibility Criteria (as per UGC Regulations, 2018 &amp; updates)</w:t>
      </w:r>
    </w:p>
    <w:p>
      <w:pPr>
        <w:pStyle w:val="ListBullet2"/>
        <w:jc w:val="both"/>
      </w:pPr>
      <w:r>
        <w:rPr>
          <w:rFonts w:ascii="Cambria" w:hAnsi="Cambria"/>
          <w:sz w:val="22"/>
        </w:rPr>
        <w:t>Should be a distinguished academician with at least 10 years of experience as a Professor in a university or equivalent position in a reputed research/academic institution.</w:t>
      </w:r>
    </w:p>
    <w:p>
      <w:pPr>
        <w:pStyle w:val="ListBullet2"/>
        <w:jc w:val="both"/>
      </w:pPr>
      <w:r>
        <w:rPr>
          <w:rFonts w:ascii="Cambria" w:hAnsi="Cambria"/>
          <w:sz w:val="22"/>
        </w:rPr>
        <w:t>Should have significant contributions in research, publications, innovation, and academic leadership.</w:t>
      </w:r>
    </w:p>
    <w:p>
      <w:pPr>
        <w:pStyle w:val="ListBullet2"/>
        <w:jc w:val="both"/>
      </w:pPr>
      <w:r>
        <w:rPr>
          <w:rFonts w:ascii="Cambria" w:hAnsi="Cambria"/>
          <w:sz w:val="22"/>
        </w:rPr>
        <w:t>Must possess high integrity, administrative competence, and vision for higher education development.</w:t>
      </w:r>
    </w:p>
    <w:p>
      <w:pPr>
        <w:pStyle w:val="ListBullet"/>
        <w:jc w:val="both"/>
      </w:pPr>
      <w:r>
        <w:rPr>
          <w:rFonts w:ascii="Cambria" w:hAnsi="Cambria"/>
          <w:sz w:val="22"/>
        </w:rPr>
        <w:t>Tenure of Office</w:t>
      </w:r>
    </w:p>
    <w:p>
      <w:pPr>
        <w:pStyle w:val="ListBullet2"/>
        <w:jc w:val="both"/>
      </w:pPr>
      <w:r>
        <w:rPr>
          <w:rFonts w:ascii="Cambria" w:hAnsi="Cambria"/>
          <w:sz w:val="22"/>
        </w:rPr>
        <w:t>The Vice-Chancellor is appointed for a term of five years, or until attaining the age of 65 years, whichever is earlier (as per UGC guidelines).</w:t>
      </w:r>
    </w:p>
    <w:p>
      <w:pPr>
        <w:pStyle w:val="ListBullet2"/>
        <w:jc w:val="both"/>
      </w:pPr>
      <w:r>
        <w:rPr>
          <w:rFonts w:ascii="Cambria" w:hAnsi="Cambria"/>
          <w:sz w:val="22"/>
        </w:rPr>
        <w:t>In some state universities, the tenure may vary between 3 to 4 years, depending on state legislation.</w:t>
      </w:r>
    </w:p>
    <w:p>
      <w:pPr>
        <w:pStyle w:val="ListBullet2"/>
        <w:jc w:val="both"/>
      </w:pPr>
      <w:r>
        <w:rPr>
          <w:rFonts w:ascii="Cambria" w:hAnsi="Cambria"/>
          <w:sz w:val="22"/>
        </w:rPr>
        <w:t>The post is not ordinarily renewable, but in special cases, an extension or reappointment may be considered by the appointing authority.</w:t>
      </w:r>
    </w:p>
    <w:p>
      <w:pPr>
        <w:pStyle w:val="ListBullet"/>
        <w:jc w:val="both"/>
      </w:pPr>
      <w:r>
        <w:rPr>
          <w:rFonts w:ascii="Cambria" w:hAnsi="Cambria"/>
          <w:sz w:val="22"/>
        </w:rPr>
        <w:t>Removal / Resignation</w:t>
      </w:r>
    </w:p>
    <w:p>
      <w:pPr>
        <w:pStyle w:val="ListBullet2"/>
        <w:jc w:val="both"/>
      </w:pPr>
      <w:r>
        <w:rPr>
          <w:rFonts w:ascii="Cambria" w:hAnsi="Cambria"/>
          <w:sz w:val="22"/>
        </w:rPr>
        <w:t>A VC may resign by submitting to the Chancellor/Visitor.</w:t>
      </w:r>
    </w:p>
    <w:p>
      <w:pPr>
        <w:pStyle w:val="ListBullet2"/>
        <w:jc w:val="both"/>
      </w:pPr>
      <w:r>
        <w:rPr>
          <w:rFonts w:ascii="Cambria" w:hAnsi="Cambria"/>
          <w:sz w:val="22"/>
        </w:rPr>
        <w:t>Removal is possible in cases of proven misconduct, inefficiency, or violation of statutory provisions, following due process.</w:t>
      </w:r>
    </w:p>
    <w:p>
      <w:pPr>
        <w:keepNext/>
        <w:spacing w:before="160" w:after="120"/>
      </w:pPr>
      <w:r>
        <w:rPr>
          <w:rFonts w:ascii="Cambria" w:hAnsi="Cambria"/>
          <w:b/>
          <w:color w:val="1F3A5F"/>
          <w:sz w:val="30"/>
        </w:rPr>
        <w:t>Qualities of a Good Vice-Chancellor</w:t>
      </w:r>
    </w:p>
    <w:p>
      <w:pPr>
        <w:pStyle w:val="ListBullet"/>
        <w:jc w:val="both"/>
      </w:pPr>
      <w:r>
        <w:rPr>
          <w:rFonts w:ascii="Cambria" w:hAnsi="Cambria"/>
          <w:sz w:val="22"/>
        </w:rPr>
        <w:t>1. Strong Academic Background</w:t>
      </w:r>
    </w:p>
    <w:p>
      <w:pPr>
        <w:pStyle w:val="ListBullet2"/>
        <w:jc w:val="both"/>
      </w:pPr>
      <w:r>
        <w:rPr>
          <w:rFonts w:ascii="Cambria" w:hAnsi="Cambria"/>
          <w:sz w:val="22"/>
        </w:rPr>
        <w:t>A Vice-Chancellor must be an accomplished scholar with a distinguished academic record.</w:t>
      </w:r>
    </w:p>
    <w:p>
      <w:pPr>
        <w:pStyle w:val="ListBullet2"/>
        <w:jc w:val="both"/>
      </w:pPr>
      <w:r>
        <w:rPr>
          <w:rFonts w:ascii="Cambria" w:hAnsi="Cambria"/>
          <w:sz w:val="22"/>
        </w:rPr>
        <w:t>Typically, this includes experience as a senior professor, researcher, or administrator in reputed institutions.</w:t>
      </w:r>
    </w:p>
    <w:p>
      <w:pPr>
        <w:pStyle w:val="ListBullet2"/>
        <w:jc w:val="both"/>
      </w:pPr>
      <w:r>
        <w:rPr>
          <w:rFonts w:ascii="Cambria" w:hAnsi="Cambria"/>
          <w:sz w:val="22"/>
        </w:rPr>
        <w:t>Such a foundation ensures credibility among faculty, students, and peers.</w:t>
      </w:r>
    </w:p>
    <w:p>
      <w:pPr>
        <w:pStyle w:val="ListBullet2"/>
        <w:jc w:val="both"/>
      </w:pPr>
      <w:r>
        <w:rPr>
          <w:rFonts w:ascii="Cambria" w:hAnsi="Cambria"/>
          <w:sz w:val="22"/>
        </w:rPr>
        <w:t>An academic orientation allows the VC to safeguard the university's intellectual autonomy while encouraging innovation.</w:t>
      </w:r>
    </w:p>
    <w:p>
      <w:pPr>
        <w:pStyle w:val="ListBullet"/>
        <w:jc w:val="both"/>
      </w:pPr>
      <w:r>
        <w:rPr>
          <w:rFonts w:ascii="Cambria" w:hAnsi="Cambria"/>
          <w:sz w:val="22"/>
        </w:rPr>
        <w:t>2. Proven Administrative Experience</w:t>
      </w:r>
    </w:p>
    <w:p>
      <w:pPr>
        <w:pStyle w:val="ListBullet2"/>
        <w:jc w:val="both"/>
      </w:pPr>
      <w:r>
        <w:rPr>
          <w:rFonts w:ascii="Cambria" w:hAnsi="Cambria"/>
          <w:sz w:val="22"/>
        </w:rPr>
        <w:t>Beyond scholarship, the VC must demonstrate competence in managing large, complex organizations.</w:t>
      </w:r>
    </w:p>
    <w:p>
      <w:pPr>
        <w:pStyle w:val="ListBullet2"/>
        <w:jc w:val="both"/>
      </w:pPr>
      <w:r>
        <w:rPr>
          <w:rFonts w:ascii="Cambria" w:hAnsi="Cambria"/>
          <w:sz w:val="22"/>
        </w:rPr>
        <w:t>Experience in roles such as Dean, Pro-Vice-Chancellor, Director, or Head of Department provides the necessary exposure to governance.</w:t>
      </w:r>
    </w:p>
    <w:p>
      <w:pPr>
        <w:pStyle w:val="ListBullet2"/>
        <w:jc w:val="both"/>
      </w:pPr>
      <w:r>
        <w:rPr>
          <w:rFonts w:ascii="Cambria" w:hAnsi="Cambria"/>
          <w:sz w:val="22"/>
        </w:rPr>
        <w:t>Administrative expertise ensures smooth functioning of admissions, examinations, finance, HR, and quality assurance mechanisms.</w:t>
      </w:r>
    </w:p>
    <w:p>
      <w:pPr>
        <w:pStyle w:val="ListBullet2"/>
        <w:jc w:val="both"/>
      </w:pPr>
      <w:r>
        <w:rPr>
          <w:rFonts w:ascii="Cambria" w:hAnsi="Cambria"/>
          <w:sz w:val="22"/>
        </w:rPr>
        <w:t>The ability to balance academic priorities with regulatory compliance is essential.</w:t>
      </w:r>
    </w:p>
    <w:p>
      <w:pPr>
        <w:pStyle w:val="ListBullet"/>
        <w:jc w:val="both"/>
      </w:pPr>
      <w:r>
        <w:rPr>
          <w:rFonts w:ascii="Cambria" w:hAnsi="Cambria"/>
          <w:sz w:val="22"/>
        </w:rPr>
        <w:t>3. Visionary Leadership with Global Outlook</w:t>
      </w:r>
    </w:p>
    <w:p>
      <w:pPr>
        <w:pStyle w:val="ListBullet2"/>
        <w:jc w:val="both"/>
      </w:pPr>
      <w:r>
        <w:rPr>
          <w:rFonts w:ascii="Cambria" w:hAnsi="Cambria"/>
          <w:sz w:val="22"/>
        </w:rPr>
        <w:t>A good VC anticipates future trends in higher education and adapts the university accordingly.</w:t>
      </w:r>
    </w:p>
    <w:p>
      <w:pPr>
        <w:pStyle w:val="ListBullet2"/>
        <w:jc w:val="both"/>
      </w:pPr>
      <w:r>
        <w:rPr>
          <w:rFonts w:ascii="Cambria" w:hAnsi="Cambria"/>
          <w:sz w:val="22"/>
        </w:rPr>
        <w:t>This includes promoting interdisciplinarity, digital transformation, employability skills, and sustainability.</w:t>
      </w:r>
    </w:p>
    <w:p>
      <w:pPr>
        <w:pStyle w:val="ListBullet2"/>
        <w:jc w:val="both"/>
      </w:pPr>
      <w:r>
        <w:rPr>
          <w:rFonts w:ascii="Cambria" w:hAnsi="Cambria"/>
          <w:sz w:val="22"/>
        </w:rPr>
        <w:t>A global outlook helps establish collaborations with international universities, industries, and research centers.</w:t>
      </w:r>
    </w:p>
    <w:p>
      <w:pPr>
        <w:pStyle w:val="ListBullet2"/>
        <w:jc w:val="both"/>
      </w:pPr>
      <w:r>
        <w:rPr>
          <w:rFonts w:ascii="Cambria" w:hAnsi="Cambria"/>
          <w:sz w:val="22"/>
        </w:rPr>
        <w:t>Visionary leadership ensures that the institution remains competitive in global rankings and relevant to societal needs.</w:t>
      </w:r>
    </w:p>
    <w:p>
      <w:pPr>
        <w:pStyle w:val="ListBullet"/>
        <w:jc w:val="both"/>
      </w:pPr>
      <w:r>
        <w:rPr>
          <w:rFonts w:ascii="Cambria" w:hAnsi="Cambria"/>
          <w:sz w:val="22"/>
        </w:rPr>
        <w:t>4. Integrity, Transparency, and Ethical Governance</w:t>
      </w:r>
    </w:p>
    <w:p>
      <w:pPr>
        <w:pStyle w:val="ListBullet2"/>
        <w:jc w:val="both"/>
      </w:pPr>
      <w:r>
        <w:rPr>
          <w:rFonts w:ascii="Cambria" w:hAnsi="Cambria"/>
          <w:sz w:val="22"/>
        </w:rPr>
        <w:t>A university thrives on trust, and the VC must uphold the highest ethical standards.</w:t>
      </w:r>
    </w:p>
    <w:p>
      <w:pPr>
        <w:pStyle w:val="ListBullet2"/>
        <w:jc w:val="both"/>
      </w:pPr>
      <w:r>
        <w:rPr>
          <w:rFonts w:ascii="Cambria" w:hAnsi="Cambria"/>
          <w:sz w:val="22"/>
        </w:rPr>
        <w:t>Integrity in decision-making, transparency in financial and administrative processes, and fairness in faculty/student matters are indispensable.</w:t>
      </w:r>
    </w:p>
    <w:p>
      <w:pPr>
        <w:pStyle w:val="ListBullet2"/>
        <w:jc w:val="both"/>
      </w:pPr>
      <w:r>
        <w:rPr>
          <w:rFonts w:ascii="Cambria" w:hAnsi="Cambria"/>
          <w:sz w:val="22"/>
        </w:rPr>
        <w:t>A VC with strong ethical grounding prevents politicization, favoritism, or corruption in the system.</w:t>
      </w:r>
    </w:p>
    <w:p>
      <w:pPr>
        <w:pStyle w:val="ListBullet2"/>
        <w:jc w:val="both"/>
      </w:pPr>
      <w:r>
        <w:rPr>
          <w:rFonts w:ascii="Cambria" w:hAnsi="Cambria"/>
          <w:sz w:val="22"/>
        </w:rPr>
        <w:t>By setting an example, the VC builds a culture of accountability and professionalism.</w:t>
      </w:r>
    </w:p>
    <w:p>
      <w:pPr>
        <w:pStyle w:val="ListBullet"/>
        <w:jc w:val="both"/>
      </w:pPr>
      <w:r>
        <w:rPr>
          <w:rFonts w:ascii="Cambria" w:hAnsi="Cambria"/>
          <w:sz w:val="22"/>
        </w:rPr>
        <w:t>5. Effective Communication and Stakeholder Engagement</w:t>
      </w:r>
    </w:p>
    <w:p>
      <w:pPr>
        <w:pStyle w:val="ListBullet2"/>
        <w:jc w:val="both"/>
      </w:pPr>
      <w:r>
        <w:rPr>
          <w:rFonts w:ascii="Cambria" w:hAnsi="Cambria"/>
          <w:sz w:val="22"/>
        </w:rPr>
        <w:t>The Vice-Chancellor must be an effective communicator capable of engaging with diverse stakeholders:</w:t>
      </w:r>
    </w:p>
    <w:p>
      <w:pPr>
        <w:pStyle w:val="ListBullet"/>
        <w:jc w:val="both"/>
      </w:pPr>
      <w:r>
        <w:rPr>
          <w:rFonts w:ascii="Cambria" w:hAnsi="Cambria"/>
          <w:sz w:val="22"/>
        </w:rPr>
        <w:t>Government and regulatory agencies – for policy alignment and funding.</w:t>
      </w:r>
    </w:p>
    <w:p>
      <w:pPr>
        <w:pStyle w:val="ListBullet"/>
        <w:jc w:val="both"/>
      </w:pPr>
      <w:r>
        <w:rPr>
          <w:rFonts w:ascii="Cambria" w:hAnsi="Cambria"/>
          <w:sz w:val="22"/>
        </w:rPr>
        <w:t>Faculty and staff – for motivation, collaboration, and innovation.</w:t>
      </w:r>
    </w:p>
    <w:p>
      <w:pPr>
        <w:pStyle w:val="ListBullet"/>
        <w:jc w:val="both"/>
      </w:pPr>
      <w:r>
        <w:rPr>
          <w:rFonts w:ascii="Cambria" w:hAnsi="Cambria"/>
          <w:sz w:val="22"/>
        </w:rPr>
        <w:t>Students – for addressing concerns, welfare, and career development.</w:t>
      </w:r>
    </w:p>
    <w:p>
      <w:pPr>
        <w:pStyle w:val="ListBullet"/>
        <w:jc w:val="both"/>
      </w:pPr>
      <w:r>
        <w:rPr>
          <w:rFonts w:ascii="Cambria" w:hAnsi="Cambria"/>
          <w:sz w:val="22"/>
        </w:rPr>
        <w:t>Industry and alumni – for partnerships, placements, and resource mobilization.</w:t>
      </w:r>
    </w:p>
    <w:p>
      <w:pPr>
        <w:pStyle w:val="ListBullet2"/>
        <w:jc w:val="both"/>
      </w:pPr>
      <w:r>
        <w:rPr>
          <w:rFonts w:ascii="Cambria" w:hAnsi="Cambria"/>
          <w:sz w:val="22"/>
        </w:rPr>
        <w:t>Clear communication builds trust, fosters cooperation, and strengthens the university's reputation.</w:t>
      </w:r>
    </w:p>
    <w:p>
      <w:pPr>
        <w:pStyle w:val="ListBullet"/>
        <w:jc w:val="both"/>
      </w:pPr>
      <w:r>
        <w:rPr>
          <w:rFonts w:ascii="Cambria" w:hAnsi="Cambria"/>
          <w:sz w:val="22"/>
        </w:rPr>
        <w:t>6. Crisis Management and Decision-Making Ability</w:t>
      </w:r>
    </w:p>
    <w:p>
      <w:pPr>
        <w:pStyle w:val="ListBullet2"/>
        <w:jc w:val="both"/>
      </w:pPr>
      <w:r>
        <w:rPr>
          <w:rFonts w:ascii="Cambria" w:hAnsi="Cambria"/>
          <w:sz w:val="22"/>
        </w:rPr>
        <w:t>A good VC is decisive and capable of making tough choices in times of crisis—whether academic, financial, or social.</w:t>
      </w:r>
    </w:p>
    <w:p>
      <w:pPr>
        <w:pStyle w:val="ListBullet2"/>
        <w:jc w:val="both"/>
      </w:pPr>
      <w:r>
        <w:rPr>
          <w:rFonts w:ascii="Cambria" w:hAnsi="Cambria"/>
          <w:sz w:val="22"/>
        </w:rPr>
        <w:t>The ability to remain calm under pressure, mediate conflicts, and provide timely solutions defines strong leadership.</w:t>
      </w:r>
    </w:p>
    <w:p>
      <w:pPr>
        <w:pStyle w:val="ListBullet2"/>
        <w:jc w:val="both"/>
      </w:pPr>
      <w:r>
        <w:rPr>
          <w:rFonts w:ascii="Cambria" w:hAnsi="Cambria"/>
          <w:sz w:val="22"/>
        </w:rPr>
        <w:t>Decision-making must balance immediate needs with long-term consequences.</w:t>
      </w:r>
    </w:p>
    <w:p>
      <w:pPr>
        <w:pStyle w:val="ListBullet"/>
        <w:jc w:val="both"/>
      </w:pPr>
      <w:r>
        <w:rPr>
          <w:rFonts w:ascii="Cambria" w:hAnsi="Cambria"/>
          <w:sz w:val="22"/>
        </w:rPr>
        <w:t>7. Commitment to Inclusivity and Student-Centric Development</w:t>
      </w:r>
    </w:p>
    <w:p>
      <w:pPr>
        <w:pStyle w:val="ListBullet2"/>
        <w:jc w:val="both"/>
      </w:pPr>
      <w:r>
        <w:rPr>
          <w:rFonts w:ascii="Cambria" w:hAnsi="Cambria"/>
          <w:sz w:val="22"/>
        </w:rPr>
        <w:t>The VC must promote equity, diversity, and inclusion in admissions, hiring, and policies.</w:t>
      </w:r>
    </w:p>
    <w:p>
      <w:pPr>
        <w:pStyle w:val="ListBullet2"/>
        <w:jc w:val="both"/>
      </w:pPr>
      <w:r>
        <w:rPr>
          <w:rFonts w:ascii="Cambria" w:hAnsi="Cambria"/>
          <w:sz w:val="22"/>
        </w:rPr>
        <w:t>Ensuring student welfare through scholarships, counseling, placements, and extracurricular support is vital.</w:t>
      </w:r>
    </w:p>
    <w:p>
      <w:pPr>
        <w:pStyle w:val="ListBullet2"/>
        <w:jc w:val="both"/>
      </w:pPr>
      <w:r>
        <w:rPr>
          <w:rFonts w:ascii="Cambria" w:hAnsi="Cambria"/>
          <w:sz w:val="22"/>
        </w:rPr>
        <w:t>A student-centric approach ensures higher satisfaction, retention, and societal contribution.</w:t>
      </w:r>
    </w:p>
    <w:p>
      <w:pPr>
        <w:keepNext/>
        <w:spacing w:before="160" w:after="120"/>
      </w:pPr>
      <w:r>
        <w:rPr>
          <w:rFonts w:ascii="Cambria" w:hAnsi="Cambria"/>
          <w:b/>
          <w:color w:val="1F3A5F"/>
          <w:sz w:val="30"/>
        </w:rPr>
        <w:t>Qualities of a Good Vice-Chancellor</w:t>
      </w:r>
    </w:p>
    <w:tbl>
      <w:tblPr>
        <w:tblW w:type="auto" w:w="0"/>
        <w:tblLayout w:type="fixed"/>
        <w:tblLook w:firstColumn="1" w:firstRow="1" w:lastColumn="0" w:lastRow="0" w:noHBand="0" w:noVBand="1" w:val="04A0"/>
        <w:tblLayout w:type="fixed"/>
      </w:tblPr>
      <w:tblGrid>
        <w:gridCol w:w="1587"/>
        <w:gridCol w:w="2835"/>
        <w:gridCol w:w="2268"/>
        <w:gridCol w:w="2154"/>
      </w:tblGrid>
      <w:tr>
        <w:tc>
          <w:tcPr>
            <w:tcW w:type="dxa" w:w="1587"/>
            <w:shd w:val="clear" w:color="auto" w:fill="1F3A5F"/>
            <w:tcW w:w="1587" w:type="dxa"/>
          </w:tcPr>
          <w:p>
            <w:pPr>
              <w:jc w:val="center"/>
            </w:pPr>
            <w:r/>
            <w:r>
              <w:rPr>
                <w:rFonts w:ascii="Cambria" w:hAnsi="Cambria"/>
                <w:b/>
                <w:color w:val="FFFFFF"/>
                <w:sz w:val="20"/>
              </w:rPr>
              <w:t>Quality</w:t>
            </w:r>
          </w:p>
        </w:tc>
        <w:tc>
          <w:tcPr>
            <w:tcW w:type="dxa" w:w="2835"/>
            <w:shd w:val="clear" w:color="auto" w:fill="1F3A5F"/>
            <w:tcW w:w="2835" w:type="dxa"/>
          </w:tcPr>
          <w:p>
            <w:pPr>
              <w:jc w:val="center"/>
            </w:pPr>
            <w:r/>
            <w:r>
              <w:rPr>
                <w:rFonts w:ascii="Cambria" w:hAnsi="Cambria"/>
                <w:b/>
                <w:color w:val="FFFFFF"/>
                <w:sz w:val="20"/>
              </w:rPr>
              <w:t>Leadership Action</w:t>
            </w:r>
          </w:p>
        </w:tc>
        <w:tc>
          <w:tcPr>
            <w:tcW w:type="dxa" w:w="2268"/>
            <w:shd w:val="clear" w:color="auto" w:fill="1F3A5F"/>
            <w:tcW w:w="2268" w:type="dxa"/>
          </w:tcPr>
          <w:p>
            <w:pPr>
              <w:jc w:val="center"/>
            </w:pPr>
            <w:r/>
            <w:r>
              <w:rPr>
                <w:rFonts w:ascii="Cambria" w:hAnsi="Cambria"/>
                <w:b/>
                <w:color w:val="FFFFFF"/>
                <w:sz w:val="20"/>
              </w:rPr>
              <w:t>Institutional Impact</w:t>
            </w:r>
          </w:p>
        </w:tc>
        <w:tc>
          <w:tcPr>
            <w:tcW w:type="dxa" w:w="2154"/>
            <w:shd w:val="clear" w:color="auto" w:fill="1F3A5F"/>
            <w:tcW w:w="2154" w:type="dxa"/>
          </w:tcPr>
          <w:p>
            <w:pPr>
              <w:jc w:val="center"/>
            </w:pPr>
            <w:r/>
            <w:r>
              <w:rPr>
                <w:rFonts w:ascii="Cambria" w:hAnsi="Cambria"/>
                <w:b/>
                <w:color w:val="FFFFFF"/>
                <w:sz w:val="20"/>
              </w:rPr>
              <w:t>Evidence / Documentation</w:t>
            </w:r>
          </w:p>
        </w:tc>
      </w:tr>
      <w:tr>
        <w:tc>
          <w:tcPr>
            <w:tcW w:type="dxa" w:w="1587"/>
            <w:tcW w:w="1587" w:type="dxa"/>
          </w:tcPr>
          <w:p>
            <w:pPr>
              <w:jc w:val="left"/>
            </w:pPr>
            <w:r/>
            <w:r>
              <w:rPr>
                <w:rFonts w:ascii="Cambria" w:hAnsi="Cambria"/>
                <w:b w:val="0"/>
                <w:sz w:val="18"/>
              </w:rPr>
              <w:t>Strong Academic Background</w:t>
            </w:r>
          </w:p>
        </w:tc>
        <w:tc>
          <w:tcPr>
            <w:tcW w:type="dxa" w:w="2835"/>
            <w:tcW w:w="2835" w:type="dxa"/>
          </w:tcPr>
          <w:p>
            <w:pPr>
              <w:jc w:val="left"/>
            </w:pPr>
            <w:r/>
            <w:r>
              <w:rPr>
                <w:rFonts w:ascii="Cambria" w:hAnsi="Cambria"/>
                <w:b w:val="0"/>
                <w:sz w:val="18"/>
              </w:rPr>
              <w:t>- Leads academic councils and curriculum reforms.</w:t>
            </w:r>
          </w:p>
          <w:p>
            <w:pPr>
              <w:jc w:val="left"/>
            </w:pPr>
            <w:r>
              <w:rPr>
                <w:rFonts w:ascii="Cambria" w:hAnsi="Cambria"/>
                <w:b w:val="0"/>
                <w:sz w:val="18"/>
              </w:rPr>
              <w:t>- Promotes research excellence, publications, and patents.</w:t>
            </w:r>
          </w:p>
          <w:p>
            <w:pPr>
              <w:jc w:val="left"/>
            </w:pPr>
            <w:r>
              <w:rPr>
                <w:rFonts w:ascii="Cambria" w:hAnsi="Cambria"/>
                <w:b w:val="0"/>
                <w:sz w:val="18"/>
              </w:rPr>
              <w:t>- Mentors faculty in scholarly development.</w:t>
            </w:r>
          </w:p>
        </w:tc>
        <w:tc>
          <w:tcPr>
            <w:tcW w:type="dxa" w:w="2268"/>
            <w:tcW w:w="2268" w:type="dxa"/>
          </w:tcPr>
          <w:p>
            <w:pPr>
              <w:jc w:val="left"/>
            </w:pPr>
            <w:r/>
            <w:r>
              <w:rPr>
                <w:rFonts w:ascii="Cambria" w:hAnsi="Cambria"/>
                <w:b w:val="0"/>
                <w:sz w:val="18"/>
              </w:rPr>
              <w:t>- Academic credibility among faculty and students.</w:t>
            </w:r>
          </w:p>
          <w:p>
            <w:pPr>
              <w:jc w:val="left"/>
            </w:pPr>
            <w:r>
              <w:rPr>
                <w:rFonts w:ascii="Cambria" w:hAnsi="Cambria"/>
                <w:b w:val="0"/>
                <w:sz w:val="18"/>
              </w:rPr>
              <w:t>- Improved global ranking and research output.</w:t>
            </w:r>
          </w:p>
          <w:p>
            <w:pPr>
              <w:jc w:val="left"/>
            </w:pPr>
            <w:r>
              <w:rPr>
                <w:rFonts w:ascii="Cambria" w:hAnsi="Cambria"/>
                <w:b w:val="0"/>
                <w:sz w:val="18"/>
              </w:rPr>
              <w:t>- Strengthened academic reputation.</w:t>
            </w:r>
          </w:p>
        </w:tc>
        <w:tc>
          <w:tcPr>
            <w:tcW w:type="dxa" w:w="2154"/>
            <w:tcW w:w="2154" w:type="dxa"/>
          </w:tcPr>
          <w:p>
            <w:pPr>
              <w:jc w:val="left"/>
            </w:pPr>
            <w:r/>
            <w:r>
              <w:rPr>
                <w:rFonts w:ascii="Cambria" w:hAnsi="Cambria"/>
                <w:b w:val="0"/>
                <w:sz w:val="18"/>
              </w:rPr>
              <w:t>- Curriculum approval documents.</w:t>
            </w:r>
          </w:p>
          <w:p>
            <w:pPr>
              <w:jc w:val="left"/>
            </w:pPr>
            <w:r>
              <w:rPr>
                <w:rFonts w:ascii="Cambria" w:hAnsi="Cambria"/>
                <w:b w:val="0"/>
                <w:sz w:val="18"/>
              </w:rPr>
              <w:t>- Faculty research publications, patents.</w:t>
            </w:r>
          </w:p>
          <w:p>
            <w:pPr>
              <w:jc w:val="left"/>
            </w:pPr>
            <w:r>
              <w:rPr>
                <w:rFonts w:ascii="Cambria" w:hAnsi="Cambria"/>
                <w:b w:val="0"/>
                <w:sz w:val="18"/>
              </w:rPr>
              <w:t>- NAAC/NBA accreditation reports.</w:t>
            </w:r>
          </w:p>
          <w:p>
            <w:pPr>
              <w:jc w:val="left"/>
            </w:pPr>
            <w:r>
              <w:rPr>
                <w:rFonts w:ascii="Cambria" w:hAnsi="Cambria"/>
                <w:b w:val="0"/>
                <w:sz w:val="18"/>
              </w:rPr>
              <w:t>- University ranking performance.</w:t>
            </w:r>
          </w:p>
        </w:tc>
      </w:tr>
      <w:tr>
        <w:tc>
          <w:tcPr>
            <w:tcW w:type="dxa" w:w="1587"/>
            <w:tcW w:w="1587" w:type="dxa"/>
            <w:shd w:val="clear" w:color="auto" w:fill="D9E2EC"/>
          </w:tcPr>
          <w:p>
            <w:pPr>
              <w:jc w:val="left"/>
            </w:pPr>
            <w:r/>
            <w:r>
              <w:rPr>
                <w:rFonts w:ascii="Cambria" w:hAnsi="Cambria"/>
                <w:b w:val="0"/>
                <w:sz w:val="18"/>
              </w:rPr>
              <w:t>Proven Administrative Experience</w:t>
            </w:r>
          </w:p>
        </w:tc>
        <w:tc>
          <w:tcPr>
            <w:tcW w:type="dxa" w:w="2835"/>
            <w:tcW w:w="2835" w:type="dxa"/>
            <w:shd w:val="clear" w:color="auto" w:fill="D9E2EC"/>
          </w:tcPr>
          <w:p>
            <w:pPr>
              <w:jc w:val="left"/>
            </w:pPr>
            <w:r/>
            <w:r>
              <w:rPr>
                <w:rFonts w:ascii="Cambria" w:hAnsi="Cambria"/>
                <w:b w:val="0"/>
                <w:sz w:val="18"/>
              </w:rPr>
              <w:t>- Efficiently manages Registrar, Deans, and HoDs.</w:t>
            </w:r>
          </w:p>
          <w:p>
            <w:pPr>
              <w:jc w:val="left"/>
            </w:pPr>
            <w:r>
              <w:rPr>
                <w:rFonts w:ascii="Cambria" w:hAnsi="Cambria"/>
                <w:b w:val="0"/>
                <w:sz w:val="18"/>
              </w:rPr>
              <w:t>- Streamlines admissions, exams, HR, and finance.</w:t>
            </w:r>
          </w:p>
          <w:p>
            <w:pPr>
              <w:jc w:val="left"/>
            </w:pPr>
            <w:r>
              <w:rPr>
                <w:rFonts w:ascii="Cambria" w:hAnsi="Cambria"/>
                <w:b w:val="0"/>
                <w:sz w:val="18"/>
              </w:rPr>
              <w:t>- Implements transparent governance structures.</w:t>
            </w:r>
          </w:p>
        </w:tc>
        <w:tc>
          <w:tcPr>
            <w:tcW w:type="dxa" w:w="2268"/>
            <w:tcW w:w="2268" w:type="dxa"/>
            <w:shd w:val="clear" w:color="auto" w:fill="D9E2EC"/>
          </w:tcPr>
          <w:p>
            <w:pPr>
              <w:jc w:val="left"/>
            </w:pPr>
            <w:r/>
            <w:r>
              <w:rPr>
                <w:rFonts w:ascii="Cambria" w:hAnsi="Cambria"/>
                <w:b w:val="0"/>
                <w:sz w:val="18"/>
              </w:rPr>
              <w:t>- Smooth functioning of daily operations.</w:t>
            </w:r>
          </w:p>
          <w:p>
            <w:pPr>
              <w:jc w:val="left"/>
            </w:pPr>
            <w:r>
              <w:rPr>
                <w:rFonts w:ascii="Cambria" w:hAnsi="Cambria"/>
                <w:b w:val="0"/>
                <w:sz w:val="18"/>
              </w:rPr>
              <w:t>- Reduced delays and grievances.</w:t>
            </w:r>
          </w:p>
          <w:p>
            <w:pPr>
              <w:jc w:val="left"/>
            </w:pPr>
            <w:r>
              <w:rPr>
                <w:rFonts w:ascii="Cambria" w:hAnsi="Cambria"/>
                <w:b w:val="0"/>
                <w:sz w:val="18"/>
              </w:rPr>
              <w:t>- Strengthened institutional governance.</w:t>
            </w:r>
          </w:p>
        </w:tc>
        <w:tc>
          <w:tcPr>
            <w:tcW w:type="dxa" w:w="2154"/>
            <w:tcW w:w="2154" w:type="dxa"/>
            <w:shd w:val="clear" w:color="auto" w:fill="D9E2EC"/>
          </w:tcPr>
          <w:p>
            <w:pPr>
              <w:jc w:val="left"/>
            </w:pPr>
            <w:r/>
            <w:r>
              <w:rPr>
                <w:rFonts w:ascii="Cambria" w:hAnsi="Cambria"/>
                <w:b w:val="0"/>
                <w:sz w:val="18"/>
              </w:rPr>
              <w:t>- Annual administrative reports.</w:t>
            </w:r>
          </w:p>
          <w:p>
            <w:pPr>
              <w:jc w:val="left"/>
            </w:pPr>
            <w:r>
              <w:rPr>
                <w:rFonts w:ascii="Cambria" w:hAnsi="Cambria"/>
                <w:b w:val="0"/>
                <w:sz w:val="18"/>
              </w:rPr>
              <w:t>- HR policy circulars.</w:t>
            </w:r>
          </w:p>
          <w:p>
            <w:pPr>
              <w:jc w:val="left"/>
            </w:pPr>
            <w:r>
              <w:rPr>
                <w:rFonts w:ascii="Cambria" w:hAnsi="Cambria"/>
                <w:b w:val="0"/>
                <w:sz w:val="18"/>
              </w:rPr>
              <w:t>- Grievance redressal records.</w:t>
            </w:r>
          </w:p>
          <w:p>
            <w:pPr>
              <w:jc w:val="left"/>
            </w:pPr>
            <w:r>
              <w:rPr>
                <w:rFonts w:ascii="Cambria" w:hAnsi="Cambria"/>
                <w:b w:val="0"/>
                <w:sz w:val="18"/>
              </w:rPr>
              <w:t>- Audit reports.</w:t>
            </w:r>
          </w:p>
        </w:tc>
      </w:tr>
      <w:tr>
        <w:tc>
          <w:tcPr>
            <w:tcW w:type="dxa" w:w="1587"/>
            <w:tcW w:w="1587" w:type="dxa"/>
          </w:tcPr>
          <w:p>
            <w:pPr>
              <w:jc w:val="left"/>
            </w:pPr>
            <w:r/>
            <w:r>
              <w:rPr>
                <w:rFonts w:ascii="Cambria" w:hAnsi="Cambria"/>
                <w:b w:val="0"/>
                <w:sz w:val="18"/>
              </w:rPr>
              <w:t>Visionary Leadership with Global Outlook</w:t>
            </w:r>
          </w:p>
        </w:tc>
        <w:tc>
          <w:tcPr>
            <w:tcW w:type="dxa" w:w="2835"/>
            <w:tcW w:w="2835" w:type="dxa"/>
          </w:tcPr>
          <w:p>
            <w:pPr>
              <w:jc w:val="left"/>
            </w:pPr>
            <w:r/>
            <w:r>
              <w:rPr>
                <w:rFonts w:ascii="Cambria" w:hAnsi="Cambria"/>
                <w:b w:val="0"/>
                <w:sz w:val="18"/>
              </w:rPr>
              <w:t>- Frames strategic plan aligned with NEP 2020 and SDGs.</w:t>
            </w:r>
          </w:p>
          <w:p>
            <w:pPr>
              <w:jc w:val="left"/>
            </w:pPr>
            <w:r>
              <w:rPr>
                <w:rFonts w:ascii="Cambria" w:hAnsi="Cambria"/>
                <w:b w:val="0"/>
                <w:sz w:val="18"/>
              </w:rPr>
              <w:t>- Builds international collaborations and MoUs.</w:t>
            </w:r>
          </w:p>
          <w:p>
            <w:pPr>
              <w:jc w:val="left"/>
            </w:pPr>
            <w:r>
              <w:rPr>
                <w:rFonts w:ascii="Cambria" w:hAnsi="Cambria"/>
                <w:b w:val="0"/>
                <w:sz w:val="18"/>
              </w:rPr>
              <w:t>- Encourages interdisciplinary research and digital transformation.</w:t>
            </w:r>
          </w:p>
        </w:tc>
        <w:tc>
          <w:tcPr>
            <w:tcW w:type="dxa" w:w="2268"/>
            <w:tcW w:w="2268" w:type="dxa"/>
          </w:tcPr>
          <w:p>
            <w:pPr>
              <w:jc w:val="left"/>
            </w:pPr>
            <w:r/>
            <w:r>
              <w:rPr>
                <w:rFonts w:ascii="Cambria" w:hAnsi="Cambria"/>
                <w:b w:val="0"/>
                <w:sz w:val="18"/>
              </w:rPr>
              <w:t>- Enhanced global competitiveness.</w:t>
            </w:r>
          </w:p>
          <w:p>
            <w:pPr>
              <w:jc w:val="left"/>
            </w:pPr>
            <w:r>
              <w:rPr>
                <w:rFonts w:ascii="Cambria" w:hAnsi="Cambria"/>
                <w:b w:val="0"/>
                <w:sz w:val="18"/>
              </w:rPr>
              <w:t>- Improved international rankings and reputation.</w:t>
            </w:r>
          </w:p>
          <w:p>
            <w:pPr>
              <w:jc w:val="left"/>
            </w:pPr>
            <w:r>
              <w:rPr>
                <w:rFonts w:ascii="Cambria" w:hAnsi="Cambria"/>
                <w:b w:val="0"/>
                <w:sz w:val="18"/>
              </w:rPr>
              <w:t>- Sustainable institutional growth.</w:t>
            </w:r>
          </w:p>
        </w:tc>
        <w:tc>
          <w:tcPr>
            <w:tcW w:type="dxa" w:w="2154"/>
            <w:tcW w:w="2154" w:type="dxa"/>
          </w:tcPr>
          <w:p>
            <w:pPr>
              <w:jc w:val="left"/>
            </w:pPr>
            <w:r/>
            <w:r>
              <w:rPr>
                <w:rFonts w:ascii="Cambria" w:hAnsi="Cambria"/>
                <w:b w:val="0"/>
                <w:sz w:val="18"/>
              </w:rPr>
              <w:t>- Vision &amp; mission documents.</w:t>
            </w:r>
          </w:p>
          <w:p>
            <w:pPr>
              <w:jc w:val="left"/>
            </w:pPr>
            <w:r>
              <w:rPr>
                <w:rFonts w:ascii="Cambria" w:hAnsi="Cambria"/>
                <w:b w:val="0"/>
                <w:sz w:val="18"/>
              </w:rPr>
              <w:t>- MoUs with global universities.</w:t>
            </w:r>
          </w:p>
          <w:p>
            <w:pPr>
              <w:jc w:val="left"/>
            </w:pPr>
            <w:r>
              <w:rPr>
                <w:rFonts w:ascii="Cambria" w:hAnsi="Cambria"/>
                <w:b w:val="0"/>
                <w:sz w:val="18"/>
              </w:rPr>
              <w:t>- Strategic plan reports.</w:t>
            </w:r>
          </w:p>
          <w:p>
            <w:pPr>
              <w:jc w:val="left"/>
            </w:pPr>
            <w:r>
              <w:rPr>
                <w:rFonts w:ascii="Cambria" w:hAnsi="Cambria"/>
                <w:b w:val="0"/>
                <w:sz w:val="18"/>
              </w:rPr>
              <w:t>- NIRF/QS/THE ranking data.</w:t>
            </w:r>
          </w:p>
        </w:tc>
      </w:tr>
      <w:tr>
        <w:tc>
          <w:tcPr>
            <w:tcW w:type="dxa" w:w="1587"/>
            <w:tcW w:w="1587" w:type="dxa"/>
            <w:shd w:val="clear" w:color="auto" w:fill="D9E2EC"/>
          </w:tcPr>
          <w:p>
            <w:pPr>
              <w:jc w:val="left"/>
            </w:pPr>
            <w:r/>
            <w:r>
              <w:rPr>
                <w:rFonts w:ascii="Cambria" w:hAnsi="Cambria"/>
                <w:b w:val="0"/>
                <w:sz w:val="18"/>
              </w:rPr>
              <w:t>Integrity &amp; Transparency</w:t>
            </w:r>
          </w:p>
        </w:tc>
        <w:tc>
          <w:tcPr>
            <w:tcW w:type="dxa" w:w="2835"/>
            <w:tcW w:w="2835" w:type="dxa"/>
            <w:shd w:val="clear" w:color="auto" w:fill="D9E2EC"/>
          </w:tcPr>
          <w:p>
            <w:pPr>
              <w:jc w:val="left"/>
            </w:pPr>
            <w:r/>
            <w:r>
              <w:rPr>
                <w:rFonts w:ascii="Cambria" w:hAnsi="Cambria"/>
                <w:b w:val="0"/>
                <w:sz w:val="18"/>
              </w:rPr>
              <w:t>- Implements fair examination and evaluation practices.</w:t>
            </w:r>
          </w:p>
          <w:p>
            <w:pPr>
              <w:jc w:val="left"/>
            </w:pPr>
            <w:r>
              <w:rPr>
                <w:rFonts w:ascii="Cambria" w:hAnsi="Cambria"/>
                <w:b w:val="0"/>
                <w:sz w:val="18"/>
              </w:rPr>
              <w:t>- Promotes ethical research and anti-plagiarism policies.</w:t>
            </w:r>
          </w:p>
          <w:p>
            <w:pPr>
              <w:jc w:val="left"/>
            </w:pPr>
            <w:r>
              <w:rPr>
                <w:rFonts w:ascii="Cambria" w:hAnsi="Cambria"/>
                <w:b w:val="0"/>
                <w:sz w:val="18"/>
              </w:rPr>
              <w:t>- Ensures transparency in finances and recruitment.</w:t>
            </w:r>
          </w:p>
        </w:tc>
        <w:tc>
          <w:tcPr>
            <w:tcW w:type="dxa" w:w="2268"/>
            <w:tcW w:w="2268" w:type="dxa"/>
            <w:shd w:val="clear" w:color="auto" w:fill="D9E2EC"/>
          </w:tcPr>
          <w:p>
            <w:pPr>
              <w:jc w:val="left"/>
            </w:pPr>
            <w:r/>
            <w:r>
              <w:rPr>
                <w:rFonts w:ascii="Cambria" w:hAnsi="Cambria"/>
                <w:b w:val="0"/>
                <w:sz w:val="18"/>
              </w:rPr>
              <w:t>- Academic integrity maintained.</w:t>
            </w:r>
          </w:p>
          <w:p>
            <w:pPr>
              <w:jc w:val="left"/>
            </w:pPr>
            <w:r>
              <w:rPr>
                <w:rFonts w:ascii="Cambria" w:hAnsi="Cambria"/>
                <w:b w:val="0"/>
                <w:sz w:val="18"/>
              </w:rPr>
              <w:t>- Stakeholder trust and accountability.</w:t>
            </w:r>
          </w:p>
          <w:p>
            <w:pPr>
              <w:jc w:val="left"/>
            </w:pPr>
            <w:r>
              <w:rPr>
                <w:rFonts w:ascii="Cambria" w:hAnsi="Cambria"/>
                <w:b w:val="0"/>
                <w:sz w:val="18"/>
              </w:rPr>
              <w:t>- Prevention of corruption and favoritism.</w:t>
            </w:r>
          </w:p>
        </w:tc>
        <w:tc>
          <w:tcPr>
            <w:tcW w:type="dxa" w:w="2154"/>
            <w:tcW w:w="2154" w:type="dxa"/>
            <w:shd w:val="clear" w:color="auto" w:fill="D9E2EC"/>
          </w:tcPr>
          <w:p>
            <w:pPr>
              <w:jc w:val="left"/>
            </w:pPr>
            <w:r/>
            <w:r>
              <w:rPr>
                <w:rFonts w:ascii="Cambria" w:hAnsi="Cambria"/>
                <w:b w:val="0"/>
                <w:sz w:val="18"/>
              </w:rPr>
              <w:t>- Examination regulations.</w:t>
            </w:r>
          </w:p>
          <w:p>
            <w:pPr>
              <w:jc w:val="left"/>
            </w:pPr>
            <w:r>
              <w:rPr>
                <w:rFonts w:ascii="Cambria" w:hAnsi="Cambria"/>
                <w:b w:val="0"/>
                <w:sz w:val="18"/>
              </w:rPr>
              <w:t>- Audited financial statements.</w:t>
            </w:r>
          </w:p>
          <w:p>
            <w:pPr>
              <w:jc w:val="left"/>
            </w:pPr>
            <w:r>
              <w:rPr>
                <w:rFonts w:ascii="Cambria" w:hAnsi="Cambria"/>
                <w:b w:val="0"/>
                <w:sz w:val="18"/>
              </w:rPr>
              <w:t>- Recruitment committee reports.</w:t>
            </w:r>
          </w:p>
        </w:tc>
      </w:tr>
      <w:tr>
        <w:tc>
          <w:tcPr>
            <w:tcW w:type="dxa" w:w="1587"/>
            <w:tcW w:w="1587" w:type="dxa"/>
          </w:tcPr>
          <w:p>
            <w:pPr>
              <w:jc w:val="left"/>
            </w:pPr>
            <w:r/>
            <w:r>
              <w:rPr>
                <w:rFonts w:ascii="Cambria" w:hAnsi="Cambria"/>
                <w:b w:val="0"/>
                <w:sz w:val="18"/>
              </w:rPr>
              <w:t>Effective Communication &amp; Engagement</w:t>
            </w:r>
          </w:p>
        </w:tc>
        <w:tc>
          <w:tcPr>
            <w:tcW w:type="dxa" w:w="2835"/>
            <w:tcW w:w="2835" w:type="dxa"/>
          </w:tcPr>
          <w:p>
            <w:pPr>
              <w:jc w:val="left"/>
            </w:pPr>
            <w:r/>
            <w:r>
              <w:rPr>
                <w:rFonts w:ascii="Cambria" w:hAnsi="Cambria"/>
                <w:b w:val="0"/>
                <w:sz w:val="18"/>
              </w:rPr>
              <w:t>- Engages regularly with faculty, students, alumni, and government.</w:t>
            </w:r>
          </w:p>
          <w:p>
            <w:pPr>
              <w:jc w:val="left"/>
            </w:pPr>
            <w:r>
              <w:rPr>
                <w:rFonts w:ascii="Cambria" w:hAnsi="Cambria"/>
                <w:b w:val="0"/>
                <w:sz w:val="18"/>
              </w:rPr>
              <w:t>- Builds industry-academia partnerships.</w:t>
            </w:r>
          </w:p>
          <w:p>
            <w:pPr>
              <w:jc w:val="left"/>
            </w:pPr>
            <w:r>
              <w:rPr>
                <w:rFonts w:ascii="Cambria" w:hAnsi="Cambria"/>
                <w:b w:val="0"/>
                <w:sz w:val="18"/>
              </w:rPr>
              <w:t>- Enhances alumni involvement in university growth.</w:t>
            </w:r>
          </w:p>
        </w:tc>
        <w:tc>
          <w:tcPr>
            <w:tcW w:type="dxa" w:w="2268"/>
            <w:tcW w:w="2268" w:type="dxa"/>
          </w:tcPr>
          <w:p>
            <w:pPr>
              <w:jc w:val="left"/>
            </w:pPr>
            <w:r/>
            <w:r>
              <w:rPr>
                <w:rFonts w:ascii="Cambria" w:hAnsi="Cambria"/>
                <w:b w:val="0"/>
                <w:sz w:val="18"/>
              </w:rPr>
              <w:t>- Stronger stakeholder collaboration.</w:t>
            </w:r>
          </w:p>
          <w:p>
            <w:pPr>
              <w:jc w:val="left"/>
            </w:pPr>
            <w:r>
              <w:rPr>
                <w:rFonts w:ascii="Cambria" w:hAnsi="Cambria"/>
                <w:b w:val="0"/>
                <w:sz w:val="18"/>
              </w:rPr>
              <w:t>- Improved student/faculty satisfaction.</w:t>
            </w:r>
          </w:p>
          <w:p>
            <w:pPr>
              <w:jc w:val="left"/>
            </w:pPr>
            <w:r>
              <w:rPr>
                <w:rFonts w:ascii="Cambria" w:hAnsi="Cambria"/>
                <w:b w:val="0"/>
                <w:sz w:val="18"/>
              </w:rPr>
              <w:t>- Increased funding and placement opportunities.</w:t>
            </w:r>
          </w:p>
        </w:tc>
        <w:tc>
          <w:tcPr>
            <w:tcW w:type="dxa" w:w="2154"/>
            <w:tcW w:w="2154" w:type="dxa"/>
          </w:tcPr>
          <w:p>
            <w:pPr>
              <w:jc w:val="left"/>
            </w:pPr>
            <w:r/>
            <w:r>
              <w:rPr>
                <w:rFonts w:ascii="Cambria" w:hAnsi="Cambria"/>
                <w:b w:val="0"/>
                <w:sz w:val="18"/>
              </w:rPr>
              <w:t>- Meeting minutes with stakeholders.</w:t>
            </w:r>
          </w:p>
          <w:p>
            <w:pPr>
              <w:jc w:val="left"/>
            </w:pPr>
            <w:r>
              <w:rPr>
                <w:rFonts w:ascii="Cambria" w:hAnsi="Cambria"/>
                <w:b w:val="0"/>
                <w:sz w:val="18"/>
              </w:rPr>
              <w:t>- Alumni contribution records.</w:t>
            </w:r>
          </w:p>
          <w:p>
            <w:pPr>
              <w:jc w:val="left"/>
            </w:pPr>
            <w:r>
              <w:rPr>
                <w:rFonts w:ascii="Cambria" w:hAnsi="Cambria"/>
                <w:b w:val="0"/>
                <w:sz w:val="18"/>
              </w:rPr>
              <w:t>- Industry partnership MoUs.</w:t>
            </w:r>
          </w:p>
          <w:p>
            <w:pPr>
              <w:jc w:val="left"/>
            </w:pPr>
            <w:r>
              <w:rPr>
                <w:rFonts w:ascii="Cambria" w:hAnsi="Cambria"/>
                <w:b w:val="0"/>
                <w:sz w:val="18"/>
              </w:rPr>
              <w:t>- Student satisfaction survey results.</w:t>
            </w:r>
          </w:p>
        </w:tc>
      </w:tr>
      <w:tr>
        <w:tc>
          <w:tcPr>
            <w:tcW w:type="dxa" w:w="1587"/>
            <w:tcW w:w="1587" w:type="dxa"/>
            <w:shd w:val="clear" w:color="auto" w:fill="D9E2EC"/>
          </w:tcPr>
          <w:p>
            <w:pPr>
              <w:jc w:val="left"/>
            </w:pPr>
            <w:r/>
            <w:r>
              <w:rPr>
                <w:rFonts w:ascii="Cambria" w:hAnsi="Cambria"/>
                <w:b w:val="0"/>
                <w:sz w:val="18"/>
              </w:rPr>
              <w:t>Crisis Management &amp; Decision-Making</w:t>
            </w:r>
          </w:p>
        </w:tc>
        <w:tc>
          <w:tcPr>
            <w:tcW w:type="dxa" w:w="2835"/>
            <w:tcW w:w="2835" w:type="dxa"/>
            <w:shd w:val="clear" w:color="auto" w:fill="D9E2EC"/>
          </w:tcPr>
          <w:p>
            <w:pPr>
              <w:jc w:val="left"/>
            </w:pPr>
            <w:r/>
            <w:r>
              <w:rPr>
                <w:rFonts w:ascii="Cambria" w:hAnsi="Cambria"/>
                <w:b w:val="0"/>
                <w:sz w:val="18"/>
              </w:rPr>
              <w:t>- Responds decisively during academic/financial crises.</w:t>
            </w:r>
          </w:p>
          <w:p>
            <w:pPr>
              <w:jc w:val="left"/>
            </w:pPr>
            <w:r>
              <w:rPr>
                <w:rFonts w:ascii="Cambria" w:hAnsi="Cambria"/>
                <w:b w:val="0"/>
                <w:sz w:val="18"/>
              </w:rPr>
              <w:t>- Mediates conflicts fairly.</w:t>
            </w:r>
          </w:p>
          <w:p>
            <w:pPr>
              <w:jc w:val="left"/>
            </w:pPr>
            <w:r>
              <w:rPr>
                <w:rFonts w:ascii="Cambria" w:hAnsi="Cambria"/>
                <w:b w:val="0"/>
                <w:sz w:val="18"/>
              </w:rPr>
              <w:t>- Provides timely solutions to emergencies.</w:t>
            </w:r>
          </w:p>
        </w:tc>
        <w:tc>
          <w:tcPr>
            <w:tcW w:type="dxa" w:w="2268"/>
            <w:tcW w:w="2268" w:type="dxa"/>
            <w:shd w:val="clear" w:color="auto" w:fill="D9E2EC"/>
          </w:tcPr>
          <w:p>
            <w:pPr>
              <w:jc w:val="left"/>
            </w:pPr>
            <w:r/>
            <w:r>
              <w:rPr>
                <w:rFonts w:ascii="Cambria" w:hAnsi="Cambria"/>
                <w:b w:val="0"/>
                <w:sz w:val="18"/>
              </w:rPr>
              <w:t>- Institutional resilience and stability.</w:t>
            </w:r>
          </w:p>
          <w:p>
            <w:pPr>
              <w:jc w:val="left"/>
            </w:pPr>
            <w:r>
              <w:rPr>
                <w:rFonts w:ascii="Cambria" w:hAnsi="Cambria"/>
                <w:b w:val="0"/>
                <w:sz w:val="18"/>
              </w:rPr>
              <w:t>- Confidence among students and staff.</w:t>
            </w:r>
          </w:p>
          <w:p>
            <w:pPr>
              <w:jc w:val="left"/>
            </w:pPr>
            <w:r>
              <w:rPr>
                <w:rFonts w:ascii="Cambria" w:hAnsi="Cambria"/>
                <w:b w:val="0"/>
                <w:sz w:val="18"/>
              </w:rPr>
              <w:t>- Faster recovery during disruptions.</w:t>
            </w:r>
          </w:p>
        </w:tc>
        <w:tc>
          <w:tcPr>
            <w:tcW w:type="dxa" w:w="2154"/>
            <w:tcW w:w="2154" w:type="dxa"/>
            <w:shd w:val="clear" w:color="auto" w:fill="D9E2EC"/>
          </w:tcPr>
          <w:p>
            <w:pPr>
              <w:jc w:val="left"/>
            </w:pPr>
            <w:r/>
            <w:r>
              <w:rPr>
                <w:rFonts w:ascii="Cambria" w:hAnsi="Cambria"/>
                <w:b w:val="0"/>
                <w:sz w:val="18"/>
              </w:rPr>
              <w:t>- Crisis management reports.</w:t>
            </w:r>
          </w:p>
          <w:p>
            <w:pPr>
              <w:jc w:val="left"/>
            </w:pPr>
            <w:r>
              <w:rPr>
                <w:rFonts w:ascii="Cambria" w:hAnsi="Cambria"/>
                <w:b w:val="0"/>
                <w:sz w:val="18"/>
              </w:rPr>
              <w:t>- Records of decisions taken during emergencies.</w:t>
            </w:r>
          </w:p>
          <w:p>
            <w:pPr>
              <w:jc w:val="left"/>
            </w:pPr>
            <w:r>
              <w:rPr>
                <w:rFonts w:ascii="Cambria" w:hAnsi="Cambria"/>
                <w:b w:val="0"/>
                <w:sz w:val="18"/>
              </w:rPr>
              <w:t>- Stakeholder feedback reports.</w:t>
            </w:r>
          </w:p>
        </w:tc>
      </w:tr>
      <w:tr>
        <w:tc>
          <w:tcPr>
            <w:tcW w:type="dxa" w:w="1587"/>
            <w:tcW w:w="1587" w:type="dxa"/>
          </w:tcPr>
          <w:p>
            <w:pPr>
              <w:jc w:val="left"/>
            </w:pPr>
            <w:r/>
            <w:r>
              <w:rPr>
                <w:rFonts w:ascii="Cambria" w:hAnsi="Cambria"/>
                <w:b w:val="0"/>
                <w:sz w:val="18"/>
              </w:rPr>
              <w:t>Commitment to Inclusivity &amp; Student Development</w:t>
            </w:r>
          </w:p>
        </w:tc>
        <w:tc>
          <w:tcPr>
            <w:tcW w:type="dxa" w:w="2835"/>
            <w:tcW w:w="2835" w:type="dxa"/>
          </w:tcPr>
          <w:p>
            <w:pPr>
              <w:jc w:val="left"/>
            </w:pPr>
            <w:r/>
            <w:r>
              <w:rPr>
                <w:rFonts w:ascii="Cambria" w:hAnsi="Cambria"/>
                <w:b w:val="0"/>
                <w:sz w:val="18"/>
              </w:rPr>
              <w:t>- Implements diversity and equity policies.</w:t>
            </w:r>
          </w:p>
          <w:p>
            <w:pPr>
              <w:jc w:val="left"/>
            </w:pPr>
            <w:r>
              <w:rPr>
                <w:rFonts w:ascii="Cambria" w:hAnsi="Cambria"/>
                <w:b w:val="0"/>
                <w:sz w:val="18"/>
              </w:rPr>
              <w:t>- Expands scholarships, counseling, and welfare services.</w:t>
            </w:r>
          </w:p>
          <w:p>
            <w:pPr>
              <w:jc w:val="left"/>
            </w:pPr>
            <w:r>
              <w:rPr>
                <w:rFonts w:ascii="Cambria" w:hAnsi="Cambria"/>
                <w:b w:val="0"/>
                <w:sz w:val="18"/>
              </w:rPr>
              <w:t>- Strengthens placements and entrepreneurship support.</w:t>
            </w:r>
          </w:p>
        </w:tc>
        <w:tc>
          <w:tcPr>
            <w:tcW w:type="dxa" w:w="2268"/>
            <w:tcW w:w="2268" w:type="dxa"/>
          </w:tcPr>
          <w:p>
            <w:pPr>
              <w:jc w:val="left"/>
            </w:pPr>
            <w:r/>
            <w:r>
              <w:rPr>
                <w:rFonts w:ascii="Cambria" w:hAnsi="Cambria"/>
                <w:b w:val="0"/>
                <w:sz w:val="18"/>
              </w:rPr>
              <w:t>- Inclusive campus culture.</w:t>
            </w:r>
          </w:p>
          <w:p>
            <w:pPr>
              <w:jc w:val="left"/>
            </w:pPr>
            <w:r>
              <w:rPr>
                <w:rFonts w:ascii="Cambria" w:hAnsi="Cambria"/>
                <w:b w:val="0"/>
                <w:sz w:val="18"/>
              </w:rPr>
              <w:t>- Improved student retention and success rates.</w:t>
            </w:r>
          </w:p>
          <w:p>
            <w:pPr>
              <w:jc w:val="left"/>
            </w:pPr>
            <w:r>
              <w:rPr>
                <w:rFonts w:ascii="Cambria" w:hAnsi="Cambria"/>
                <w:b w:val="0"/>
                <w:sz w:val="18"/>
              </w:rPr>
              <w:t>- Higher employability and entrepreneurship outcomes.</w:t>
            </w:r>
          </w:p>
        </w:tc>
        <w:tc>
          <w:tcPr>
            <w:tcW w:type="dxa" w:w="2154"/>
            <w:tcW w:w="2154" w:type="dxa"/>
          </w:tcPr>
          <w:p>
            <w:pPr>
              <w:jc w:val="left"/>
            </w:pPr>
            <w:r/>
            <w:r>
              <w:rPr>
                <w:rFonts w:ascii="Cambria" w:hAnsi="Cambria"/>
                <w:b w:val="0"/>
                <w:sz w:val="18"/>
              </w:rPr>
              <w:t>- Diversity &amp; inclusion policy records.</w:t>
            </w:r>
          </w:p>
          <w:p>
            <w:pPr>
              <w:jc w:val="left"/>
            </w:pPr>
            <w:r>
              <w:rPr>
                <w:rFonts w:ascii="Cambria" w:hAnsi="Cambria"/>
                <w:b w:val="0"/>
                <w:sz w:val="18"/>
              </w:rPr>
              <w:t>- Placement reports.</w:t>
            </w:r>
          </w:p>
          <w:p>
            <w:pPr>
              <w:jc w:val="left"/>
            </w:pPr>
            <w:r>
              <w:rPr>
                <w:rFonts w:ascii="Cambria" w:hAnsi="Cambria"/>
                <w:b w:val="0"/>
                <w:sz w:val="18"/>
              </w:rPr>
              <w:t>- Student welfare circulars.</w:t>
            </w:r>
          </w:p>
          <w:p>
            <w:pPr>
              <w:jc w:val="left"/>
            </w:pPr>
            <w:r>
              <w:rPr>
                <w:rFonts w:ascii="Cambria" w:hAnsi="Cambria"/>
                <w:b w:val="0"/>
                <w:sz w:val="18"/>
              </w:rPr>
              <w:t>- Counseling and mentorship records.</w:t>
            </w:r>
          </w:p>
        </w:tc>
      </w:tr>
    </w:tbl>
    <w:p>
      <w:r>
        <w:br w:type="page"/>
      </w:r>
    </w:p>
    <w:p>
      <w:pPr>
        <w:keepNext/>
        <w:spacing w:before="240" w:after="120"/>
      </w:pPr>
      <w:r>
        <w:rPr>
          <w:rFonts w:ascii="Cambria" w:hAnsi="Cambria"/>
          <w:b/>
          <w:color w:val="1F3A5F"/>
          <w:sz w:val="36"/>
        </w:rPr>
        <w:t>4. Pro-Vice-Chancellors (PVCs)</w:t>
      </w:r>
    </w:p>
    <w:p>
      <w:pPr>
        <w:jc w:val="both"/>
      </w:pPr>
      <w:r>
        <w:rPr>
          <w:rFonts w:ascii="Cambria" w:hAnsi="Cambria"/>
          <w:b w:val="0"/>
          <w:i w:val="0"/>
          <w:sz w:val="22"/>
        </w:rPr>
        <w:t>A Pro-Vice-Chancellor (PVC) is a senior academic and administrative leader who functions as a deputy to the Vice-Chancellor (VC) and plays a crucial role in advancing the university's mission, vision, and strategic priorities. Although the specific duties and scope of authority may differ between institutions, the position is always designed to strengthen executive leadership by providing domain-specific governance and operational oversight. In many universities, PVCs are responsible for portfolios such as academic affairs, research and innovation, international relations, student experience, digital transformation, or external engagement, ensuring that each strategic area receives focused leadership and continuous monitoring.</w:t>
      </w:r>
    </w:p>
    <w:p>
      <w:pPr>
        <w:jc w:val="both"/>
      </w:pPr>
      <w:r>
        <w:rPr>
          <w:rFonts w:ascii="Cambria" w:hAnsi="Cambria"/>
          <w:b w:val="0"/>
          <w:i w:val="0"/>
          <w:sz w:val="22"/>
        </w:rPr>
        <w:t>The PVC role is both supportive and autonomous. On the one hand, PVCs assist the VC by implementing decisions of the Governing Body, coordinating across faculties and departments, and ensuring that policies are translated into effective practices. On the other hand, PVCs often hold delegated authority, enabling them to lead independently in their respective domains. For example, a Pro-Vice-Chancellor (Research) may oversee research funding, faculty publications, and collaborations with industry, while a Pro-Vice-Chancellor (Academic) might focus on curriculum design, faculty evaluations, and accreditation readiness. This division of labor allows the Vice-Chancellor to focus on institution-wide strategy while ensuring that complex academic and administrative functions are handled with expertise and accountability.</w:t>
      </w:r>
    </w:p>
    <w:p>
      <w:pPr>
        <w:jc w:val="both"/>
      </w:pPr>
      <w:r>
        <w:rPr>
          <w:rFonts w:ascii="Cambria" w:hAnsi="Cambria"/>
          <w:b w:val="0"/>
          <w:i w:val="0"/>
          <w:sz w:val="22"/>
        </w:rPr>
        <w:t>Beyond operational management, the PVC serves a strategic leadership role. They are often tasked with driving reforms, fostering innovation, and aligning university practices with national and international standards. For instance, PVCs contribute to enhancing global visibility through international partnerships, improving accreditation outcomes by aligning with frameworks like NAAC, NBA, NIRF, QS, and THE, and strengthening the student experience by embedding inclusivity, career development, and welfare measures. PVCs also act as ambassadors of the university, representing it in national committees, international conferences, and government consultations.</w:t>
      </w:r>
    </w:p>
    <w:p>
      <w:pPr>
        <w:jc w:val="both"/>
      </w:pPr>
      <w:r>
        <w:rPr>
          <w:rFonts w:ascii="Cambria" w:hAnsi="Cambria"/>
          <w:b w:val="0"/>
          <w:i w:val="0"/>
          <w:sz w:val="22"/>
        </w:rPr>
        <w:t>In governance terms, PVCs are central to creating continuity of leadership and succession planning. Since the VC cannot personally manage every aspect of a large, complex university, PVCs ensure that no area of strategic importance is neglected. By overseeing implementation and providing domain-specific expertise, they enhance both operational efficiency and institutional competitiveness. This makes PVCs integral to the resilience of the leadership structure, especially in times of transition or crisis.</w:t>
      </w:r>
    </w:p>
    <w:p>
      <w:pPr>
        <w:pStyle w:val="ListBullet"/>
        <w:jc w:val="both"/>
      </w:pPr>
      <w:r>
        <w:rPr>
          <w:rFonts w:ascii="Cambria" w:hAnsi="Cambria"/>
          <w:sz w:val="22"/>
        </w:rPr>
        <w:t>1. Position in the Hierarchy</w:t>
      </w:r>
    </w:p>
    <w:p>
      <w:pPr>
        <w:pStyle w:val="ListBullet2"/>
        <w:jc w:val="both"/>
      </w:pPr>
      <w:r>
        <w:rPr>
          <w:rFonts w:ascii="Cambria" w:hAnsi="Cambria"/>
          <w:sz w:val="22"/>
        </w:rPr>
        <w:t>The Pro-Vice-Chancellor (PVC) is a senior executive officer in a university, ranking just below the Vice-Chancellor.</w:t>
      </w:r>
    </w:p>
    <w:p>
      <w:pPr>
        <w:pStyle w:val="ListBullet2"/>
        <w:jc w:val="both"/>
      </w:pPr>
      <w:r>
        <w:rPr>
          <w:rFonts w:ascii="Cambria" w:hAnsi="Cambria"/>
          <w:sz w:val="22"/>
        </w:rPr>
        <w:t>In some systems, the role is equivalent to Deputy Vice-Chancellor (DVC).</w:t>
      </w:r>
    </w:p>
    <w:p>
      <w:pPr>
        <w:pStyle w:val="ListBullet2"/>
        <w:jc w:val="both"/>
      </w:pPr>
      <w:r>
        <w:rPr>
          <w:rFonts w:ascii="Cambria" w:hAnsi="Cambria"/>
          <w:sz w:val="22"/>
        </w:rPr>
        <w:t>Acts as a domain-specific leader entrusted with specialized portfolios delegated by the Vice-Chancellor.</w:t>
      </w:r>
    </w:p>
    <w:p>
      <w:pPr>
        <w:pStyle w:val="ListBullet2"/>
        <w:jc w:val="both"/>
      </w:pPr>
      <w:r>
        <w:rPr>
          <w:rFonts w:ascii="Cambria" w:hAnsi="Cambria"/>
          <w:sz w:val="22"/>
        </w:rPr>
        <w:t>Serves as an extension of the VC's authority, representing the VC in official matters when required.</w:t>
      </w:r>
    </w:p>
    <w:p>
      <w:pPr>
        <w:pStyle w:val="ListBullet"/>
        <w:jc w:val="both"/>
      </w:pPr>
      <w:r>
        <w:rPr>
          <w:rFonts w:ascii="Cambria" w:hAnsi="Cambria"/>
          <w:sz w:val="22"/>
        </w:rPr>
        <w:t>2. Appointment &amp; Tenure</w:t>
      </w:r>
    </w:p>
    <w:p>
      <w:pPr>
        <w:pStyle w:val="ListBullet2"/>
        <w:jc w:val="both"/>
      </w:pPr>
      <w:r>
        <w:rPr>
          <w:rFonts w:ascii="Cambria" w:hAnsi="Cambria"/>
          <w:sz w:val="22"/>
        </w:rPr>
        <w:t>Appointed by the Chancellor/Visitor or Governing Body based on recommendations from the Vice-Chancellor.</w:t>
      </w:r>
    </w:p>
    <w:p>
      <w:pPr>
        <w:pStyle w:val="ListBullet2"/>
        <w:jc w:val="both"/>
      </w:pPr>
      <w:r>
        <w:rPr>
          <w:rFonts w:ascii="Cambria" w:hAnsi="Cambria"/>
          <w:sz w:val="22"/>
        </w:rPr>
        <w:t>Selection criteria usually emphasize academic distinction, administrative experience, and leadership capacity.</w:t>
      </w:r>
    </w:p>
    <w:p>
      <w:pPr>
        <w:pStyle w:val="ListBullet2"/>
        <w:jc w:val="both"/>
      </w:pPr>
      <w:r>
        <w:rPr>
          <w:rFonts w:ascii="Cambria" w:hAnsi="Cambria"/>
          <w:sz w:val="22"/>
        </w:rPr>
        <w:t>Tenure is often 3–5 years, sometimes aligned with the Vice-Chancellor's term.</w:t>
      </w:r>
    </w:p>
    <w:p>
      <w:pPr>
        <w:pStyle w:val="ListBullet"/>
        <w:jc w:val="both"/>
      </w:pPr>
      <w:r>
        <w:rPr>
          <w:rFonts w:ascii="Cambria" w:hAnsi="Cambria"/>
          <w:sz w:val="22"/>
        </w:rPr>
        <w:t>3. Core Responsibilities</w:t>
      </w:r>
    </w:p>
    <w:p>
      <w:pPr>
        <w:pStyle w:val="ListBullet2"/>
        <w:jc w:val="both"/>
      </w:pPr>
      <w:r>
        <w:rPr>
          <w:rFonts w:ascii="Cambria" w:hAnsi="Cambria"/>
          <w:sz w:val="22"/>
        </w:rPr>
        <w:t>Support to Vice-Chancellor</w:t>
      </w:r>
    </w:p>
    <w:p>
      <w:pPr>
        <w:pStyle w:val="ListBullet"/>
        <w:jc w:val="both"/>
      </w:pPr>
      <w:r>
        <w:rPr>
          <w:rFonts w:ascii="Cambria" w:hAnsi="Cambria"/>
          <w:sz w:val="22"/>
        </w:rPr>
        <w:t>Relieves the VC of operational burdens by managing specific domains.</w:t>
      </w:r>
    </w:p>
    <w:p>
      <w:pPr>
        <w:pStyle w:val="ListBullet"/>
        <w:jc w:val="both"/>
      </w:pPr>
      <w:r>
        <w:rPr>
          <w:rFonts w:ascii="Cambria" w:hAnsi="Cambria"/>
          <w:sz w:val="22"/>
        </w:rPr>
        <w:t>Assists in policy implementation and governance coordination.</w:t>
      </w:r>
    </w:p>
    <w:p>
      <w:pPr>
        <w:pStyle w:val="ListBullet2"/>
        <w:jc w:val="both"/>
      </w:pPr>
      <w:r>
        <w:rPr>
          <w:rFonts w:ascii="Cambria" w:hAnsi="Cambria"/>
          <w:sz w:val="22"/>
        </w:rPr>
        <w:t>Domain-Specific Leadership</w:t>
      </w:r>
    </w:p>
    <w:p>
      <w:pPr>
        <w:pStyle w:val="ListBullet"/>
        <w:jc w:val="both"/>
      </w:pPr>
      <w:r>
        <w:rPr>
          <w:rFonts w:ascii="Cambria" w:hAnsi="Cambria"/>
          <w:sz w:val="22"/>
        </w:rPr>
        <w:t>Academic Affairs: Curriculum reforms, pedagogy, accreditation.</w:t>
      </w:r>
    </w:p>
    <w:p>
      <w:pPr>
        <w:pStyle w:val="ListBullet"/>
        <w:jc w:val="both"/>
      </w:pPr>
      <w:r>
        <w:rPr>
          <w:rFonts w:ascii="Cambria" w:hAnsi="Cambria"/>
          <w:sz w:val="22"/>
        </w:rPr>
        <w:t>Research &amp; Innovation: R&amp;D funding, publications, patents, consultancy.</w:t>
      </w:r>
    </w:p>
    <w:p>
      <w:pPr>
        <w:pStyle w:val="ListBullet"/>
        <w:jc w:val="both"/>
      </w:pPr>
      <w:r>
        <w:rPr>
          <w:rFonts w:ascii="Cambria" w:hAnsi="Cambria"/>
          <w:sz w:val="22"/>
        </w:rPr>
        <w:t>Administration &amp; Finance: HR, budgeting, audits, digital governance.</w:t>
      </w:r>
    </w:p>
    <w:p>
      <w:pPr>
        <w:pStyle w:val="ListBullet"/>
        <w:jc w:val="both"/>
      </w:pPr>
      <w:r>
        <w:rPr>
          <w:rFonts w:ascii="Cambria" w:hAnsi="Cambria"/>
          <w:sz w:val="22"/>
        </w:rPr>
        <w:t>Student Affairs: Welfare, counseling, placements, cultural activities.</w:t>
      </w:r>
    </w:p>
    <w:p>
      <w:pPr>
        <w:pStyle w:val="ListBullet"/>
        <w:jc w:val="both"/>
      </w:pPr>
      <w:r>
        <w:rPr>
          <w:rFonts w:ascii="Cambria" w:hAnsi="Cambria"/>
          <w:sz w:val="22"/>
        </w:rPr>
        <w:t>International Relations: MoUs, global rankings, partnerships.</w:t>
      </w:r>
    </w:p>
    <w:p>
      <w:pPr>
        <w:pStyle w:val="ListBullet2"/>
        <w:jc w:val="both"/>
      </w:pPr>
      <w:r>
        <w:rPr>
          <w:rFonts w:ascii="Cambria" w:hAnsi="Cambria"/>
          <w:sz w:val="22"/>
        </w:rPr>
        <w:t>Policy Execution &amp; Monitoring</w:t>
      </w:r>
    </w:p>
    <w:p>
      <w:pPr>
        <w:pStyle w:val="ListBullet"/>
        <w:jc w:val="both"/>
      </w:pPr>
      <w:r>
        <w:rPr>
          <w:rFonts w:ascii="Cambria" w:hAnsi="Cambria"/>
          <w:sz w:val="22"/>
        </w:rPr>
        <w:t>Converts strategic goals into actionable plans.</w:t>
      </w:r>
    </w:p>
    <w:p>
      <w:pPr>
        <w:pStyle w:val="ListBullet"/>
        <w:jc w:val="both"/>
      </w:pPr>
      <w:r>
        <w:rPr>
          <w:rFonts w:ascii="Cambria" w:hAnsi="Cambria"/>
          <w:sz w:val="22"/>
        </w:rPr>
        <w:t>Monitors KPIs and submits reports to the Vice-Chancellor.</w:t>
      </w:r>
    </w:p>
    <w:p>
      <w:pPr>
        <w:pStyle w:val="ListBullet2"/>
        <w:jc w:val="both"/>
      </w:pPr>
      <w:r>
        <w:rPr>
          <w:rFonts w:ascii="Cambria" w:hAnsi="Cambria"/>
          <w:sz w:val="22"/>
        </w:rPr>
        <w:t>Stakeholder Engagement</w:t>
      </w:r>
    </w:p>
    <w:p>
      <w:pPr>
        <w:pStyle w:val="ListBullet"/>
        <w:jc w:val="both"/>
      </w:pPr>
      <w:r>
        <w:rPr>
          <w:rFonts w:ascii="Cambria" w:hAnsi="Cambria"/>
          <w:sz w:val="22"/>
        </w:rPr>
        <w:t>Acts as a liaison between Deans, HoDs, and the Vice-Chancellor.</w:t>
      </w:r>
    </w:p>
    <w:p>
      <w:pPr>
        <w:pStyle w:val="ListBullet"/>
        <w:jc w:val="both"/>
      </w:pPr>
      <w:r>
        <w:rPr>
          <w:rFonts w:ascii="Cambria" w:hAnsi="Cambria"/>
          <w:sz w:val="22"/>
        </w:rPr>
        <w:t>Strengthens industry–academia and international collaborations.</w:t>
      </w:r>
    </w:p>
    <w:p>
      <w:pPr>
        <w:pStyle w:val="ListBullet"/>
        <w:jc w:val="both"/>
      </w:pPr>
      <w:r>
        <w:rPr>
          <w:rFonts w:ascii="Cambria" w:hAnsi="Cambria"/>
          <w:sz w:val="22"/>
        </w:rPr>
        <w:t>4. Significance in Governance</w:t>
      </w:r>
    </w:p>
    <w:p>
      <w:pPr>
        <w:pStyle w:val="ListBullet2"/>
        <w:jc w:val="both"/>
      </w:pPr>
      <w:r>
        <w:rPr>
          <w:rFonts w:ascii="Cambria" w:hAnsi="Cambria"/>
          <w:sz w:val="22"/>
        </w:rPr>
        <w:t>Decentralization of Authority – prevents concentration of power at the VC level.</w:t>
      </w:r>
    </w:p>
    <w:p>
      <w:pPr>
        <w:pStyle w:val="ListBullet2"/>
        <w:jc w:val="both"/>
      </w:pPr>
      <w:r>
        <w:rPr>
          <w:rFonts w:ascii="Cambria" w:hAnsi="Cambria"/>
          <w:sz w:val="22"/>
        </w:rPr>
        <w:t>Operational Efficiency – ensures smooth functioning of specialized areas.</w:t>
      </w:r>
    </w:p>
    <w:p>
      <w:pPr>
        <w:pStyle w:val="ListBullet2"/>
        <w:jc w:val="both"/>
      </w:pPr>
      <w:r>
        <w:rPr>
          <w:rFonts w:ascii="Cambria" w:hAnsi="Cambria"/>
          <w:sz w:val="22"/>
        </w:rPr>
        <w:t>Continuity of Leadership – can represent the VC in academic, administrative, or international forums.</w:t>
      </w:r>
    </w:p>
    <w:p>
      <w:pPr>
        <w:pStyle w:val="ListBullet2"/>
        <w:jc w:val="both"/>
      </w:pPr>
      <w:r>
        <w:rPr>
          <w:rFonts w:ascii="Cambria" w:hAnsi="Cambria"/>
          <w:sz w:val="22"/>
        </w:rPr>
        <w:t>Capacity Building – develops future leadership within the university.</w:t>
      </w:r>
    </w:p>
    <w:p>
      <w:pPr>
        <w:keepNext/>
        <w:spacing w:before="160" w:after="120"/>
      </w:pPr>
      <w:r>
        <w:rPr>
          <w:rFonts w:ascii="Cambria" w:hAnsi="Cambria"/>
          <w:b/>
          <w:color w:val="1F3A5F"/>
          <w:sz w:val="30"/>
        </w:rPr>
        <w:t>Domain-Specific Leadership</w:t>
      </w:r>
    </w:p>
    <w:p>
      <w:pPr>
        <w:pStyle w:val="ListBullet"/>
        <w:jc w:val="both"/>
      </w:pPr>
      <w:r>
        <w:rPr>
          <w:rFonts w:ascii="Cambria" w:hAnsi="Cambria"/>
          <w:sz w:val="22"/>
        </w:rPr>
        <w:t>Position in University Structure</w:t>
      </w:r>
    </w:p>
    <w:p>
      <w:pPr>
        <w:pStyle w:val="ListBullet2"/>
        <w:jc w:val="both"/>
      </w:pPr>
      <w:r>
        <w:rPr>
          <w:rFonts w:ascii="Cambria" w:hAnsi="Cambria"/>
          <w:sz w:val="22"/>
        </w:rPr>
        <w:t>The Pro-Vice-Chancellor (PVC) or Deputy Vice-Chancellor (DVC) is a senior academic administrator appointed to assist the Vice-Chancellor in managing the university.</w:t>
      </w:r>
    </w:p>
    <w:p>
      <w:pPr>
        <w:pStyle w:val="ListBullet2"/>
        <w:jc w:val="both"/>
      </w:pPr>
      <w:r>
        <w:rPr>
          <w:rFonts w:ascii="Cambria" w:hAnsi="Cambria"/>
          <w:sz w:val="22"/>
        </w:rPr>
        <w:t>They act as domain-specific leaders, responsible for specialized portfolios.</w:t>
      </w:r>
    </w:p>
    <w:p>
      <w:pPr>
        <w:pStyle w:val="ListBullet2"/>
        <w:jc w:val="both"/>
      </w:pPr>
      <w:r>
        <w:rPr>
          <w:rFonts w:ascii="Cambria" w:hAnsi="Cambria"/>
          <w:sz w:val="22"/>
        </w:rPr>
        <w:t>Serve as the second tier of executive authority, ensuring operational efficiency and strategic execution.</w:t>
      </w:r>
    </w:p>
    <w:p>
      <w:pPr>
        <w:pStyle w:val="ListBullet2"/>
        <w:jc w:val="both"/>
      </w:pPr>
      <w:r>
        <w:rPr>
          <w:rFonts w:ascii="Cambria" w:hAnsi="Cambria"/>
          <w:sz w:val="22"/>
        </w:rPr>
        <w:t>Report directly to the Vice-Chancellor and represent the VC when delegated.</w:t>
      </w:r>
    </w:p>
    <w:p>
      <w:pPr>
        <w:pStyle w:val="ListBullet"/>
        <w:jc w:val="both"/>
      </w:pPr>
      <w:r>
        <w:rPr>
          <w:rFonts w:ascii="Cambria" w:hAnsi="Cambria"/>
          <w:sz w:val="22"/>
        </w:rPr>
        <w:t>Core Responsibilities</w:t>
      </w:r>
    </w:p>
    <w:p>
      <w:pPr>
        <w:pStyle w:val="ListBullet2"/>
        <w:jc w:val="both"/>
      </w:pPr>
      <w:r>
        <w:rPr>
          <w:rFonts w:ascii="Cambria" w:hAnsi="Cambria"/>
          <w:sz w:val="22"/>
        </w:rPr>
        <w:t>Translate the vision and strategic goals of the Vice-Chancellor into domain-specific actions.</w:t>
      </w:r>
    </w:p>
    <w:p>
      <w:pPr>
        <w:pStyle w:val="ListBullet2"/>
        <w:jc w:val="both"/>
      </w:pPr>
      <w:r>
        <w:rPr>
          <w:rFonts w:ascii="Cambria" w:hAnsi="Cambria"/>
          <w:sz w:val="22"/>
        </w:rPr>
        <w:t>Provide specialized leadership in areas such as academics, research, administration, finance, student affairs, and international collaborations.</w:t>
      </w:r>
    </w:p>
    <w:p>
      <w:pPr>
        <w:pStyle w:val="ListBullet2"/>
        <w:jc w:val="both"/>
      </w:pPr>
      <w:r>
        <w:rPr>
          <w:rFonts w:ascii="Cambria" w:hAnsi="Cambria"/>
          <w:sz w:val="22"/>
        </w:rPr>
        <w:t>Oversee performance indicators (KPIs) for their domain and report outcomes to the Vice-Chancellor and Governing Council.</w:t>
      </w:r>
    </w:p>
    <w:p>
      <w:pPr>
        <w:pStyle w:val="ListBullet2"/>
        <w:jc w:val="both"/>
      </w:pPr>
      <w:r>
        <w:rPr>
          <w:rFonts w:ascii="Cambria" w:hAnsi="Cambria"/>
          <w:sz w:val="22"/>
        </w:rPr>
        <w:t>Act as the link between Deans/Directors and central university administration.</w:t>
      </w:r>
    </w:p>
    <w:p>
      <w:pPr>
        <w:pStyle w:val="ListBullet2"/>
        <w:jc w:val="both"/>
      </w:pPr>
      <w:r>
        <w:rPr>
          <w:rFonts w:ascii="Cambria" w:hAnsi="Cambria"/>
          <w:sz w:val="22"/>
        </w:rPr>
        <w:t>Strengthen institutional resilience by decentralizing leadership.</w:t>
      </w:r>
    </w:p>
    <w:p>
      <w:pPr>
        <w:pStyle w:val="ListBullet"/>
        <w:jc w:val="both"/>
      </w:pPr>
      <w:r>
        <w:rPr>
          <w:rFonts w:ascii="Cambria" w:hAnsi="Cambria"/>
          <w:sz w:val="22"/>
        </w:rPr>
        <w:t>Typical Domains Handled by PVCs / DVCs</w:t>
      </w:r>
    </w:p>
    <w:p>
      <w:pPr>
        <w:pStyle w:val="ListBullet2"/>
        <w:jc w:val="both"/>
      </w:pPr>
      <w:r>
        <w:rPr>
          <w:rFonts w:ascii="Cambria" w:hAnsi="Cambria"/>
          <w:sz w:val="22"/>
        </w:rPr>
        <w:t>Pro-VC (Academic Affairs):</w:t>
      </w:r>
    </w:p>
    <w:p>
      <w:pPr>
        <w:pStyle w:val="ListBullet"/>
        <w:jc w:val="both"/>
      </w:pPr>
      <w:r>
        <w:rPr>
          <w:rFonts w:ascii="Cambria" w:hAnsi="Cambria"/>
          <w:sz w:val="22"/>
        </w:rPr>
        <w:t>Oversees curriculum development, pedagogy, examinations, and accreditation.</w:t>
      </w:r>
    </w:p>
    <w:p>
      <w:pPr>
        <w:pStyle w:val="ListBullet"/>
        <w:jc w:val="both"/>
      </w:pPr>
      <w:r>
        <w:rPr>
          <w:rFonts w:ascii="Cambria" w:hAnsi="Cambria"/>
          <w:sz w:val="22"/>
        </w:rPr>
        <w:t>Ensures quality assurance, outcome-based education, and compliance with regulatory bodies (UGC, NAAC, NBA).</w:t>
      </w:r>
    </w:p>
    <w:p>
      <w:pPr>
        <w:pStyle w:val="ListBullet2"/>
        <w:jc w:val="both"/>
      </w:pPr>
      <w:r>
        <w:rPr>
          <w:rFonts w:ascii="Cambria" w:hAnsi="Cambria"/>
          <w:sz w:val="22"/>
        </w:rPr>
        <w:t>Pro-VC (Research &amp; Innovation):</w:t>
      </w:r>
    </w:p>
    <w:p>
      <w:pPr>
        <w:pStyle w:val="ListBullet"/>
        <w:jc w:val="both"/>
      </w:pPr>
      <w:r>
        <w:rPr>
          <w:rFonts w:ascii="Cambria" w:hAnsi="Cambria"/>
          <w:sz w:val="22"/>
        </w:rPr>
        <w:t>Encourages R&amp;D, publications, patents, consultancy, and research grants.</w:t>
      </w:r>
    </w:p>
    <w:p>
      <w:pPr>
        <w:pStyle w:val="ListBullet"/>
        <w:jc w:val="both"/>
      </w:pPr>
      <w:r>
        <w:rPr>
          <w:rFonts w:ascii="Cambria" w:hAnsi="Cambria"/>
          <w:sz w:val="22"/>
        </w:rPr>
        <w:t>Leads centers of excellence, innovation hubs, and incubation centers.</w:t>
      </w:r>
    </w:p>
    <w:p>
      <w:pPr>
        <w:pStyle w:val="ListBullet2"/>
        <w:jc w:val="both"/>
      </w:pPr>
      <w:r>
        <w:rPr>
          <w:rFonts w:ascii="Cambria" w:hAnsi="Cambria"/>
          <w:sz w:val="22"/>
        </w:rPr>
        <w:t>Pro-VC (Administration &amp; Finance):</w:t>
      </w:r>
    </w:p>
    <w:p>
      <w:pPr>
        <w:pStyle w:val="ListBullet"/>
        <w:jc w:val="both"/>
      </w:pPr>
      <w:r>
        <w:rPr>
          <w:rFonts w:ascii="Cambria" w:hAnsi="Cambria"/>
          <w:sz w:val="22"/>
        </w:rPr>
        <w:t>Supervises HR, infrastructure, budgeting, audits, and compliance.</w:t>
      </w:r>
    </w:p>
    <w:p>
      <w:pPr>
        <w:pStyle w:val="ListBullet"/>
        <w:jc w:val="both"/>
      </w:pPr>
      <w:r>
        <w:rPr>
          <w:rFonts w:ascii="Cambria" w:hAnsi="Cambria"/>
          <w:sz w:val="22"/>
        </w:rPr>
        <w:t>Introduces digital governance systems (ERP, MIS, LMS).</w:t>
      </w:r>
    </w:p>
    <w:p>
      <w:pPr>
        <w:pStyle w:val="ListBullet2"/>
        <w:jc w:val="both"/>
      </w:pPr>
      <w:r>
        <w:rPr>
          <w:rFonts w:ascii="Cambria" w:hAnsi="Cambria"/>
          <w:sz w:val="22"/>
        </w:rPr>
        <w:t>Pro-VC (Student Affairs):</w:t>
      </w:r>
    </w:p>
    <w:p>
      <w:pPr>
        <w:pStyle w:val="ListBullet"/>
        <w:jc w:val="both"/>
      </w:pPr>
      <w:r>
        <w:rPr>
          <w:rFonts w:ascii="Cambria" w:hAnsi="Cambria"/>
          <w:sz w:val="22"/>
        </w:rPr>
        <w:t>Ensures student welfare, scholarships, counseling, clubs, cultural activities, and placements.</w:t>
      </w:r>
    </w:p>
    <w:p>
      <w:pPr>
        <w:pStyle w:val="ListBullet"/>
        <w:jc w:val="both"/>
      </w:pPr>
      <w:r>
        <w:rPr>
          <w:rFonts w:ascii="Cambria" w:hAnsi="Cambria"/>
          <w:sz w:val="22"/>
        </w:rPr>
        <w:t>Promotes inclusivity, diversity, and equal opportunity.</w:t>
      </w:r>
    </w:p>
    <w:p>
      <w:pPr>
        <w:pStyle w:val="ListBullet2"/>
        <w:jc w:val="both"/>
      </w:pPr>
      <w:r>
        <w:rPr>
          <w:rFonts w:ascii="Cambria" w:hAnsi="Cambria"/>
          <w:sz w:val="22"/>
        </w:rPr>
        <w:t>Pro-VC (International Relations):</w:t>
      </w:r>
    </w:p>
    <w:p>
      <w:pPr>
        <w:pStyle w:val="ListBullet"/>
        <w:jc w:val="both"/>
      </w:pPr>
      <w:r>
        <w:rPr>
          <w:rFonts w:ascii="Cambria" w:hAnsi="Cambria"/>
          <w:sz w:val="22"/>
        </w:rPr>
        <w:t>Develops global partnerships, MoUs, student and faculty exchange programs.</w:t>
      </w:r>
    </w:p>
    <w:p>
      <w:pPr>
        <w:pStyle w:val="ListBullet"/>
        <w:jc w:val="both"/>
      </w:pPr>
      <w:r>
        <w:rPr>
          <w:rFonts w:ascii="Cambria" w:hAnsi="Cambria"/>
          <w:sz w:val="22"/>
        </w:rPr>
        <w:t>Enhances global rankings and university reputation.</w:t>
      </w:r>
    </w:p>
    <w:p>
      <w:pPr>
        <w:pStyle w:val="ListBullet"/>
        <w:jc w:val="both"/>
      </w:pPr>
      <w:r>
        <w:rPr>
          <w:rFonts w:ascii="Cambria" w:hAnsi="Cambria"/>
          <w:sz w:val="22"/>
        </w:rPr>
        <w:t>Impact of Domain-Specific Leadership</w:t>
      </w:r>
    </w:p>
    <w:p>
      <w:pPr>
        <w:pStyle w:val="ListBullet2"/>
        <w:jc w:val="both"/>
      </w:pPr>
      <w:r>
        <w:rPr>
          <w:rFonts w:ascii="Cambria" w:hAnsi="Cambria"/>
          <w:sz w:val="22"/>
        </w:rPr>
        <w:t>Distributes executive responsibilities, preventing concentration of power.</w:t>
      </w:r>
    </w:p>
    <w:p>
      <w:pPr>
        <w:pStyle w:val="ListBullet2"/>
        <w:jc w:val="both"/>
      </w:pPr>
      <w:r>
        <w:rPr>
          <w:rFonts w:ascii="Cambria" w:hAnsi="Cambria"/>
          <w:sz w:val="22"/>
        </w:rPr>
        <w:t>Enhances accountability in specialized domains.</w:t>
      </w:r>
    </w:p>
    <w:p>
      <w:pPr>
        <w:pStyle w:val="ListBullet2"/>
        <w:jc w:val="both"/>
      </w:pPr>
      <w:r>
        <w:rPr>
          <w:rFonts w:ascii="Cambria" w:hAnsi="Cambria"/>
          <w:sz w:val="22"/>
        </w:rPr>
        <w:t>Ensures that the Vice-Chancellor can focus on strategic vision while PVCs/DVCs manage execution.</w:t>
      </w:r>
    </w:p>
    <w:p>
      <w:pPr>
        <w:pStyle w:val="ListBullet2"/>
        <w:jc w:val="both"/>
      </w:pPr>
      <w:r>
        <w:rPr>
          <w:rFonts w:ascii="Cambria" w:hAnsi="Cambria"/>
          <w:sz w:val="22"/>
        </w:rPr>
        <w:t>Builds leadership succession within the university system.</w:t>
      </w:r>
    </w:p>
    <w:p>
      <w:pPr>
        <w:pStyle w:val="ListBullet"/>
        <w:jc w:val="both"/>
      </w:pPr>
      <w:r>
        <w:rPr>
          <w:rFonts w:ascii="Cambria" w:hAnsi="Cambria"/>
          <w:sz w:val="22"/>
        </w:rPr>
        <w:t>Qualities of Effective PVCs / DVCs</w:t>
      </w:r>
    </w:p>
    <w:p>
      <w:pPr>
        <w:pStyle w:val="ListBullet2"/>
        <w:jc w:val="both"/>
      </w:pPr>
      <w:r>
        <w:rPr>
          <w:rFonts w:ascii="Cambria" w:hAnsi="Cambria"/>
          <w:sz w:val="22"/>
        </w:rPr>
        <w:t>Must be experienced academicians with leadership skills.</w:t>
      </w:r>
    </w:p>
    <w:p>
      <w:pPr>
        <w:pStyle w:val="ListBullet2"/>
        <w:jc w:val="both"/>
      </w:pPr>
      <w:r>
        <w:rPr>
          <w:rFonts w:ascii="Cambria" w:hAnsi="Cambria"/>
          <w:sz w:val="22"/>
        </w:rPr>
        <w:t>Ability to coordinate across faculties and departments.</w:t>
      </w:r>
    </w:p>
    <w:p>
      <w:pPr>
        <w:pStyle w:val="ListBullet2"/>
        <w:jc w:val="both"/>
      </w:pPr>
      <w:r>
        <w:rPr>
          <w:rFonts w:ascii="Cambria" w:hAnsi="Cambria"/>
          <w:sz w:val="22"/>
        </w:rPr>
        <w:t>Strong communication skills to engage with stakeholders in their domain.</w:t>
      </w:r>
    </w:p>
    <w:p>
      <w:pPr>
        <w:pStyle w:val="ListBullet2"/>
        <w:jc w:val="both"/>
      </w:pPr>
      <w:r>
        <w:rPr>
          <w:rFonts w:ascii="Cambria" w:hAnsi="Cambria"/>
          <w:sz w:val="22"/>
        </w:rPr>
        <w:t>Integrity, fairness, and decision-making ability in line with university values.</w:t>
      </w:r>
    </w:p>
    <w:p>
      <w:pPr>
        <w:keepNext/>
        <w:spacing w:before="160" w:after="120"/>
      </w:pPr>
      <w:r>
        <w:rPr>
          <w:rFonts w:ascii="Cambria" w:hAnsi="Cambria"/>
          <w:b/>
          <w:color w:val="1F3A5F"/>
          <w:sz w:val="30"/>
        </w:rPr>
        <w:t>Pro-Vice-Chancellor as a Domain-Specific Leader</w:t>
      </w:r>
    </w:p>
    <w:p>
      <w:pPr>
        <w:pStyle w:val="ListBullet"/>
        <w:jc w:val="both"/>
      </w:pPr>
      <w:r>
        <w:rPr>
          <w:rFonts w:ascii="Cambria" w:hAnsi="Cambria"/>
          <w:sz w:val="22"/>
        </w:rPr>
        <w:t>Supportive Executive Role</w:t>
      </w:r>
    </w:p>
    <w:p>
      <w:pPr>
        <w:pStyle w:val="ListBullet2"/>
        <w:jc w:val="both"/>
      </w:pPr>
      <w:r>
        <w:rPr>
          <w:rFonts w:ascii="Cambria" w:hAnsi="Cambria"/>
          <w:sz w:val="22"/>
        </w:rPr>
        <w:t>The Pro-Vice-Chancellor (PVC) is positioned directly below the Vice-Chancellor in the university's leadership hierarchy.</w:t>
      </w:r>
    </w:p>
    <w:p>
      <w:pPr>
        <w:pStyle w:val="ListBullet2"/>
        <w:jc w:val="both"/>
      </w:pPr>
      <w:r>
        <w:rPr>
          <w:rFonts w:ascii="Cambria" w:hAnsi="Cambria"/>
          <w:sz w:val="22"/>
        </w:rPr>
        <w:t>While the Vice-Chancellor holds overarching authority, the PVC provides specialized executive support, ensuring effective implementation of policies and strategies.</w:t>
      </w:r>
    </w:p>
    <w:p>
      <w:pPr>
        <w:pStyle w:val="ListBullet2"/>
        <w:jc w:val="both"/>
      </w:pPr>
      <w:r>
        <w:rPr>
          <w:rFonts w:ascii="Cambria" w:hAnsi="Cambria"/>
          <w:sz w:val="22"/>
        </w:rPr>
        <w:t>Acts as an extension of the VC's authority, often representing the VC in internal and external forums.</w:t>
      </w:r>
    </w:p>
    <w:p>
      <w:pPr>
        <w:pStyle w:val="ListBullet"/>
        <w:jc w:val="both"/>
      </w:pPr>
      <w:r>
        <w:rPr>
          <w:rFonts w:ascii="Cambria" w:hAnsi="Cambria"/>
          <w:sz w:val="22"/>
        </w:rPr>
        <w:t>Domain-Specific Leadership</w:t>
      </w:r>
    </w:p>
    <w:p>
      <w:pPr>
        <w:pStyle w:val="ListBullet2"/>
        <w:jc w:val="both"/>
      </w:pPr>
      <w:r>
        <w:rPr>
          <w:rFonts w:ascii="Cambria" w:hAnsi="Cambria"/>
          <w:sz w:val="22"/>
        </w:rPr>
        <w:t>PVCs are entrusted with particular portfolios such as:</w:t>
      </w:r>
    </w:p>
    <w:p>
      <w:pPr>
        <w:pStyle w:val="ListBullet"/>
        <w:jc w:val="both"/>
      </w:pPr>
      <w:r>
        <w:rPr>
          <w:rFonts w:ascii="Cambria" w:hAnsi="Cambria"/>
          <w:sz w:val="22"/>
        </w:rPr>
        <w:t>Academic Affairs → curriculum, pedagogy, examinations, and accreditation.</w:t>
      </w:r>
    </w:p>
    <w:p>
      <w:pPr>
        <w:pStyle w:val="ListBullet"/>
        <w:jc w:val="both"/>
      </w:pPr>
      <w:r>
        <w:rPr>
          <w:rFonts w:ascii="Cambria" w:hAnsi="Cambria"/>
          <w:sz w:val="22"/>
        </w:rPr>
        <w:t>Research &amp; Innovation → R&amp;D funding, patents, consultancy, and publications.</w:t>
      </w:r>
    </w:p>
    <w:p>
      <w:pPr>
        <w:pStyle w:val="ListBullet"/>
        <w:jc w:val="both"/>
      </w:pPr>
      <w:r>
        <w:rPr>
          <w:rFonts w:ascii="Cambria" w:hAnsi="Cambria"/>
          <w:sz w:val="22"/>
        </w:rPr>
        <w:t>Administration &amp; Finance → HR policies, audits, infrastructure, and budgetary control.</w:t>
      </w:r>
    </w:p>
    <w:p>
      <w:pPr>
        <w:pStyle w:val="ListBullet"/>
        <w:jc w:val="both"/>
      </w:pPr>
      <w:r>
        <w:rPr>
          <w:rFonts w:ascii="Cambria" w:hAnsi="Cambria"/>
          <w:sz w:val="22"/>
        </w:rPr>
        <w:t>Student Affairs → welfare, scholarships, counseling, placements, and inclusivity.</w:t>
      </w:r>
    </w:p>
    <w:p>
      <w:pPr>
        <w:pStyle w:val="ListBullet"/>
        <w:jc w:val="both"/>
      </w:pPr>
      <w:r>
        <w:rPr>
          <w:rFonts w:ascii="Cambria" w:hAnsi="Cambria"/>
          <w:sz w:val="22"/>
        </w:rPr>
        <w:t>International Relations → partnerships, MoUs, exchange programs, global rankings.</w:t>
      </w:r>
    </w:p>
    <w:p>
      <w:pPr>
        <w:pStyle w:val="ListBullet2"/>
        <w:jc w:val="both"/>
      </w:pPr>
      <w:r>
        <w:rPr>
          <w:rFonts w:ascii="Cambria" w:hAnsi="Cambria"/>
          <w:sz w:val="22"/>
        </w:rPr>
        <w:t>This specialization allows for focused attention on critical areas without overburdening the Vice-Chancellor.</w:t>
      </w:r>
    </w:p>
    <w:p>
      <w:pPr>
        <w:pStyle w:val="ListBullet"/>
        <w:jc w:val="both"/>
      </w:pPr>
      <w:r>
        <w:rPr>
          <w:rFonts w:ascii="Cambria" w:hAnsi="Cambria"/>
          <w:sz w:val="22"/>
        </w:rPr>
        <w:t>Execution and Monitoring</w:t>
      </w:r>
    </w:p>
    <w:p>
      <w:pPr>
        <w:pStyle w:val="ListBullet2"/>
        <w:jc w:val="both"/>
      </w:pPr>
      <w:r>
        <w:rPr>
          <w:rFonts w:ascii="Cambria" w:hAnsi="Cambria"/>
          <w:sz w:val="22"/>
        </w:rPr>
        <w:t>Converts the strategic vision of the Vice-Chancellor into practical action plans within their domain.</w:t>
      </w:r>
    </w:p>
    <w:p>
      <w:pPr>
        <w:pStyle w:val="ListBullet2"/>
        <w:jc w:val="both"/>
      </w:pPr>
      <w:r>
        <w:rPr>
          <w:rFonts w:ascii="Cambria" w:hAnsi="Cambria"/>
          <w:sz w:val="22"/>
        </w:rPr>
        <w:t>Monitors Key Performance Indicators (KPIs), progress of initiatives, and compliance with quality benchmarks.</w:t>
      </w:r>
    </w:p>
    <w:p>
      <w:pPr>
        <w:pStyle w:val="ListBullet2"/>
        <w:jc w:val="both"/>
      </w:pPr>
      <w:r>
        <w:rPr>
          <w:rFonts w:ascii="Cambria" w:hAnsi="Cambria"/>
          <w:sz w:val="22"/>
        </w:rPr>
        <w:t>Reports regularly to the Vice-Chancellor and Governing Council on achievements, gaps, and areas for improvement.</w:t>
      </w:r>
    </w:p>
    <w:p>
      <w:pPr>
        <w:pStyle w:val="ListBullet"/>
        <w:jc w:val="both"/>
      </w:pPr>
      <w:r>
        <w:rPr>
          <w:rFonts w:ascii="Cambria" w:hAnsi="Cambria"/>
          <w:sz w:val="22"/>
        </w:rPr>
        <w:t>Specialized Governance</w:t>
      </w:r>
    </w:p>
    <w:p>
      <w:pPr>
        <w:pStyle w:val="ListBullet2"/>
        <w:jc w:val="both"/>
      </w:pPr>
      <w:r>
        <w:rPr>
          <w:rFonts w:ascii="Cambria" w:hAnsi="Cambria"/>
          <w:sz w:val="22"/>
        </w:rPr>
        <w:t>Provides governance oversight within the assigned area, ensuring transparency, accountability, and efficiency.</w:t>
      </w:r>
    </w:p>
    <w:p>
      <w:pPr>
        <w:pStyle w:val="ListBullet2"/>
        <w:jc w:val="both"/>
      </w:pPr>
      <w:r>
        <w:rPr>
          <w:rFonts w:ascii="Cambria" w:hAnsi="Cambria"/>
          <w:sz w:val="22"/>
        </w:rPr>
        <w:t>Coordinates with Deans, Directors, and Heads of Departments to maintain smooth operations.</w:t>
      </w:r>
    </w:p>
    <w:p>
      <w:pPr>
        <w:pStyle w:val="ListBullet2"/>
        <w:jc w:val="both"/>
      </w:pPr>
      <w:r>
        <w:rPr>
          <w:rFonts w:ascii="Cambria" w:hAnsi="Cambria"/>
          <w:sz w:val="22"/>
        </w:rPr>
        <w:t>Strengthens institutional governance by decentralizing authority and promoting participatory leadership.</w:t>
      </w:r>
    </w:p>
    <w:p>
      <w:pPr>
        <w:pStyle w:val="ListBullet"/>
        <w:jc w:val="both"/>
      </w:pPr>
      <w:r>
        <w:rPr>
          <w:rFonts w:ascii="Cambria" w:hAnsi="Cambria"/>
          <w:sz w:val="22"/>
        </w:rPr>
        <w:t>Significance in University Administration</w:t>
      </w:r>
    </w:p>
    <w:p>
      <w:pPr>
        <w:pStyle w:val="ListBullet2"/>
        <w:jc w:val="both"/>
      </w:pPr>
      <w:r>
        <w:rPr>
          <w:rFonts w:ascii="Cambria" w:hAnsi="Cambria"/>
          <w:sz w:val="22"/>
        </w:rPr>
        <w:t>Enhances efficiency by dividing leadership responsibilities across specialized domains.</w:t>
      </w:r>
    </w:p>
    <w:p>
      <w:pPr>
        <w:pStyle w:val="ListBullet2"/>
        <w:jc w:val="both"/>
      </w:pPr>
      <w:r>
        <w:rPr>
          <w:rFonts w:ascii="Cambria" w:hAnsi="Cambria"/>
          <w:sz w:val="22"/>
        </w:rPr>
        <w:t>Supports the VC in focusing on strategy, external engagement, and overall leadership.</w:t>
      </w:r>
    </w:p>
    <w:p>
      <w:pPr>
        <w:pStyle w:val="ListBullet2"/>
        <w:jc w:val="both"/>
      </w:pPr>
      <w:r>
        <w:rPr>
          <w:rFonts w:ascii="Cambria" w:hAnsi="Cambria"/>
          <w:sz w:val="22"/>
        </w:rPr>
        <w:t>Builds leadership capacity within the institution, preparing future leaders for higher roles.</w:t>
      </w:r>
    </w:p>
    <w:p>
      <w:pPr>
        <w:pStyle w:val="ListBullet2"/>
        <w:jc w:val="both"/>
      </w:pPr>
      <w:r>
        <w:rPr>
          <w:rFonts w:ascii="Cambria" w:hAnsi="Cambria"/>
          <w:sz w:val="22"/>
        </w:rPr>
        <w:t>Ensures that governance is not concentrated but distributed, enabling resilience and accountability.</w:t>
      </w:r>
    </w:p>
    <w:p>
      <w:pPr>
        <w:keepNext/>
        <w:spacing w:before="160" w:after="120"/>
      </w:pPr>
      <w:r>
        <w:rPr>
          <w:rFonts w:ascii="Cambria" w:hAnsi="Cambria"/>
          <w:b/>
          <w:color w:val="1F3A5F"/>
          <w:sz w:val="30"/>
        </w:rPr>
        <w:t>Pro-Vice-Chancellor (PVC)</w:t>
      </w:r>
    </w:p>
    <w:tbl>
      <w:tblPr>
        <w:tblW w:type="auto" w:w="0"/>
        <w:tblLayout w:type="fixed"/>
        <w:tblLook w:firstColumn="1" w:firstRow="1" w:lastColumn="0" w:lastRow="0" w:noHBand="0" w:noVBand="1" w:val="04A0"/>
        <w:tblLayout w:type="fixed"/>
      </w:tblPr>
      <w:tblGrid>
        <w:gridCol w:w="1474"/>
        <w:gridCol w:w="2778"/>
        <w:gridCol w:w="2268"/>
        <w:gridCol w:w="2324"/>
      </w:tblGrid>
      <w:tr>
        <w:tc>
          <w:tcPr>
            <w:tcW w:type="dxa" w:w="1474"/>
            <w:shd w:val="clear" w:color="auto" w:fill="1F3A5F"/>
            <w:tcW w:w="1474" w:type="dxa"/>
          </w:tcPr>
          <w:p>
            <w:pPr>
              <w:jc w:val="center"/>
            </w:pPr>
            <w:r/>
            <w:r>
              <w:rPr>
                <w:rFonts w:ascii="Cambria" w:hAnsi="Cambria"/>
                <w:b/>
                <w:color w:val="FFFFFF"/>
                <w:sz w:val="20"/>
              </w:rPr>
              <w:t>PVC Domain</w:t>
            </w:r>
          </w:p>
        </w:tc>
        <w:tc>
          <w:tcPr>
            <w:tcW w:type="dxa" w:w="2778"/>
            <w:shd w:val="clear" w:color="auto" w:fill="1F3A5F"/>
            <w:tcW w:w="2778" w:type="dxa"/>
          </w:tcPr>
          <w:p>
            <w:pPr>
              <w:jc w:val="center"/>
            </w:pPr>
            <w:r/>
            <w:r>
              <w:rPr>
                <w:rFonts w:ascii="Cambria" w:hAnsi="Cambria"/>
                <w:b/>
                <w:color w:val="FFFFFF"/>
                <w:sz w:val="20"/>
              </w:rPr>
              <w:t>Leadership Actions</w:t>
            </w:r>
          </w:p>
        </w:tc>
        <w:tc>
          <w:tcPr>
            <w:tcW w:type="dxa" w:w="2268"/>
            <w:shd w:val="clear" w:color="auto" w:fill="1F3A5F"/>
            <w:tcW w:w="2268" w:type="dxa"/>
          </w:tcPr>
          <w:p>
            <w:pPr>
              <w:jc w:val="center"/>
            </w:pPr>
            <w:r/>
            <w:r>
              <w:rPr>
                <w:rFonts w:ascii="Cambria" w:hAnsi="Cambria"/>
                <w:b/>
                <w:color w:val="FFFFFF"/>
                <w:sz w:val="20"/>
              </w:rPr>
              <w:t>Institutional Impact</w:t>
            </w:r>
          </w:p>
        </w:tc>
        <w:tc>
          <w:tcPr>
            <w:tcW w:type="dxa" w:w="2324"/>
            <w:shd w:val="clear" w:color="auto" w:fill="1F3A5F"/>
            <w:tcW w:w="2324" w:type="dxa"/>
          </w:tcPr>
          <w:p>
            <w:pPr>
              <w:jc w:val="center"/>
            </w:pPr>
            <w:r/>
            <w:r>
              <w:rPr>
                <w:rFonts w:ascii="Cambria" w:hAnsi="Cambria"/>
                <w:b/>
                <w:color w:val="FFFFFF"/>
                <w:sz w:val="20"/>
              </w:rPr>
              <w:t>Evidence / Documentation</w:t>
            </w:r>
          </w:p>
        </w:tc>
      </w:tr>
      <w:tr>
        <w:tc>
          <w:tcPr>
            <w:tcW w:type="dxa" w:w="1474"/>
            <w:tcW w:w="1474" w:type="dxa"/>
          </w:tcPr>
          <w:p>
            <w:pPr>
              <w:jc w:val="left"/>
            </w:pPr>
            <w:r/>
            <w:r>
              <w:rPr>
                <w:rFonts w:ascii="Cambria" w:hAnsi="Cambria"/>
                <w:b w:val="0"/>
                <w:sz w:val="18"/>
              </w:rPr>
              <w:t>Academic Affairs</w:t>
            </w:r>
          </w:p>
        </w:tc>
        <w:tc>
          <w:tcPr>
            <w:tcW w:type="dxa" w:w="2778"/>
            <w:tcW w:w="2778" w:type="dxa"/>
          </w:tcPr>
          <w:p>
            <w:pPr>
              <w:jc w:val="left"/>
            </w:pPr>
            <w:r/>
            <w:r>
              <w:rPr>
                <w:rFonts w:ascii="Cambria" w:hAnsi="Cambria"/>
                <w:b w:val="0"/>
                <w:sz w:val="18"/>
              </w:rPr>
              <w:t>- Oversees curriculum reforms and pedagogy innovations.</w:t>
            </w:r>
          </w:p>
          <w:p>
            <w:pPr>
              <w:jc w:val="left"/>
            </w:pPr>
            <w:r>
              <w:rPr>
                <w:rFonts w:ascii="Cambria" w:hAnsi="Cambria"/>
                <w:b w:val="0"/>
                <w:sz w:val="18"/>
              </w:rPr>
              <w:t>- Ensures outcome-based education and accreditation compliance (NAAC, NBA).</w:t>
            </w:r>
          </w:p>
          <w:p>
            <w:pPr>
              <w:jc w:val="left"/>
            </w:pPr>
            <w:r>
              <w:rPr>
                <w:rFonts w:ascii="Cambria" w:hAnsi="Cambria"/>
                <w:b w:val="0"/>
                <w:sz w:val="18"/>
              </w:rPr>
              <w:t>- Coordinates examinations and academic audits.</w:t>
            </w:r>
          </w:p>
        </w:tc>
        <w:tc>
          <w:tcPr>
            <w:tcW w:type="dxa" w:w="2268"/>
            <w:tcW w:w="2268" w:type="dxa"/>
          </w:tcPr>
          <w:p>
            <w:pPr>
              <w:jc w:val="left"/>
            </w:pPr>
            <w:r/>
            <w:r>
              <w:rPr>
                <w:rFonts w:ascii="Cambria" w:hAnsi="Cambria"/>
                <w:b w:val="0"/>
                <w:sz w:val="18"/>
              </w:rPr>
              <w:t>- Improved teaching–learning quality.</w:t>
            </w:r>
          </w:p>
          <w:p>
            <w:pPr>
              <w:jc w:val="left"/>
            </w:pPr>
            <w:r>
              <w:rPr>
                <w:rFonts w:ascii="Cambria" w:hAnsi="Cambria"/>
                <w:b w:val="0"/>
                <w:sz w:val="18"/>
              </w:rPr>
              <w:t>- Accreditation success and higher student satisfaction.</w:t>
            </w:r>
          </w:p>
          <w:p>
            <w:pPr>
              <w:jc w:val="left"/>
            </w:pPr>
            <w:r>
              <w:rPr>
                <w:rFonts w:ascii="Cambria" w:hAnsi="Cambria"/>
                <w:b w:val="0"/>
                <w:sz w:val="18"/>
              </w:rPr>
              <w:t>- Increased employability skills.</w:t>
            </w:r>
          </w:p>
        </w:tc>
        <w:tc>
          <w:tcPr>
            <w:tcW w:type="dxa" w:w="2324"/>
            <w:tcW w:w="2324" w:type="dxa"/>
          </w:tcPr>
          <w:p>
            <w:pPr>
              <w:jc w:val="left"/>
            </w:pPr>
            <w:r/>
            <w:r>
              <w:rPr>
                <w:rFonts w:ascii="Cambria" w:hAnsi="Cambria"/>
                <w:b w:val="0"/>
                <w:sz w:val="18"/>
              </w:rPr>
              <w:t>- Academic Council minutes.</w:t>
            </w:r>
          </w:p>
          <w:p>
            <w:pPr>
              <w:jc w:val="left"/>
            </w:pPr>
            <w:r>
              <w:rPr>
                <w:rFonts w:ascii="Cambria" w:hAnsi="Cambria"/>
                <w:b w:val="0"/>
                <w:sz w:val="18"/>
              </w:rPr>
              <w:t>- Accreditation reports (NAAC/NBA).</w:t>
            </w:r>
          </w:p>
          <w:p>
            <w:pPr>
              <w:jc w:val="left"/>
            </w:pPr>
            <w:r>
              <w:rPr>
                <w:rFonts w:ascii="Cambria" w:hAnsi="Cambria"/>
                <w:b w:val="0"/>
                <w:sz w:val="18"/>
              </w:rPr>
              <w:t>- Examination records.</w:t>
            </w:r>
          </w:p>
          <w:p>
            <w:pPr>
              <w:jc w:val="left"/>
            </w:pPr>
            <w:r>
              <w:rPr>
                <w:rFonts w:ascii="Cambria" w:hAnsi="Cambria"/>
                <w:b w:val="0"/>
                <w:sz w:val="18"/>
              </w:rPr>
              <w:t>- Student feedback reports.</w:t>
            </w:r>
          </w:p>
        </w:tc>
      </w:tr>
      <w:tr>
        <w:tc>
          <w:tcPr>
            <w:tcW w:type="dxa" w:w="1474"/>
            <w:tcW w:w="1474" w:type="dxa"/>
            <w:shd w:val="clear" w:color="auto" w:fill="D9E2EC"/>
          </w:tcPr>
          <w:p>
            <w:pPr>
              <w:jc w:val="left"/>
            </w:pPr>
            <w:r/>
            <w:r>
              <w:rPr>
                <w:rFonts w:ascii="Cambria" w:hAnsi="Cambria"/>
                <w:b w:val="0"/>
                <w:sz w:val="18"/>
              </w:rPr>
              <w:t>Research &amp; Innovation</w:t>
            </w:r>
          </w:p>
        </w:tc>
        <w:tc>
          <w:tcPr>
            <w:tcW w:type="dxa" w:w="2778"/>
            <w:tcW w:w="2778" w:type="dxa"/>
            <w:shd w:val="clear" w:color="auto" w:fill="D9E2EC"/>
          </w:tcPr>
          <w:p>
            <w:pPr>
              <w:jc w:val="left"/>
            </w:pPr>
            <w:r/>
            <w:r>
              <w:rPr>
                <w:rFonts w:ascii="Cambria" w:hAnsi="Cambria"/>
                <w:b w:val="0"/>
                <w:sz w:val="18"/>
              </w:rPr>
              <w:t>- Promotes faculty research, publications, and patents.</w:t>
            </w:r>
          </w:p>
          <w:p>
            <w:pPr>
              <w:jc w:val="left"/>
            </w:pPr>
            <w:r>
              <w:rPr>
                <w:rFonts w:ascii="Cambria" w:hAnsi="Cambria"/>
                <w:b w:val="0"/>
                <w:sz w:val="18"/>
              </w:rPr>
              <w:t>- Facilitates consultancy and R&amp;D funding.</w:t>
            </w:r>
          </w:p>
          <w:p>
            <w:pPr>
              <w:jc w:val="left"/>
            </w:pPr>
            <w:r>
              <w:rPr>
                <w:rFonts w:ascii="Cambria" w:hAnsi="Cambria"/>
                <w:b w:val="0"/>
                <w:sz w:val="18"/>
              </w:rPr>
              <w:t>- Establishes Centers of Excellence and incubation hubs.</w:t>
            </w:r>
          </w:p>
        </w:tc>
        <w:tc>
          <w:tcPr>
            <w:tcW w:type="dxa" w:w="2268"/>
            <w:tcW w:w="2268" w:type="dxa"/>
            <w:shd w:val="clear" w:color="auto" w:fill="D9E2EC"/>
          </w:tcPr>
          <w:p>
            <w:pPr>
              <w:jc w:val="left"/>
            </w:pPr>
            <w:r/>
            <w:r>
              <w:rPr>
                <w:rFonts w:ascii="Cambria" w:hAnsi="Cambria"/>
                <w:b w:val="0"/>
                <w:sz w:val="18"/>
              </w:rPr>
              <w:t>- Enhanced research output and innovation.</w:t>
            </w:r>
          </w:p>
          <w:p>
            <w:pPr>
              <w:jc w:val="left"/>
            </w:pPr>
            <w:r>
              <w:rPr>
                <w:rFonts w:ascii="Cambria" w:hAnsi="Cambria"/>
                <w:b w:val="0"/>
                <w:sz w:val="18"/>
              </w:rPr>
              <w:t>- Stronger industry–academia collaborations.</w:t>
            </w:r>
          </w:p>
          <w:p>
            <w:pPr>
              <w:jc w:val="left"/>
            </w:pPr>
            <w:r>
              <w:rPr>
                <w:rFonts w:ascii="Cambria" w:hAnsi="Cambria"/>
                <w:b w:val="0"/>
                <w:sz w:val="18"/>
              </w:rPr>
              <w:t>- Increased patents, start-ups, and funding.</w:t>
            </w:r>
          </w:p>
        </w:tc>
        <w:tc>
          <w:tcPr>
            <w:tcW w:type="dxa" w:w="2324"/>
            <w:tcW w:w="2324" w:type="dxa"/>
            <w:shd w:val="clear" w:color="auto" w:fill="D9E2EC"/>
          </w:tcPr>
          <w:p>
            <w:pPr>
              <w:jc w:val="left"/>
            </w:pPr>
            <w:r/>
            <w:r>
              <w:rPr>
                <w:rFonts w:ascii="Cambria" w:hAnsi="Cambria"/>
                <w:b w:val="0"/>
                <w:sz w:val="18"/>
              </w:rPr>
              <w:t>- R&amp;D annual reports.</w:t>
            </w:r>
          </w:p>
          <w:p>
            <w:pPr>
              <w:jc w:val="left"/>
            </w:pPr>
            <w:r>
              <w:rPr>
                <w:rFonts w:ascii="Cambria" w:hAnsi="Cambria"/>
                <w:b w:val="0"/>
                <w:sz w:val="18"/>
              </w:rPr>
              <w:t>- MoUs with industry.</w:t>
            </w:r>
          </w:p>
          <w:p>
            <w:pPr>
              <w:jc w:val="left"/>
            </w:pPr>
            <w:r>
              <w:rPr>
                <w:rFonts w:ascii="Cambria" w:hAnsi="Cambria"/>
                <w:b w:val="0"/>
                <w:sz w:val="18"/>
              </w:rPr>
              <w:t>- Records of patents, publications.</w:t>
            </w:r>
          </w:p>
          <w:p>
            <w:pPr>
              <w:jc w:val="left"/>
            </w:pPr>
            <w:r>
              <w:rPr>
                <w:rFonts w:ascii="Cambria" w:hAnsi="Cambria"/>
                <w:b w:val="0"/>
                <w:sz w:val="18"/>
              </w:rPr>
              <w:t>- Consultancy/project agreements.</w:t>
            </w:r>
          </w:p>
        </w:tc>
      </w:tr>
      <w:tr>
        <w:tc>
          <w:tcPr>
            <w:tcW w:type="dxa" w:w="1474"/>
            <w:tcW w:w="1474" w:type="dxa"/>
          </w:tcPr>
          <w:p>
            <w:pPr>
              <w:jc w:val="left"/>
            </w:pPr>
            <w:r/>
            <w:r>
              <w:rPr>
                <w:rFonts w:ascii="Cambria" w:hAnsi="Cambria"/>
                <w:b w:val="0"/>
                <w:sz w:val="18"/>
              </w:rPr>
              <w:t>Administration &amp; Finance</w:t>
            </w:r>
          </w:p>
        </w:tc>
        <w:tc>
          <w:tcPr>
            <w:tcW w:type="dxa" w:w="2778"/>
            <w:tcW w:w="2778" w:type="dxa"/>
          </w:tcPr>
          <w:p>
            <w:pPr>
              <w:jc w:val="left"/>
            </w:pPr>
            <w:r/>
            <w:r>
              <w:rPr>
                <w:rFonts w:ascii="Cambria" w:hAnsi="Cambria"/>
                <w:b w:val="0"/>
                <w:sz w:val="18"/>
              </w:rPr>
              <w:t>- Implements digital governance (ERP, MIS, LMS).</w:t>
            </w:r>
          </w:p>
          <w:p>
            <w:pPr>
              <w:jc w:val="left"/>
            </w:pPr>
            <w:r>
              <w:rPr>
                <w:rFonts w:ascii="Cambria" w:hAnsi="Cambria"/>
                <w:b w:val="0"/>
                <w:sz w:val="18"/>
              </w:rPr>
              <w:t>- Supervises HR policies, recruitment, and service rules.</w:t>
            </w:r>
          </w:p>
          <w:p>
            <w:pPr>
              <w:jc w:val="left"/>
            </w:pPr>
            <w:r>
              <w:rPr>
                <w:rFonts w:ascii="Cambria" w:hAnsi="Cambria"/>
                <w:b w:val="0"/>
                <w:sz w:val="18"/>
              </w:rPr>
              <w:t>- Coordinates budget planning, audits, and infrastructure development.</w:t>
            </w:r>
          </w:p>
        </w:tc>
        <w:tc>
          <w:tcPr>
            <w:tcW w:type="dxa" w:w="2268"/>
            <w:tcW w:w="2268" w:type="dxa"/>
          </w:tcPr>
          <w:p>
            <w:pPr>
              <w:jc w:val="left"/>
            </w:pPr>
            <w:r/>
            <w:r>
              <w:rPr>
                <w:rFonts w:ascii="Cambria" w:hAnsi="Cambria"/>
                <w:b w:val="0"/>
                <w:sz w:val="18"/>
              </w:rPr>
              <w:t>- Transparent, efficient governance.</w:t>
            </w:r>
          </w:p>
          <w:p>
            <w:pPr>
              <w:jc w:val="left"/>
            </w:pPr>
            <w:r>
              <w:rPr>
                <w:rFonts w:ascii="Cambria" w:hAnsi="Cambria"/>
                <w:b w:val="0"/>
                <w:sz w:val="18"/>
              </w:rPr>
              <w:t>- Improved HR satisfaction and staff productivity.</w:t>
            </w:r>
          </w:p>
          <w:p>
            <w:pPr>
              <w:jc w:val="left"/>
            </w:pPr>
            <w:r>
              <w:rPr>
                <w:rFonts w:ascii="Cambria" w:hAnsi="Cambria"/>
                <w:b w:val="0"/>
                <w:sz w:val="18"/>
              </w:rPr>
              <w:t>- Sustainable financial management.</w:t>
            </w:r>
          </w:p>
        </w:tc>
        <w:tc>
          <w:tcPr>
            <w:tcW w:type="dxa" w:w="2324"/>
            <w:tcW w:w="2324" w:type="dxa"/>
          </w:tcPr>
          <w:p>
            <w:pPr>
              <w:jc w:val="left"/>
            </w:pPr>
            <w:r/>
            <w:r>
              <w:rPr>
                <w:rFonts w:ascii="Cambria" w:hAnsi="Cambria"/>
                <w:b w:val="0"/>
                <w:sz w:val="18"/>
              </w:rPr>
              <w:t>- HR policy circulars.</w:t>
            </w:r>
          </w:p>
          <w:p>
            <w:pPr>
              <w:jc w:val="left"/>
            </w:pPr>
            <w:r>
              <w:rPr>
                <w:rFonts w:ascii="Cambria" w:hAnsi="Cambria"/>
                <w:b w:val="0"/>
                <w:sz w:val="18"/>
              </w:rPr>
              <w:t>- Annual audit reports.</w:t>
            </w:r>
          </w:p>
          <w:p>
            <w:pPr>
              <w:jc w:val="left"/>
            </w:pPr>
            <w:r>
              <w:rPr>
                <w:rFonts w:ascii="Cambria" w:hAnsi="Cambria"/>
                <w:b w:val="0"/>
                <w:sz w:val="18"/>
              </w:rPr>
              <w:t>- Budget documents.</w:t>
            </w:r>
          </w:p>
          <w:p>
            <w:pPr>
              <w:jc w:val="left"/>
            </w:pPr>
            <w:r>
              <w:rPr>
                <w:rFonts w:ascii="Cambria" w:hAnsi="Cambria"/>
                <w:b w:val="0"/>
                <w:sz w:val="18"/>
              </w:rPr>
              <w:t>- ERP/MIS system records.</w:t>
            </w:r>
          </w:p>
        </w:tc>
      </w:tr>
      <w:tr>
        <w:tc>
          <w:tcPr>
            <w:tcW w:type="dxa" w:w="1474"/>
            <w:tcW w:w="1474" w:type="dxa"/>
            <w:shd w:val="clear" w:color="auto" w:fill="D9E2EC"/>
          </w:tcPr>
          <w:p>
            <w:pPr>
              <w:jc w:val="left"/>
            </w:pPr>
            <w:r/>
            <w:r>
              <w:rPr>
                <w:rFonts w:ascii="Cambria" w:hAnsi="Cambria"/>
                <w:b w:val="0"/>
                <w:sz w:val="18"/>
              </w:rPr>
              <w:t>Student Affairs</w:t>
            </w:r>
          </w:p>
        </w:tc>
        <w:tc>
          <w:tcPr>
            <w:tcW w:type="dxa" w:w="2778"/>
            <w:tcW w:w="2778" w:type="dxa"/>
            <w:shd w:val="clear" w:color="auto" w:fill="D9E2EC"/>
          </w:tcPr>
          <w:p>
            <w:pPr>
              <w:jc w:val="left"/>
            </w:pPr>
            <w:r/>
            <w:r>
              <w:rPr>
                <w:rFonts w:ascii="Cambria" w:hAnsi="Cambria"/>
                <w:b w:val="0"/>
                <w:sz w:val="18"/>
              </w:rPr>
              <w:t>- Ensures welfare schemes, scholarships, and inclusivity policies.</w:t>
            </w:r>
          </w:p>
          <w:p>
            <w:pPr>
              <w:jc w:val="left"/>
            </w:pPr>
            <w:r>
              <w:rPr>
                <w:rFonts w:ascii="Cambria" w:hAnsi="Cambria"/>
                <w:b w:val="0"/>
                <w:sz w:val="18"/>
              </w:rPr>
              <w:t>- Oversees placements, internships, and career services.</w:t>
            </w:r>
          </w:p>
          <w:p>
            <w:pPr>
              <w:jc w:val="left"/>
            </w:pPr>
            <w:r>
              <w:rPr>
                <w:rFonts w:ascii="Cambria" w:hAnsi="Cambria"/>
                <w:b w:val="0"/>
                <w:sz w:val="18"/>
              </w:rPr>
              <w:t>- Expands counseling, clubs, and cultural activities.</w:t>
            </w:r>
          </w:p>
        </w:tc>
        <w:tc>
          <w:tcPr>
            <w:tcW w:type="dxa" w:w="2268"/>
            <w:tcW w:w="2268" w:type="dxa"/>
            <w:shd w:val="clear" w:color="auto" w:fill="D9E2EC"/>
          </w:tcPr>
          <w:p>
            <w:pPr>
              <w:jc w:val="left"/>
            </w:pPr>
            <w:r/>
            <w:r>
              <w:rPr>
                <w:rFonts w:ascii="Cambria" w:hAnsi="Cambria"/>
                <w:b w:val="0"/>
                <w:sz w:val="18"/>
              </w:rPr>
              <w:t>- Higher student retention and satisfaction.</w:t>
            </w:r>
          </w:p>
          <w:p>
            <w:pPr>
              <w:jc w:val="left"/>
            </w:pPr>
            <w:r>
              <w:rPr>
                <w:rFonts w:ascii="Cambria" w:hAnsi="Cambria"/>
                <w:b w:val="0"/>
                <w:sz w:val="18"/>
              </w:rPr>
              <w:t>- Improved placement and entrepreneurship outcomes.</w:t>
            </w:r>
          </w:p>
          <w:p>
            <w:pPr>
              <w:jc w:val="left"/>
            </w:pPr>
            <w:r>
              <w:rPr>
                <w:rFonts w:ascii="Cambria" w:hAnsi="Cambria"/>
                <w:b w:val="0"/>
                <w:sz w:val="18"/>
              </w:rPr>
              <w:t>- Inclusive and holistic student development.</w:t>
            </w:r>
          </w:p>
        </w:tc>
        <w:tc>
          <w:tcPr>
            <w:tcW w:type="dxa" w:w="2324"/>
            <w:tcW w:w="2324" w:type="dxa"/>
            <w:shd w:val="clear" w:color="auto" w:fill="D9E2EC"/>
          </w:tcPr>
          <w:p>
            <w:pPr>
              <w:jc w:val="left"/>
            </w:pPr>
            <w:r/>
            <w:r>
              <w:rPr>
                <w:rFonts w:ascii="Cambria" w:hAnsi="Cambria"/>
                <w:b w:val="0"/>
                <w:sz w:val="18"/>
              </w:rPr>
              <w:t>- Placement reports.</w:t>
            </w:r>
          </w:p>
          <w:p>
            <w:pPr>
              <w:jc w:val="left"/>
            </w:pPr>
            <w:r>
              <w:rPr>
                <w:rFonts w:ascii="Cambria" w:hAnsi="Cambria"/>
                <w:b w:val="0"/>
                <w:sz w:val="18"/>
              </w:rPr>
              <w:t>- Diversity &amp; inclusion policies.</w:t>
            </w:r>
          </w:p>
          <w:p>
            <w:pPr>
              <w:jc w:val="left"/>
            </w:pPr>
            <w:r>
              <w:rPr>
                <w:rFonts w:ascii="Cambria" w:hAnsi="Cambria"/>
                <w:b w:val="0"/>
                <w:sz w:val="18"/>
              </w:rPr>
              <w:t>- Student satisfaction surveys.</w:t>
            </w:r>
          </w:p>
          <w:p>
            <w:pPr>
              <w:jc w:val="left"/>
            </w:pPr>
            <w:r>
              <w:rPr>
                <w:rFonts w:ascii="Cambria" w:hAnsi="Cambria"/>
                <w:b w:val="0"/>
                <w:sz w:val="18"/>
              </w:rPr>
              <w:t>- Counseling/mentorship records.</w:t>
            </w:r>
          </w:p>
        </w:tc>
      </w:tr>
      <w:tr>
        <w:tc>
          <w:tcPr>
            <w:tcW w:type="dxa" w:w="1474"/>
            <w:tcW w:w="1474" w:type="dxa"/>
          </w:tcPr>
          <w:p>
            <w:pPr>
              <w:jc w:val="left"/>
            </w:pPr>
            <w:r/>
            <w:r>
              <w:rPr>
                <w:rFonts w:ascii="Cambria" w:hAnsi="Cambria"/>
                <w:b w:val="0"/>
                <w:sz w:val="18"/>
              </w:rPr>
              <w:t>International Relations</w:t>
            </w:r>
          </w:p>
        </w:tc>
        <w:tc>
          <w:tcPr>
            <w:tcW w:type="dxa" w:w="2778"/>
            <w:tcW w:w="2778" w:type="dxa"/>
          </w:tcPr>
          <w:p>
            <w:pPr>
              <w:jc w:val="left"/>
            </w:pPr>
            <w:r/>
            <w:r>
              <w:rPr>
                <w:rFonts w:ascii="Cambria" w:hAnsi="Cambria"/>
                <w:b w:val="0"/>
                <w:sz w:val="18"/>
              </w:rPr>
              <w:t>- Signs MoUs with foreign universities.</w:t>
            </w:r>
          </w:p>
          <w:p>
            <w:pPr>
              <w:jc w:val="left"/>
            </w:pPr>
            <w:r>
              <w:rPr>
                <w:rFonts w:ascii="Cambria" w:hAnsi="Cambria"/>
                <w:b w:val="0"/>
                <w:sz w:val="18"/>
              </w:rPr>
              <w:t>- Facilitates student/faculty exchanges.</w:t>
            </w:r>
          </w:p>
          <w:p>
            <w:pPr>
              <w:jc w:val="left"/>
            </w:pPr>
            <w:r>
              <w:rPr>
                <w:rFonts w:ascii="Cambria" w:hAnsi="Cambria"/>
                <w:b w:val="0"/>
                <w:sz w:val="18"/>
              </w:rPr>
              <w:t>- Promotes participation in global ranking frameworks.</w:t>
            </w:r>
          </w:p>
        </w:tc>
        <w:tc>
          <w:tcPr>
            <w:tcW w:type="dxa" w:w="2268"/>
            <w:tcW w:w="2268" w:type="dxa"/>
          </w:tcPr>
          <w:p>
            <w:pPr>
              <w:jc w:val="left"/>
            </w:pPr>
            <w:r/>
            <w:r>
              <w:rPr>
                <w:rFonts w:ascii="Cambria" w:hAnsi="Cambria"/>
                <w:b w:val="0"/>
                <w:sz w:val="18"/>
              </w:rPr>
              <w:t>- Enhanced international visibility.</w:t>
            </w:r>
          </w:p>
          <w:p>
            <w:pPr>
              <w:jc w:val="left"/>
            </w:pPr>
            <w:r>
              <w:rPr>
                <w:rFonts w:ascii="Cambria" w:hAnsi="Cambria"/>
                <w:b w:val="0"/>
                <w:sz w:val="18"/>
              </w:rPr>
              <w:t>- Increased cross-border collaborations.</w:t>
            </w:r>
          </w:p>
          <w:p>
            <w:pPr>
              <w:jc w:val="left"/>
            </w:pPr>
            <w:r>
              <w:rPr>
                <w:rFonts w:ascii="Cambria" w:hAnsi="Cambria"/>
                <w:b w:val="0"/>
                <w:sz w:val="18"/>
              </w:rPr>
              <w:t>- Improved QS/THE ranking positions.</w:t>
            </w:r>
          </w:p>
        </w:tc>
        <w:tc>
          <w:tcPr>
            <w:tcW w:type="dxa" w:w="2324"/>
            <w:tcW w:w="2324" w:type="dxa"/>
          </w:tcPr>
          <w:p>
            <w:pPr>
              <w:jc w:val="left"/>
            </w:pPr>
            <w:r/>
            <w:r>
              <w:rPr>
                <w:rFonts w:ascii="Cambria" w:hAnsi="Cambria"/>
                <w:b w:val="0"/>
                <w:sz w:val="18"/>
              </w:rPr>
              <w:t>- MoUs/partnership agreements.</w:t>
            </w:r>
          </w:p>
          <w:p>
            <w:pPr>
              <w:jc w:val="left"/>
            </w:pPr>
            <w:r>
              <w:rPr>
                <w:rFonts w:ascii="Cambria" w:hAnsi="Cambria"/>
                <w:b w:val="0"/>
                <w:sz w:val="18"/>
              </w:rPr>
              <w:t>- Exchange program records.</w:t>
            </w:r>
          </w:p>
          <w:p>
            <w:pPr>
              <w:jc w:val="left"/>
            </w:pPr>
            <w:r>
              <w:rPr>
                <w:rFonts w:ascii="Cambria" w:hAnsi="Cambria"/>
                <w:b w:val="0"/>
                <w:sz w:val="18"/>
              </w:rPr>
              <w:t>- International collaboration reports.</w:t>
            </w:r>
          </w:p>
          <w:p>
            <w:pPr>
              <w:jc w:val="left"/>
            </w:pPr>
            <w:r>
              <w:rPr>
                <w:rFonts w:ascii="Cambria" w:hAnsi="Cambria"/>
                <w:b w:val="0"/>
                <w:sz w:val="18"/>
              </w:rPr>
              <w:t>- Ranking data reports.</w:t>
            </w:r>
          </w:p>
        </w:tc>
      </w:tr>
    </w:tbl>
    <w:p>
      <w:pPr>
        <w:keepNext/>
        <w:spacing w:before="160" w:after="120"/>
      </w:pPr>
      <w:r>
        <w:rPr>
          <w:rFonts w:ascii="Cambria" w:hAnsi="Cambria"/>
          <w:b/>
          <w:color w:val="1F3A5F"/>
          <w:sz w:val="30"/>
        </w:rPr>
        <w:t>3-Year PVC Progress Tracker (Domain → Year 1 → Year 2 → Year 3)</w:t>
      </w:r>
    </w:p>
    <w:tbl>
      <w:tblPr>
        <w:tblW w:type="auto" w:w="0"/>
        <w:tblLayout w:type="fixed"/>
        <w:tblLook w:firstColumn="1" w:firstRow="1" w:lastColumn="0" w:lastRow="0" w:noHBand="0" w:noVBand="1" w:val="04A0"/>
        <w:tblLayout w:type="fixed"/>
      </w:tblPr>
      <w:tblGrid>
        <w:gridCol w:w="1474"/>
        <w:gridCol w:w="2211"/>
        <w:gridCol w:w="2211"/>
        <w:gridCol w:w="2381"/>
      </w:tblGrid>
      <w:tr>
        <w:tc>
          <w:tcPr>
            <w:tcW w:type="dxa" w:w="1474"/>
            <w:shd w:val="clear" w:color="auto" w:fill="1F3A5F"/>
            <w:tcW w:w="1474" w:type="dxa"/>
          </w:tcPr>
          <w:p>
            <w:pPr>
              <w:jc w:val="center"/>
            </w:pPr>
            <w:r/>
            <w:r>
              <w:rPr>
                <w:rFonts w:ascii="Cambria" w:hAnsi="Cambria"/>
                <w:b/>
                <w:color w:val="FFFFFF"/>
                <w:sz w:val="20"/>
              </w:rPr>
              <w:t>PVC Domain</w:t>
            </w:r>
          </w:p>
        </w:tc>
        <w:tc>
          <w:tcPr>
            <w:tcW w:type="dxa" w:w="2211"/>
            <w:shd w:val="clear" w:color="auto" w:fill="1F3A5F"/>
            <w:tcW w:w="2211" w:type="dxa"/>
          </w:tcPr>
          <w:p>
            <w:pPr>
              <w:jc w:val="center"/>
            </w:pPr>
            <w:r/>
            <w:r>
              <w:rPr>
                <w:rFonts w:ascii="Cambria" w:hAnsi="Cambria"/>
                <w:b/>
                <w:color w:val="FFFFFF"/>
                <w:sz w:val="20"/>
              </w:rPr>
              <w:t>Year 1 (Foundation)</w:t>
            </w:r>
          </w:p>
        </w:tc>
        <w:tc>
          <w:tcPr>
            <w:tcW w:type="dxa" w:w="2211"/>
            <w:shd w:val="clear" w:color="auto" w:fill="1F3A5F"/>
            <w:tcW w:w="2211" w:type="dxa"/>
          </w:tcPr>
          <w:p>
            <w:pPr>
              <w:jc w:val="center"/>
            </w:pPr>
            <w:r/>
            <w:r>
              <w:rPr>
                <w:rFonts w:ascii="Cambria" w:hAnsi="Cambria"/>
                <w:b/>
                <w:color w:val="FFFFFF"/>
                <w:sz w:val="20"/>
              </w:rPr>
              <w:t>Year 2 (Growth &amp; Consolidation)</w:t>
            </w:r>
          </w:p>
        </w:tc>
        <w:tc>
          <w:tcPr>
            <w:tcW w:type="dxa" w:w="2381"/>
            <w:shd w:val="clear" w:color="auto" w:fill="1F3A5F"/>
            <w:tcW w:w="2381" w:type="dxa"/>
          </w:tcPr>
          <w:p>
            <w:pPr>
              <w:jc w:val="center"/>
            </w:pPr>
            <w:r/>
            <w:r>
              <w:rPr>
                <w:rFonts w:ascii="Cambria" w:hAnsi="Cambria"/>
                <w:b/>
                <w:color w:val="FFFFFF"/>
                <w:sz w:val="20"/>
              </w:rPr>
              <w:t>Year 3 (Maturity &amp; Impact)</w:t>
            </w:r>
          </w:p>
        </w:tc>
      </w:tr>
      <w:tr>
        <w:tc>
          <w:tcPr>
            <w:tcW w:type="dxa" w:w="1474"/>
            <w:tcW w:w="1474" w:type="dxa"/>
          </w:tcPr>
          <w:p>
            <w:pPr>
              <w:jc w:val="left"/>
            </w:pPr>
            <w:r/>
            <w:r>
              <w:rPr>
                <w:rFonts w:ascii="Cambria" w:hAnsi="Cambria"/>
                <w:b w:val="0"/>
                <w:sz w:val="18"/>
              </w:rPr>
              <w:t>Academic Affairs</w:t>
            </w:r>
          </w:p>
        </w:tc>
        <w:tc>
          <w:tcPr>
            <w:tcW w:type="dxa" w:w="2211"/>
            <w:tcW w:w="2211" w:type="dxa"/>
          </w:tcPr>
          <w:p>
            <w:pPr>
              <w:jc w:val="left"/>
            </w:pPr>
            <w:r/>
            <w:r>
              <w:rPr>
                <w:rFonts w:ascii="Cambria" w:hAnsi="Cambria"/>
                <w:b w:val="0"/>
                <w:sz w:val="18"/>
              </w:rPr>
              <w:t>- Curriculum review initiated.</w:t>
            </w:r>
          </w:p>
          <w:p>
            <w:pPr>
              <w:jc w:val="left"/>
            </w:pPr>
            <w:r>
              <w:rPr>
                <w:rFonts w:ascii="Cambria" w:hAnsi="Cambria"/>
                <w:b w:val="0"/>
                <w:sz w:val="18"/>
              </w:rPr>
              <w:t>- Outcome-Based Education (OBE) framework introduced.</w:t>
            </w:r>
          </w:p>
          <w:p>
            <w:pPr>
              <w:jc w:val="left"/>
            </w:pPr>
            <w:r>
              <w:rPr>
                <w:rFonts w:ascii="Cambria" w:hAnsi="Cambria"/>
                <w:b w:val="0"/>
                <w:sz w:val="18"/>
              </w:rPr>
              <w:t>- Accreditation gap analysis completed.</w:t>
            </w:r>
          </w:p>
        </w:tc>
        <w:tc>
          <w:tcPr>
            <w:tcW w:type="dxa" w:w="2211"/>
            <w:tcW w:w="2211" w:type="dxa"/>
          </w:tcPr>
          <w:p>
            <w:pPr>
              <w:jc w:val="left"/>
            </w:pPr>
            <w:r/>
            <w:r>
              <w:rPr>
                <w:rFonts w:ascii="Cambria" w:hAnsi="Cambria"/>
                <w:b w:val="0"/>
                <w:sz w:val="18"/>
              </w:rPr>
              <w:t>- Revised curriculum implemented across faculties.</w:t>
            </w:r>
          </w:p>
          <w:p>
            <w:pPr>
              <w:jc w:val="left"/>
            </w:pPr>
            <w:r>
              <w:rPr>
                <w:rFonts w:ascii="Cambria" w:hAnsi="Cambria"/>
                <w:b w:val="0"/>
                <w:sz w:val="18"/>
              </w:rPr>
              <w:t>- Academic audit conducted.</w:t>
            </w:r>
          </w:p>
          <w:p>
            <w:pPr>
              <w:jc w:val="left"/>
            </w:pPr>
            <w:r>
              <w:rPr>
                <w:rFonts w:ascii="Cambria" w:hAnsi="Cambria"/>
                <w:b w:val="0"/>
                <w:sz w:val="18"/>
              </w:rPr>
              <w:t>- Faculty training on pedagogy and OBE.</w:t>
            </w:r>
          </w:p>
        </w:tc>
        <w:tc>
          <w:tcPr>
            <w:tcW w:type="dxa" w:w="2381"/>
            <w:tcW w:w="2381" w:type="dxa"/>
          </w:tcPr>
          <w:p>
            <w:pPr>
              <w:jc w:val="left"/>
            </w:pPr>
            <w:r/>
            <w:r>
              <w:rPr>
                <w:rFonts w:ascii="Cambria" w:hAnsi="Cambria"/>
                <w:b w:val="0"/>
                <w:sz w:val="18"/>
              </w:rPr>
              <w:t>- NAAC/NBA accreditation achieved/renewed.</w:t>
            </w:r>
          </w:p>
          <w:p>
            <w:pPr>
              <w:jc w:val="left"/>
            </w:pPr>
            <w:r>
              <w:rPr>
                <w:rFonts w:ascii="Cambria" w:hAnsi="Cambria"/>
                <w:b w:val="0"/>
                <w:sz w:val="18"/>
              </w:rPr>
              <w:t>- Student satisfaction index improved by 15–20%.</w:t>
            </w:r>
          </w:p>
          <w:p>
            <w:pPr>
              <w:jc w:val="left"/>
            </w:pPr>
            <w:r>
              <w:rPr>
                <w:rFonts w:ascii="Cambria" w:hAnsi="Cambria"/>
                <w:b w:val="0"/>
                <w:sz w:val="18"/>
              </w:rPr>
              <w:t>- Graduate employability metrics enhanced.</w:t>
            </w:r>
          </w:p>
        </w:tc>
      </w:tr>
      <w:tr>
        <w:tc>
          <w:tcPr>
            <w:tcW w:type="dxa" w:w="1474"/>
            <w:tcW w:w="1474" w:type="dxa"/>
            <w:shd w:val="clear" w:color="auto" w:fill="D9E2EC"/>
          </w:tcPr>
          <w:p>
            <w:pPr>
              <w:jc w:val="left"/>
            </w:pPr>
            <w:r/>
            <w:r>
              <w:rPr>
                <w:rFonts w:ascii="Cambria" w:hAnsi="Cambria"/>
                <w:b w:val="0"/>
                <w:sz w:val="18"/>
              </w:rPr>
              <w:t>Research &amp; Innovation</w:t>
            </w:r>
          </w:p>
        </w:tc>
        <w:tc>
          <w:tcPr>
            <w:tcW w:type="dxa" w:w="2211"/>
            <w:tcW w:w="2211" w:type="dxa"/>
            <w:shd w:val="clear" w:color="auto" w:fill="D9E2EC"/>
          </w:tcPr>
          <w:p>
            <w:pPr>
              <w:jc w:val="left"/>
            </w:pPr>
            <w:r/>
            <w:r>
              <w:rPr>
                <w:rFonts w:ascii="Cambria" w:hAnsi="Cambria"/>
                <w:b w:val="0"/>
                <w:sz w:val="18"/>
              </w:rPr>
              <w:t>- R&amp;D cell activated.</w:t>
            </w:r>
          </w:p>
          <w:p>
            <w:pPr>
              <w:jc w:val="left"/>
            </w:pPr>
            <w:r>
              <w:rPr>
                <w:rFonts w:ascii="Cambria" w:hAnsi="Cambria"/>
                <w:b w:val="0"/>
                <w:sz w:val="18"/>
              </w:rPr>
              <w:t>- Research policy framework developed.</w:t>
            </w:r>
          </w:p>
          <w:p>
            <w:pPr>
              <w:jc w:val="left"/>
            </w:pPr>
            <w:r>
              <w:rPr>
                <w:rFonts w:ascii="Cambria" w:hAnsi="Cambria"/>
                <w:b w:val="0"/>
                <w:sz w:val="18"/>
              </w:rPr>
              <w:t>- Seed funding provided for faculty projects.</w:t>
            </w:r>
          </w:p>
        </w:tc>
        <w:tc>
          <w:tcPr>
            <w:tcW w:type="dxa" w:w="2211"/>
            <w:tcW w:w="2211" w:type="dxa"/>
            <w:shd w:val="clear" w:color="auto" w:fill="D9E2EC"/>
          </w:tcPr>
          <w:p>
            <w:pPr>
              <w:jc w:val="left"/>
            </w:pPr>
            <w:r/>
            <w:r>
              <w:rPr>
                <w:rFonts w:ascii="Cambria" w:hAnsi="Cambria"/>
                <w:b w:val="0"/>
                <w:sz w:val="18"/>
              </w:rPr>
              <w:t>- Increase in publications in indexed journals.</w:t>
            </w:r>
          </w:p>
          <w:p>
            <w:pPr>
              <w:jc w:val="left"/>
            </w:pPr>
            <w:r>
              <w:rPr>
                <w:rFonts w:ascii="Cambria" w:hAnsi="Cambria"/>
                <w:b w:val="0"/>
                <w:sz w:val="18"/>
              </w:rPr>
              <w:t>- 2–3 patents filed.</w:t>
            </w:r>
          </w:p>
          <w:p>
            <w:pPr>
              <w:jc w:val="left"/>
            </w:pPr>
            <w:r>
              <w:rPr>
                <w:rFonts w:ascii="Cambria" w:hAnsi="Cambria"/>
                <w:b w:val="0"/>
                <w:sz w:val="18"/>
              </w:rPr>
              <w:t>- Establishment of innovation/incubation centers.</w:t>
            </w:r>
          </w:p>
        </w:tc>
        <w:tc>
          <w:tcPr>
            <w:tcW w:type="dxa" w:w="2381"/>
            <w:tcW w:w="2381" w:type="dxa"/>
            <w:shd w:val="clear" w:color="auto" w:fill="D9E2EC"/>
          </w:tcPr>
          <w:p>
            <w:pPr>
              <w:jc w:val="left"/>
            </w:pPr>
            <w:r/>
            <w:r>
              <w:rPr>
                <w:rFonts w:ascii="Cambria" w:hAnsi="Cambria"/>
                <w:b w:val="0"/>
                <w:sz w:val="18"/>
              </w:rPr>
              <w:t>- Significant increase in external funding/consultancy.</w:t>
            </w:r>
          </w:p>
          <w:p>
            <w:pPr>
              <w:jc w:val="left"/>
            </w:pPr>
            <w:r>
              <w:rPr>
                <w:rFonts w:ascii="Cambria" w:hAnsi="Cambria"/>
                <w:b w:val="0"/>
                <w:sz w:val="18"/>
              </w:rPr>
              <w:t>- Start-ups launched under incubation cell.</w:t>
            </w:r>
          </w:p>
          <w:p>
            <w:pPr>
              <w:jc w:val="left"/>
            </w:pPr>
            <w:r>
              <w:rPr>
                <w:rFonts w:ascii="Cambria" w:hAnsi="Cambria"/>
                <w:b w:val="0"/>
                <w:sz w:val="18"/>
              </w:rPr>
              <w:t>- International collaborative projects initiated.</w:t>
            </w:r>
          </w:p>
        </w:tc>
      </w:tr>
      <w:tr>
        <w:tc>
          <w:tcPr>
            <w:tcW w:type="dxa" w:w="1474"/>
            <w:tcW w:w="1474" w:type="dxa"/>
          </w:tcPr>
          <w:p>
            <w:pPr>
              <w:jc w:val="left"/>
            </w:pPr>
            <w:r/>
            <w:r>
              <w:rPr>
                <w:rFonts w:ascii="Cambria" w:hAnsi="Cambria"/>
                <w:b w:val="0"/>
                <w:sz w:val="18"/>
              </w:rPr>
              <w:t>Administration &amp; Finance</w:t>
            </w:r>
          </w:p>
        </w:tc>
        <w:tc>
          <w:tcPr>
            <w:tcW w:type="dxa" w:w="2211"/>
            <w:tcW w:w="2211" w:type="dxa"/>
          </w:tcPr>
          <w:p>
            <w:pPr>
              <w:jc w:val="left"/>
            </w:pPr>
            <w:r/>
            <w:r>
              <w:rPr>
                <w:rFonts w:ascii="Cambria" w:hAnsi="Cambria"/>
                <w:b w:val="0"/>
                <w:sz w:val="18"/>
              </w:rPr>
              <w:t>- ERP/MIS system planning stage.</w:t>
            </w:r>
          </w:p>
          <w:p>
            <w:pPr>
              <w:jc w:val="left"/>
            </w:pPr>
            <w:r>
              <w:rPr>
                <w:rFonts w:ascii="Cambria" w:hAnsi="Cambria"/>
                <w:b w:val="0"/>
                <w:sz w:val="18"/>
              </w:rPr>
              <w:t>- HR policy reforms initiated.</w:t>
            </w:r>
          </w:p>
          <w:p>
            <w:pPr>
              <w:jc w:val="left"/>
            </w:pPr>
            <w:r>
              <w:rPr>
                <w:rFonts w:ascii="Cambria" w:hAnsi="Cambria"/>
                <w:b w:val="0"/>
                <w:sz w:val="18"/>
              </w:rPr>
              <w:t>- Budgeting framework aligned with strategic plan.</w:t>
            </w:r>
          </w:p>
        </w:tc>
        <w:tc>
          <w:tcPr>
            <w:tcW w:type="dxa" w:w="2211"/>
            <w:tcW w:w="2211" w:type="dxa"/>
          </w:tcPr>
          <w:p>
            <w:pPr>
              <w:jc w:val="left"/>
            </w:pPr>
            <w:r/>
            <w:r>
              <w:rPr>
                <w:rFonts w:ascii="Cambria" w:hAnsi="Cambria"/>
                <w:b w:val="0"/>
                <w:sz w:val="18"/>
              </w:rPr>
              <w:t>- ERP/MIS implementation across departments.</w:t>
            </w:r>
          </w:p>
          <w:p>
            <w:pPr>
              <w:jc w:val="left"/>
            </w:pPr>
            <w:r>
              <w:rPr>
                <w:rFonts w:ascii="Cambria" w:hAnsi="Cambria"/>
                <w:b w:val="0"/>
                <w:sz w:val="18"/>
              </w:rPr>
              <w:t>- Regular audits streamlined.</w:t>
            </w:r>
          </w:p>
          <w:p>
            <w:pPr>
              <w:jc w:val="left"/>
            </w:pPr>
            <w:r>
              <w:rPr>
                <w:rFonts w:ascii="Cambria" w:hAnsi="Cambria"/>
                <w:b w:val="0"/>
                <w:sz w:val="18"/>
              </w:rPr>
              <w:t>- Infrastructure expansion projects started.</w:t>
            </w:r>
          </w:p>
        </w:tc>
        <w:tc>
          <w:tcPr>
            <w:tcW w:type="dxa" w:w="2381"/>
            <w:tcW w:w="2381" w:type="dxa"/>
          </w:tcPr>
          <w:p>
            <w:pPr>
              <w:jc w:val="left"/>
            </w:pPr>
            <w:r/>
            <w:r>
              <w:rPr>
                <w:rFonts w:ascii="Cambria" w:hAnsi="Cambria"/>
                <w:b w:val="0"/>
                <w:sz w:val="18"/>
              </w:rPr>
              <w:t>- Fully digital governance system operational.</w:t>
            </w:r>
          </w:p>
          <w:p>
            <w:pPr>
              <w:jc w:val="left"/>
            </w:pPr>
            <w:r>
              <w:rPr>
                <w:rFonts w:ascii="Cambria" w:hAnsi="Cambria"/>
                <w:b w:val="0"/>
                <w:sz w:val="18"/>
              </w:rPr>
              <w:t>- Transparent audit compliance achieved.</w:t>
            </w:r>
          </w:p>
          <w:p>
            <w:pPr>
              <w:jc w:val="left"/>
            </w:pPr>
            <w:r>
              <w:rPr>
                <w:rFonts w:ascii="Cambria" w:hAnsi="Cambria"/>
                <w:b w:val="0"/>
                <w:sz w:val="18"/>
              </w:rPr>
              <w:t>- Sustainable financial surplus generated.</w:t>
            </w:r>
          </w:p>
        </w:tc>
      </w:tr>
      <w:tr>
        <w:tc>
          <w:tcPr>
            <w:tcW w:type="dxa" w:w="1474"/>
            <w:tcW w:w="1474" w:type="dxa"/>
            <w:shd w:val="clear" w:color="auto" w:fill="D9E2EC"/>
          </w:tcPr>
          <w:p>
            <w:pPr>
              <w:jc w:val="left"/>
            </w:pPr>
            <w:r/>
            <w:r>
              <w:rPr>
                <w:rFonts w:ascii="Cambria" w:hAnsi="Cambria"/>
                <w:b w:val="0"/>
                <w:sz w:val="18"/>
              </w:rPr>
              <w:t>Student Affairs</w:t>
            </w:r>
          </w:p>
        </w:tc>
        <w:tc>
          <w:tcPr>
            <w:tcW w:type="dxa" w:w="2211"/>
            <w:tcW w:w="2211" w:type="dxa"/>
            <w:shd w:val="clear" w:color="auto" w:fill="D9E2EC"/>
          </w:tcPr>
          <w:p>
            <w:pPr>
              <w:jc w:val="left"/>
            </w:pPr>
            <w:r/>
            <w:r>
              <w:rPr>
                <w:rFonts w:ascii="Cambria" w:hAnsi="Cambria"/>
                <w:b w:val="0"/>
                <w:sz w:val="18"/>
              </w:rPr>
              <w:t>- Placement cell strengthened.</w:t>
            </w:r>
          </w:p>
          <w:p>
            <w:pPr>
              <w:jc w:val="left"/>
            </w:pPr>
            <w:r>
              <w:rPr>
                <w:rFonts w:ascii="Cambria" w:hAnsi="Cambria"/>
                <w:b w:val="0"/>
                <w:sz w:val="18"/>
              </w:rPr>
              <w:t>- Scholarships and welfare schemes mapped.</w:t>
            </w:r>
          </w:p>
          <w:p>
            <w:pPr>
              <w:jc w:val="left"/>
            </w:pPr>
            <w:r>
              <w:rPr>
                <w:rFonts w:ascii="Cambria" w:hAnsi="Cambria"/>
                <w:b w:val="0"/>
                <w:sz w:val="18"/>
              </w:rPr>
              <w:t>- Counseling services introduced.</w:t>
            </w:r>
          </w:p>
        </w:tc>
        <w:tc>
          <w:tcPr>
            <w:tcW w:type="dxa" w:w="2211"/>
            <w:tcW w:w="2211" w:type="dxa"/>
            <w:shd w:val="clear" w:color="auto" w:fill="D9E2EC"/>
          </w:tcPr>
          <w:p>
            <w:pPr>
              <w:jc w:val="left"/>
            </w:pPr>
            <w:r/>
            <w:r>
              <w:rPr>
                <w:rFonts w:ascii="Cambria" w:hAnsi="Cambria"/>
                <w:b w:val="0"/>
                <w:sz w:val="18"/>
              </w:rPr>
              <w:t>- Placement rate improved by 10–15%.</w:t>
            </w:r>
          </w:p>
          <w:p>
            <w:pPr>
              <w:jc w:val="left"/>
            </w:pPr>
            <w:r>
              <w:rPr>
                <w:rFonts w:ascii="Cambria" w:hAnsi="Cambria"/>
                <w:b w:val="0"/>
                <w:sz w:val="18"/>
              </w:rPr>
              <w:t>- New student clubs and societies established.</w:t>
            </w:r>
          </w:p>
          <w:p>
            <w:pPr>
              <w:jc w:val="left"/>
            </w:pPr>
            <w:r>
              <w:rPr>
                <w:rFonts w:ascii="Cambria" w:hAnsi="Cambria"/>
                <w:b w:val="0"/>
                <w:sz w:val="18"/>
              </w:rPr>
              <w:t>- Diversity and inclusion policy implemented.</w:t>
            </w:r>
          </w:p>
        </w:tc>
        <w:tc>
          <w:tcPr>
            <w:tcW w:type="dxa" w:w="2381"/>
            <w:tcW w:w="2381" w:type="dxa"/>
            <w:shd w:val="clear" w:color="auto" w:fill="D9E2EC"/>
          </w:tcPr>
          <w:p>
            <w:pPr>
              <w:jc w:val="left"/>
            </w:pPr>
            <w:r/>
            <w:r>
              <w:rPr>
                <w:rFonts w:ascii="Cambria" w:hAnsi="Cambria"/>
                <w:b w:val="0"/>
                <w:sz w:val="18"/>
              </w:rPr>
              <w:t>- 80–90% placement/internship success.</w:t>
            </w:r>
          </w:p>
          <w:p>
            <w:pPr>
              <w:jc w:val="left"/>
            </w:pPr>
            <w:r>
              <w:rPr>
                <w:rFonts w:ascii="Cambria" w:hAnsi="Cambria"/>
                <w:b w:val="0"/>
                <w:sz w:val="18"/>
              </w:rPr>
              <w:t>- Enhanced student satisfaction index (by survey).</w:t>
            </w:r>
          </w:p>
          <w:p>
            <w:pPr>
              <w:jc w:val="left"/>
            </w:pPr>
            <w:r>
              <w:rPr>
                <w:rFonts w:ascii="Cambria" w:hAnsi="Cambria"/>
                <w:b w:val="0"/>
                <w:sz w:val="18"/>
              </w:rPr>
              <w:t>- Model of inclusive campus culture recognized by accreditation bodies.</w:t>
            </w:r>
          </w:p>
        </w:tc>
      </w:tr>
      <w:tr>
        <w:tc>
          <w:tcPr>
            <w:tcW w:type="dxa" w:w="1474"/>
            <w:tcW w:w="1474" w:type="dxa"/>
          </w:tcPr>
          <w:p>
            <w:pPr>
              <w:jc w:val="left"/>
            </w:pPr>
            <w:r/>
            <w:r>
              <w:rPr>
                <w:rFonts w:ascii="Cambria" w:hAnsi="Cambria"/>
                <w:b w:val="0"/>
                <w:sz w:val="18"/>
              </w:rPr>
              <w:t>International Relations</w:t>
            </w:r>
          </w:p>
        </w:tc>
        <w:tc>
          <w:tcPr>
            <w:tcW w:type="dxa" w:w="2211"/>
            <w:tcW w:w="2211" w:type="dxa"/>
          </w:tcPr>
          <w:p>
            <w:pPr>
              <w:jc w:val="left"/>
            </w:pPr>
            <w:r/>
            <w:r>
              <w:rPr>
                <w:rFonts w:ascii="Cambria" w:hAnsi="Cambria"/>
                <w:b w:val="0"/>
                <w:sz w:val="18"/>
              </w:rPr>
              <w:t>- Initial MoUs signed with 2–3 global universities.</w:t>
            </w:r>
          </w:p>
          <w:p>
            <w:pPr>
              <w:jc w:val="left"/>
            </w:pPr>
            <w:r>
              <w:rPr>
                <w:rFonts w:ascii="Cambria" w:hAnsi="Cambria"/>
                <w:b w:val="0"/>
                <w:sz w:val="18"/>
              </w:rPr>
              <w:t>- Participation in global rankings initiated.</w:t>
            </w:r>
          </w:p>
          <w:p>
            <w:pPr>
              <w:jc w:val="left"/>
            </w:pPr>
            <w:r>
              <w:rPr>
                <w:rFonts w:ascii="Cambria" w:hAnsi="Cambria"/>
                <w:b w:val="0"/>
                <w:sz w:val="18"/>
              </w:rPr>
              <w:t>- Pilot exchange program launched.</w:t>
            </w:r>
          </w:p>
        </w:tc>
        <w:tc>
          <w:tcPr>
            <w:tcW w:type="dxa" w:w="2211"/>
            <w:tcW w:w="2211" w:type="dxa"/>
          </w:tcPr>
          <w:p>
            <w:pPr>
              <w:jc w:val="left"/>
            </w:pPr>
            <w:r/>
            <w:r>
              <w:rPr>
                <w:rFonts w:ascii="Cambria" w:hAnsi="Cambria"/>
                <w:b w:val="0"/>
                <w:sz w:val="18"/>
              </w:rPr>
              <w:t>- 5–10 active MoUs operational.</w:t>
            </w:r>
          </w:p>
          <w:p>
            <w:pPr>
              <w:jc w:val="left"/>
            </w:pPr>
            <w:r>
              <w:rPr>
                <w:rFonts w:ascii="Cambria" w:hAnsi="Cambria"/>
                <w:b w:val="0"/>
                <w:sz w:val="18"/>
              </w:rPr>
              <w:t>- Regular faculty/student exchange programs running.</w:t>
            </w:r>
          </w:p>
          <w:p>
            <w:pPr>
              <w:jc w:val="left"/>
            </w:pPr>
            <w:r>
              <w:rPr>
                <w:rFonts w:ascii="Cambria" w:hAnsi="Cambria"/>
                <w:b w:val="0"/>
                <w:sz w:val="18"/>
              </w:rPr>
              <w:t>- University enters QS/THE ranking lists.</w:t>
            </w:r>
          </w:p>
        </w:tc>
        <w:tc>
          <w:tcPr>
            <w:tcW w:type="dxa" w:w="2381"/>
            <w:tcW w:w="2381" w:type="dxa"/>
          </w:tcPr>
          <w:p>
            <w:pPr>
              <w:jc w:val="left"/>
            </w:pPr>
            <w:r/>
            <w:r>
              <w:rPr>
                <w:rFonts w:ascii="Cambria" w:hAnsi="Cambria"/>
                <w:b w:val="0"/>
                <w:sz w:val="18"/>
              </w:rPr>
              <w:t>- University ranked in top 500/1000 globally.</w:t>
            </w:r>
          </w:p>
          <w:p>
            <w:pPr>
              <w:jc w:val="left"/>
            </w:pPr>
            <w:r>
              <w:rPr>
                <w:rFonts w:ascii="Cambria" w:hAnsi="Cambria"/>
                <w:b w:val="0"/>
                <w:sz w:val="18"/>
              </w:rPr>
              <w:t>- Sustained international research collaborations.</w:t>
            </w:r>
          </w:p>
          <w:p>
            <w:pPr>
              <w:jc w:val="left"/>
            </w:pPr>
            <w:r>
              <w:rPr>
                <w:rFonts w:ascii="Cambria" w:hAnsi="Cambria"/>
                <w:b w:val="0"/>
                <w:sz w:val="18"/>
              </w:rPr>
              <w:t>- Established as a global education hub.</w:t>
            </w:r>
          </w:p>
        </w:tc>
      </w:tr>
    </w:tbl>
    <w:p>
      <w:r>
        <w:br w:type="page"/>
      </w:r>
    </w:p>
    <w:p>
      <w:pPr>
        <w:keepNext/>
        <w:spacing w:before="240" w:after="120"/>
      </w:pPr>
      <w:r>
        <w:rPr>
          <w:rFonts w:ascii="Cambria" w:hAnsi="Cambria"/>
          <w:b/>
          <w:color w:val="1F3A5F"/>
          <w:sz w:val="36"/>
        </w:rPr>
        <w:t>5. Core Administrative Officers in University Governance</w:t>
      </w:r>
    </w:p>
    <w:p>
      <w:pPr>
        <w:jc w:val="both"/>
      </w:pPr>
      <w:r>
        <w:rPr>
          <w:rFonts w:ascii="Cambria" w:hAnsi="Cambria"/>
          <w:b w:val="0"/>
          <w:i w:val="0"/>
          <w:sz w:val="22"/>
        </w:rPr>
        <w:t>In university governance, core administrative officers serve as non-academic executives who are responsible for managing the institution's day-to-day operations and strategic business functions. While the academic leadership—comprising the Vice-Chancellor, Pro-Vice-Chancellors, Deans, and Heads of Departments—focuses primarily on teaching, research, and student development, the core administrative officers provide the essential backbone of operational support that enables these academic activities to thrive. They typically report directly to the President, Rector, or Vice-Chancellor, depending on the governance model, and ensure that the university's mission is achieved through effective management of finance, personnel, legal compliance, and institutional affairs.</w:t>
      </w:r>
    </w:p>
    <w:p>
      <w:pPr>
        <w:jc w:val="both"/>
      </w:pPr>
      <w:r>
        <w:rPr>
          <w:rFonts w:ascii="Cambria" w:hAnsi="Cambria"/>
          <w:b w:val="0"/>
          <w:i w:val="0"/>
          <w:sz w:val="22"/>
        </w:rPr>
        <w:t>Among the most prominent core administrative officers are the Registrar, Finance Officer (FO), Controller of Examinations (CoE), Director of Human Resources &amp; Administration, Librarian or Director of Library Services, and Directors overseeing Quality Assurance, Public Relations, and International Relations. Each plays a distinct but interconnected role in supporting governance and ensuring accountability. For instance, the Registrar is often the custodian of university records and statutes, handling student admissions, faculty appointments, and official documentation. The Finance Officer safeguards financial sustainability by managing budgets, payrolls, grants, and audits. The Controller of Examinations ensures the integrity of the assessment system, while the HR Director manages faculty recruitment, promotions, staff welfare, and grievance redressal. The Librarian facilitates access to knowledge resources and digital repositories, and the IQAC Director oversees quality assurance and accreditation. In parallel, the Public Relations and International Office strengthens institutional branding, outreach, and global collaborations.</w:t>
      </w:r>
    </w:p>
    <w:p>
      <w:pPr>
        <w:jc w:val="both"/>
      </w:pPr>
      <w:r>
        <w:rPr>
          <w:rFonts w:ascii="Cambria" w:hAnsi="Cambria"/>
          <w:b w:val="0"/>
          <w:i w:val="0"/>
          <w:sz w:val="22"/>
        </w:rPr>
        <w:t>Collectively, these officers form the administrative core of university governance, ensuring that policies are executed, resources are optimized, and institutional obligations are met in line with statutory, accreditation, and ethical standards. Their work also extends to strategic planning and compliance, as they prepare key documents for accreditation bodies such as NAAC, NBA, and NIRF, and support governance boards with data-driven insights. By maintaining transparency in financial operations, safeguarding examination integrity, strengthening staff policies, and enabling digital transformation, they underpin the credibility and sustainability of the university.</w:t>
      </w:r>
    </w:p>
    <w:p>
      <w:pPr>
        <w:jc w:val="both"/>
      </w:pPr>
      <w:r>
        <w:rPr>
          <w:rFonts w:ascii="Cambria" w:hAnsi="Cambria"/>
          <w:b w:val="0"/>
          <w:i w:val="0"/>
          <w:sz w:val="22"/>
        </w:rPr>
        <w:t>Ultimately, core administrative officers ensure that the academic mission of the university is not compromised by operational challenges. They provide stability, efficiency, and accountability in governance, allowing academic leaders to focus on teaching, research, and innovation. In modern higher education systems, where universities must compete globally while remaining accountable locally, these officers are indispensable to balancing academic excellence with administrative efficiency and financial sustainability.</w:t>
      </w:r>
    </w:p>
    <w:p>
      <w:pPr>
        <w:pStyle w:val="ListBullet"/>
        <w:jc w:val="both"/>
      </w:pPr>
      <w:r>
        <w:rPr>
          <w:rFonts w:ascii="Cambria" w:hAnsi="Cambria"/>
          <w:sz w:val="22"/>
        </w:rPr>
        <w:t>1. Registrar / University Secretary</w:t>
      </w:r>
    </w:p>
    <w:p>
      <w:pPr>
        <w:pStyle w:val="ListBullet2"/>
        <w:jc w:val="both"/>
      </w:pPr>
      <w:r>
        <w:rPr>
          <w:rFonts w:ascii="Cambria" w:hAnsi="Cambria"/>
          <w:sz w:val="22"/>
        </w:rPr>
        <w:t>Role &amp; Functions</w:t>
      </w:r>
    </w:p>
    <w:p>
      <w:pPr>
        <w:pStyle w:val="ListBullet"/>
        <w:jc w:val="both"/>
      </w:pPr>
      <w:r>
        <w:rPr>
          <w:rFonts w:ascii="Cambria" w:hAnsi="Cambria"/>
          <w:sz w:val="22"/>
        </w:rPr>
        <w:t>Custodian of university statutes, ordinances, and official records.</w:t>
      </w:r>
    </w:p>
    <w:p>
      <w:pPr>
        <w:pStyle w:val="ListBullet"/>
        <w:jc w:val="both"/>
      </w:pPr>
      <w:r>
        <w:rPr>
          <w:rFonts w:ascii="Cambria" w:hAnsi="Cambria"/>
          <w:sz w:val="22"/>
        </w:rPr>
        <w:t>Oversees admissions, academic administration, and maintenance of student records.</w:t>
      </w:r>
    </w:p>
    <w:p>
      <w:pPr>
        <w:pStyle w:val="ListBullet"/>
        <w:jc w:val="both"/>
      </w:pPr>
      <w:r>
        <w:rPr>
          <w:rFonts w:ascii="Cambria" w:hAnsi="Cambria"/>
          <w:sz w:val="22"/>
        </w:rPr>
        <w:t>Coordinates meetings of statutory bodies such as the Academic Council, Executive Council, and Governing Board.</w:t>
      </w:r>
    </w:p>
    <w:p>
      <w:pPr>
        <w:pStyle w:val="ListBullet"/>
        <w:jc w:val="both"/>
      </w:pPr>
      <w:r>
        <w:rPr>
          <w:rFonts w:ascii="Cambria" w:hAnsi="Cambria"/>
          <w:sz w:val="22"/>
        </w:rPr>
        <w:t>Ensures policy implementation and regulatory compliance (UGC, NAAC, NBA, state acts).</w:t>
      </w:r>
    </w:p>
    <w:p>
      <w:pPr>
        <w:pStyle w:val="ListBullet2"/>
        <w:jc w:val="both"/>
      </w:pPr>
      <w:r>
        <w:rPr>
          <w:rFonts w:ascii="Cambria" w:hAnsi="Cambria"/>
          <w:sz w:val="22"/>
        </w:rPr>
        <w:t>Significance</w:t>
      </w:r>
    </w:p>
    <w:p>
      <w:pPr>
        <w:pStyle w:val="ListBullet"/>
        <w:jc w:val="both"/>
      </w:pPr>
      <w:r>
        <w:rPr>
          <w:rFonts w:ascii="Cambria" w:hAnsi="Cambria"/>
          <w:sz w:val="22"/>
        </w:rPr>
        <w:t>Acts as the backbone of academic governance.</w:t>
      </w:r>
    </w:p>
    <w:p>
      <w:pPr>
        <w:pStyle w:val="ListBullet"/>
        <w:jc w:val="both"/>
      </w:pPr>
      <w:r>
        <w:rPr>
          <w:rFonts w:ascii="Cambria" w:hAnsi="Cambria"/>
          <w:sz w:val="22"/>
        </w:rPr>
        <w:t>Provides administrative continuity and documentation integrity.</w:t>
      </w:r>
    </w:p>
    <w:p>
      <w:pPr>
        <w:pStyle w:val="ListBullet"/>
        <w:jc w:val="both"/>
      </w:pPr>
      <w:r>
        <w:rPr>
          <w:rFonts w:ascii="Cambria" w:hAnsi="Cambria"/>
          <w:sz w:val="22"/>
        </w:rPr>
        <w:t>2. Controller of Examinations (CoE)</w:t>
      </w:r>
    </w:p>
    <w:p>
      <w:pPr>
        <w:pStyle w:val="ListBullet2"/>
        <w:jc w:val="both"/>
      </w:pPr>
      <w:r>
        <w:rPr>
          <w:rFonts w:ascii="Cambria" w:hAnsi="Cambria"/>
          <w:sz w:val="22"/>
        </w:rPr>
        <w:t>Role &amp; Functions</w:t>
      </w:r>
    </w:p>
    <w:p>
      <w:pPr>
        <w:pStyle w:val="ListBullet"/>
        <w:jc w:val="both"/>
      </w:pPr>
      <w:r>
        <w:rPr>
          <w:rFonts w:ascii="Cambria" w:hAnsi="Cambria"/>
          <w:sz w:val="22"/>
        </w:rPr>
        <w:t>Organizes, schedules, and conducts university examinations.</w:t>
      </w:r>
    </w:p>
    <w:p>
      <w:pPr>
        <w:pStyle w:val="ListBullet"/>
        <w:jc w:val="both"/>
      </w:pPr>
      <w:r>
        <w:rPr>
          <w:rFonts w:ascii="Cambria" w:hAnsi="Cambria"/>
          <w:sz w:val="22"/>
        </w:rPr>
        <w:t>Maintains confidentiality, transparency, and fairness in assessment.</w:t>
      </w:r>
    </w:p>
    <w:p>
      <w:pPr>
        <w:pStyle w:val="ListBullet"/>
        <w:jc w:val="both"/>
      </w:pPr>
      <w:r>
        <w:rPr>
          <w:rFonts w:ascii="Cambria" w:hAnsi="Cambria"/>
          <w:sz w:val="22"/>
        </w:rPr>
        <w:t>Oversees evaluation, grading, and publication of results.</w:t>
      </w:r>
    </w:p>
    <w:p>
      <w:pPr>
        <w:pStyle w:val="ListBullet"/>
        <w:jc w:val="both"/>
      </w:pPr>
      <w:r>
        <w:rPr>
          <w:rFonts w:ascii="Cambria" w:hAnsi="Cambria"/>
          <w:sz w:val="22"/>
        </w:rPr>
        <w:t>Issues degrees, diplomas, and certificates in coordination with the Registrar.</w:t>
      </w:r>
    </w:p>
    <w:p>
      <w:pPr>
        <w:pStyle w:val="ListBullet2"/>
        <w:jc w:val="both"/>
      </w:pPr>
      <w:r>
        <w:rPr>
          <w:rFonts w:ascii="Cambria" w:hAnsi="Cambria"/>
          <w:sz w:val="22"/>
        </w:rPr>
        <w:t>Significance</w:t>
      </w:r>
    </w:p>
    <w:p>
      <w:pPr>
        <w:pStyle w:val="ListBullet"/>
        <w:jc w:val="both"/>
      </w:pPr>
      <w:r>
        <w:rPr>
          <w:rFonts w:ascii="Cambria" w:hAnsi="Cambria"/>
          <w:sz w:val="22"/>
        </w:rPr>
        <w:t>Ensures academic credibility through secure examination processes.</w:t>
      </w:r>
    </w:p>
    <w:p>
      <w:pPr>
        <w:pStyle w:val="ListBullet"/>
        <w:jc w:val="both"/>
      </w:pPr>
      <w:r>
        <w:rPr>
          <w:rFonts w:ascii="Cambria" w:hAnsi="Cambria"/>
          <w:sz w:val="22"/>
        </w:rPr>
        <w:t>Upholds student trust and institutional reputation.</w:t>
      </w:r>
    </w:p>
    <w:p>
      <w:pPr>
        <w:pStyle w:val="ListBullet"/>
        <w:jc w:val="both"/>
      </w:pPr>
      <w:r>
        <w:rPr>
          <w:rFonts w:ascii="Cambria" w:hAnsi="Cambria"/>
          <w:sz w:val="22"/>
        </w:rPr>
        <w:t>3. Finance Officer / Bursar / Chief Finance Officer (CFO)</w:t>
      </w:r>
    </w:p>
    <w:p>
      <w:pPr>
        <w:pStyle w:val="ListBullet2"/>
        <w:jc w:val="both"/>
      </w:pPr>
      <w:r>
        <w:rPr>
          <w:rFonts w:ascii="Cambria" w:hAnsi="Cambria"/>
          <w:sz w:val="22"/>
        </w:rPr>
        <w:t>Role &amp; Functions</w:t>
      </w:r>
    </w:p>
    <w:p>
      <w:pPr>
        <w:pStyle w:val="ListBullet"/>
        <w:jc w:val="both"/>
      </w:pPr>
      <w:r>
        <w:rPr>
          <w:rFonts w:ascii="Cambria" w:hAnsi="Cambria"/>
          <w:sz w:val="22"/>
        </w:rPr>
        <w:t>Prepares and monitors budgets, accounts, and financial statements.</w:t>
      </w:r>
    </w:p>
    <w:p>
      <w:pPr>
        <w:pStyle w:val="ListBullet"/>
        <w:jc w:val="both"/>
      </w:pPr>
      <w:r>
        <w:rPr>
          <w:rFonts w:ascii="Cambria" w:hAnsi="Cambria"/>
          <w:sz w:val="22"/>
        </w:rPr>
        <w:t>Oversees fee collection, scholarships, payrolls, and fund disbursement.</w:t>
      </w:r>
    </w:p>
    <w:p>
      <w:pPr>
        <w:pStyle w:val="ListBullet"/>
        <w:jc w:val="both"/>
      </w:pPr>
      <w:r>
        <w:rPr>
          <w:rFonts w:ascii="Cambria" w:hAnsi="Cambria"/>
          <w:sz w:val="22"/>
        </w:rPr>
        <w:t>Coordinates with external auditors for compliance and transparency.</w:t>
      </w:r>
    </w:p>
    <w:p>
      <w:pPr>
        <w:pStyle w:val="ListBullet"/>
        <w:jc w:val="both"/>
      </w:pPr>
      <w:r>
        <w:rPr>
          <w:rFonts w:ascii="Cambria" w:hAnsi="Cambria"/>
          <w:sz w:val="22"/>
        </w:rPr>
        <w:t>Mobilizes resources through grants, consultancy, alumni endowments, and industry partnerships.</w:t>
      </w:r>
    </w:p>
    <w:p>
      <w:pPr>
        <w:pStyle w:val="ListBullet2"/>
        <w:jc w:val="both"/>
      </w:pPr>
      <w:r>
        <w:rPr>
          <w:rFonts w:ascii="Cambria" w:hAnsi="Cambria"/>
          <w:sz w:val="22"/>
        </w:rPr>
        <w:t>Significance</w:t>
      </w:r>
    </w:p>
    <w:p>
      <w:pPr>
        <w:pStyle w:val="ListBullet"/>
        <w:jc w:val="both"/>
      </w:pPr>
      <w:r>
        <w:rPr>
          <w:rFonts w:ascii="Cambria" w:hAnsi="Cambria"/>
          <w:sz w:val="22"/>
        </w:rPr>
        <w:t>Maintains financial sustainability of the institution.</w:t>
      </w:r>
    </w:p>
    <w:p>
      <w:pPr>
        <w:pStyle w:val="ListBullet"/>
        <w:jc w:val="both"/>
      </w:pPr>
      <w:r>
        <w:rPr>
          <w:rFonts w:ascii="Cambria" w:hAnsi="Cambria"/>
          <w:sz w:val="22"/>
        </w:rPr>
        <w:t>Ensures accountability and prevents financial irregularities.</w:t>
      </w:r>
    </w:p>
    <w:p>
      <w:pPr>
        <w:pStyle w:val="ListBullet"/>
        <w:jc w:val="both"/>
      </w:pPr>
      <w:r>
        <w:rPr>
          <w:rFonts w:ascii="Cambria" w:hAnsi="Cambria"/>
          <w:sz w:val="22"/>
        </w:rPr>
        <w:t>4. Director – Internal Quality Assurance Cell (IQAC)</w:t>
      </w:r>
    </w:p>
    <w:p>
      <w:pPr>
        <w:pStyle w:val="ListBullet2"/>
        <w:jc w:val="both"/>
      </w:pPr>
      <w:r>
        <w:rPr>
          <w:rFonts w:ascii="Cambria" w:hAnsi="Cambria"/>
          <w:sz w:val="22"/>
        </w:rPr>
        <w:t>Role &amp; Functions</w:t>
      </w:r>
    </w:p>
    <w:p>
      <w:pPr>
        <w:pStyle w:val="ListBullet"/>
        <w:jc w:val="both"/>
      </w:pPr>
      <w:r>
        <w:rPr>
          <w:rFonts w:ascii="Cambria" w:hAnsi="Cambria"/>
          <w:sz w:val="22"/>
        </w:rPr>
        <w:t>Ensures quality benchmarks for teaching, learning, research, and administration.</w:t>
      </w:r>
    </w:p>
    <w:p>
      <w:pPr>
        <w:pStyle w:val="ListBullet"/>
        <w:jc w:val="both"/>
      </w:pPr>
      <w:r>
        <w:rPr>
          <w:rFonts w:ascii="Cambria" w:hAnsi="Cambria"/>
          <w:sz w:val="22"/>
        </w:rPr>
        <w:t>Prepares Self-Study Reports (SSR) for NAAC and compliance for NBA, NIRF, QS, and other frameworks.</w:t>
      </w:r>
    </w:p>
    <w:p>
      <w:pPr>
        <w:pStyle w:val="ListBullet"/>
        <w:jc w:val="both"/>
      </w:pPr>
      <w:r>
        <w:rPr>
          <w:rFonts w:ascii="Cambria" w:hAnsi="Cambria"/>
          <w:sz w:val="22"/>
        </w:rPr>
        <w:t>Monitors performance indicators (KPIs) for faculty, departments, and institutional growth.</w:t>
      </w:r>
    </w:p>
    <w:p>
      <w:pPr>
        <w:pStyle w:val="ListBullet"/>
        <w:jc w:val="both"/>
      </w:pPr>
      <w:r>
        <w:rPr>
          <w:rFonts w:ascii="Cambria" w:hAnsi="Cambria"/>
          <w:sz w:val="22"/>
        </w:rPr>
        <w:t>Promotes best practices, continuous improvement, and academic audits.</w:t>
      </w:r>
    </w:p>
    <w:p>
      <w:pPr>
        <w:pStyle w:val="ListBullet2"/>
        <w:jc w:val="both"/>
      </w:pPr>
      <w:r>
        <w:rPr>
          <w:rFonts w:ascii="Cambria" w:hAnsi="Cambria"/>
          <w:sz w:val="22"/>
        </w:rPr>
        <w:t>Significance</w:t>
      </w:r>
    </w:p>
    <w:p>
      <w:pPr>
        <w:pStyle w:val="ListBullet"/>
        <w:jc w:val="both"/>
      </w:pPr>
      <w:r>
        <w:rPr>
          <w:rFonts w:ascii="Cambria" w:hAnsi="Cambria"/>
          <w:sz w:val="22"/>
        </w:rPr>
        <w:t>Central to accreditation success and ranking improvements.</w:t>
      </w:r>
    </w:p>
    <w:p>
      <w:pPr>
        <w:pStyle w:val="ListBullet"/>
        <w:jc w:val="both"/>
      </w:pPr>
      <w:r>
        <w:rPr>
          <w:rFonts w:ascii="Cambria" w:hAnsi="Cambria"/>
          <w:sz w:val="22"/>
        </w:rPr>
        <w:t>Strengthens a culture of quality and accountability.</w:t>
      </w:r>
    </w:p>
    <w:p>
      <w:pPr>
        <w:pStyle w:val="ListBullet"/>
        <w:jc w:val="both"/>
      </w:pPr>
      <w:r>
        <w:rPr>
          <w:rFonts w:ascii="Cambria" w:hAnsi="Cambria"/>
          <w:sz w:val="22"/>
        </w:rPr>
        <w:t>5. Director – Human Resources &amp; Administration</w:t>
      </w:r>
    </w:p>
    <w:p>
      <w:pPr>
        <w:pStyle w:val="ListBullet2"/>
        <w:jc w:val="both"/>
      </w:pPr>
      <w:r>
        <w:rPr>
          <w:rFonts w:ascii="Cambria" w:hAnsi="Cambria"/>
          <w:sz w:val="22"/>
        </w:rPr>
        <w:t>Role &amp; Functions</w:t>
      </w:r>
    </w:p>
    <w:p>
      <w:pPr>
        <w:pStyle w:val="ListBullet"/>
        <w:jc w:val="both"/>
      </w:pPr>
      <w:r>
        <w:rPr>
          <w:rFonts w:ascii="Cambria" w:hAnsi="Cambria"/>
          <w:sz w:val="22"/>
        </w:rPr>
        <w:t>Manages recruitment, promotions, training, and service conditions of staff and faculty.</w:t>
      </w:r>
    </w:p>
    <w:p>
      <w:pPr>
        <w:pStyle w:val="ListBullet"/>
        <w:jc w:val="both"/>
      </w:pPr>
      <w:r>
        <w:rPr>
          <w:rFonts w:ascii="Cambria" w:hAnsi="Cambria"/>
          <w:sz w:val="22"/>
        </w:rPr>
        <w:t>Frames HR policies, grievance redressal systems, and staff welfare schemes.</w:t>
      </w:r>
    </w:p>
    <w:p>
      <w:pPr>
        <w:pStyle w:val="ListBullet"/>
        <w:jc w:val="both"/>
      </w:pPr>
      <w:r>
        <w:rPr>
          <w:rFonts w:ascii="Cambria" w:hAnsi="Cambria"/>
          <w:sz w:val="22"/>
        </w:rPr>
        <w:t>Ensures compliance with labor laws, diversity, and inclusivity practices.</w:t>
      </w:r>
    </w:p>
    <w:p>
      <w:pPr>
        <w:pStyle w:val="ListBullet"/>
        <w:jc w:val="both"/>
      </w:pPr>
      <w:r>
        <w:rPr>
          <w:rFonts w:ascii="Cambria" w:hAnsi="Cambria"/>
          <w:sz w:val="22"/>
        </w:rPr>
        <w:t>Promotes professional development through faculty training and workshops.</w:t>
      </w:r>
    </w:p>
    <w:p>
      <w:pPr>
        <w:pStyle w:val="ListBullet2"/>
        <w:jc w:val="both"/>
      </w:pPr>
      <w:r>
        <w:rPr>
          <w:rFonts w:ascii="Cambria" w:hAnsi="Cambria"/>
          <w:sz w:val="22"/>
        </w:rPr>
        <w:t>Significance</w:t>
      </w:r>
    </w:p>
    <w:p>
      <w:pPr>
        <w:pStyle w:val="ListBullet"/>
        <w:jc w:val="both"/>
      </w:pPr>
      <w:r>
        <w:rPr>
          <w:rFonts w:ascii="Cambria" w:hAnsi="Cambria"/>
          <w:sz w:val="22"/>
        </w:rPr>
        <w:t>Builds institutional capacity through effective workforce management.</w:t>
      </w:r>
    </w:p>
    <w:p>
      <w:pPr>
        <w:pStyle w:val="ListBullet"/>
        <w:jc w:val="both"/>
      </w:pPr>
      <w:r>
        <w:rPr>
          <w:rFonts w:ascii="Cambria" w:hAnsi="Cambria"/>
          <w:sz w:val="22"/>
        </w:rPr>
        <w:t>Enhances staff morale and productivity.</w:t>
      </w:r>
    </w:p>
    <w:p>
      <w:pPr>
        <w:pStyle w:val="ListBullet"/>
        <w:jc w:val="both"/>
      </w:pPr>
      <w:r>
        <w:rPr>
          <w:rFonts w:ascii="Cambria" w:hAnsi="Cambria"/>
          <w:sz w:val="22"/>
        </w:rPr>
        <w:t>6. University Librarian / Director of Library Services</w:t>
      </w:r>
    </w:p>
    <w:p>
      <w:pPr>
        <w:pStyle w:val="ListBullet2"/>
        <w:jc w:val="both"/>
      </w:pPr>
      <w:r>
        <w:rPr>
          <w:rFonts w:ascii="Cambria" w:hAnsi="Cambria"/>
          <w:sz w:val="22"/>
        </w:rPr>
        <w:t>Role &amp; Functions</w:t>
      </w:r>
    </w:p>
    <w:p>
      <w:pPr>
        <w:pStyle w:val="ListBullet"/>
        <w:jc w:val="both"/>
      </w:pPr>
      <w:r>
        <w:rPr>
          <w:rFonts w:ascii="Cambria" w:hAnsi="Cambria"/>
          <w:sz w:val="22"/>
        </w:rPr>
        <w:t>Manages central and departmental libraries, including digital repositories.</w:t>
      </w:r>
    </w:p>
    <w:p>
      <w:pPr>
        <w:pStyle w:val="ListBullet"/>
        <w:jc w:val="both"/>
      </w:pPr>
      <w:r>
        <w:rPr>
          <w:rFonts w:ascii="Cambria" w:hAnsi="Cambria"/>
          <w:sz w:val="22"/>
        </w:rPr>
        <w:t>Provides access to e-resources, research databases, and knowledge management systems.</w:t>
      </w:r>
    </w:p>
    <w:p>
      <w:pPr>
        <w:pStyle w:val="ListBullet"/>
        <w:jc w:val="both"/>
      </w:pPr>
      <w:r>
        <w:rPr>
          <w:rFonts w:ascii="Cambria" w:hAnsi="Cambria"/>
          <w:sz w:val="22"/>
        </w:rPr>
        <w:t>Supports faculty and students in research, referencing, and plagiarism checks.</w:t>
      </w:r>
    </w:p>
    <w:p>
      <w:pPr>
        <w:pStyle w:val="ListBullet"/>
        <w:jc w:val="both"/>
      </w:pPr>
      <w:r>
        <w:rPr>
          <w:rFonts w:ascii="Cambria" w:hAnsi="Cambria"/>
          <w:sz w:val="22"/>
        </w:rPr>
        <w:t>Promotes open-access initiatives and digital learning platforms.</w:t>
      </w:r>
    </w:p>
    <w:p>
      <w:pPr>
        <w:pStyle w:val="ListBullet2"/>
        <w:jc w:val="both"/>
      </w:pPr>
      <w:r>
        <w:rPr>
          <w:rFonts w:ascii="Cambria" w:hAnsi="Cambria"/>
          <w:sz w:val="22"/>
        </w:rPr>
        <w:t>Significance</w:t>
      </w:r>
    </w:p>
    <w:p>
      <w:pPr>
        <w:pStyle w:val="ListBullet"/>
        <w:jc w:val="both"/>
      </w:pPr>
      <w:r>
        <w:rPr>
          <w:rFonts w:ascii="Cambria" w:hAnsi="Cambria"/>
          <w:sz w:val="22"/>
        </w:rPr>
        <w:t>Serves as the academic resource hub of the university.</w:t>
      </w:r>
    </w:p>
    <w:p>
      <w:pPr>
        <w:pStyle w:val="ListBullet"/>
        <w:jc w:val="both"/>
      </w:pPr>
      <w:r>
        <w:rPr>
          <w:rFonts w:ascii="Cambria" w:hAnsi="Cambria"/>
          <w:sz w:val="22"/>
        </w:rPr>
        <w:t>Strengthens research and knowledge dissemination.</w:t>
      </w:r>
    </w:p>
    <w:p>
      <w:pPr>
        <w:pStyle w:val="ListBullet"/>
        <w:jc w:val="both"/>
      </w:pPr>
      <w:r>
        <w:rPr>
          <w:rFonts w:ascii="Cambria" w:hAnsi="Cambria"/>
          <w:sz w:val="22"/>
        </w:rPr>
        <w:t>7. Other Core Administrative Offices (Varies by University)</w:t>
      </w:r>
    </w:p>
    <w:p>
      <w:pPr>
        <w:pStyle w:val="ListBullet2"/>
        <w:jc w:val="both"/>
      </w:pPr>
      <w:r>
        <w:rPr>
          <w:rFonts w:ascii="Cambria" w:hAnsi="Cambria"/>
          <w:sz w:val="22"/>
        </w:rPr>
        <w:t>Director of Research &amp; Development (R&amp;D Cell): Facilitates grants, patents, consultancy, and innovation hubs.</w:t>
      </w:r>
    </w:p>
    <w:p>
      <w:pPr>
        <w:pStyle w:val="ListBullet2"/>
        <w:jc w:val="both"/>
      </w:pPr>
      <w:r>
        <w:rPr>
          <w:rFonts w:ascii="Cambria" w:hAnsi="Cambria"/>
          <w:sz w:val="22"/>
        </w:rPr>
        <w:t>Dean of Students / Student Welfare: Oversees counseling, scholarships, placements, inclusivity, and cultural activities.</w:t>
      </w:r>
    </w:p>
    <w:p>
      <w:pPr>
        <w:pStyle w:val="ListBullet2"/>
        <w:jc w:val="both"/>
      </w:pPr>
      <w:r>
        <w:rPr>
          <w:rFonts w:ascii="Cambria" w:hAnsi="Cambria"/>
          <w:sz w:val="22"/>
        </w:rPr>
        <w:t>Director of IT Services: Manages ERP systems, digital learning platforms, and cybersecurity.</w:t>
      </w:r>
    </w:p>
    <w:p>
      <w:pPr>
        <w:pStyle w:val="ListBullet2"/>
        <w:jc w:val="both"/>
      </w:pPr>
      <w:r>
        <w:rPr>
          <w:rFonts w:ascii="Cambria" w:hAnsi="Cambria"/>
          <w:sz w:val="22"/>
        </w:rPr>
        <w:t>Public Relations / International Relations Officer: Builds the university's public image and global collaborations.</w:t>
      </w:r>
    </w:p>
    <w:p>
      <w:pPr>
        <w:keepNext/>
        <w:spacing w:before="160" w:after="120"/>
      </w:pPr>
      <w:r>
        <w:rPr>
          <w:rFonts w:ascii="Cambria" w:hAnsi="Cambria"/>
          <w:b/>
          <w:color w:val="1F3A5F"/>
          <w:sz w:val="30"/>
        </w:rPr>
        <w:t>Core Administrative Officers</w:t>
      </w:r>
    </w:p>
    <w:tbl>
      <w:tblPr>
        <w:tblW w:type="auto" w:w="0"/>
        <w:tblLayout w:type="fixed"/>
        <w:tblLook w:firstColumn="1" w:firstRow="1" w:lastColumn="0" w:lastRow="0" w:noHBand="0" w:noVBand="1" w:val="04A0"/>
        <w:tblLayout w:type="fixed"/>
      </w:tblPr>
      <w:tblGrid>
        <w:gridCol w:w="1644"/>
        <w:gridCol w:w="2721"/>
        <w:gridCol w:w="2211"/>
        <w:gridCol w:w="2268"/>
      </w:tblGrid>
      <w:tr>
        <w:tc>
          <w:tcPr>
            <w:tcW w:type="dxa" w:w="1644"/>
            <w:shd w:val="clear" w:color="auto" w:fill="1F3A5F"/>
            <w:tcW w:w="1644" w:type="dxa"/>
          </w:tcPr>
          <w:p>
            <w:pPr>
              <w:jc w:val="center"/>
            </w:pPr>
            <w:r/>
            <w:r>
              <w:rPr>
                <w:rFonts w:ascii="Cambria" w:hAnsi="Cambria"/>
                <w:b/>
                <w:color w:val="FFFFFF"/>
                <w:sz w:val="20"/>
              </w:rPr>
              <w:t>Officer</w:t>
            </w:r>
          </w:p>
        </w:tc>
        <w:tc>
          <w:tcPr>
            <w:tcW w:type="dxa" w:w="2721"/>
            <w:shd w:val="clear" w:color="auto" w:fill="1F3A5F"/>
            <w:tcW w:w="2721" w:type="dxa"/>
          </w:tcPr>
          <w:p>
            <w:pPr>
              <w:jc w:val="center"/>
            </w:pPr>
            <w:r/>
            <w:r>
              <w:rPr>
                <w:rFonts w:ascii="Cambria" w:hAnsi="Cambria"/>
                <w:b/>
                <w:color w:val="FFFFFF"/>
                <w:sz w:val="20"/>
              </w:rPr>
              <w:t>Key Actions</w:t>
            </w:r>
          </w:p>
        </w:tc>
        <w:tc>
          <w:tcPr>
            <w:tcW w:type="dxa" w:w="2211"/>
            <w:shd w:val="clear" w:color="auto" w:fill="1F3A5F"/>
            <w:tcW w:w="2211" w:type="dxa"/>
          </w:tcPr>
          <w:p>
            <w:pPr>
              <w:jc w:val="center"/>
            </w:pPr>
            <w:r/>
            <w:r>
              <w:rPr>
                <w:rFonts w:ascii="Cambria" w:hAnsi="Cambria"/>
                <w:b/>
                <w:color w:val="FFFFFF"/>
                <w:sz w:val="20"/>
              </w:rPr>
              <w:t>Institutional Impact</w:t>
            </w:r>
          </w:p>
        </w:tc>
        <w:tc>
          <w:tcPr>
            <w:tcW w:type="dxa" w:w="2268"/>
            <w:shd w:val="clear" w:color="auto" w:fill="1F3A5F"/>
            <w:tcW w:w="2268" w:type="dxa"/>
          </w:tcPr>
          <w:p>
            <w:pPr>
              <w:jc w:val="center"/>
            </w:pPr>
            <w:r/>
            <w:r>
              <w:rPr>
                <w:rFonts w:ascii="Cambria" w:hAnsi="Cambria"/>
                <w:b/>
                <w:color w:val="FFFFFF"/>
                <w:sz w:val="20"/>
              </w:rPr>
              <w:t>Evidence / Documentation</w:t>
            </w:r>
          </w:p>
        </w:tc>
      </w:tr>
      <w:tr>
        <w:tc>
          <w:tcPr>
            <w:tcW w:type="dxa" w:w="1644"/>
            <w:tcW w:w="1644" w:type="dxa"/>
          </w:tcPr>
          <w:p>
            <w:pPr>
              <w:jc w:val="left"/>
            </w:pPr>
            <w:r/>
            <w:r>
              <w:rPr>
                <w:rFonts w:ascii="Cambria" w:hAnsi="Cambria"/>
                <w:b w:val="0"/>
                <w:sz w:val="18"/>
              </w:rPr>
              <w:t>Registrar / University Secretary</w:t>
            </w:r>
          </w:p>
        </w:tc>
        <w:tc>
          <w:tcPr>
            <w:tcW w:type="dxa" w:w="2721"/>
            <w:tcW w:w="2721" w:type="dxa"/>
          </w:tcPr>
          <w:p>
            <w:pPr>
              <w:jc w:val="left"/>
            </w:pPr>
            <w:r/>
            <w:r>
              <w:rPr>
                <w:rFonts w:ascii="Cambria" w:hAnsi="Cambria"/>
                <w:b w:val="0"/>
                <w:sz w:val="18"/>
              </w:rPr>
              <w:t>- Custodian of statutes, ordinances, and records.</w:t>
            </w:r>
          </w:p>
          <w:p>
            <w:pPr>
              <w:jc w:val="left"/>
            </w:pPr>
            <w:r>
              <w:rPr>
                <w:rFonts w:ascii="Cambria" w:hAnsi="Cambria"/>
                <w:b w:val="0"/>
                <w:sz w:val="18"/>
              </w:rPr>
              <w:t>- Oversees admissions and academic administration.</w:t>
            </w:r>
          </w:p>
          <w:p>
            <w:pPr>
              <w:jc w:val="left"/>
            </w:pPr>
            <w:r>
              <w:rPr>
                <w:rFonts w:ascii="Cambria" w:hAnsi="Cambria"/>
                <w:b w:val="0"/>
                <w:sz w:val="18"/>
              </w:rPr>
              <w:t>- Coordinates meetings of statutory bodies.</w:t>
            </w:r>
          </w:p>
        </w:tc>
        <w:tc>
          <w:tcPr>
            <w:tcW w:type="dxa" w:w="2211"/>
            <w:tcW w:w="2211" w:type="dxa"/>
          </w:tcPr>
          <w:p>
            <w:pPr>
              <w:jc w:val="left"/>
            </w:pPr>
            <w:r/>
            <w:r>
              <w:rPr>
                <w:rFonts w:ascii="Cambria" w:hAnsi="Cambria"/>
                <w:b w:val="0"/>
                <w:sz w:val="18"/>
              </w:rPr>
              <w:t>- Smooth governance and compliance with regulations.</w:t>
            </w:r>
          </w:p>
          <w:p>
            <w:pPr>
              <w:jc w:val="left"/>
            </w:pPr>
            <w:r>
              <w:rPr>
                <w:rFonts w:ascii="Cambria" w:hAnsi="Cambria"/>
                <w:b w:val="0"/>
                <w:sz w:val="18"/>
              </w:rPr>
              <w:t>- Transparent admission and academic processes.</w:t>
            </w:r>
          </w:p>
          <w:p>
            <w:pPr>
              <w:jc w:val="left"/>
            </w:pPr>
            <w:r>
              <w:rPr>
                <w:rFonts w:ascii="Cambria" w:hAnsi="Cambria"/>
                <w:b w:val="0"/>
                <w:sz w:val="18"/>
              </w:rPr>
              <w:t>- Effective decision-making through statutory bodies.</w:t>
            </w:r>
          </w:p>
        </w:tc>
        <w:tc>
          <w:tcPr>
            <w:tcW w:type="dxa" w:w="2268"/>
            <w:tcW w:w="2268" w:type="dxa"/>
          </w:tcPr>
          <w:p>
            <w:pPr>
              <w:jc w:val="left"/>
            </w:pPr>
            <w:r/>
            <w:r>
              <w:rPr>
                <w:rFonts w:ascii="Cambria" w:hAnsi="Cambria"/>
                <w:b w:val="0"/>
                <w:sz w:val="18"/>
              </w:rPr>
              <w:t>- Statutes &amp; ordinances.</w:t>
            </w:r>
          </w:p>
          <w:p>
            <w:pPr>
              <w:jc w:val="left"/>
            </w:pPr>
            <w:r>
              <w:rPr>
                <w:rFonts w:ascii="Cambria" w:hAnsi="Cambria"/>
                <w:b w:val="0"/>
                <w:sz w:val="18"/>
              </w:rPr>
              <w:t>- Admission records.</w:t>
            </w:r>
          </w:p>
          <w:p>
            <w:pPr>
              <w:jc w:val="left"/>
            </w:pPr>
            <w:r>
              <w:rPr>
                <w:rFonts w:ascii="Cambria" w:hAnsi="Cambria"/>
                <w:b w:val="0"/>
                <w:sz w:val="18"/>
              </w:rPr>
              <w:t>- Minutes of Academic/Executive Council.</w:t>
            </w:r>
          </w:p>
          <w:p>
            <w:pPr>
              <w:jc w:val="left"/>
            </w:pPr>
            <w:r>
              <w:rPr>
                <w:rFonts w:ascii="Cambria" w:hAnsi="Cambria"/>
                <w:b w:val="0"/>
                <w:sz w:val="18"/>
              </w:rPr>
              <w:t>- Annual administrative reports.</w:t>
            </w:r>
          </w:p>
        </w:tc>
      </w:tr>
      <w:tr>
        <w:tc>
          <w:tcPr>
            <w:tcW w:type="dxa" w:w="1644"/>
            <w:tcW w:w="1644" w:type="dxa"/>
            <w:shd w:val="clear" w:color="auto" w:fill="D9E2EC"/>
          </w:tcPr>
          <w:p>
            <w:pPr>
              <w:jc w:val="left"/>
            </w:pPr>
            <w:r/>
            <w:r>
              <w:rPr>
                <w:rFonts w:ascii="Cambria" w:hAnsi="Cambria"/>
                <w:b w:val="0"/>
                <w:sz w:val="18"/>
              </w:rPr>
              <w:t>Controller of Examinations (CoE)</w:t>
            </w:r>
          </w:p>
        </w:tc>
        <w:tc>
          <w:tcPr>
            <w:tcW w:type="dxa" w:w="2721"/>
            <w:tcW w:w="2721" w:type="dxa"/>
            <w:shd w:val="clear" w:color="auto" w:fill="D9E2EC"/>
          </w:tcPr>
          <w:p>
            <w:pPr>
              <w:jc w:val="left"/>
            </w:pPr>
            <w:r/>
            <w:r>
              <w:rPr>
                <w:rFonts w:ascii="Cambria" w:hAnsi="Cambria"/>
                <w:b w:val="0"/>
                <w:sz w:val="18"/>
              </w:rPr>
              <w:t>- Plans and conducts examinations.</w:t>
            </w:r>
          </w:p>
          <w:p>
            <w:pPr>
              <w:jc w:val="left"/>
            </w:pPr>
            <w:r>
              <w:rPr>
                <w:rFonts w:ascii="Cambria" w:hAnsi="Cambria"/>
                <w:b w:val="0"/>
                <w:sz w:val="18"/>
              </w:rPr>
              <w:t>- Oversees evaluation, grading, and result publication.</w:t>
            </w:r>
          </w:p>
          <w:p>
            <w:pPr>
              <w:jc w:val="left"/>
            </w:pPr>
            <w:r>
              <w:rPr>
                <w:rFonts w:ascii="Cambria" w:hAnsi="Cambria"/>
                <w:b w:val="0"/>
                <w:sz w:val="18"/>
              </w:rPr>
              <w:t>- Maintains confidentiality and fairness.</w:t>
            </w:r>
          </w:p>
        </w:tc>
        <w:tc>
          <w:tcPr>
            <w:tcW w:type="dxa" w:w="2211"/>
            <w:tcW w:w="2211" w:type="dxa"/>
            <w:shd w:val="clear" w:color="auto" w:fill="D9E2EC"/>
          </w:tcPr>
          <w:p>
            <w:pPr>
              <w:jc w:val="left"/>
            </w:pPr>
            <w:r/>
            <w:r>
              <w:rPr>
                <w:rFonts w:ascii="Cambria" w:hAnsi="Cambria"/>
                <w:b w:val="0"/>
                <w:sz w:val="18"/>
              </w:rPr>
              <w:t>- Credibility of examinations.</w:t>
            </w:r>
          </w:p>
          <w:p>
            <w:pPr>
              <w:jc w:val="left"/>
            </w:pPr>
            <w:r>
              <w:rPr>
                <w:rFonts w:ascii="Cambria" w:hAnsi="Cambria"/>
                <w:b w:val="0"/>
                <w:sz w:val="18"/>
              </w:rPr>
              <w:t>- Timely result declaration.</w:t>
            </w:r>
          </w:p>
          <w:p>
            <w:pPr>
              <w:jc w:val="left"/>
            </w:pPr>
            <w:r>
              <w:rPr>
                <w:rFonts w:ascii="Cambria" w:hAnsi="Cambria"/>
                <w:b w:val="0"/>
                <w:sz w:val="18"/>
              </w:rPr>
              <w:t>- Increased student trust and academic integrity.</w:t>
            </w:r>
          </w:p>
        </w:tc>
        <w:tc>
          <w:tcPr>
            <w:tcW w:type="dxa" w:w="2268"/>
            <w:tcW w:w="2268" w:type="dxa"/>
            <w:shd w:val="clear" w:color="auto" w:fill="D9E2EC"/>
          </w:tcPr>
          <w:p>
            <w:pPr>
              <w:jc w:val="left"/>
            </w:pPr>
            <w:r/>
            <w:r>
              <w:rPr>
                <w:rFonts w:ascii="Cambria" w:hAnsi="Cambria"/>
                <w:b w:val="0"/>
                <w:sz w:val="18"/>
              </w:rPr>
              <w:t>- Examination schedules.</w:t>
            </w:r>
          </w:p>
          <w:p>
            <w:pPr>
              <w:jc w:val="left"/>
            </w:pPr>
            <w:r>
              <w:rPr>
                <w:rFonts w:ascii="Cambria" w:hAnsi="Cambria"/>
                <w:b w:val="0"/>
                <w:sz w:val="18"/>
              </w:rPr>
              <w:t>- Evaluation reports.</w:t>
            </w:r>
          </w:p>
          <w:p>
            <w:pPr>
              <w:jc w:val="left"/>
            </w:pPr>
            <w:r>
              <w:rPr>
                <w:rFonts w:ascii="Cambria" w:hAnsi="Cambria"/>
                <w:b w:val="0"/>
                <w:sz w:val="18"/>
              </w:rPr>
              <w:t>- Result gazettes.</w:t>
            </w:r>
          </w:p>
          <w:p>
            <w:pPr>
              <w:jc w:val="left"/>
            </w:pPr>
            <w:r>
              <w:rPr>
                <w:rFonts w:ascii="Cambria" w:hAnsi="Cambria"/>
                <w:b w:val="0"/>
                <w:sz w:val="18"/>
              </w:rPr>
              <w:t>- Confidentiality protocols.</w:t>
            </w:r>
          </w:p>
        </w:tc>
      </w:tr>
      <w:tr>
        <w:tc>
          <w:tcPr>
            <w:tcW w:type="dxa" w:w="1644"/>
            <w:tcW w:w="1644" w:type="dxa"/>
          </w:tcPr>
          <w:p>
            <w:pPr>
              <w:jc w:val="left"/>
            </w:pPr>
            <w:r/>
            <w:r>
              <w:rPr>
                <w:rFonts w:ascii="Cambria" w:hAnsi="Cambria"/>
                <w:b w:val="0"/>
                <w:sz w:val="18"/>
              </w:rPr>
              <w:t>Finance Officer / CFO / Bursar</w:t>
            </w:r>
          </w:p>
        </w:tc>
        <w:tc>
          <w:tcPr>
            <w:tcW w:type="dxa" w:w="2721"/>
            <w:tcW w:w="2721" w:type="dxa"/>
          </w:tcPr>
          <w:p>
            <w:pPr>
              <w:jc w:val="left"/>
            </w:pPr>
            <w:r/>
            <w:r>
              <w:rPr>
                <w:rFonts w:ascii="Cambria" w:hAnsi="Cambria"/>
                <w:b w:val="0"/>
                <w:sz w:val="18"/>
              </w:rPr>
              <w:t>- Prepares and monitors budgets.</w:t>
            </w:r>
          </w:p>
          <w:p>
            <w:pPr>
              <w:jc w:val="left"/>
            </w:pPr>
            <w:r>
              <w:rPr>
                <w:rFonts w:ascii="Cambria" w:hAnsi="Cambria"/>
                <w:b w:val="0"/>
                <w:sz w:val="18"/>
              </w:rPr>
              <w:t>- Ensures transparent audits.</w:t>
            </w:r>
          </w:p>
          <w:p>
            <w:pPr>
              <w:jc w:val="left"/>
            </w:pPr>
            <w:r>
              <w:rPr>
                <w:rFonts w:ascii="Cambria" w:hAnsi="Cambria"/>
                <w:b w:val="0"/>
                <w:sz w:val="18"/>
              </w:rPr>
              <w:t>- Mobilizes funds via grants, consultancy, alumni.</w:t>
            </w:r>
          </w:p>
        </w:tc>
        <w:tc>
          <w:tcPr>
            <w:tcW w:type="dxa" w:w="2211"/>
            <w:tcW w:w="2211" w:type="dxa"/>
          </w:tcPr>
          <w:p>
            <w:pPr>
              <w:jc w:val="left"/>
            </w:pPr>
            <w:r/>
            <w:r>
              <w:rPr>
                <w:rFonts w:ascii="Cambria" w:hAnsi="Cambria"/>
                <w:b w:val="0"/>
                <w:sz w:val="18"/>
              </w:rPr>
              <w:t>- Financial sustainability.</w:t>
            </w:r>
          </w:p>
          <w:p>
            <w:pPr>
              <w:jc w:val="left"/>
            </w:pPr>
            <w:r>
              <w:rPr>
                <w:rFonts w:ascii="Cambria" w:hAnsi="Cambria"/>
                <w:b w:val="0"/>
                <w:sz w:val="18"/>
              </w:rPr>
              <w:t>- Accountability in fund utilization.</w:t>
            </w:r>
          </w:p>
          <w:p>
            <w:pPr>
              <w:jc w:val="left"/>
            </w:pPr>
            <w:r>
              <w:rPr>
                <w:rFonts w:ascii="Cambria" w:hAnsi="Cambria"/>
                <w:b w:val="0"/>
                <w:sz w:val="18"/>
              </w:rPr>
              <w:t>- Enhanced resources for growth.</w:t>
            </w:r>
          </w:p>
        </w:tc>
        <w:tc>
          <w:tcPr>
            <w:tcW w:type="dxa" w:w="2268"/>
            <w:tcW w:w="2268" w:type="dxa"/>
          </w:tcPr>
          <w:p>
            <w:pPr>
              <w:jc w:val="left"/>
            </w:pPr>
            <w:r/>
            <w:r>
              <w:rPr>
                <w:rFonts w:ascii="Cambria" w:hAnsi="Cambria"/>
                <w:b w:val="0"/>
                <w:sz w:val="18"/>
              </w:rPr>
              <w:t>- Audited financial statements.</w:t>
            </w:r>
          </w:p>
          <w:p>
            <w:pPr>
              <w:jc w:val="left"/>
            </w:pPr>
            <w:r>
              <w:rPr>
                <w:rFonts w:ascii="Cambria" w:hAnsi="Cambria"/>
                <w:b w:val="0"/>
                <w:sz w:val="18"/>
              </w:rPr>
              <w:t>- Budget documents.</w:t>
            </w:r>
          </w:p>
          <w:p>
            <w:pPr>
              <w:jc w:val="left"/>
            </w:pPr>
            <w:r>
              <w:rPr>
                <w:rFonts w:ascii="Cambria" w:hAnsi="Cambria"/>
                <w:b w:val="0"/>
                <w:sz w:val="18"/>
              </w:rPr>
              <w:t>- Consultancy/industry MoUs.</w:t>
            </w:r>
          </w:p>
          <w:p>
            <w:pPr>
              <w:jc w:val="left"/>
            </w:pPr>
            <w:r>
              <w:rPr>
                <w:rFonts w:ascii="Cambria" w:hAnsi="Cambria"/>
                <w:b w:val="0"/>
                <w:sz w:val="18"/>
              </w:rPr>
              <w:t>- Alumni fund records.</w:t>
            </w:r>
          </w:p>
        </w:tc>
      </w:tr>
      <w:tr>
        <w:tc>
          <w:tcPr>
            <w:tcW w:type="dxa" w:w="1644"/>
            <w:tcW w:w="1644" w:type="dxa"/>
            <w:shd w:val="clear" w:color="auto" w:fill="D9E2EC"/>
          </w:tcPr>
          <w:p>
            <w:pPr>
              <w:jc w:val="left"/>
            </w:pPr>
            <w:r/>
            <w:r>
              <w:rPr>
                <w:rFonts w:ascii="Cambria" w:hAnsi="Cambria"/>
                <w:b w:val="0"/>
                <w:sz w:val="18"/>
              </w:rPr>
              <w:t>Director – Internal Quality Assurance Cell (IQAC)</w:t>
            </w:r>
          </w:p>
        </w:tc>
        <w:tc>
          <w:tcPr>
            <w:tcW w:type="dxa" w:w="2721"/>
            <w:tcW w:w="2721" w:type="dxa"/>
            <w:shd w:val="clear" w:color="auto" w:fill="D9E2EC"/>
          </w:tcPr>
          <w:p>
            <w:pPr>
              <w:jc w:val="left"/>
            </w:pPr>
            <w:r/>
            <w:r>
              <w:rPr>
                <w:rFonts w:ascii="Cambria" w:hAnsi="Cambria"/>
                <w:b w:val="0"/>
                <w:sz w:val="18"/>
              </w:rPr>
              <w:t>- Prepares Self-Study Reports (SSR).</w:t>
            </w:r>
          </w:p>
          <w:p>
            <w:pPr>
              <w:jc w:val="left"/>
            </w:pPr>
            <w:r>
              <w:rPr>
                <w:rFonts w:ascii="Cambria" w:hAnsi="Cambria"/>
                <w:b w:val="0"/>
                <w:sz w:val="18"/>
              </w:rPr>
              <w:t>- Conducts academic/administrative audits.</w:t>
            </w:r>
          </w:p>
          <w:p>
            <w:pPr>
              <w:jc w:val="left"/>
            </w:pPr>
            <w:r>
              <w:rPr>
                <w:rFonts w:ascii="Cambria" w:hAnsi="Cambria"/>
                <w:b w:val="0"/>
                <w:sz w:val="18"/>
              </w:rPr>
              <w:t>- Promotes continuous improvement practices.</w:t>
            </w:r>
          </w:p>
        </w:tc>
        <w:tc>
          <w:tcPr>
            <w:tcW w:type="dxa" w:w="2211"/>
            <w:tcW w:w="2211" w:type="dxa"/>
            <w:shd w:val="clear" w:color="auto" w:fill="D9E2EC"/>
          </w:tcPr>
          <w:p>
            <w:pPr>
              <w:jc w:val="left"/>
            </w:pPr>
            <w:r/>
            <w:r>
              <w:rPr>
                <w:rFonts w:ascii="Cambria" w:hAnsi="Cambria"/>
                <w:b w:val="0"/>
                <w:sz w:val="18"/>
              </w:rPr>
              <w:t>- Accreditation success (NAAC/NBA).</w:t>
            </w:r>
          </w:p>
          <w:p>
            <w:pPr>
              <w:jc w:val="left"/>
            </w:pPr>
            <w:r>
              <w:rPr>
                <w:rFonts w:ascii="Cambria" w:hAnsi="Cambria"/>
                <w:b w:val="0"/>
                <w:sz w:val="18"/>
              </w:rPr>
              <w:t>- Improved NIRF/QS rankings.</w:t>
            </w:r>
          </w:p>
          <w:p>
            <w:pPr>
              <w:jc w:val="left"/>
            </w:pPr>
            <w:r>
              <w:rPr>
                <w:rFonts w:ascii="Cambria" w:hAnsi="Cambria"/>
                <w:b w:val="0"/>
                <w:sz w:val="18"/>
              </w:rPr>
              <w:t>- Strengthened quality culture.</w:t>
            </w:r>
          </w:p>
        </w:tc>
        <w:tc>
          <w:tcPr>
            <w:tcW w:type="dxa" w:w="2268"/>
            <w:tcW w:w="2268" w:type="dxa"/>
            <w:shd w:val="clear" w:color="auto" w:fill="D9E2EC"/>
          </w:tcPr>
          <w:p>
            <w:pPr>
              <w:jc w:val="left"/>
            </w:pPr>
            <w:r/>
            <w:r>
              <w:rPr>
                <w:rFonts w:ascii="Cambria" w:hAnsi="Cambria"/>
                <w:b w:val="0"/>
                <w:sz w:val="18"/>
              </w:rPr>
              <w:t>- SSR and AQAR reports.</w:t>
            </w:r>
          </w:p>
          <w:p>
            <w:pPr>
              <w:jc w:val="left"/>
            </w:pPr>
            <w:r>
              <w:rPr>
                <w:rFonts w:ascii="Cambria" w:hAnsi="Cambria"/>
                <w:b w:val="0"/>
                <w:sz w:val="18"/>
              </w:rPr>
              <w:t>- Accreditation certificates.</w:t>
            </w:r>
          </w:p>
          <w:p>
            <w:pPr>
              <w:jc w:val="left"/>
            </w:pPr>
            <w:r>
              <w:rPr>
                <w:rFonts w:ascii="Cambria" w:hAnsi="Cambria"/>
                <w:b w:val="0"/>
                <w:sz w:val="18"/>
              </w:rPr>
              <w:t>- KPI tracking dashboards.</w:t>
            </w:r>
          </w:p>
          <w:p>
            <w:pPr>
              <w:jc w:val="left"/>
            </w:pPr>
            <w:r>
              <w:rPr>
                <w:rFonts w:ascii="Cambria" w:hAnsi="Cambria"/>
                <w:b w:val="0"/>
                <w:sz w:val="18"/>
              </w:rPr>
              <w:t>- Best practice documentation.</w:t>
            </w:r>
          </w:p>
        </w:tc>
      </w:tr>
      <w:tr>
        <w:tc>
          <w:tcPr>
            <w:tcW w:type="dxa" w:w="1644"/>
            <w:tcW w:w="1644" w:type="dxa"/>
          </w:tcPr>
          <w:p>
            <w:pPr>
              <w:jc w:val="left"/>
            </w:pPr>
            <w:r/>
            <w:r>
              <w:rPr>
                <w:rFonts w:ascii="Cambria" w:hAnsi="Cambria"/>
                <w:b w:val="0"/>
                <w:sz w:val="18"/>
              </w:rPr>
              <w:t>HR &amp; Administration Director</w:t>
            </w:r>
          </w:p>
        </w:tc>
        <w:tc>
          <w:tcPr>
            <w:tcW w:type="dxa" w:w="2721"/>
            <w:tcW w:w="2721" w:type="dxa"/>
          </w:tcPr>
          <w:p>
            <w:pPr>
              <w:jc w:val="left"/>
            </w:pPr>
            <w:r/>
            <w:r>
              <w:rPr>
                <w:rFonts w:ascii="Cambria" w:hAnsi="Cambria"/>
                <w:b w:val="0"/>
                <w:sz w:val="18"/>
              </w:rPr>
              <w:t>- Manages recruitment, promotions, and service rules.</w:t>
            </w:r>
          </w:p>
          <w:p>
            <w:pPr>
              <w:jc w:val="left"/>
            </w:pPr>
            <w:r>
              <w:rPr>
                <w:rFonts w:ascii="Cambria" w:hAnsi="Cambria"/>
                <w:b w:val="0"/>
                <w:sz w:val="18"/>
              </w:rPr>
              <w:t>- Implements grievance redressal systems.</w:t>
            </w:r>
          </w:p>
          <w:p>
            <w:pPr>
              <w:jc w:val="left"/>
            </w:pPr>
            <w:r>
              <w:rPr>
                <w:rFonts w:ascii="Cambria" w:hAnsi="Cambria"/>
                <w:b w:val="0"/>
                <w:sz w:val="18"/>
              </w:rPr>
              <w:t>- Facilitates faculty/staff training.</w:t>
            </w:r>
          </w:p>
        </w:tc>
        <w:tc>
          <w:tcPr>
            <w:tcW w:type="dxa" w:w="2211"/>
            <w:tcW w:w="2211" w:type="dxa"/>
          </w:tcPr>
          <w:p>
            <w:pPr>
              <w:jc w:val="left"/>
            </w:pPr>
            <w:r/>
            <w:r>
              <w:rPr>
                <w:rFonts w:ascii="Cambria" w:hAnsi="Cambria"/>
                <w:b w:val="0"/>
                <w:sz w:val="18"/>
              </w:rPr>
              <w:t>- Efficient workforce management.</w:t>
            </w:r>
          </w:p>
          <w:p>
            <w:pPr>
              <w:jc w:val="left"/>
            </w:pPr>
            <w:r>
              <w:rPr>
                <w:rFonts w:ascii="Cambria" w:hAnsi="Cambria"/>
                <w:b w:val="0"/>
                <w:sz w:val="18"/>
              </w:rPr>
              <w:t>- Improved staff morale and productivity.</w:t>
            </w:r>
          </w:p>
          <w:p>
            <w:pPr>
              <w:jc w:val="left"/>
            </w:pPr>
            <w:r>
              <w:rPr>
                <w:rFonts w:ascii="Cambria" w:hAnsi="Cambria"/>
                <w:b w:val="0"/>
                <w:sz w:val="18"/>
              </w:rPr>
              <w:t>- Inclusive and equitable HR practices.</w:t>
            </w:r>
          </w:p>
        </w:tc>
        <w:tc>
          <w:tcPr>
            <w:tcW w:type="dxa" w:w="2268"/>
            <w:tcW w:w="2268" w:type="dxa"/>
          </w:tcPr>
          <w:p>
            <w:pPr>
              <w:jc w:val="left"/>
            </w:pPr>
            <w:r/>
            <w:r>
              <w:rPr>
                <w:rFonts w:ascii="Cambria" w:hAnsi="Cambria"/>
                <w:b w:val="0"/>
                <w:sz w:val="18"/>
              </w:rPr>
              <w:t>- HR policy documents.</w:t>
            </w:r>
          </w:p>
          <w:p>
            <w:pPr>
              <w:jc w:val="left"/>
            </w:pPr>
            <w:r>
              <w:rPr>
                <w:rFonts w:ascii="Cambria" w:hAnsi="Cambria"/>
                <w:b w:val="0"/>
                <w:sz w:val="18"/>
              </w:rPr>
              <w:t>- Recruitment records.</w:t>
            </w:r>
          </w:p>
          <w:p>
            <w:pPr>
              <w:jc w:val="left"/>
            </w:pPr>
            <w:r>
              <w:rPr>
                <w:rFonts w:ascii="Cambria" w:hAnsi="Cambria"/>
                <w:b w:val="0"/>
                <w:sz w:val="18"/>
              </w:rPr>
              <w:t>- Grievance redressal reports.</w:t>
            </w:r>
          </w:p>
          <w:p>
            <w:pPr>
              <w:jc w:val="left"/>
            </w:pPr>
            <w:r>
              <w:rPr>
                <w:rFonts w:ascii="Cambria" w:hAnsi="Cambria"/>
                <w:b w:val="0"/>
                <w:sz w:val="18"/>
              </w:rPr>
              <w:t>- Faculty development program (FDP) records.</w:t>
            </w:r>
          </w:p>
        </w:tc>
      </w:tr>
      <w:tr>
        <w:tc>
          <w:tcPr>
            <w:tcW w:type="dxa" w:w="1644"/>
            <w:tcW w:w="1644" w:type="dxa"/>
            <w:shd w:val="clear" w:color="auto" w:fill="D9E2EC"/>
          </w:tcPr>
          <w:p>
            <w:pPr>
              <w:jc w:val="left"/>
            </w:pPr>
            <w:r/>
            <w:r>
              <w:rPr>
                <w:rFonts w:ascii="Cambria" w:hAnsi="Cambria"/>
                <w:b w:val="0"/>
                <w:sz w:val="18"/>
              </w:rPr>
              <w:t>University Librarian / Director of Library Services</w:t>
            </w:r>
          </w:p>
        </w:tc>
        <w:tc>
          <w:tcPr>
            <w:tcW w:type="dxa" w:w="2721"/>
            <w:tcW w:w="2721" w:type="dxa"/>
            <w:shd w:val="clear" w:color="auto" w:fill="D9E2EC"/>
          </w:tcPr>
          <w:p>
            <w:pPr>
              <w:jc w:val="left"/>
            </w:pPr>
            <w:r/>
            <w:r>
              <w:rPr>
                <w:rFonts w:ascii="Cambria" w:hAnsi="Cambria"/>
                <w:b w:val="0"/>
                <w:sz w:val="18"/>
              </w:rPr>
              <w:t>- Manages library and e-resources.</w:t>
            </w:r>
          </w:p>
          <w:p>
            <w:pPr>
              <w:jc w:val="left"/>
            </w:pPr>
            <w:r>
              <w:rPr>
                <w:rFonts w:ascii="Cambria" w:hAnsi="Cambria"/>
                <w:b w:val="0"/>
                <w:sz w:val="18"/>
              </w:rPr>
              <w:t>- Provides plagiarism checks and research support.</w:t>
            </w:r>
          </w:p>
          <w:p>
            <w:pPr>
              <w:jc w:val="left"/>
            </w:pPr>
            <w:r>
              <w:rPr>
                <w:rFonts w:ascii="Cambria" w:hAnsi="Cambria"/>
                <w:b w:val="0"/>
                <w:sz w:val="18"/>
              </w:rPr>
              <w:t>- Promotes open access and digital repositories.</w:t>
            </w:r>
          </w:p>
        </w:tc>
        <w:tc>
          <w:tcPr>
            <w:tcW w:type="dxa" w:w="2211"/>
            <w:tcW w:w="2211" w:type="dxa"/>
            <w:shd w:val="clear" w:color="auto" w:fill="D9E2EC"/>
          </w:tcPr>
          <w:p>
            <w:pPr>
              <w:jc w:val="left"/>
            </w:pPr>
            <w:r/>
            <w:r>
              <w:rPr>
                <w:rFonts w:ascii="Cambria" w:hAnsi="Cambria"/>
                <w:b w:val="0"/>
                <w:sz w:val="18"/>
              </w:rPr>
              <w:t>- Strengthened research support.</w:t>
            </w:r>
          </w:p>
          <w:p>
            <w:pPr>
              <w:jc w:val="left"/>
            </w:pPr>
            <w:r>
              <w:rPr>
                <w:rFonts w:ascii="Cambria" w:hAnsi="Cambria"/>
                <w:b w:val="0"/>
                <w:sz w:val="18"/>
              </w:rPr>
              <w:t>- Improved teaching–learning resources.</w:t>
            </w:r>
          </w:p>
          <w:p>
            <w:pPr>
              <w:jc w:val="left"/>
            </w:pPr>
            <w:r>
              <w:rPr>
                <w:rFonts w:ascii="Cambria" w:hAnsi="Cambria"/>
                <w:b w:val="0"/>
                <w:sz w:val="18"/>
              </w:rPr>
              <w:t>- Higher academic integrity.</w:t>
            </w:r>
          </w:p>
        </w:tc>
        <w:tc>
          <w:tcPr>
            <w:tcW w:type="dxa" w:w="2268"/>
            <w:tcW w:w="2268" w:type="dxa"/>
            <w:shd w:val="clear" w:color="auto" w:fill="D9E2EC"/>
          </w:tcPr>
          <w:p>
            <w:pPr>
              <w:jc w:val="left"/>
            </w:pPr>
            <w:r/>
            <w:r>
              <w:rPr>
                <w:rFonts w:ascii="Cambria" w:hAnsi="Cambria"/>
                <w:b w:val="0"/>
                <w:sz w:val="18"/>
              </w:rPr>
              <w:t>- Library usage statistics.</w:t>
            </w:r>
          </w:p>
          <w:p>
            <w:pPr>
              <w:jc w:val="left"/>
            </w:pPr>
            <w:r>
              <w:rPr>
                <w:rFonts w:ascii="Cambria" w:hAnsi="Cambria"/>
                <w:b w:val="0"/>
                <w:sz w:val="18"/>
              </w:rPr>
              <w:t>- Repository records.</w:t>
            </w:r>
          </w:p>
          <w:p>
            <w:pPr>
              <w:jc w:val="left"/>
            </w:pPr>
            <w:r>
              <w:rPr>
                <w:rFonts w:ascii="Cambria" w:hAnsi="Cambria"/>
                <w:b w:val="0"/>
                <w:sz w:val="18"/>
              </w:rPr>
              <w:t>- Plagiarism reports.</w:t>
            </w:r>
          </w:p>
          <w:p>
            <w:pPr>
              <w:jc w:val="left"/>
            </w:pPr>
            <w:r>
              <w:rPr>
                <w:rFonts w:ascii="Cambria" w:hAnsi="Cambria"/>
                <w:b w:val="0"/>
                <w:sz w:val="18"/>
              </w:rPr>
              <w:t>- E-resource subscription records.</w:t>
            </w:r>
          </w:p>
        </w:tc>
      </w:tr>
      <w:tr>
        <w:tc>
          <w:tcPr>
            <w:tcW w:type="dxa" w:w="1644"/>
            <w:tcW w:w="1644" w:type="dxa"/>
          </w:tcPr>
          <w:p>
            <w:pPr>
              <w:jc w:val="left"/>
            </w:pPr>
            <w:r/>
            <w:r>
              <w:rPr>
                <w:rFonts w:ascii="Cambria" w:hAnsi="Cambria"/>
                <w:b w:val="0"/>
                <w:sz w:val="18"/>
              </w:rPr>
              <w:t>Director – Research &amp; Development (R&amp;D Cell)</w:t>
            </w:r>
          </w:p>
        </w:tc>
        <w:tc>
          <w:tcPr>
            <w:tcW w:type="dxa" w:w="2721"/>
            <w:tcW w:w="2721" w:type="dxa"/>
          </w:tcPr>
          <w:p>
            <w:pPr>
              <w:jc w:val="left"/>
            </w:pPr>
            <w:r/>
            <w:r>
              <w:rPr>
                <w:rFonts w:ascii="Cambria" w:hAnsi="Cambria"/>
                <w:b w:val="0"/>
                <w:sz w:val="18"/>
              </w:rPr>
              <w:t>- Facilitates research grants, patents, consultancy.</w:t>
            </w:r>
          </w:p>
          <w:p>
            <w:pPr>
              <w:jc w:val="left"/>
            </w:pPr>
            <w:r>
              <w:rPr>
                <w:rFonts w:ascii="Cambria" w:hAnsi="Cambria"/>
                <w:b w:val="0"/>
                <w:sz w:val="18"/>
              </w:rPr>
              <w:t>- Establishes incubation/innovation centers.</w:t>
            </w:r>
          </w:p>
          <w:p>
            <w:pPr>
              <w:jc w:val="left"/>
            </w:pPr>
            <w:r>
              <w:rPr>
                <w:rFonts w:ascii="Cambria" w:hAnsi="Cambria"/>
                <w:b w:val="0"/>
                <w:sz w:val="18"/>
              </w:rPr>
              <w:t>- Builds industry linkages.</w:t>
            </w:r>
          </w:p>
        </w:tc>
        <w:tc>
          <w:tcPr>
            <w:tcW w:type="dxa" w:w="2211"/>
            <w:tcW w:w="2211" w:type="dxa"/>
          </w:tcPr>
          <w:p>
            <w:pPr>
              <w:jc w:val="left"/>
            </w:pPr>
            <w:r/>
            <w:r>
              <w:rPr>
                <w:rFonts w:ascii="Cambria" w:hAnsi="Cambria"/>
                <w:b w:val="0"/>
                <w:sz w:val="18"/>
              </w:rPr>
              <w:t>- Increased research output.</w:t>
            </w:r>
          </w:p>
          <w:p>
            <w:pPr>
              <w:jc w:val="left"/>
            </w:pPr>
            <w:r>
              <w:rPr>
                <w:rFonts w:ascii="Cambria" w:hAnsi="Cambria"/>
                <w:b w:val="0"/>
                <w:sz w:val="18"/>
              </w:rPr>
              <w:t>- More patents, start-ups, and funded projects.</w:t>
            </w:r>
          </w:p>
          <w:p>
            <w:pPr>
              <w:jc w:val="left"/>
            </w:pPr>
            <w:r>
              <w:rPr>
                <w:rFonts w:ascii="Cambria" w:hAnsi="Cambria"/>
                <w:b w:val="0"/>
                <w:sz w:val="18"/>
              </w:rPr>
              <w:t>- Enhanced global reputation.</w:t>
            </w:r>
          </w:p>
        </w:tc>
        <w:tc>
          <w:tcPr>
            <w:tcW w:type="dxa" w:w="2268"/>
            <w:tcW w:w="2268" w:type="dxa"/>
          </w:tcPr>
          <w:p>
            <w:pPr>
              <w:jc w:val="left"/>
            </w:pPr>
            <w:r/>
            <w:r>
              <w:rPr>
                <w:rFonts w:ascii="Cambria" w:hAnsi="Cambria"/>
                <w:b w:val="0"/>
                <w:sz w:val="18"/>
              </w:rPr>
              <w:t>- R&amp;D annual reports.</w:t>
            </w:r>
          </w:p>
          <w:p>
            <w:pPr>
              <w:jc w:val="left"/>
            </w:pPr>
            <w:r>
              <w:rPr>
                <w:rFonts w:ascii="Cambria" w:hAnsi="Cambria"/>
                <w:b w:val="0"/>
                <w:sz w:val="18"/>
              </w:rPr>
              <w:t>- MoUs with industry.</w:t>
            </w:r>
          </w:p>
          <w:p>
            <w:pPr>
              <w:jc w:val="left"/>
            </w:pPr>
            <w:r>
              <w:rPr>
                <w:rFonts w:ascii="Cambria" w:hAnsi="Cambria"/>
                <w:b w:val="0"/>
                <w:sz w:val="18"/>
              </w:rPr>
              <w:t>- Patent and publication records.</w:t>
            </w:r>
          </w:p>
          <w:p>
            <w:pPr>
              <w:jc w:val="left"/>
            </w:pPr>
            <w:r>
              <w:rPr>
                <w:rFonts w:ascii="Cambria" w:hAnsi="Cambria"/>
                <w:b w:val="0"/>
                <w:sz w:val="18"/>
              </w:rPr>
              <w:t>- Consultancy agreements.</w:t>
            </w:r>
          </w:p>
        </w:tc>
      </w:tr>
      <w:tr>
        <w:tc>
          <w:tcPr>
            <w:tcW w:type="dxa" w:w="1644"/>
            <w:tcW w:w="1644" w:type="dxa"/>
            <w:shd w:val="clear" w:color="auto" w:fill="D9E2EC"/>
          </w:tcPr>
          <w:p>
            <w:pPr>
              <w:jc w:val="left"/>
            </w:pPr>
            <w:r/>
            <w:r>
              <w:rPr>
                <w:rFonts w:ascii="Cambria" w:hAnsi="Cambria"/>
                <w:b w:val="0"/>
                <w:sz w:val="18"/>
              </w:rPr>
              <w:t>Dean of Students / Student Welfare</w:t>
            </w:r>
          </w:p>
        </w:tc>
        <w:tc>
          <w:tcPr>
            <w:tcW w:type="dxa" w:w="2721"/>
            <w:tcW w:w="2721" w:type="dxa"/>
            <w:shd w:val="clear" w:color="auto" w:fill="D9E2EC"/>
          </w:tcPr>
          <w:p>
            <w:pPr>
              <w:jc w:val="left"/>
            </w:pPr>
            <w:r/>
            <w:r>
              <w:rPr>
                <w:rFonts w:ascii="Cambria" w:hAnsi="Cambria"/>
                <w:b w:val="0"/>
                <w:sz w:val="18"/>
              </w:rPr>
              <w:t>- Oversees scholarships, welfare schemes, and counseling.</w:t>
            </w:r>
          </w:p>
          <w:p>
            <w:pPr>
              <w:jc w:val="left"/>
            </w:pPr>
            <w:r>
              <w:rPr>
                <w:rFonts w:ascii="Cambria" w:hAnsi="Cambria"/>
                <w:b w:val="0"/>
                <w:sz w:val="18"/>
              </w:rPr>
              <w:t>- Strengthens placement and entrepreneurship cells.</w:t>
            </w:r>
          </w:p>
        </w:tc>
        <w:tc>
          <w:tcPr>
            <w:tcW w:type="dxa" w:w="2211"/>
            <w:tcW w:w="2211" w:type="dxa"/>
            <w:shd w:val="clear" w:color="auto" w:fill="D9E2EC"/>
          </w:tcPr>
          <w:p>
            <w:pPr>
              <w:jc w:val="left"/>
            </w:pPr>
            <w:r/>
            <w:r>
              <w:rPr>
                <w:rFonts w:ascii="Cambria" w:hAnsi="Cambria"/>
                <w:b w:val="0"/>
                <w:sz w:val="18"/>
              </w:rPr>
              <w:t>- Holistic student development.</w:t>
            </w:r>
          </w:p>
          <w:p>
            <w:pPr>
              <w:jc w:val="left"/>
            </w:pPr>
            <w:r>
              <w:rPr>
                <w:rFonts w:ascii="Cambria" w:hAnsi="Cambria"/>
                <w:b w:val="0"/>
                <w:sz w:val="18"/>
              </w:rPr>
              <w:t>- Increased placement and career success.</w:t>
            </w:r>
          </w:p>
        </w:tc>
        <w:tc>
          <w:tcPr>
            <w:tcW w:type="dxa" w:w="2268"/>
            <w:tcW w:w="2268" w:type="dxa"/>
            <w:shd w:val="clear" w:color="auto" w:fill="D9E2EC"/>
          </w:tcPr>
          <w:p>
            <w:pPr>
              <w:jc w:val="left"/>
            </w:pPr>
            <w:r/>
            <w:r>
              <w:rPr>
                <w:rFonts w:ascii="Cambria" w:hAnsi="Cambria"/>
                <w:b w:val="0"/>
                <w:sz w:val="18"/>
              </w:rPr>
              <w:t>- Placement reports.</w:t>
            </w:r>
          </w:p>
          <w:p>
            <w:pPr>
              <w:jc w:val="left"/>
            </w:pPr>
            <w:r>
              <w:rPr>
                <w:rFonts w:ascii="Cambria" w:hAnsi="Cambria"/>
                <w:b w:val="0"/>
                <w:sz w:val="18"/>
              </w:rPr>
              <w:t>- Scholarship records.</w:t>
            </w:r>
          </w:p>
          <w:p>
            <w:pPr>
              <w:jc w:val="left"/>
            </w:pPr>
            <w:r>
              <w:rPr>
                <w:rFonts w:ascii="Cambria" w:hAnsi="Cambria"/>
                <w:b w:val="0"/>
                <w:sz w:val="18"/>
              </w:rPr>
              <w:t>- Student satisfaction surveys.</w:t>
            </w:r>
          </w:p>
          <w:p>
            <w:pPr>
              <w:jc w:val="left"/>
            </w:pPr>
            <w:r>
              <w:rPr>
                <w:rFonts w:ascii="Cambria" w:hAnsi="Cambria"/>
                <w:b w:val="0"/>
                <w:sz w:val="18"/>
              </w:rPr>
              <w:t>- Counseling/mentorship documentation.</w:t>
            </w:r>
          </w:p>
        </w:tc>
      </w:tr>
    </w:tbl>
    <w:p>
      <w:r>
        <w:br w:type="page"/>
      </w:r>
    </w:p>
    <w:p>
      <w:pPr>
        <w:keepNext/>
        <w:spacing w:before="240" w:after="120"/>
      </w:pPr>
      <w:r>
        <w:rPr>
          <w:rFonts w:ascii="Cambria" w:hAnsi="Cambria"/>
          <w:b/>
          <w:color w:val="1F3A5F"/>
          <w:sz w:val="36"/>
        </w:rPr>
        <w:t>6. Registrar</w:t>
      </w:r>
    </w:p>
    <w:p>
      <w:pPr>
        <w:jc w:val="both"/>
      </w:pPr>
      <w:r>
        <w:rPr>
          <w:rFonts w:ascii="Cambria" w:hAnsi="Cambria"/>
          <w:b w:val="0"/>
          <w:i w:val="0"/>
          <w:sz w:val="22"/>
        </w:rPr>
        <w:t>The University Registrar is a senior administrative executive who plays a pivotal role in the governance and functioning of higher education institutions. As the chief academic records officer, the Registrar is entrusted with maintaining the accuracy, confidentiality, and integrity of student records and ensuring that institutional academic policies are consistently applied. The position forms a critical link between academic leadership, administrative systems, faculty, and students, enabling the smooth functioning of academic programs and compliance with regulatory standards.</w:t>
      </w:r>
    </w:p>
    <w:p>
      <w:pPr>
        <w:jc w:val="both"/>
      </w:pPr>
      <w:r>
        <w:rPr>
          <w:rFonts w:ascii="Cambria" w:hAnsi="Cambria"/>
          <w:b w:val="0"/>
          <w:i w:val="0"/>
          <w:sz w:val="22"/>
        </w:rPr>
        <w:t>One of the Registrar's primary responsibilities is to manage student academic records, which begins from the point of admission and continues through graduation and beyond. This includes overseeing course registration, scheduling classes and examinations in coordination with academic departments, monitoring academic progress, certifying eligibility for graduation, and issuing transcripts, diplomas, and degree certificates. By ensuring that these processes are transparent, efficient, and accurate, the Registrar upholds the credibility of the university's academic framework and supports student progression.</w:t>
      </w:r>
    </w:p>
    <w:p>
      <w:pPr>
        <w:jc w:val="both"/>
      </w:pPr>
      <w:r>
        <w:rPr>
          <w:rFonts w:ascii="Cambria" w:hAnsi="Cambria"/>
          <w:b w:val="0"/>
          <w:i w:val="0"/>
          <w:sz w:val="22"/>
        </w:rPr>
        <w:t>In addition to student record management, the Registrar is responsible for implementing and enforcing academic policies and regulations as approved by the Academic Council, Senate, or Governing Body. This includes monitoring compliance with credit requirements, ensuring adherence to grading systems, handling academic appeals, and coordinating with accreditation agencies to provide necessary documentation. The Registrar often acts as the official secretary to statutory bodies such as the Academic Council or Senate, preparing agendas, recording minutes, and ensuring follow-up on policy decisions.</w:t>
      </w:r>
    </w:p>
    <w:p>
      <w:pPr>
        <w:jc w:val="both"/>
      </w:pPr>
      <w:r>
        <w:rPr>
          <w:rFonts w:ascii="Cambria" w:hAnsi="Cambria"/>
          <w:b w:val="0"/>
          <w:i w:val="0"/>
          <w:sz w:val="22"/>
        </w:rPr>
        <w:t>The Registrar also plays a vital role in institutional governance and strategic planning. By maintaining reliable academic data, they provide evidence-based insights for accreditation processes (NAAC, NBA, NIRF, QS, THE), institutional audits, and quality assurance mechanisms. The Registrar's office becomes the central hub for data management, facilitating decisions on enrollment planning, program development, and performance monitoring. In this sense, the role extends beyond record-keeping to shaping institutional accountability and continuous improvement.</w:t>
      </w:r>
    </w:p>
    <w:p>
      <w:pPr>
        <w:jc w:val="both"/>
      </w:pPr>
      <w:r>
        <w:rPr>
          <w:rFonts w:ascii="Cambria" w:hAnsi="Cambria"/>
          <w:b w:val="0"/>
          <w:i w:val="0"/>
          <w:sz w:val="22"/>
        </w:rPr>
        <w:t>Furthermore, the Registrar is often the first point of contact for students and faculty in relation to academic regulations and procedures. Their office provides guidance on registration, examination rules, graduation requirements, and transcript requests, thereby contributing significantly to the student experience. In many institutions, the Registrar is also tasked with ensuring compliance with government regulations and statutory frameworks, acting as the liaison with education ministries, accreditation bodies, and regulatory authorities.</w:t>
      </w:r>
    </w:p>
    <w:p>
      <w:pPr>
        <w:jc w:val="both"/>
      </w:pPr>
      <w:r>
        <w:rPr>
          <w:rFonts w:ascii="Cambria" w:hAnsi="Cambria"/>
          <w:b w:val="0"/>
          <w:i w:val="0"/>
          <w:sz w:val="22"/>
        </w:rPr>
        <w:t>In the modern higher education landscape, the Registrar's role has expanded to include digital transformation and data security. The implementation of student information systems (SIS), online registration portals, e-transcripts, and integration with national databases has increased efficiency and accessibility. At the same time, the Registrar must safeguard the security and privacy of sensitive academic records in compliance with data protection laws.</w:t>
      </w:r>
    </w:p>
    <w:p>
      <w:pPr>
        <w:pStyle w:val="ListBullet"/>
        <w:jc w:val="both"/>
      </w:pPr>
      <w:r>
        <w:rPr>
          <w:rFonts w:ascii="Cambria" w:hAnsi="Cambria"/>
          <w:sz w:val="22"/>
        </w:rPr>
        <w:t>1. Position in the University Structure</w:t>
      </w:r>
    </w:p>
    <w:p>
      <w:pPr>
        <w:pStyle w:val="ListBullet2"/>
        <w:jc w:val="both"/>
      </w:pPr>
      <w:r>
        <w:rPr>
          <w:rFonts w:ascii="Cambria" w:hAnsi="Cambria"/>
          <w:sz w:val="22"/>
        </w:rPr>
        <w:t>The Registrar is one of the most important core administrative officers of a university.</w:t>
      </w:r>
    </w:p>
    <w:p>
      <w:pPr>
        <w:pStyle w:val="ListBullet2"/>
        <w:jc w:val="both"/>
      </w:pPr>
      <w:r>
        <w:rPr>
          <w:rFonts w:ascii="Cambria" w:hAnsi="Cambria"/>
          <w:sz w:val="22"/>
        </w:rPr>
        <w:t>Acts as the custodian of records, statutes, ordinances, and official communications.</w:t>
      </w:r>
    </w:p>
    <w:p>
      <w:pPr>
        <w:pStyle w:val="ListBullet2"/>
        <w:jc w:val="both"/>
      </w:pPr>
      <w:r>
        <w:rPr>
          <w:rFonts w:ascii="Cambria" w:hAnsi="Cambria"/>
          <w:sz w:val="22"/>
        </w:rPr>
        <w:t>Reports directly to the Vice-Chancellor, while also serving as the secretary to statutory bodies such as the Academic Council, Executive Council, and Governing Board.</w:t>
      </w:r>
    </w:p>
    <w:p>
      <w:pPr>
        <w:pStyle w:val="ListBullet2"/>
        <w:jc w:val="both"/>
      </w:pPr>
      <w:r>
        <w:rPr>
          <w:rFonts w:ascii="Cambria" w:hAnsi="Cambria"/>
          <w:sz w:val="22"/>
        </w:rPr>
        <w:t>Serves as the administrative backbone of the institution, ensuring continuity and compliance in governance.</w:t>
      </w:r>
    </w:p>
    <w:p>
      <w:pPr>
        <w:pStyle w:val="ListBullet"/>
        <w:jc w:val="both"/>
      </w:pPr>
      <w:r>
        <w:rPr>
          <w:rFonts w:ascii="Cambria" w:hAnsi="Cambria"/>
          <w:sz w:val="22"/>
        </w:rPr>
        <w:t>2. Core Responsibilities</w:t>
      </w:r>
    </w:p>
    <w:p>
      <w:pPr>
        <w:pStyle w:val="ListBullet2"/>
        <w:jc w:val="both"/>
      </w:pPr>
      <w:r>
        <w:rPr>
          <w:rFonts w:ascii="Cambria" w:hAnsi="Cambria"/>
          <w:sz w:val="22"/>
        </w:rPr>
        <w:t>Academic Administration</w:t>
      </w:r>
    </w:p>
    <w:p>
      <w:pPr>
        <w:pStyle w:val="ListBullet"/>
        <w:jc w:val="both"/>
      </w:pPr>
      <w:r>
        <w:rPr>
          <w:rFonts w:ascii="Cambria" w:hAnsi="Cambria"/>
          <w:sz w:val="22"/>
        </w:rPr>
        <w:t>Manages student admissions, enrollment, and registration processes.</w:t>
      </w:r>
    </w:p>
    <w:p>
      <w:pPr>
        <w:pStyle w:val="ListBullet"/>
        <w:jc w:val="both"/>
      </w:pPr>
      <w:r>
        <w:rPr>
          <w:rFonts w:ascii="Cambria" w:hAnsi="Cambria"/>
          <w:sz w:val="22"/>
        </w:rPr>
        <w:t>Maintains student academic records, transcripts, and certification documentation.</w:t>
      </w:r>
    </w:p>
    <w:p>
      <w:pPr>
        <w:pStyle w:val="ListBullet"/>
        <w:jc w:val="both"/>
      </w:pPr>
      <w:r>
        <w:rPr>
          <w:rFonts w:ascii="Cambria" w:hAnsi="Cambria"/>
          <w:sz w:val="22"/>
        </w:rPr>
        <w:t>Coordinates examinations in liaison with the Controller of Examinations.</w:t>
      </w:r>
    </w:p>
    <w:p>
      <w:pPr>
        <w:pStyle w:val="ListBullet2"/>
        <w:jc w:val="both"/>
      </w:pPr>
      <w:r>
        <w:rPr>
          <w:rFonts w:ascii="Cambria" w:hAnsi="Cambria"/>
          <w:sz w:val="22"/>
        </w:rPr>
        <w:t>Secretarial Functions to Statutory Bodies</w:t>
      </w:r>
    </w:p>
    <w:p>
      <w:pPr>
        <w:pStyle w:val="ListBullet"/>
        <w:jc w:val="both"/>
      </w:pPr>
      <w:r>
        <w:rPr>
          <w:rFonts w:ascii="Cambria" w:hAnsi="Cambria"/>
          <w:sz w:val="22"/>
        </w:rPr>
        <w:t>Prepares agendas, circulates notices, and records minutes for the Academic Council, Executive Council, and Governing Bodies.</w:t>
      </w:r>
    </w:p>
    <w:p>
      <w:pPr>
        <w:pStyle w:val="ListBullet"/>
        <w:jc w:val="both"/>
      </w:pPr>
      <w:r>
        <w:rPr>
          <w:rFonts w:ascii="Cambria" w:hAnsi="Cambria"/>
          <w:sz w:val="22"/>
        </w:rPr>
        <w:t>Ensures timely execution of resolutions and policies adopted by these councils.</w:t>
      </w:r>
    </w:p>
    <w:p>
      <w:pPr>
        <w:pStyle w:val="ListBullet2"/>
        <w:jc w:val="both"/>
      </w:pPr>
      <w:r>
        <w:rPr>
          <w:rFonts w:ascii="Cambria" w:hAnsi="Cambria"/>
          <w:sz w:val="22"/>
        </w:rPr>
        <w:t>Regulatory &amp; Legal Compliance</w:t>
      </w:r>
    </w:p>
    <w:p>
      <w:pPr>
        <w:pStyle w:val="ListBullet"/>
        <w:jc w:val="both"/>
      </w:pPr>
      <w:r>
        <w:rPr>
          <w:rFonts w:ascii="Cambria" w:hAnsi="Cambria"/>
          <w:sz w:val="22"/>
        </w:rPr>
        <w:t>Ensures university operations comply with UGC, NAAC, NBA, state and central government regulations.</w:t>
      </w:r>
    </w:p>
    <w:p>
      <w:pPr>
        <w:pStyle w:val="ListBullet"/>
        <w:jc w:val="both"/>
      </w:pPr>
      <w:r>
        <w:rPr>
          <w:rFonts w:ascii="Cambria" w:hAnsi="Cambria"/>
          <w:sz w:val="22"/>
        </w:rPr>
        <w:t>Maintains statutory registers, government correspondence, and audit reports.</w:t>
      </w:r>
    </w:p>
    <w:p>
      <w:pPr>
        <w:pStyle w:val="ListBullet2"/>
        <w:jc w:val="both"/>
      </w:pPr>
      <w:r>
        <w:rPr>
          <w:rFonts w:ascii="Cambria" w:hAnsi="Cambria"/>
          <w:sz w:val="22"/>
        </w:rPr>
        <w:t>Human Resources &amp; Establishment</w:t>
      </w:r>
    </w:p>
    <w:p>
      <w:pPr>
        <w:pStyle w:val="ListBullet"/>
        <w:jc w:val="both"/>
      </w:pPr>
      <w:r>
        <w:rPr>
          <w:rFonts w:ascii="Cambria" w:hAnsi="Cambria"/>
          <w:sz w:val="22"/>
        </w:rPr>
        <w:t>Manages service records, promotions, appointments, and retirement benefits of faculty and staff.</w:t>
      </w:r>
    </w:p>
    <w:p>
      <w:pPr>
        <w:pStyle w:val="ListBullet"/>
        <w:jc w:val="both"/>
      </w:pPr>
      <w:r>
        <w:rPr>
          <w:rFonts w:ascii="Cambria" w:hAnsi="Cambria"/>
          <w:sz w:val="22"/>
        </w:rPr>
        <w:t>Ensures fair and transparent HR practices in alignment with institutional statutes.</w:t>
      </w:r>
    </w:p>
    <w:p>
      <w:pPr>
        <w:pStyle w:val="ListBullet2"/>
        <w:jc w:val="both"/>
      </w:pPr>
      <w:r>
        <w:rPr>
          <w:rFonts w:ascii="Cambria" w:hAnsi="Cambria"/>
          <w:sz w:val="22"/>
        </w:rPr>
        <w:t>Records &amp; Documentation</w:t>
      </w:r>
    </w:p>
    <w:p>
      <w:pPr>
        <w:pStyle w:val="ListBullet"/>
        <w:jc w:val="both"/>
      </w:pPr>
      <w:r>
        <w:rPr>
          <w:rFonts w:ascii="Cambria" w:hAnsi="Cambria"/>
          <w:sz w:val="22"/>
        </w:rPr>
        <w:t>Custodian of university property records, legal agreements, and academic statutes.</w:t>
      </w:r>
    </w:p>
    <w:p>
      <w:pPr>
        <w:pStyle w:val="ListBullet"/>
        <w:jc w:val="both"/>
      </w:pPr>
      <w:r>
        <w:rPr>
          <w:rFonts w:ascii="Cambria" w:hAnsi="Cambria"/>
          <w:sz w:val="22"/>
        </w:rPr>
        <w:t>Ensures proper documentation for accreditation, ranking, and quality audits.</w:t>
      </w:r>
    </w:p>
    <w:p>
      <w:pPr>
        <w:pStyle w:val="ListBullet"/>
        <w:jc w:val="both"/>
      </w:pPr>
      <w:r>
        <w:rPr>
          <w:rFonts w:ascii="Cambria" w:hAnsi="Cambria"/>
          <w:sz w:val="22"/>
        </w:rPr>
        <w:t>3. Role in University Governance</w:t>
      </w:r>
    </w:p>
    <w:p>
      <w:pPr>
        <w:pStyle w:val="ListBullet2"/>
        <w:jc w:val="both"/>
      </w:pPr>
      <w:r>
        <w:rPr>
          <w:rFonts w:ascii="Cambria" w:hAnsi="Cambria"/>
          <w:sz w:val="22"/>
        </w:rPr>
        <w:t>Acts as the nerve center of university administration by coordinating between academic, administrative, and financial units.</w:t>
      </w:r>
    </w:p>
    <w:p>
      <w:pPr>
        <w:pStyle w:val="ListBullet2"/>
        <w:jc w:val="both"/>
      </w:pPr>
      <w:r>
        <w:rPr>
          <w:rFonts w:ascii="Cambria" w:hAnsi="Cambria"/>
          <w:sz w:val="22"/>
        </w:rPr>
        <w:t>Provides administrative continuity despite changes in Vice-Chancellors or governing members.</w:t>
      </w:r>
    </w:p>
    <w:p>
      <w:pPr>
        <w:pStyle w:val="ListBullet2"/>
        <w:jc w:val="both"/>
      </w:pPr>
      <w:r>
        <w:rPr>
          <w:rFonts w:ascii="Cambria" w:hAnsi="Cambria"/>
          <w:sz w:val="22"/>
        </w:rPr>
        <w:t>Serves as the point of reference for policy interpretation, ensuring consistency in institutional governance.</w:t>
      </w:r>
    </w:p>
    <w:p>
      <w:pPr>
        <w:pStyle w:val="ListBullet"/>
        <w:jc w:val="both"/>
      </w:pPr>
      <w:r>
        <w:rPr>
          <w:rFonts w:ascii="Cambria" w:hAnsi="Cambria"/>
          <w:sz w:val="22"/>
        </w:rPr>
        <w:t>4. Qualities of an Effective Registrar</w:t>
      </w:r>
    </w:p>
    <w:p>
      <w:pPr>
        <w:pStyle w:val="ListBullet2"/>
        <w:jc w:val="both"/>
      </w:pPr>
      <w:r>
        <w:rPr>
          <w:rFonts w:ascii="Cambria" w:hAnsi="Cambria"/>
          <w:sz w:val="22"/>
        </w:rPr>
        <w:t>Strong knowledge of higher education laws, statutes, and regulatory frameworks.</w:t>
      </w:r>
    </w:p>
    <w:p>
      <w:pPr>
        <w:pStyle w:val="ListBullet2"/>
        <w:jc w:val="both"/>
      </w:pPr>
      <w:r>
        <w:rPr>
          <w:rFonts w:ascii="Cambria" w:hAnsi="Cambria"/>
          <w:sz w:val="22"/>
        </w:rPr>
        <w:t>Administrative efficiency with strong organizational skills.</w:t>
      </w:r>
    </w:p>
    <w:p>
      <w:pPr>
        <w:pStyle w:val="ListBullet2"/>
        <w:jc w:val="both"/>
      </w:pPr>
      <w:r>
        <w:rPr>
          <w:rFonts w:ascii="Cambria" w:hAnsi="Cambria"/>
          <w:sz w:val="22"/>
        </w:rPr>
        <w:t>Integrity, fairness, and impartiality in handling records and personnel matters.</w:t>
      </w:r>
    </w:p>
    <w:p>
      <w:pPr>
        <w:pStyle w:val="ListBullet2"/>
        <w:jc w:val="both"/>
      </w:pPr>
      <w:r>
        <w:rPr>
          <w:rFonts w:ascii="Cambria" w:hAnsi="Cambria"/>
          <w:sz w:val="22"/>
        </w:rPr>
        <w:t>Excellent communication and documentation abilities to engage with faculty, staff, students, and government authorities.</w:t>
      </w:r>
    </w:p>
    <w:p>
      <w:pPr>
        <w:pStyle w:val="ListBullet"/>
        <w:jc w:val="both"/>
      </w:pPr>
      <w:r>
        <w:rPr>
          <w:rFonts w:ascii="Cambria" w:hAnsi="Cambria"/>
          <w:sz w:val="22"/>
        </w:rPr>
        <w:t>5. Significance of the Registrar's Role</w:t>
      </w:r>
    </w:p>
    <w:p>
      <w:pPr>
        <w:pStyle w:val="ListBullet2"/>
        <w:jc w:val="both"/>
      </w:pPr>
      <w:r>
        <w:rPr>
          <w:rFonts w:ascii="Cambria" w:hAnsi="Cambria"/>
          <w:sz w:val="22"/>
        </w:rPr>
        <w:t>Ensures smooth academic and administrative functioning of the university.</w:t>
      </w:r>
    </w:p>
    <w:p>
      <w:pPr>
        <w:pStyle w:val="ListBullet2"/>
        <w:jc w:val="both"/>
      </w:pPr>
      <w:r>
        <w:rPr>
          <w:rFonts w:ascii="Cambria" w:hAnsi="Cambria"/>
          <w:sz w:val="22"/>
        </w:rPr>
        <w:t>Provides the institutional memory that supports decision-making.</w:t>
      </w:r>
    </w:p>
    <w:p>
      <w:pPr>
        <w:pStyle w:val="ListBullet2"/>
        <w:jc w:val="both"/>
      </w:pPr>
      <w:r>
        <w:rPr>
          <w:rFonts w:ascii="Cambria" w:hAnsi="Cambria"/>
          <w:sz w:val="22"/>
        </w:rPr>
        <w:t>Strengthens the credibility of governance through accurate documentation and compliance.</w:t>
      </w:r>
    </w:p>
    <w:p>
      <w:pPr>
        <w:pStyle w:val="ListBullet2"/>
        <w:jc w:val="both"/>
      </w:pPr>
      <w:r>
        <w:rPr>
          <w:rFonts w:ascii="Cambria" w:hAnsi="Cambria"/>
          <w:sz w:val="22"/>
        </w:rPr>
        <w:t>Plays a critical role in accreditation, audits, and quality assurance.</w:t>
      </w:r>
    </w:p>
    <w:p>
      <w:pPr>
        <w:keepNext/>
        <w:spacing w:before="160" w:after="120"/>
      </w:pPr>
      <w:r>
        <w:rPr>
          <w:rFonts w:ascii="Cambria" w:hAnsi="Cambria"/>
          <w:b/>
          <w:color w:val="1F3A5F"/>
          <w:sz w:val="30"/>
        </w:rPr>
        <w:t>Powers and Duties of the Registrar</w:t>
      </w:r>
    </w:p>
    <w:p>
      <w:r>
        <w:rPr>
          <w:rFonts w:ascii="Cambria" w:hAnsi="Cambria"/>
          <w:b/>
          <w:i w:val="0"/>
          <w:sz w:val="22"/>
        </w:rPr>
        <w:t>1) Appointment of Registrar</w:t>
      </w:r>
    </w:p>
    <w:p>
      <w:pPr>
        <w:pStyle w:val="ListBullet"/>
        <w:jc w:val="both"/>
      </w:pPr>
      <w:r>
        <w:rPr>
          <w:rFonts w:ascii="Cambria" w:hAnsi="Cambria"/>
          <w:sz w:val="22"/>
        </w:rPr>
        <w:t>The Registrar is a whole-time officer of the University.</w:t>
      </w:r>
    </w:p>
    <w:p>
      <w:pPr>
        <w:pStyle w:val="ListBullet"/>
        <w:jc w:val="both"/>
      </w:pPr>
      <w:r>
        <w:rPr>
          <w:rFonts w:ascii="Cambria" w:hAnsi="Cambria"/>
          <w:sz w:val="22"/>
        </w:rPr>
        <w:t>Appointed by the Board of Management for a fixed tenure as prescribed in University Regulations.</w:t>
      </w:r>
    </w:p>
    <w:p>
      <w:pPr>
        <w:pStyle w:val="ListBullet"/>
        <w:jc w:val="both"/>
      </w:pPr>
      <w:r>
        <w:rPr>
          <w:rFonts w:ascii="Cambria" w:hAnsi="Cambria"/>
          <w:sz w:val="22"/>
        </w:rPr>
        <w:t>Ensures continuity, neutrality, and accountability in administration.</w:t>
      </w:r>
    </w:p>
    <w:p>
      <w:r>
        <w:rPr>
          <w:rFonts w:ascii="Cambria" w:hAnsi="Cambria"/>
          <w:b/>
          <w:i w:val="0"/>
          <w:sz w:val="22"/>
        </w:rPr>
        <w:t>2) Secretary to University Authorities</w:t>
      </w:r>
    </w:p>
    <w:p>
      <w:pPr>
        <w:pStyle w:val="ListBullet"/>
        <w:jc w:val="both"/>
      </w:pPr>
      <w:r>
        <w:rPr>
          <w:rFonts w:ascii="Cambria" w:hAnsi="Cambria"/>
          <w:sz w:val="22"/>
        </w:rPr>
        <w:t>Acts as the Secretary to the Board of Management and the Academic Council.</w:t>
      </w:r>
    </w:p>
    <w:p>
      <w:pPr>
        <w:pStyle w:val="ListBullet"/>
        <w:jc w:val="both"/>
      </w:pPr>
      <w:r>
        <w:rPr>
          <w:rFonts w:ascii="Cambria" w:hAnsi="Cambria"/>
          <w:sz w:val="22"/>
        </w:rPr>
        <w:t>Prepares meeting agendas, circulates notices, and records minutes.</w:t>
      </w:r>
    </w:p>
    <w:p>
      <w:pPr>
        <w:pStyle w:val="ListBullet"/>
        <w:jc w:val="both"/>
      </w:pPr>
      <w:r>
        <w:rPr>
          <w:rFonts w:ascii="Cambria" w:hAnsi="Cambria"/>
          <w:sz w:val="22"/>
        </w:rPr>
        <w:t>Serves as the link between decision-making bodies and university administration.</w:t>
      </w:r>
    </w:p>
    <w:p>
      <w:r>
        <w:rPr>
          <w:rFonts w:ascii="Cambria" w:hAnsi="Cambria"/>
          <w:b/>
          <w:i w:val="0"/>
          <w:sz w:val="22"/>
        </w:rPr>
        <w:t>3) In-Charge Arrangements</w:t>
      </w:r>
    </w:p>
    <w:p>
      <w:pPr>
        <w:pStyle w:val="ListBullet"/>
        <w:jc w:val="both"/>
      </w:pPr>
      <w:r>
        <w:rPr>
          <w:rFonts w:ascii="Cambria" w:hAnsi="Cambria"/>
          <w:sz w:val="22"/>
        </w:rPr>
        <w:t>When the Registrar is absent (leave, deputation, or vacancy), the Vice-Chancellor can appoint an in-charge Registrar.</w:t>
      </w:r>
    </w:p>
    <w:p>
      <w:pPr>
        <w:pStyle w:val="ListBullet"/>
        <w:jc w:val="both"/>
      </w:pPr>
      <w:r>
        <w:rPr>
          <w:rFonts w:ascii="Cambria" w:hAnsi="Cambria"/>
          <w:sz w:val="22"/>
        </w:rPr>
        <w:t>Ensures that administrative functions continue without disruption.</w:t>
      </w:r>
    </w:p>
    <w:p>
      <w:r>
        <w:rPr>
          <w:rFonts w:ascii="Cambria" w:hAnsi="Cambria"/>
          <w:b/>
          <w:i w:val="0"/>
          <w:sz w:val="22"/>
        </w:rPr>
        <w:t>4) Allowances and Perquisites</w:t>
      </w:r>
    </w:p>
    <w:p>
      <w:pPr>
        <w:pStyle w:val="ListBullet"/>
        <w:jc w:val="both"/>
      </w:pPr>
      <w:r>
        <w:rPr>
          <w:rFonts w:ascii="Cambria" w:hAnsi="Cambria"/>
          <w:sz w:val="22"/>
        </w:rPr>
        <w:t>Registrar is entitled to remuneration, allowances, and benefits as fixed by the Board of Management.</w:t>
      </w:r>
    </w:p>
    <w:p>
      <w:pPr>
        <w:pStyle w:val="ListBullet"/>
        <w:jc w:val="both"/>
      </w:pPr>
      <w:r>
        <w:rPr>
          <w:rFonts w:ascii="Cambria" w:hAnsi="Cambria"/>
          <w:sz w:val="22"/>
        </w:rPr>
        <w:t>At par with other senior officers of the University, ensuring financial recognition of responsibility.</w:t>
      </w:r>
    </w:p>
    <w:p>
      <w:r>
        <w:rPr>
          <w:rFonts w:ascii="Cambria" w:hAnsi="Cambria"/>
          <w:b/>
          <w:i w:val="0"/>
          <w:sz w:val="22"/>
        </w:rPr>
        <w:t>5) Custodian of Records and Seal</w:t>
      </w:r>
    </w:p>
    <w:p>
      <w:pPr>
        <w:pStyle w:val="ListBullet"/>
        <w:jc w:val="both"/>
      </w:pPr>
      <w:r>
        <w:rPr>
          <w:rFonts w:ascii="Cambria" w:hAnsi="Cambria"/>
          <w:sz w:val="22"/>
        </w:rPr>
        <w:t>The Registrar is the custodian of university records, legal documents, the common seal, and entrusted properties.</w:t>
      </w:r>
    </w:p>
    <w:p>
      <w:pPr>
        <w:pStyle w:val="ListBullet"/>
        <w:jc w:val="both"/>
      </w:pPr>
      <w:r>
        <w:rPr>
          <w:rFonts w:ascii="Cambria" w:hAnsi="Cambria"/>
          <w:sz w:val="22"/>
        </w:rPr>
        <w:t>No official document (degree, contract, policy) can be authenticated without the Registrar's approval/seal.</w:t>
      </w:r>
    </w:p>
    <w:p>
      <w:pPr>
        <w:pStyle w:val="ListBullet"/>
        <w:jc w:val="both"/>
      </w:pPr>
      <w:r>
        <w:rPr>
          <w:rFonts w:ascii="Cambria" w:hAnsi="Cambria"/>
          <w:sz w:val="22"/>
        </w:rPr>
        <w:t>Safeguards the institution's legal and historical integrity.</w:t>
      </w:r>
    </w:p>
    <w:p>
      <w:r>
        <w:rPr>
          <w:rFonts w:ascii="Cambria" w:hAnsi="Cambria"/>
          <w:b/>
          <w:i w:val="0"/>
          <w:sz w:val="22"/>
        </w:rPr>
        <w:t>6) Head of the University Office</w:t>
      </w:r>
    </w:p>
    <w:p>
      <w:pPr>
        <w:pStyle w:val="ListBullet"/>
        <w:jc w:val="both"/>
      </w:pPr>
      <w:r>
        <w:rPr>
          <w:rFonts w:ascii="Cambria" w:hAnsi="Cambria"/>
          <w:sz w:val="22"/>
        </w:rPr>
        <w:t>Heads the entire administrative office of the University.</w:t>
      </w:r>
    </w:p>
    <w:p>
      <w:pPr>
        <w:pStyle w:val="ListBullet"/>
        <w:jc w:val="both"/>
      </w:pPr>
      <w:r>
        <w:rPr>
          <w:rFonts w:ascii="Cambria" w:hAnsi="Cambria"/>
          <w:sz w:val="22"/>
        </w:rPr>
        <w:t>Exercises disciplinary control over non-teaching employees.</w:t>
      </w:r>
    </w:p>
    <w:p>
      <w:pPr>
        <w:pStyle w:val="ListBullet"/>
        <w:jc w:val="both"/>
      </w:pPr>
      <w:r>
        <w:rPr>
          <w:rFonts w:ascii="Cambria" w:hAnsi="Cambria"/>
          <w:sz w:val="22"/>
        </w:rPr>
        <w:t>Functions as the chief administrator under the VC's general supervision.</w:t>
      </w:r>
    </w:p>
    <w:p>
      <w:r>
        <w:rPr>
          <w:rFonts w:ascii="Cambria" w:hAnsi="Cambria"/>
          <w:b/>
          <w:i w:val="0"/>
          <w:sz w:val="22"/>
        </w:rPr>
        <w:t>7) Division of University Office</w:t>
      </w:r>
    </w:p>
    <w:p>
      <w:pPr>
        <w:jc w:val="both"/>
      </w:pPr>
      <w:r>
        <w:rPr>
          <w:rFonts w:ascii="Cambria" w:hAnsi="Cambria"/>
          <w:b w:val="0"/>
          <w:i w:val="0"/>
          <w:sz w:val="22"/>
        </w:rPr>
        <w:t>The Registrar manages the University Office through specialized branches and sections for efficient administration:</w:t>
      </w:r>
    </w:p>
    <w:p>
      <w:pPr>
        <w:pStyle w:val="ListBullet"/>
        <w:jc w:val="both"/>
      </w:pPr>
      <w:r>
        <w:rPr>
          <w:rFonts w:ascii="Cambria" w:hAnsi="Cambria"/>
          <w:sz w:val="22"/>
        </w:rPr>
        <w:t>(a) Academic Branch</w:t>
      </w:r>
    </w:p>
    <w:p>
      <w:pPr>
        <w:pStyle w:val="ListBullet2"/>
        <w:jc w:val="both"/>
      </w:pPr>
      <w:r>
        <w:rPr>
          <w:rFonts w:ascii="Cambria" w:hAnsi="Cambria"/>
          <w:sz w:val="22"/>
        </w:rPr>
        <w:t>Academic Section → Manages curriculum, syllabi, teaching matters.</w:t>
      </w:r>
    </w:p>
    <w:p>
      <w:pPr>
        <w:pStyle w:val="ListBullet2"/>
        <w:jc w:val="both"/>
      </w:pPr>
      <w:r>
        <w:rPr>
          <w:rFonts w:ascii="Cambria" w:hAnsi="Cambria"/>
          <w:sz w:val="22"/>
        </w:rPr>
        <w:t>Records Section (non-exam records) → Maintains academic records, approvals, correspondence.</w:t>
      </w:r>
    </w:p>
    <w:p>
      <w:pPr>
        <w:pStyle w:val="ListBullet"/>
        <w:jc w:val="both"/>
      </w:pPr>
      <w:r>
        <w:rPr>
          <w:rFonts w:ascii="Cambria" w:hAnsi="Cambria"/>
          <w:sz w:val="22"/>
        </w:rPr>
        <w:t>(b) Administrative Branch</w:t>
      </w:r>
    </w:p>
    <w:p>
      <w:pPr>
        <w:pStyle w:val="ListBullet2"/>
        <w:jc w:val="both"/>
      </w:pPr>
      <w:r>
        <w:rPr>
          <w:rFonts w:ascii="Cambria" w:hAnsi="Cambria"/>
          <w:sz w:val="22"/>
        </w:rPr>
        <w:t>Meetings &amp; Legal → Handles Board of Management meetings, legal compliance.</w:t>
      </w:r>
    </w:p>
    <w:p>
      <w:pPr>
        <w:pStyle w:val="ListBullet2"/>
        <w:jc w:val="both"/>
      </w:pPr>
      <w:r>
        <w:rPr>
          <w:rFonts w:ascii="Cambria" w:hAnsi="Cambria"/>
          <w:sz w:val="22"/>
        </w:rPr>
        <w:t>Teaching Staff Services → Service matters like recruitment, promotion, leave.</w:t>
      </w:r>
    </w:p>
    <w:p>
      <w:pPr>
        <w:pStyle w:val="ListBullet2"/>
        <w:jc w:val="both"/>
      </w:pPr>
      <w:r>
        <w:rPr>
          <w:rFonts w:ascii="Cambria" w:hAnsi="Cambria"/>
          <w:sz w:val="22"/>
        </w:rPr>
        <w:t>Non-Teaching Staff Services → Service matters like transfers, leave, grievances.</w:t>
      </w:r>
    </w:p>
    <w:p>
      <w:pPr>
        <w:pStyle w:val="ListBullet2"/>
        <w:jc w:val="both"/>
      </w:pPr>
      <w:r>
        <w:rPr>
          <w:rFonts w:ascii="Cambria" w:hAnsi="Cambria"/>
          <w:sz w:val="22"/>
        </w:rPr>
        <w:t>Tappals &amp; Despatch → Incoming/outgoing communications and document management.</w:t>
      </w:r>
    </w:p>
    <w:p>
      <w:pPr>
        <w:pStyle w:val="ListBullet"/>
        <w:jc w:val="both"/>
      </w:pPr>
      <w:r>
        <w:rPr>
          <w:rFonts w:ascii="Cambria" w:hAnsi="Cambria"/>
          <w:sz w:val="22"/>
        </w:rPr>
        <w:t>(c) Examination Branch</w:t>
      </w:r>
    </w:p>
    <w:p>
      <w:pPr>
        <w:pStyle w:val="ListBullet2"/>
        <w:jc w:val="both"/>
      </w:pPr>
      <w:r>
        <w:rPr>
          <w:rFonts w:ascii="Cambria" w:hAnsi="Cambria"/>
          <w:sz w:val="22"/>
        </w:rPr>
        <w:t>Postgraduate Exams Section → Conducts PG examinations, results.</w:t>
      </w:r>
    </w:p>
    <w:p>
      <w:pPr>
        <w:pStyle w:val="ListBullet2"/>
        <w:jc w:val="both"/>
      </w:pPr>
      <w:r>
        <w:rPr>
          <w:rFonts w:ascii="Cambria" w:hAnsi="Cambria"/>
          <w:sz w:val="22"/>
        </w:rPr>
        <w:t>UG Exams Section → Conducts UG examinations, results.</w:t>
      </w:r>
    </w:p>
    <w:p>
      <w:pPr>
        <w:pStyle w:val="ListBullet2"/>
        <w:jc w:val="both"/>
      </w:pPr>
      <w:r>
        <w:rPr>
          <w:rFonts w:ascii="Cambria" w:hAnsi="Cambria"/>
          <w:sz w:val="22"/>
        </w:rPr>
        <w:t>Confidential Section(s) → Question paper setting, printing, evaluation.</w:t>
      </w:r>
    </w:p>
    <w:p>
      <w:pPr>
        <w:pStyle w:val="ListBullet2"/>
        <w:jc w:val="both"/>
      </w:pPr>
      <w:r>
        <w:rPr>
          <w:rFonts w:ascii="Cambria" w:hAnsi="Cambria"/>
          <w:sz w:val="22"/>
        </w:rPr>
        <w:t>Exam Records Section → Preservation of exam-related records.</w:t>
      </w:r>
    </w:p>
    <w:p>
      <w:pPr>
        <w:pStyle w:val="ListBullet"/>
        <w:jc w:val="both"/>
      </w:pPr>
      <w:r>
        <w:rPr>
          <w:rFonts w:ascii="Cambria" w:hAnsi="Cambria"/>
          <w:sz w:val="22"/>
        </w:rPr>
        <w:t>(d) Finance Branch</w:t>
      </w:r>
    </w:p>
    <w:p>
      <w:pPr>
        <w:pStyle w:val="ListBullet2"/>
        <w:jc w:val="both"/>
      </w:pPr>
      <w:r>
        <w:rPr>
          <w:rFonts w:ascii="Cambria" w:hAnsi="Cambria"/>
          <w:sz w:val="22"/>
        </w:rPr>
        <w:t>Receipts → Collects fees, grants, donations.</w:t>
      </w:r>
    </w:p>
    <w:p>
      <w:pPr>
        <w:pStyle w:val="ListBullet2"/>
        <w:jc w:val="both"/>
      </w:pPr>
      <w:r>
        <w:rPr>
          <w:rFonts w:ascii="Cambria" w:hAnsi="Cambria"/>
          <w:sz w:val="22"/>
        </w:rPr>
        <w:t>Payments → Salary disbursement, bills, expenses.</w:t>
      </w:r>
    </w:p>
    <w:p>
      <w:pPr>
        <w:pStyle w:val="ListBullet2"/>
        <w:jc w:val="both"/>
      </w:pPr>
      <w:r>
        <w:rPr>
          <w:rFonts w:ascii="Cambria" w:hAnsi="Cambria"/>
          <w:sz w:val="22"/>
        </w:rPr>
        <w:t>Budget Section → Annual budget preparation and monitoring.</w:t>
      </w:r>
    </w:p>
    <w:p>
      <w:pPr>
        <w:pStyle w:val="ListBullet"/>
        <w:jc w:val="both"/>
      </w:pPr>
      <w:r>
        <w:rPr>
          <w:rFonts w:ascii="Cambria" w:hAnsi="Cambria"/>
          <w:sz w:val="22"/>
        </w:rPr>
        <w:t>(e) Engineering Branch</w:t>
      </w:r>
    </w:p>
    <w:p>
      <w:pPr>
        <w:pStyle w:val="ListBullet2"/>
        <w:jc w:val="both"/>
      </w:pPr>
      <w:r>
        <w:rPr>
          <w:rFonts w:ascii="Cambria" w:hAnsi="Cambria"/>
          <w:sz w:val="22"/>
        </w:rPr>
        <w:t>Civil Works → Maintenance of buildings, infrastructure.</w:t>
      </w:r>
    </w:p>
    <w:p>
      <w:pPr>
        <w:pStyle w:val="ListBullet2"/>
        <w:jc w:val="both"/>
      </w:pPr>
      <w:r>
        <w:rPr>
          <w:rFonts w:ascii="Cambria" w:hAnsi="Cambria"/>
          <w:sz w:val="22"/>
        </w:rPr>
        <w:t>Electrical &amp; Water Supply → Power supply, utilities management.</w:t>
      </w:r>
    </w:p>
    <w:p>
      <w:pPr>
        <w:pStyle w:val="ListBullet2"/>
        <w:jc w:val="both"/>
      </w:pPr>
      <w:r>
        <w:rPr>
          <w:rFonts w:ascii="Cambria" w:hAnsi="Cambria"/>
          <w:sz w:val="22"/>
        </w:rPr>
        <w:t>Transport Section → Vehicle maintenance and movement.</w:t>
      </w:r>
    </w:p>
    <w:p>
      <w:r>
        <w:rPr>
          <w:rFonts w:ascii="Cambria" w:hAnsi="Cambria"/>
          <w:b/>
          <w:i w:val="0"/>
          <w:sz w:val="22"/>
        </w:rPr>
        <w:t>8) Power of Transfer</w:t>
      </w:r>
    </w:p>
    <w:p>
      <w:pPr>
        <w:pStyle w:val="ListBullet"/>
        <w:jc w:val="both"/>
      </w:pPr>
      <w:r>
        <w:rPr>
          <w:rFonts w:ascii="Cambria" w:hAnsi="Cambria"/>
          <w:sz w:val="22"/>
        </w:rPr>
        <w:t>Registrar can transfer non-teaching staff up to the level of Superintendent (or equivalent) across branches.</w:t>
      </w:r>
    </w:p>
    <w:p>
      <w:pPr>
        <w:pStyle w:val="ListBullet"/>
        <w:jc w:val="both"/>
      </w:pPr>
      <w:r>
        <w:rPr>
          <w:rFonts w:ascii="Cambria" w:hAnsi="Cambria"/>
          <w:sz w:val="22"/>
        </w:rPr>
        <w:t>Prevents stagnation, ensures fair distribution of manpower, and maintains efficiency.</w:t>
      </w:r>
    </w:p>
    <w:p>
      <w:r>
        <w:rPr>
          <w:rFonts w:ascii="Cambria" w:hAnsi="Cambria"/>
          <w:b/>
          <w:i w:val="0"/>
          <w:sz w:val="22"/>
        </w:rPr>
        <w:t>9) Duties of the Registrar</w:t>
      </w:r>
    </w:p>
    <w:p>
      <w:pPr>
        <w:pStyle w:val="ListBullet"/>
        <w:jc w:val="both"/>
      </w:pPr>
      <w:r>
        <w:rPr>
          <w:rFonts w:ascii="Cambria" w:hAnsi="Cambria"/>
          <w:sz w:val="22"/>
        </w:rPr>
        <w:t>(a) Issue Notices – For meetings of University Authorities (Board, Academic Council, etc.) as directed by VC.</w:t>
      </w:r>
    </w:p>
    <w:p>
      <w:pPr>
        <w:pStyle w:val="ListBullet"/>
        <w:jc w:val="both"/>
      </w:pPr>
      <w:r>
        <w:rPr>
          <w:rFonts w:ascii="Cambria" w:hAnsi="Cambria"/>
          <w:sz w:val="22"/>
        </w:rPr>
        <w:t>(b) Keep Minutes – Maintain official records of proceedings of University bodies.</w:t>
      </w:r>
    </w:p>
    <w:p>
      <w:pPr>
        <w:pStyle w:val="ListBullet"/>
        <w:jc w:val="both"/>
      </w:pPr>
      <w:r>
        <w:rPr>
          <w:rFonts w:ascii="Cambria" w:hAnsi="Cambria"/>
          <w:sz w:val="22"/>
        </w:rPr>
        <w:t>(c) Official Correspondence – Conduct all official communication on behalf of the University.</w:t>
      </w:r>
    </w:p>
    <w:p>
      <w:pPr>
        <w:pStyle w:val="ListBullet"/>
        <w:jc w:val="both"/>
      </w:pPr>
      <w:r>
        <w:rPr>
          <w:rFonts w:ascii="Cambria" w:hAnsi="Cambria"/>
          <w:sz w:val="22"/>
        </w:rPr>
        <w:t>(d) Legal Representation – Represent University in courts, sign power of attorney, deputize representatives.</w:t>
      </w:r>
    </w:p>
    <w:p>
      <w:pPr>
        <w:pStyle w:val="ListBullet"/>
        <w:jc w:val="both"/>
      </w:pPr>
      <w:r>
        <w:rPr>
          <w:rFonts w:ascii="Cambria" w:hAnsi="Cambria"/>
          <w:sz w:val="22"/>
        </w:rPr>
        <w:t>(e) Contracts and MoUs – Sign legally binding documents on behalf of the University with prior approval.</w:t>
      </w:r>
    </w:p>
    <w:p>
      <w:pPr>
        <w:pStyle w:val="ListBullet"/>
        <w:jc w:val="both"/>
      </w:pPr>
      <w:r>
        <w:rPr>
          <w:rFonts w:ascii="Cambria" w:hAnsi="Cambria"/>
          <w:sz w:val="22"/>
        </w:rPr>
        <w:t>(f) Provide Access to Records – Allow Board/Academic Council members access to essential records (with VC's permission).</w:t>
      </w:r>
    </w:p>
    <w:p>
      <w:pPr>
        <w:pStyle w:val="ListBullet"/>
        <w:jc w:val="both"/>
      </w:pPr>
      <w:r>
        <w:rPr>
          <w:rFonts w:ascii="Cambria" w:hAnsi="Cambria"/>
          <w:sz w:val="22"/>
        </w:rPr>
        <w:t>(g) Comply with Regulations – Perform duties as per University statutes, rules, and regulations.</w:t>
      </w:r>
    </w:p>
    <w:p>
      <w:pPr>
        <w:pStyle w:val="ListBullet"/>
        <w:jc w:val="both"/>
      </w:pPr>
      <w:r>
        <w:rPr>
          <w:rFonts w:ascii="Cambria" w:hAnsi="Cambria"/>
          <w:sz w:val="22"/>
        </w:rPr>
        <w:t>(h) Delegated Functions – Carry out tasks assigned by the Board of Management or VC.</w:t>
      </w:r>
    </w:p>
    <w:p>
      <w:r>
        <w:rPr>
          <w:rFonts w:ascii="Cambria" w:hAnsi="Cambria"/>
          <w:b/>
          <w:i w:val="0"/>
          <w:sz w:val="22"/>
        </w:rPr>
        <w:t>10) Deputation of Employees</w:t>
      </w:r>
    </w:p>
    <w:p>
      <w:pPr>
        <w:pStyle w:val="ListBullet"/>
        <w:jc w:val="both"/>
      </w:pPr>
      <w:r>
        <w:rPr>
          <w:rFonts w:ascii="Cambria" w:hAnsi="Cambria"/>
          <w:sz w:val="22"/>
        </w:rPr>
        <w:t>Registrar has the authority to nominate employees for university work (seminars, inspections, collaborative work).</w:t>
      </w:r>
    </w:p>
    <w:p>
      <w:pPr>
        <w:pStyle w:val="ListBullet"/>
        <w:jc w:val="both"/>
      </w:pPr>
      <w:r>
        <w:rPr>
          <w:rFonts w:ascii="Cambria" w:hAnsi="Cambria"/>
          <w:sz w:val="22"/>
        </w:rPr>
        <w:t>Can sanction Travel Allowance (TA), Daily Allowance (DA) and other related expenses.</w:t>
      </w:r>
    </w:p>
    <w:tbl>
      <w:tblPr>
        <w:tblW w:type="auto" w:w="0"/>
        <w:tblLayout w:type="fixed"/>
        <w:tblLook w:firstColumn="1" w:firstRow="1" w:lastColumn="0" w:lastRow="0" w:noHBand="0" w:noVBand="1" w:val="04A0"/>
        <w:tblLayout w:type="fixed"/>
      </w:tblPr>
      <w:tblGrid>
        <w:gridCol w:w="1417"/>
        <w:gridCol w:w="4309"/>
        <w:gridCol w:w="4252"/>
      </w:tblGrid>
      <w:tr>
        <w:tc>
          <w:tcPr>
            <w:tcW w:type="dxa" w:w="1417"/>
            <w:shd w:val="clear" w:color="auto" w:fill="1F3A5F"/>
            <w:tcW w:w="1417" w:type="dxa"/>
          </w:tcPr>
          <w:p>
            <w:pPr>
              <w:jc w:val="center"/>
            </w:pPr>
            <w:r/>
            <w:r>
              <w:rPr>
                <w:rFonts w:ascii="Cambria" w:hAnsi="Cambria"/>
                <w:b/>
                <w:color w:val="FFFFFF"/>
                <w:sz w:val="22"/>
              </w:rPr>
              <w:t>Domain</w:t>
            </w:r>
          </w:p>
        </w:tc>
        <w:tc>
          <w:tcPr>
            <w:tcW w:type="dxa" w:w="4309"/>
            <w:shd w:val="clear" w:color="auto" w:fill="1F3A5F"/>
            <w:tcW w:w="4309" w:type="dxa"/>
          </w:tcPr>
          <w:p>
            <w:pPr>
              <w:jc w:val="center"/>
            </w:pPr>
            <w:r/>
            <w:r>
              <w:rPr>
                <w:rFonts w:ascii="Cambria" w:hAnsi="Cambria"/>
                <w:b/>
                <w:color w:val="FFFFFF"/>
                <w:sz w:val="22"/>
              </w:rPr>
              <w:t>Specific Powers / Duties</w:t>
            </w:r>
          </w:p>
        </w:tc>
        <w:tc>
          <w:tcPr>
            <w:tcW w:type="dxa" w:w="4252"/>
            <w:shd w:val="clear" w:color="auto" w:fill="1F3A5F"/>
            <w:tcW w:w="4252" w:type="dxa"/>
          </w:tcPr>
          <w:p>
            <w:pPr>
              <w:jc w:val="center"/>
            </w:pPr>
            <w:r/>
            <w:r>
              <w:rPr>
                <w:rFonts w:ascii="Cambria" w:hAnsi="Cambria"/>
                <w:b/>
                <w:color w:val="FFFFFF"/>
                <w:sz w:val="22"/>
              </w:rPr>
              <w:t>Impact on University</w:t>
            </w:r>
          </w:p>
        </w:tc>
      </w:tr>
      <w:tr>
        <w:tc>
          <w:tcPr>
            <w:tcW w:type="dxa" w:w="1417"/>
            <w:tcW w:w="1417" w:type="dxa"/>
          </w:tcPr>
          <w:p>
            <w:pPr>
              <w:jc w:val="left"/>
            </w:pPr>
            <w:r/>
            <w:r>
              <w:rPr>
                <w:rFonts w:ascii="Cambria" w:hAnsi="Cambria"/>
                <w:b w:val="0"/>
                <w:sz w:val="19"/>
              </w:rPr>
              <w:t>Academic</w:t>
            </w:r>
          </w:p>
        </w:tc>
        <w:tc>
          <w:tcPr>
            <w:tcW w:type="dxa" w:w="4309"/>
            <w:tcW w:w="4309" w:type="dxa"/>
          </w:tcPr>
          <w:p>
            <w:pPr>
              <w:jc w:val="left"/>
            </w:pPr>
            <w:r/>
            <w:r>
              <w:rPr>
                <w:rFonts w:ascii="Cambria" w:hAnsi="Cambria"/>
                <w:b w:val="0"/>
                <w:sz w:val="19"/>
              </w:rPr>
              <w:t>- Secretary to the Academic Council</w:t>
            </w:r>
          </w:p>
          <w:p>
            <w:pPr>
              <w:jc w:val="left"/>
            </w:pPr>
            <w:r>
              <w:rPr>
                <w:rFonts w:ascii="Cambria" w:hAnsi="Cambria"/>
                <w:b w:val="0"/>
                <w:sz w:val="19"/>
              </w:rPr>
              <w:t>- Manage Academic Branch (academic records, syllabi, curriculum records)</w:t>
            </w:r>
          </w:p>
          <w:p>
            <w:pPr>
              <w:jc w:val="left"/>
            </w:pPr>
            <w:r>
              <w:rPr>
                <w:rFonts w:ascii="Cambria" w:hAnsi="Cambria"/>
                <w:b w:val="0"/>
                <w:sz w:val="19"/>
              </w:rPr>
              <w:t>- Issue notices for Academic Council meetings</w:t>
            </w:r>
          </w:p>
          <w:p>
            <w:pPr>
              <w:jc w:val="left"/>
            </w:pPr>
            <w:r>
              <w:rPr>
                <w:rFonts w:ascii="Cambria" w:hAnsi="Cambria"/>
                <w:b w:val="0"/>
                <w:sz w:val="19"/>
              </w:rPr>
              <w:t>- Keep minutes of academic decisions</w:t>
            </w:r>
          </w:p>
          <w:p>
            <w:pPr>
              <w:jc w:val="left"/>
            </w:pPr>
            <w:r>
              <w:rPr>
                <w:rFonts w:ascii="Cambria" w:hAnsi="Cambria"/>
                <w:b w:val="0"/>
                <w:sz w:val="19"/>
              </w:rPr>
              <w:t>- Support examination records (non-exam academics)</w:t>
            </w:r>
          </w:p>
        </w:tc>
        <w:tc>
          <w:tcPr>
            <w:tcW w:type="dxa" w:w="4252"/>
            <w:tcW w:w="4252" w:type="dxa"/>
          </w:tcPr>
          <w:p>
            <w:pPr>
              <w:jc w:val="left"/>
            </w:pPr>
            <w:r/>
            <w:r>
              <w:rPr>
                <w:rFonts w:ascii="Cambria" w:hAnsi="Cambria"/>
                <w:b w:val="0"/>
                <w:sz w:val="19"/>
              </w:rPr>
              <w:t>- Ensures smooth functioning of academic decision-making</w:t>
            </w:r>
          </w:p>
          <w:p>
            <w:pPr>
              <w:jc w:val="left"/>
            </w:pPr>
            <w:r>
              <w:rPr>
                <w:rFonts w:ascii="Cambria" w:hAnsi="Cambria"/>
                <w:b w:val="0"/>
                <w:sz w:val="19"/>
              </w:rPr>
              <w:t>- Maintains integrity of academic records</w:t>
            </w:r>
          </w:p>
          <w:p>
            <w:pPr>
              <w:jc w:val="left"/>
            </w:pPr>
            <w:r>
              <w:rPr>
                <w:rFonts w:ascii="Cambria" w:hAnsi="Cambria"/>
                <w:b w:val="0"/>
                <w:sz w:val="19"/>
              </w:rPr>
              <w:t>- Strengthens coordination between faculty and administration</w:t>
            </w:r>
          </w:p>
        </w:tc>
      </w:tr>
      <w:tr>
        <w:tc>
          <w:tcPr>
            <w:tcW w:type="dxa" w:w="1417"/>
            <w:tcW w:w="1417" w:type="dxa"/>
            <w:shd w:val="clear" w:color="auto" w:fill="D9E2EC"/>
          </w:tcPr>
          <w:p>
            <w:pPr>
              <w:jc w:val="left"/>
            </w:pPr>
            <w:r/>
            <w:r>
              <w:rPr>
                <w:rFonts w:ascii="Cambria" w:hAnsi="Cambria"/>
                <w:b w:val="0"/>
                <w:sz w:val="19"/>
              </w:rPr>
              <w:t>Administrative</w:t>
            </w:r>
          </w:p>
        </w:tc>
        <w:tc>
          <w:tcPr>
            <w:tcW w:type="dxa" w:w="4309"/>
            <w:tcW w:w="4309" w:type="dxa"/>
            <w:shd w:val="clear" w:color="auto" w:fill="D9E2EC"/>
          </w:tcPr>
          <w:p>
            <w:pPr>
              <w:jc w:val="left"/>
            </w:pPr>
            <w:r/>
            <w:r>
              <w:rPr>
                <w:rFonts w:ascii="Cambria" w:hAnsi="Cambria"/>
                <w:b w:val="0"/>
                <w:sz w:val="19"/>
              </w:rPr>
              <w:t>- Whole-time officer appointed by Board of Management</w:t>
            </w:r>
          </w:p>
          <w:p>
            <w:pPr>
              <w:jc w:val="left"/>
            </w:pPr>
            <w:r>
              <w:rPr>
                <w:rFonts w:ascii="Cambria" w:hAnsi="Cambria"/>
                <w:b w:val="0"/>
                <w:sz w:val="19"/>
              </w:rPr>
              <w:t>- Secretary to Board of Management</w:t>
            </w:r>
          </w:p>
          <w:p>
            <w:pPr>
              <w:jc w:val="left"/>
            </w:pPr>
            <w:r>
              <w:rPr>
                <w:rFonts w:ascii="Cambria" w:hAnsi="Cambria"/>
                <w:b w:val="0"/>
                <w:sz w:val="19"/>
              </w:rPr>
              <w:t>- Head of University Office</w:t>
            </w:r>
          </w:p>
          <w:p>
            <w:pPr>
              <w:jc w:val="left"/>
            </w:pPr>
            <w:r>
              <w:rPr>
                <w:rFonts w:ascii="Cambria" w:hAnsi="Cambria"/>
                <w:b w:val="0"/>
                <w:sz w:val="19"/>
              </w:rPr>
              <w:t>- Custodian of records, seal, properties</w:t>
            </w:r>
          </w:p>
          <w:p>
            <w:pPr>
              <w:jc w:val="left"/>
            </w:pPr>
            <w:r>
              <w:rPr>
                <w:rFonts w:ascii="Cambria" w:hAnsi="Cambria"/>
                <w:b w:val="0"/>
                <w:sz w:val="19"/>
              </w:rPr>
              <w:t>- Organize meetings, keep minutes</w:t>
            </w:r>
          </w:p>
          <w:p>
            <w:pPr>
              <w:jc w:val="left"/>
            </w:pPr>
            <w:r>
              <w:rPr>
                <w:rFonts w:ascii="Cambria" w:hAnsi="Cambria"/>
                <w:b w:val="0"/>
                <w:sz w:val="19"/>
              </w:rPr>
              <w:t>- Conduct official correspondence</w:t>
            </w:r>
          </w:p>
          <w:p>
            <w:pPr>
              <w:jc w:val="left"/>
            </w:pPr>
            <w:r>
              <w:rPr>
                <w:rFonts w:ascii="Cambria" w:hAnsi="Cambria"/>
                <w:b w:val="0"/>
                <w:sz w:val="19"/>
              </w:rPr>
              <w:t>- Provide access to records with VC's permission</w:t>
            </w:r>
          </w:p>
          <w:p>
            <w:pPr>
              <w:jc w:val="left"/>
            </w:pPr>
            <w:r>
              <w:rPr>
                <w:rFonts w:ascii="Cambria" w:hAnsi="Cambria"/>
                <w:b w:val="0"/>
                <w:sz w:val="19"/>
              </w:rPr>
              <w:t>- Manage all branches (Academic, Administrative, Examination, Finance, Engineering)</w:t>
            </w:r>
          </w:p>
          <w:p>
            <w:pPr>
              <w:jc w:val="left"/>
            </w:pPr>
            <w:r>
              <w:rPr>
                <w:rFonts w:ascii="Cambria" w:hAnsi="Cambria"/>
                <w:b w:val="0"/>
                <w:sz w:val="19"/>
              </w:rPr>
              <w:t>- Sign contracts and MoUs (with approval)</w:t>
            </w:r>
          </w:p>
          <w:p>
            <w:pPr>
              <w:jc w:val="left"/>
            </w:pPr>
            <w:r>
              <w:rPr>
                <w:rFonts w:ascii="Cambria" w:hAnsi="Cambria"/>
                <w:b w:val="0"/>
                <w:sz w:val="19"/>
              </w:rPr>
              <w:t>- Deputation of employees for official duties</w:t>
            </w:r>
          </w:p>
        </w:tc>
        <w:tc>
          <w:tcPr>
            <w:tcW w:type="dxa" w:w="4252"/>
            <w:tcW w:w="4252" w:type="dxa"/>
            <w:shd w:val="clear" w:color="auto" w:fill="D9E2EC"/>
          </w:tcPr>
          <w:p>
            <w:pPr>
              <w:jc w:val="left"/>
            </w:pPr>
            <w:r/>
            <w:r>
              <w:rPr>
                <w:rFonts w:ascii="Cambria" w:hAnsi="Cambria"/>
                <w:b w:val="0"/>
                <w:sz w:val="19"/>
              </w:rPr>
              <w:t>- Acts as the administrative backbone of the University</w:t>
            </w:r>
          </w:p>
          <w:p>
            <w:pPr>
              <w:jc w:val="left"/>
            </w:pPr>
            <w:r>
              <w:rPr>
                <w:rFonts w:ascii="Cambria" w:hAnsi="Cambria"/>
                <w:b w:val="0"/>
                <w:sz w:val="19"/>
              </w:rPr>
              <w:t>- Provides continuity and governance stability</w:t>
            </w:r>
          </w:p>
          <w:p>
            <w:pPr>
              <w:jc w:val="left"/>
            </w:pPr>
            <w:r>
              <w:rPr>
                <w:rFonts w:ascii="Cambria" w:hAnsi="Cambria"/>
                <w:b w:val="0"/>
                <w:sz w:val="19"/>
              </w:rPr>
              <w:t>- Safeguards legal/official records</w:t>
            </w:r>
          </w:p>
          <w:p>
            <w:pPr>
              <w:jc w:val="left"/>
            </w:pPr>
            <w:r>
              <w:rPr>
                <w:rFonts w:ascii="Cambria" w:hAnsi="Cambria"/>
                <w:b w:val="0"/>
                <w:sz w:val="19"/>
              </w:rPr>
              <w:t>- Strengthens decision-making processes by linking statutory bodies with operations</w:t>
            </w:r>
          </w:p>
        </w:tc>
      </w:tr>
      <w:tr>
        <w:tc>
          <w:tcPr>
            <w:tcW w:type="dxa" w:w="1417"/>
            <w:tcW w:w="1417" w:type="dxa"/>
          </w:tcPr>
          <w:p>
            <w:pPr>
              <w:jc w:val="left"/>
            </w:pPr>
            <w:r/>
            <w:r>
              <w:rPr>
                <w:rFonts w:ascii="Cambria" w:hAnsi="Cambria"/>
                <w:b w:val="0"/>
                <w:sz w:val="19"/>
              </w:rPr>
              <w:t>Financial</w:t>
            </w:r>
          </w:p>
        </w:tc>
        <w:tc>
          <w:tcPr>
            <w:tcW w:type="dxa" w:w="4309"/>
            <w:tcW w:w="4309" w:type="dxa"/>
          </w:tcPr>
          <w:p>
            <w:pPr>
              <w:jc w:val="left"/>
            </w:pPr>
            <w:r/>
            <w:r>
              <w:rPr>
                <w:rFonts w:ascii="Cambria" w:hAnsi="Cambria"/>
                <w:b w:val="0"/>
                <w:sz w:val="19"/>
              </w:rPr>
              <w:t>- Secretary to Finance-related meetings</w:t>
            </w:r>
          </w:p>
          <w:p>
            <w:pPr>
              <w:jc w:val="left"/>
            </w:pPr>
            <w:r>
              <w:rPr>
                <w:rFonts w:ascii="Cambria" w:hAnsi="Cambria"/>
                <w:b w:val="0"/>
                <w:sz w:val="19"/>
              </w:rPr>
              <w:t>- Head of Finance Branch (receipts, payments, budget)</w:t>
            </w:r>
          </w:p>
          <w:p>
            <w:pPr>
              <w:jc w:val="left"/>
            </w:pPr>
            <w:r>
              <w:rPr>
                <w:rFonts w:ascii="Cambria" w:hAnsi="Cambria"/>
                <w:b w:val="0"/>
                <w:sz w:val="19"/>
              </w:rPr>
              <w:t>- Custodian of university financial records</w:t>
            </w:r>
          </w:p>
          <w:p>
            <w:pPr>
              <w:jc w:val="left"/>
            </w:pPr>
            <w:r>
              <w:rPr>
                <w:rFonts w:ascii="Cambria" w:hAnsi="Cambria"/>
                <w:b w:val="0"/>
                <w:sz w:val="19"/>
              </w:rPr>
              <w:t>- Sanction TA/DA for deputed staff</w:t>
            </w:r>
          </w:p>
          <w:p>
            <w:pPr>
              <w:jc w:val="left"/>
            </w:pPr>
            <w:r>
              <w:rPr>
                <w:rFonts w:ascii="Cambria" w:hAnsi="Cambria"/>
                <w:b w:val="0"/>
                <w:sz w:val="19"/>
              </w:rPr>
              <w:t>- Authorized to sign financial contracts with approval</w:t>
            </w:r>
          </w:p>
        </w:tc>
        <w:tc>
          <w:tcPr>
            <w:tcW w:type="dxa" w:w="4252"/>
            <w:tcW w:w="4252" w:type="dxa"/>
          </w:tcPr>
          <w:p>
            <w:pPr>
              <w:jc w:val="left"/>
            </w:pPr>
            <w:r/>
            <w:r>
              <w:rPr>
                <w:rFonts w:ascii="Cambria" w:hAnsi="Cambria"/>
                <w:b w:val="0"/>
                <w:sz w:val="19"/>
              </w:rPr>
              <w:t>- Ensures financial accountability and transparency</w:t>
            </w:r>
          </w:p>
          <w:p>
            <w:pPr>
              <w:jc w:val="left"/>
            </w:pPr>
            <w:r>
              <w:rPr>
                <w:rFonts w:ascii="Cambria" w:hAnsi="Cambria"/>
                <w:b w:val="0"/>
                <w:sz w:val="19"/>
              </w:rPr>
              <w:t>- Supports smooth disbursement of salaries, scholarships, and grants</w:t>
            </w:r>
          </w:p>
          <w:p>
            <w:pPr>
              <w:jc w:val="left"/>
            </w:pPr>
            <w:r>
              <w:rPr>
                <w:rFonts w:ascii="Cambria" w:hAnsi="Cambria"/>
                <w:b w:val="0"/>
                <w:sz w:val="19"/>
              </w:rPr>
              <w:t>- Strengthens budgetary planning and fund management</w:t>
            </w:r>
          </w:p>
        </w:tc>
      </w:tr>
      <w:tr>
        <w:tc>
          <w:tcPr>
            <w:tcW w:type="dxa" w:w="1417"/>
            <w:tcW w:w="1417" w:type="dxa"/>
            <w:shd w:val="clear" w:color="auto" w:fill="D9E2EC"/>
          </w:tcPr>
          <w:p>
            <w:pPr>
              <w:jc w:val="left"/>
            </w:pPr>
            <w:r/>
            <w:r>
              <w:rPr>
                <w:rFonts w:ascii="Cambria" w:hAnsi="Cambria"/>
                <w:b w:val="0"/>
                <w:sz w:val="19"/>
              </w:rPr>
              <w:t>Disciplinary</w:t>
            </w:r>
          </w:p>
        </w:tc>
        <w:tc>
          <w:tcPr>
            <w:tcW w:type="dxa" w:w="4309"/>
            <w:tcW w:w="4309" w:type="dxa"/>
            <w:shd w:val="clear" w:color="auto" w:fill="D9E2EC"/>
          </w:tcPr>
          <w:p>
            <w:pPr>
              <w:jc w:val="left"/>
            </w:pPr>
            <w:r/>
            <w:r>
              <w:rPr>
                <w:rFonts w:ascii="Cambria" w:hAnsi="Cambria"/>
                <w:b w:val="0"/>
                <w:sz w:val="19"/>
              </w:rPr>
              <w:t>- General disciplinary control over University office employees (non-teaching staff)</w:t>
            </w:r>
          </w:p>
          <w:p>
            <w:pPr>
              <w:jc w:val="left"/>
            </w:pPr>
            <w:r>
              <w:rPr>
                <w:rFonts w:ascii="Cambria" w:hAnsi="Cambria"/>
                <w:b w:val="0"/>
                <w:sz w:val="19"/>
              </w:rPr>
              <w:t>- Power to transfer non-teaching staff up to cadre of Superintendent/equivalent</w:t>
            </w:r>
          </w:p>
          <w:p>
            <w:pPr>
              <w:jc w:val="left"/>
            </w:pPr>
            <w:r>
              <w:rPr>
                <w:rFonts w:ascii="Cambria" w:hAnsi="Cambria"/>
                <w:b w:val="0"/>
                <w:sz w:val="19"/>
              </w:rPr>
              <w:t>- Represent University in legal proceedings</w:t>
            </w:r>
          </w:p>
          <w:p>
            <w:pPr>
              <w:jc w:val="left"/>
            </w:pPr>
            <w:r>
              <w:rPr>
                <w:rFonts w:ascii="Cambria" w:hAnsi="Cambria"/>
                <w:b w:val="0"/>
                <w:sz w:val="19"/>
              </w:rPr>
              <w:t>- Institute official correspondence in disciplinary/legal matters</w:t>
            </w:r>
          </w:p>
        </w:tc>
        <w:tc>
          <w:tcPr>
            <w:tcW w:type="dxa" w:w="4252"/>
            <w:tcW w:w="4252" w:type="dxa"/>
            <w:shd w:val="clear" w:color="auto" w:fill="D9E2EC"/>
          </w:tcPr>
          <w:p>
            <w:pPr>
              <w:jc w:val="left"/>
            </w:pPr>
            <w:r/>
            <w:r>
              <w:rPr>
                <w:rFonts w:ascii="Cambria" w:hAnsi="Cambria"/>
                <w:b w:val="0"/>
                <w:sz w:val="19"/>
              </w:rPr>
              <w:t>- Maintains order and efficiency in administrative workforce</w:t>
            </w:r>
          </w:p>
          <w:p>
            <w:pPr>
              <w:jc w:val="left"/>
            </w:pPr>
            <w:r>
              <w:rPr>
                <w:rFonts w:ascii="Cambria" w:hAnsi="Cambria"/>
                <w:b w:val="0"/>
                <w:sz w:val="19"/>
              </w:rPr>
              <w:t>- Prevents stagnation and promotes staff mobility</w:t>
            </w:r>
          </w:p>
          <w:p>
            <w:pPr>
              <w:jc w:val="left"/>
            </w:pPr>
            <w:r>
              <w:rPr>
                <w:rFonts w:ascii="Cambria" w:hAnsi="Cambria"/>
                <w:b w:val="0"/>
                <w:sz w:val="19"/>
              </w:rPr>
              <w:t>- Safeguards university interests in legal matters</w:t>
            </w:r>
          </w:p>
          <w:p>
            <w:pPr>
              <w:jc w:val="left"/>
            </w:pPr>
            <w:r>
              <w:rPr>
                <w:rFonts w:ascii="Cambria" w:hAnsi="Cambria"/>
                <w:b w:val="0"/>
                <w:sz w:val="19"/>
              </w:rPr>
              <w:t>- Enhances accountability and compliance with rules</w:t>
            </w:r>
          </w:p>
        </w:tc>
      </w:tr>
    </w:tbl>
    <w:p>
      <w:pPr>
        <w:keepNext/>
        <w:spacing w:before="160" w:after="120"/>
      </w:pPr>
      <w:r>
        <w:rPr>
          <w:rFonts w:ascii="Cambria" w:hAnsi="Cambria"/>
          <w:b/>
          <w:color w:val="1F3A5F"/>
          <w:sz w:val="30"/>
        </w:rPr>
        <w:t>Registrar complements the Vice-Chancellor in a University system</w:t>
      </w:r>
    </w:p>
    <w:p>
      <w:r>
        <w:rPr>
          <w:rFonts w:ascii="Cambria" w:hAnsi="Cambria"/>
          <w:b/>
          <w:i w:val="0"/>
          <w:sz w:val="22"/>
        </w:rPr>
        <w:t>1. Academic Domain</w:t>
      </w:r>
    </w:p>
    <w:p>
      <w:pPr>
        <w:pStyle w:val="ListBullet"/>
        <w:jc w:val="both"/>
      </w:pPr>
      <w:r>
        <w:rPr>
          <w:rFonts w:ascii="Cambria" w:hAnsi="Cambria"/>
          <w:sz w:val="22"/>
        </w:rPr>
        <w:t>Vice-Chancellor (VC):</w:t>
      </w:r>
    </w:p>
    <w:p>
      <w:pPr>
        <w:pStyle w:val="ListBullet2"/>
        <w:jc w:val="both"/>
      </w:pPr>
      <w:r>
        <w:rPr>
          <w:rFonts w:ascii="Cambria" w:hAnsi="Cambria"/>
          <w:sz w:val="22"/>
        </w:rPr>
        <w:t>Provides strategic academic leadership.</w:t>
      </w:r>
    </w:p>
    <w:p>
      <w:pPr>
        <w:pStyle w:val="ListBullet2"/>
        <w:jc w:val="both"/>
      </w:pPr>
      <w:r>
        <w:rPr>
          <w:rFonts w:ascii="Cambria" w:hAnsi="Cambria"/>
          <w:sz w:val="22"/>
        </w:rPr>
        <w:t>Inspects departments, appoints examiners, publishes results, decides scholarships.</w:t>
      </w:r>
    </w:p>
    <w:p>
      <w:pPr>
        <w:pStyle w:val="ListBullet"/>
        <w:jc w:val="both"/>
      </w:pPr>
      <w:r>
        <w:rPr>
          <w:rFonts w:ascii="Cambria" w:hAnsi="Cambria"/>
          <w:sz w:val="22"/>
        </w:rPr>
        <w:t>Registrar:</w:t>
      </w:r>
    </w:p>
    <w:p>
      <w:pPr>
        <w:pStyle w:val="ListBullet2"/>
        <w:jc w:val="both"/>
      </w:pPr>
      <w:r>
        <w:rPr>
          <w:rFonts w:ascii="Cambria" w:hAnsi="Cambria"/>
          <w:sz w:val="22"/>
        </w:rPr>
        <w:t>Acts as Secretary to the Academic Council, records and implements academic decisions.</w:t>
      </w:r>
    </w:p>
    <w:p>
      <w:pPr>
        <w:pStyle w:val="ListBullet2"/>
        <w:jc w:val="both"/>
      </w:pPr>
      <w:r>
        <w:rPr>
          <w:rFonts w:ascii="Cambria" w:hAnsi="Cambria"/>
          <w:sz w:val="22"/>
        </w:rPr>
        <w:t>Maintains academic records and issues notices for meetings.</w:t>
      </w:r>
    </w:p>
    <w:p>
      <w:pPr>
        <w:pStyle w:val="ListBullet"/>
        <w:jc w:val="both"/>
      </w:pPr>
      <w:r>
        <w:rPr>
          <w:rFonts w:ascii="Cambria" w:hAnsi="Cambria"/>
          <w:sz w:val="22"/>
        </w:rPr>
        <w:t>Complementarity:</w:t>
      </w:r>
    </w:p>
    <w:p>
      <w:pPr>
        <w:pStyle w:val="ListBullet2"/>
        <w:jc w:val="both"/>
      </w:pPr>
      <w:r>
        <w:rPr>
          <w:rFonts w:ascii="Cambria" w:hAnsi="Cambria"/>
          <w:sz w:val="22"/>
        </w:rPr>
        <w:t>VC makes policy decisions, while Registrar ensures execution, documentation, and follow-up.</w:t>
      </w:r>
    </w:p>
    <w:p>
      <w:r>
        <w:rPr>
          <w:rFonts w:ascii="Cambria" w:hAnsi="Cambria"/>
          <w:b/>
          <w:i w:val="0"/>
          <w:sz w:val="22"/>
        </w:rPr>
        <w:t>2. Administrative Domain</w:t>
      </w:r>
    </w:p>
    <w:p>
      <w:pPr>
        <w:pStyle w:val="ListBullet"/>
        <w:jc w:val="both"/>
      </w:pPr>
      <w:r>
        <w:rPr>
          <w:rFonts w:ascii="Cambria" w:hAnsi="Cambria"/>
          <w:sz w:val="22"/>
        </w:rPr>
        <w:t>Vice-Chancellor (VC):</w:t>
      </w:r>
    </w:p>
    <w:p>
      <w:pPr>
        <w:pStyle w:val="ListBullet2"/>
        <w:jc w:val="both"/>
      </w:pPr>
      <w:r>
        <w:rPr>
          <w:rFonts w:ascii="Cambria" w:hAnsi="Cambria"/>
          <w:sz w:val="22"/>
        </w:rPr>
        <w:t>Principal Executive Officer with overall control of university affairs.</w:t>
      </w:r>
    </w:p>
    <w:p>
      <w:pPr>
        <w:pStyle w:val="ListBullet2"/>
        <w:jc w:val="both"/>
      </w:pPr>
      <w:r>
        <w:rPr>
          <w:rFonts w:ascii="Cambria" w:hAnsi="Cambria"/>
          <w:sz w:val="22"/>
        </w:rPr>
        <w:t>Delegates powers and allocates accommodation.</w:t>
      </w:r>
    </w:p>
    <w:p>
      <w:pPr>
        <w:pStyle w:val="ListBullet2"/>
        <w:jc w:val="both"/>
      </w:pPr>
      <w:r>
        <w:rPr>
          <w:rFonts w:ascii="Cambria" w:hAnsi="Cambria"/>
          <w:sz w:val="22"/>
        </w:rPr>
        <w:t>Transfers administrative officers and institutes enquiries.</w:t>
      </w:r>
    </w:p>
    <w:p>
      <w:pPr>
        <w:pStyle w:val="ListBullet"/>
        <w:jc w:val="both"/>
      </w:pPr>
      <w:r>
        <w:rPr>
          <w:rFonts w:ascii="Cambria" w:hAnsi="Cambria"/>
          <w:sz w:val="22"/>
        </w:rPr>
        <w:t>Registrar:</w:t>
      </w:r>
    </w:p>
    <w:p>
      <w:pPr>
        <w:pStyle w:val="ListBullet2"/>
        <w:jc w:val="both"/>
      </w:pPr>
      <w:r>
        <w:rPr>
          <w:rFonts w:ascii="Cambria" w:hAnsi="Cambria"/>
          <w:sz w:val="22"/>
        </w:rPr>
        <w:t>Head of the University Office, responsible for daily administration.</w:t>
      </w:r>
    </w:p>
    <w:p>
      <w:pPr>
        <w:pStyle w:val="ListBullet2"/>
        <w:jc w:val="both"/>
      </w:pPr>
      <w:r>
        <w:rPr>
          <w:rFonts w:ascii="Cambria" w:hAnsi="Cambria"/>
          <w:sz w:val="22"/>
        </w:rPr>
        <w:t>Custodian of records, seal, and official properties.</w:t>
      </w:r>
    </w:p>
    <w:p>
      <w:pPr>
        <w:pStyle w:val="ListBullet2"/>
        <w:jc w:val="both"/>
      </w:pPr>
      <w:r>
        <w:rPr>
          <w:rFonts w:ascii="Cambria" w:hAnsi="Cambria"/>
          <w:sz w:val="22"/>
        </w:rPr>
        <w:t>Coordinates all branches (academic, admin, exams, finance, engineering).</w:t>
      </w:r>
    </w:p>
    <w:p>
      <w:pPr>
        <w:pStyle w:val="ListBullet"/>
        <w:jc w:val="both"/>
      </w:pPr>
      <w:r>
        <w:rPr>
          <w:rFonts w:ascii="Cambria" w:hAnsi="Cambria"/>
          <w:sz w:val="22"/>
        </w:rPr>
        <w:t>Complementarity:</w:t>
      </w:r>
    </w:p>
    <w:p>
      <w:pPr>
        <w:pStyle w:val="ListBullet2"/>
        <w:jc w:val="both"/>
      </w:pPr>
      <w:r>
        <w:rPr>
          <w:rFonts w:ascii="Cambria" w:hAnsi="Cambria"/>
          <w:sz w:val="22"/>
        </w:rPr>
        <w:t>VC provides vision and authority, Registrar ensures day-to-day operational efficiency.</w:t>
      </w:r>
    </w:p>
    <w:p>
      <w:r>
        <w:rPr>
          <w:rFonts w:ascii="Cambria" w:hAnsi="Cambria"/>
          <w:b/>
          <w:i w:val="0"/>
          <w:sz w:val="22"/>
        </w:rPr>
        <w:t>3. Financial Domain</w:t>
      </w:r>
    </w:p>
    <w:p>
      <w:pPr>
        <w:pStyle w:val="ListBullet"/>
        <w:jc w:val="both"/>
      </w:pPr>
      <w:r>
        <w:rPr>
          <w:rFonts w:ascii="Cambria" w:hAnsi="Cambria"/>
          <w:sz w:val="22"/>
        </w:rPr>
        <w:t>Vice-Chancellor (VC):</w:t>
      </w:r>
    </w:p>
    <w:p>
      <w:pPr>
        <w:pStyle w:val="ListBullet2"/>
        <w:jc w:val="both"/>
      </w:pPr>
      <w:r>
        <w:rPr>
          <w:rFonts w:ascii="Cambria" w:hAnsi="Cambria"/>
          <w:sz w:val="22"/>
        </w:rPr>
        <w:t>Decides scholarships, sanctions retirement benefits, and approves major expenditures.</w:t>
      </w:r>
    </w:p>
    <w:p>
      <w:pPr>
        <w:pStyle w:val="ListBullet2"/>
        <w:jc w:val="both"/>
      </w:pPr>
      <w:r>
        <w:rPr>
          <w:rFonts w:ascii="Cambria" w:hAnsi="Cambria"/>
          <w:sz w:val="22"/>
        </w:rPr>
        <w:t>Sanctions remuneration for eminent speakers, staff deputation expenses, and committee honorariums.</w:t>
      </w:r>
    </w:p>
    <w:p>
      <w:pPr>
        <w:pStyle w:val="ListBullet"/>
        <w:jc w:val="both"/>
      </w:pPr>
      <w:r>
        <w:rPr>
          <w:rFonts w:ascii="Cambria" w:hAnsi="Cambria"/>
          <w:sz w:val="22"/>
        </w:rPr>
        <w:t>Registrar:</w:t>
      </w:r>
    </w:p>
    <w:p>
      <w:pPr>
        <w:pStyle w:val="ListBullet2"/>
        <w:jc w:val="both"/>
      </w:pPr>
      <w:r>
        <w:rPr>
          <w:rFonts w:ascii="Cambria" w:hAnsi="Cambria"/>
          <w:sz w:val="22"/>
        </w:rPr>
        <w:t>Manages Finance Branch (receipts, payments, budgets).</w:t>
      </w:r>
    </w:p>
    <w:p>
      <w:pPr>
        <w:pStyle w:val="ListBullet2"/>
        <w:jc w:val="both"/>
      </w:pPr>
      <w:r>
        <w:rPr>
          <w:rFonts w:ascii="Cambria" w:hAnsi="Cambria"/>
          <w:sz w:val="22"/>
        </w:rPr>
        <w:t>Sanctions TA/DA for deputed staff on university duties.</w:t>
      </w:r>
    </w:p>
    <w:p>
      <w:pPr>
        <w:pStyle w:val="ListBullet2"/>
        <w:jc w:val="both"/>
      </w:pPr>
      <w:r>
        <w:rPr>
          <w:rFonts w:ascii="Cambria" w:hAnsi="Cambria"/>
          <w:sz w:val="22"/>
        </w:rPr>
        <w:t>Signs financial contracts/MoUs with competent approval.</w:t>
      </w:r>
    </w:p>
    <w:p>
      <w:pPr>
        <w:pStyle w:val="ListBullet"/>
        <w:jc w:val="both"/>
      </w:pPr>
      <w:r>
        <w:rPr>
          <w:rFonts w:ascii="Cambria" w:hAnsi="Cambria"/>
          <w:sz w:val="22"/>
        </w:rPr>
        <w:t>Complementarity:</w:t>
      </w:r>
    </w:p>
    <w:p>
      <w:pPr>
        <w:pStyle w:val="ListBullet2"/>
        <w:jc w:val="both"/>
      </w:pPr>
      <w:r>
        <w:rPr>
          <w:rFonts w:ascii="Cambria" w:hAnsi="Cambria"/>
          <w:sz w:val="22"/>
        </w:rPr>
        <w:t>VC acts as financial authority, Registrar ensures accounting, documentation, and compliance.</w:t>
      </w:r>
    </w:p>
    <w:p>
      <w:r>
        <w:rPr>
          <w:rFonts w:ascii="Cambria" w:hAnsi="Cambria"/>
          <w:b/>
          <w:i w:val="0"/>
          <w:sz w:val="22"/>
        </w:rPr>
        <w:t>4. Disciplinary Domain</w:t>
      </w:r>
    </w:p>
    <w:p>
      <w:pPr>
        <w:pStyle w:val="ListBullet"/>
        <w:jc w:val="both"/>
      </w:pPr>
      <w:r>
        <w:rPr>
          <w:rFonts w:ascii="Cambria" w:hAnsi="Cambria"/>
          <w:sz w:val="22"/>
        </w:rPr>
        <w:t>Vice-Chancellor (VC):</w:t>
      </w:r>
    </w:p>
    <w:p>
      <w:pPr>
        <w:pStyle w:val="ListBullet2"/>
        <w:jc w:val="both"/>
      </w:pPr>
      <w:r>
        <w:rPr>
          <w:rFonts w:ascii="Cambria" w:hAnsi="Cambria"/>
          <w:sz w:val="22"/>
        </w:rPr>
        <w:t>Final authority for enforcing discipline across the University.</w:t>
      </w:r>
    </w:p>
    <w:p>
      <w:pPr>
        <w:pStyle w:val="ListBullet2"/>
        <w:jc w:val="both"/>
      </w:pPr>
      <w:r>
        <w:rPr>
          <w:rFonts w:ascii="Cambria" w:hAnsi="Cambria"/>
          <w:sz w:val="22"/>
        </w:rPr>
        <w:t>Orders enquiries, staff transfers, and retirements.</w:t>
      </w:r>
    </w:p>
    <w:p>
      <w:pPr>
        <w:pStyle w:val="ListBullet"/>
        <w:jc w:val="both"/>
      </w:pPr>
      <w:r>
        <w:rPr>
          <w:rFonts w:ascii="Cambria" w:hAnsi="Cambria"/>
          <w:sz w:val="22"/>
        </w:rPr>
        <w:t>Registrar:</w:t>
      </w:r>
    </w:p>
    <w:p>
      <w:pPr>
        <w:pStyle w:val="ListBullet2"/>
        <w:jc w:val="both"/>
      </w:pPr>
      <w:r>
        <w:rPr>
          <w:rFonts w:ascii="Cambria" w:hAnsi="Cambria"/>
          <w:sz w:val="22"/>
        </w:rPr>
        <w:t>Exercises disciplinary control over non-teaching staff.</w:t>
      </w:r>
    </w:p>
    <w:p>
      <w:pPr>
        <w:pStyle w:val="ListBullet2"/>
        <w:jc w:val="both"/>
      </w:pPr>
      <w:r>
        <w:rPr>
          <w:rFonts w:ascii="Cambria" w:hAnsi="Cambria"/>
          <w:sz w:val="22"/>
        </w:rPr>
        <w:t>Transfers staff up to Superintendent level.</w:t>
      </w:r>
    </w:p>
    <w:p>
      <w:pPr>
        <w:pStyle w:val="ListBullet2"/>
        <w:jc w:val="both"/>
      </w:pPr>
      <w:r>
        <w:rPr>
          <w:rFonts w:ascii="Cambria" w:hAnsi="Cambria"/>
          <w:sz w:val="22"/>
        </w:rPr>
        <w:t>Represents University in legal proceedings and signs powers of attorney.</w:t>
      </w:r>
    </w:p>
    <w:p>
      <w:pPr>
        <w:pStyle w:val="ListBullet"/>
        <w:jc w:val="both"/>
      </w:pPr>
      <w:r>
        <w:rPr>
          <w:rFonts w:ascii="Cambria" w:hAnsi="Cambria"/>
          <w:sz w:val="22"/>
        </w:rPr>
        <w:t>Complementarity:</w:t>
      </w:r>
    </w:p>
    <w:p>
      <w:pPr>
        <w:pStyle w:val="ListBullet2"/>
        <w:jc w:val="both"/>
      </w:pPr>
      <w:r>
        <w:rPr>
          <w:rFonts w:ascii="Cambria" w:hAnsi="Cambria"/>
          <w:sz w:val="22"/>
        </w:rPr>
        <w:t>VC decides policy-level disciplinary actions, Registrar ensures operational enforcement and legal representation.</w:t>
      </w:r>
    </w:p>
    <w:p>
      <w:r>
        <w:rPr>
          <w:rFonts w:ascii="Cambria" w:hAnsi="Cambria"/>
          <w:b/>
          <w:i w:val="0"/>
          <w:sz w:val="22"/>
        </w:rPr>
        <w:t>5. Overall Institutional Role</w:t>
      </w:r>
    </w:p>
    <w:p>
      <w:pPr>
        <w:pStyle w:val="ListBullet"/>
        <w:jc w:val="both"/>
      </w:pPr>
      <w:r>
        <w:rPr>
          <w:rFonts w:ascii="Cambria" w:hAnsi="Cambria"/>
          <w:sz w:val="22"/>
        </w:rPr>
        <w:t>The Vice-Chancellor is the visionary leader (strategic, academic, executive).</w:t>
      </w:r>
    </w:p>
    <w:p>
      <w:pPr>
        <w:pStyle w:val="ListBullet"/>
        <w:jc w:val="both"/>
      </w:pPr>
      <w:r>
        <w:rPr>
          <w:rFonts w:ascii="Cambria" w:hAnsi="Cambria"/>
          <w:sz w:val="22"/>
        </w:rPr>
        <w:t>The Registrar is the chief administrator (records, operations, legal, implementation).</w:t>
      </w:r>
    </w:p>
    <w:p>
      <w:pPr>
        <w:pStyle w:val="ListBullet"/>
        <w:jc w:val="both"/>
      </w:pPr>
      <w:r>
        <w:rPr>
          <w:rFonts w:ascii="Cambria" w:hAnsi="Cambria"/>
          <w:sz w:val="22"/>
        </w:rPr>
        <w:t>Together they form a dual leadership model:</w:t>
      </w:r>
    </w:p>
    <w:p>
      <w:pPr>
        <w:pStyle w:val="ListBullet2"/>
        <w:jc w:val="both"/>
      </w:pPr>
      <w:r>
        <w:rPr>
          <w:rFonts w:ascii="Cambria" w:hAnsi="Cambria"/>
          <w:sz w:val="22"/>
        </w:rPr>
        <w:t>VC = Policy, Direction, Oversight</w:t>
      </w:r>
    </w:p>
    <w:p>
      <w:pPr>
        <w:pStyle w:val="ListBullet2"/>
        <w:jc w:val="both"/>
      </w:pPr>
      <w:r>
        <w:rPr>
          <w:rFonts w:ascii="Cambria" w:hAnsi="Cambria"/>
          <w:sz w:val="22"/>
        </w:rPr>
        <w:t>Registrar = Implementation, Coordination, Continuity</w:t>
      </w:r>
    </w:p>
    <w:p>
      <w:r>
        <w:rPr>
          <w:rFonts w:ascii="Cambria" w:hAnsi="Cambria"/>
          <w:b/>
          <w:i w:val="0"/>
          <w:sz w:val="22"/>
        </w:rPr>
        <w:t>Registrar is considered the administrative backbone of the University</w:t>
      </w:r>
    </w:p>
    <w:p>
      <w:pPr>
        <w:jc w:val="both"/>
      </w:pPr>
      <w:r>
        <w:rPr>
          <w:rFonts w:ascii="Cambria" w:hAnsi="Cambria"/>
          <w:b w:val="0"/>
          <w:i/>
          <w:sz w:val="22"/>
        </w:rPr>
        <w:t>Diagram: Registrar as the Administrative Backbone of the University (org chart — Vice-Chancellor (Leadership &amp; Policy) → Registrar (Administrative Backbone) → five branches: Academic Branch (Records, Curriculum), Administrative Branch (Meetings, Legal, HR), Examination Branch (UG, PG, Confidential), Finance Branch (Receipts, Payments, Budget), Engineering Branch (Civil, Electrical, Transport)).</w:t>
      </w:r>
    </w:p>
    <w:p>
      <w:r>
        <w:rPr>
          <w:rFonts w:ascii="Cambria" w:hAnsi="Cambria"/>
          <w:b/>
          <w:i w:val="0"/>
          <w:sz w:val="22"/>
        </w:rPr>
        <w:t>1. Central Administrative Authority</w:t>
      </w:r>
    </w:p>
    <w:p>
      <w:pPr>
        <w:pStyle w:val="ListBullet"/>
        <w:jc w:val="both"/>
      </w:pPr>
      <w:r>
        <w:rPr>
          <w:rFonts w:ascii="Cambria" w:hAnsi="Cambria"/>
          <w:sz w:val="22"/>
        </w:rPr>
        <w:t>The Registrar is the head of the University office and controls all non-teaching staff.</w:t>
      </w:r>
    </w:p>
    <w:p>
      <w:pPr>
        <w:pStyle w:val="ListBullet"/>
        <w:jc w:val="both"/>
      </w:pPr>
      <w:r>
        <w:rPr>
          <w:rFonts w:ascii="Cambria" w:hAnsi="Cambria"/>
          <w:sz w:val="22"/>
        </w:rPr>
        <w:t>Manages multiple branches: Academic, Administrative, Examination, Finance, and Engineering.</w:t>
      </w:r>
    </w:p>
    <w:p>
      <w:pPr>
        <w:pStyle w:val="ListBullet"/>
        <w:jc w:val="both"/>
      </w:pPr>
      <w:r>
        <w:rPr>
          <w:rFonts w:ascii="Cambria" w:hAnsi="Cambria"/>
          <w:sz w:val="22"/>
        </w:rPr>
        <w:t>Acts as the operational link between governance (Board, Academic Council) and execution (staff, departments).</w:t>
      </w:r>
    </w:p>
    <w:p>
      <w:r>
        <w:rPr>
          <w:rFonts w:ascii="Cambria" w:hAnsi="Cambria"/>
          <w:b/>
          <w:i w:val="0"/>
          <w:sz w:val="22"/>
        </w:rPr>
        <w:t>2. Custodian of Records and Seal</w:t>
      </w:r>
    </w:p>
    <w:p>
      <w:pPr>
        <w:pStyle w:val="ListBullet"/>
        <w:jc w:val="both"/>
      </w:pPr>
      <w:r>
        <w:rPr>
          <w:rFonts w:ascii="Cambria" w:hAnsi="Cambria"/>
          <w:sz w:val="22"/>
        </w:rPr>
        <w:t>Responsible for maintaining all university records, including academic, administrative, financial, and legal documents.</w:t>
      </w:r>
    </w:p>
    <w:p>
      <w:pPr>
        <w:pStyle w:val="ListBullet"/>
        <w:jc w:val="both"/>
      </w:pPr>
      <w:r>
        <w:rPr>
          <w:rFonts w:ascii="Cambria" w:hAnsi="Cambria"/>
          <w:sz w:val="22"/>
        </w:rPr>
        <w:t>Safeguards the common seal of the University, essential for validating contracts, degrees, and official communications.</w:t>
      </w:r>
    </w:p>
    <w:p>
      <w:pPr>
        <w:pStyle w:val="ListBullet"/>
        <w:jc w:val="both"/>
      </w:pPr>
      <w:r>
        <w:rPr>
          <w:rFonts w:ascii="Cambria" w:hAnsi="Cambria"/>
          <w:sz w:val="22"/>
        </w:rPr>
        <w:t>Ensures legal and historical continuity of the institution.</w:t>
      </w:r>
    </w:p>
    <w:p>
      <w:r>
        <w:rPr>
          <w:rFonts w:ascii="Cambria" w:hAnsi="Cambria"/>
          <w:b/>
          <w:i w:val="0"/>
          <w:sz w:val="22"/>
        </w:rPr>
        <w:t>3. Secretary to Governing Bodies</w:t>
      </w:r>
    </w:p>
    <w:p>
      <w:pPr>
        <w:pStyle w:val="ListBullet"/>
        <w:jc w:val="both"/>
      </w:pPr>
      <w:r>
        <w:rPr>
          <w:rFonts w:ascii="Cambria" w:hAnsi="Cambria"/>
          <w:sz w:val="22"/>
        </w:rPr>
        <w:t>Serves as Secretary to the Board of Management and Academic Council.</w:t>
      </w:r>
    </w:p>
    <w:p>
      <w:pPr>
        <w:pStyle w:val="ListBullet"/>
        <w:jc w:val="both"/>
      </w:pPr>
      <w:r>
        <w:rPr>
          <w:rFonts w:ascii="Cambria" w:hAnsi="Cambria"/>
          <w:sz w:val="22"/>
        </w:rPr>
        <w:t>Issues notices, prepares agendas, records minutes, and follows up on decisions.</w:t>
      </w:r>
    </w:p>
    <w:p>
      <w:pPr>
        <w:pStyle w:val="ListBullet"/>
        <w:jc w:val="both"/>
      </w:pPr>
      <w:r>
        <w:rPr>
          <w:rFonts w:ascii="Cambria" w:hAnsi="Cambria"/>
          <w:sz w:val="22"/>
        </w:rPr>
        <w:t>Guarantees that the policy decisions of the Vice-Chancellor and Board are implemented in practice.</w:t>
      </w:r>
    </w:p>
    <w:p>
      <w:r>
        <w:rPr>
          <w:rFonts w:ascii="Cambria" w:hAnsi="Cambria"/>
          <w:b/>
          <w:i w:val="0"/>
          <w:sz w:val="22"/>
        </w:rPr>
        <w:t>4. Coordination of Departments and Branches</w:t>
      </w:r>
    </w:p>
    <w:p>
      <w:pPr>
        <w:pStyle w:val="ListBullet"/>
        <w:jc w:val="both"/>
      </w:pPr>
      <w:r>
        <w:rPr>
          <w:rFonts w:ascii="Cambria" w:hAnsi="Cambria"/>
          <w:sz w:val="22"/>
        </w:rPr>
        <w:t>Supervises and coordinates the activities of all University branches:</w:t>
      </w:r>
    </w:p>
    <w:p>
      <w:pPr>
        <w:pStyle w:val="ListBullet2"/>
        <w:jc w:val="both"/>
      </w:pPr>
      <w:r>
        <w:rPr>
          <w:rFonts w:ascii="Cambria" w:hAnsi="Cambria"/>
          <w:sz w:val="22"/>
        </w:rPr>
        <w:t>Academic (records, curriculum)</w:t>
      </w:r>
    </w:p>
    <w:p>
      <w:pPr>
        <w:pStyle w:val="ListBullet2"/>
        <w:jc w:val="both"/>
      </w:pPr>
      <w:r>
        <w:rPr>
          <w:rFonts w:ascii="Cambria" w:hAnsi="Cambria"/>
          <w:sz w:val="22"/>
        </w:rPr>
        <w:t>Administrative (staff matters, meetings, legal)</w:t>
      </w:r>
    </w:p>
    <w:p>
      <w:pPr>
        <w:pStyle w:val="ListBullet2"/>
        <w:jc w:val="both"/>
      </w:pPr>
      <w:r>
        <w:rPr>
          <w:rFonts w:ascii="Cambria" w:hAnsi="Cambria"/>
          <w:sz w:val="22"/>
        </w:rPr>
        <w:t>Examination (UG, PG, confidential sections)</w:t>
      </w:r>
    </w:p>
    <w:p>
      <w:pPr>
        <w:pStyle w:val="ListBullet2"/>
        <w:jc w:val="both"/>
      </w:pPr>
      <w:r>
        <w:rPr>
          <w:rFonts w:ascii="Cambria" w:hAnsi="Cambria"/>
          <w:sz w:val="22"/>
        </w:rPr>
        <w:t>Finance (receipts, payments, budget)</w:t>
      </w:r>
    </w:p>
    <w:p>
      <w:pPr>
        <w:pStyle w:val="ListBullet2"/>
        <w:jc w:val="both"/>
      </w:pPr>
      <w:r>
        <w:rPr>
          <w:rFonts w:ascii="Cambria" w:hAnsi="Cambria"/>
          <w:sz w:val="22"/>
        </w:rPr>
        <w:t>Engineering (civil, electrical, water, transport)</w:t>
      </w:r>
    </w:p>
    <w:p>
      <w:pPr>
        <w:pStyle w:val="ListBullet"/>
        <w:jc w:val="both"/>
      </w:pPr>
      <w:r>
        <w:rPr>
          <w:rFonts w:ascii="Cambria" w:hAnsi="Cambria"/>
          <w:sz w:val="22"/>
        </w:rPr>
        <w:t>Provides structural coherence to diverse units of the University.</w:t>
      </w:r>
    </w:p>
    <w:p>
      <w:r>
        <w:rPr>
          <w:rFonts w:ascii="Cambria" w:hAnsi="Cambria"/>
          <w:b/>
          <w:i w:val="0"/>
          <w:sz w:val="22"/>
        </w:rPr>
        <w:t>5. Human Resource Management</w:t>
      </w:r>
    </w:p>
    <w:p>
      <w:pPr>
        <w:pStyle w:val="ListBullet"/>
        <w:jc w:val="both"/>
      </w:pPr>
      <w:r>
        <w:rPr>
          <w:rFonts w:ascii="Cambria" w:hAnsi="Cambria"/>
          <w:sz w:val="22"/>
        </w:rPr>
        <w:t>Exercises general disciplinary control over employees.</w:t>
      </w:r>
    </w:p>
    <w:p>
      <w:pPr>
        <w:pStyle w:val="ListBullet"/>
        <w:jc w:val="both"/>
      </w:pPr>
      <w:r>
        <w:rPr>
          <w:rFonts w:ascii="Cambria" w:hAnsi="Cambria"/>
          <w:sz w:val="22"/>
        </w:rPr>
        <w:t>Has the power to transfer non-teaching staff (up to Superintendent level) across branches.</w:t>
      </w:r>
    </w:p>
    <w:p>
      <w:pPr>
        <w:pStyle w:val="ListBullet"/>
        <w:jc w:val="both"/>
      </w:pPr>
      <w:r>
        <w:rPr>
          <w:rFonts w:ascii="Cambria" w:hAnsi="Cambria"/>
          <w:sz w:val="22"/>
        </w:rPr>
        <w:t>Ensures fair distribution of work, prevents stagnation, and resolves administrative bottlenecks.</w:t>
      </w:r>
    </w:p>
    <w:p>
      <w:r>
        <w:rPr>
          <w:rFonts w:ascii="Cambria" w:hAnsi="Cambria"/>
          <w:b/>
          <w:i w:val="0"/>
          <w:sz w:val="22"/>
        </w:rPr>
        <w:t>6. Legal and Contractual Authority</w:t>
      </w:r>
    </w:p>
    <w:p>
      <w:pPr>
        <w:pStyle w:val="ListBullet"/>
        <w:jc w:val="both"/>
      </w:pPr>
      <w:r>
        <w:rPr>
          <w:rFonts w:ascii="Cambria" w:hAnsi="Cambria"/>
          <w:sz w:val="22"/>
        </w:rPr>
        <w:t>Represents the University in suits, legal proceedings, and contractual matters.</w:t>
      </w:r>
    </w:p>
    <w:p>
      <w:pPr>
        <w:pStyle w:val="ListBullet"/>
        <w:jc w:val="both"/>
      </w:pPr>
      <w:r>
        <w:rPr>
          <w:rFonts w:ascii="Cambria" w:hAnsi="Cambria"/>
          <w:sz w:val="22"/>
        </w:rPr>
        <w:t>Signs contracts, MoUs, and powers of attorney on behalf of the University (with approval).</w:t>
      </w:r>
    </w:p>
    <w:p>
      <w:pPr>
        <w:pStyle w:val="ListBullet"/>
        <w:jc w:val="both"/>
      </w:pPr>
      <w:r>
        <w:rPr>
          <w:rFonts w:ascii="Cambria" w:hAnsi="Cambria"/>
          <w:sz w:val="22"/>
        </w:rPr>
        <w:t>Protects the legal and financial interests of the institution.</w:t>
      </w:r>
    </w:p>
    <w:p>
      <w:r>
        <w:rPr>
          <w:rFonts w:ascii="Cambria" w:hAnsi="Cambria"/>
          <w:b/>
          <w:i w:val="0"/>
          <w:sz w:val="22"/>
        </w:rPr>
        <w:t>7. Financial Administration</w:t>
      </w:r>
    </w:p>
    <w:p>
      <w:pPr>
        <w:pStyle w:val="ListBullet"/>
        <w:jc w:val="both"/>
      </w:pPr>
      <w:r>
        <w:rPr>
          <w:rFonts w:ascii="Cambria" w:hAnsi="Cambria"/>
          <w:sz w:val="22"/>
        </w:rPr>
        <w:t>Heads the Finance Branch, overseeing receipts, payments, and budgetary allocations.</w:t>
      </w:r>
    </w:p>
    <w:p>
      <w:pPr>
        <w:pStyle w:val="ListBullet"/>
        <w:jc w:val="both"/>
      </w:pPr>
      <w:r>
        <w:rPr>
          <w:rFonts w:ascii="Cambria" w:hAnsi="Cambria"/>
          <w:sz w:val="22"/>
        </w:rPr>
        <w:t>Sanctions TA/DA and related expenses for deputed staff.</w:t>
      </w:r>
    </w:p>
    <w:p>
      <w:pPr>
        <w:pStyle w:val="ListBullet"/>
        <w:jc w:val="both"/>
      </w:pPr>
      <w:r>
        <w:rPr>
          <w:rFonts w:ascii="Cambria" w:hAnsi="Cambria"/>
          <w:sz w:val="22"/>
        </w:rPr>
        <w:t>Ensures financial transparency and accountability through systematic documentation.</w:t>
      </w:r>
    </w:p>
    <w:p>
      <w:r>
        <w:rPr>
          <w:rFonts w:ascii="Cambria" w:hAnsi="Cambria"/>
          <w:b/>
          <w:i w:val="0"/>
          <w:sz w:val="22"/>
        </w:rPr>
        <w:t>8. Support to Vice-Chancellor and Board</w:t>
      </w:r>
    </w:p>
    <w:p>
      <w:pPr>
        <w:pStyle w:val="ListBullet"/>
        <w:jc w:val="both"/>
      </w:pPr>
      <w:r>
        <w:rPr>
          <w:rFonts w:ascii="Cambria" w:hAnsi="Cambria"/>
          <w:sz w:val="22"/>
        </w:rPr>
        <w:t>Provides administrative strength to the Vice-Chancellor's leadership.</w:t>
      </w:r>
    </w:p>
    <w:p>
      <w:pPr>
        <w:pStyle w:val="ListBullet"/>
        <w:jc w:val="both"/>
      </w:pPr>
      <w:r>
        <w:rPr>
          <w:rFonts w:ascii="Cambria" w:hAnsi="Cambria"/>
          <w:sz w:val="22"/>
        </w:rPr>
        <w:t>Executes decisions taken at the policy level by the VC and Board of Management.</w:t>
      </w:r>
    </w:p>
    <w:p>
      <w:pPr>
        <w:pStyle w:val="ListBullet"/>
        <w:jc w:val="both"/>
      </w:pPr>
      <w:r>
        <w:rPr>
          <w:rFonts w:ascii="Cambria" w:hAnsi="Cambria"/>
          <w:sz w:val="22"/>
        </w:rPr>
        <w:t>Acts as a bridge between strategic vision and operational execution.</w:t>
      </w:r>
    </w:p>
    <w:p>
      <w:r>
        <w:rPr>
          <w:rFonts w:ascii="Cambria" w:hAnsi="Cambria"/>
          <w:b/>
          <w:i w:val="0"/>
          <w:sz w:val="22"/>
        </w:rPr>
        <w:t>Conclusion</w:t>
      </w:r>
    </w:p>
    <w:p>
      <w:pPr>
        <w:pStyle w:val="ListBullet"/>
        <w:jc w:val="both"/>
      </w:pPr>
      <w:r>
        <w:rPr>
          <w:rFonts w:ascii="Cambria" w:hAnsi="Cambria"/>
          <w:sz w:val="22"/>
        </w:rPr>
        <w:t>The Registrar is rightly called the "administrative backbone of the University" because:</w:t>
      </w:r>
    </w:p>
    <w:p>
      <w:pPr>
        <w:pStyle w:val="ListBullet2"/>
        <w:jc w:val="both"/>
      </w:pPr>
      <w:r>
        <w:rPr>
          <w:rFonts w:ascii="Cambria" w:hAnsi="Cambria"/>
          <w:sz w:val="22"/>
        </w:rPr>
        <w:t>He/she ensures continuity, compliance, and coordination.</w:t>
      </w:r>
    </w:p>
    <w:p>
      <w:pPr>
        <w:pStyle w:val="ListBullet2"/>
        <w:jc w:val="both"/>
      </w:pPr>
      <w:r>
        <w:rPr>
          <w:rFonts w:ascii="Cambria" w:hAnsi="Cambria"/>
          <w:sz w:val="22"/>
        </w:rPr>
        <w:t>Without the Registrar, the University's records, legal authority, staff discipline, and administrative machinery would collapse.</w:t>
      </w:r>
    </w:p>
    <w:p>
      <w:pPr>
        <w:pStyle w:val="ListBullet2"/>
        <w:jc w:val="both"/>
      </w:pPr>
      <w:r>
        <w:rPr>
          <w:rFonts w:ascii="Cambria" w:hAnsi="Cambria"/>
          <w:sz w:val="22"/>
        </w:rPr>
        <w:t>While the Vice-Chancellor provides direction and leadership, the Registrar provides the structure, stability, and operational strength that hold the University together.</w:t>
      </w:r>
    </w:p>
    <w:p>
      <w:r>
        <w:br w:type="page"/>
      </w:r>
    </w:p>
    <w:p>
      <w:pPr>
        <w:keepNext/>
        <w:spacing w:before="240" w:after="120"/>
      </w:pPr>
      <w:r>
        <w:rPr>
          <w:rFonts w:ascii="Cambria" w:hAnsi="Cambria"/>
          <w:b/>
          <w:color w:val="1F3A5F"/>
          <w:sz w:val="36"/>
        </w:rPr>
        <w:t>7. Controller of Examinations (CoE)</w:t>
      </w:r>
    </w:p>
    <w:p>
      <w:pPr>
        <w:jc w:val="both"/>
      </w:pPr>
      <w:r>
        <w:rPr>
          <w:rFonts w:ascii="Cambria" w:hAnsi="Cambria"/>
          <w:b w:val="0"/>
          <w:i w:val="0"/>
          <w:sz w:val="22"/>
        </w:rPr>
        <w:t>The Controller of Examinations (CoE) is a senior administrative officer in a university or college who plays a pivotal role in maintaining the credibility of the institution's academic processes. The CoE is entrusted with overseeing and managing the entire lifecycle of examinations, covering planning, conduct, evaluation, result processing, and certification. This position is crucial for upholding academic integrity, fairness, and transparency, which directly impacts the reputation of the institution.</w:t>
      </w:r>
    </w:p>
    <w:p>
      <w:pPr>
        <w:jc w:val="both"/>
      </w:pPr>
      <w:r>
        <w:rPr>
          <w:rFonts w:ascii="Cambria" w:hAnsi="Cambria"/>
          <w:b w:val="0"/>
          <w:i w:val="0"/>
          <w:sz w:val="22"/>
        </w:rPr>
        <w:t>In the preparatory stage, the CoE is responsible for scheduling examinations, verifying candidate eligibility, ensuring the correctness of examination fees, and coordinating with departments for issuing hall tickets and providing necessary stationery to examination centers. Confidentiality is one of the hallmarks of the role, as the CoE supervises the secure setting, printing, and distribution of question papers while maintaining strict secrecy throughout the process. During the conduct of examinations, the CoE ensures that proper seating arrangements, invigilation, and anti-malpractice measures are in place, supported by detailed procedural guidelines for smooth operations.</w:t>
      </w:r>
    </w:p>
    <w:p>
      <w:pPr>
        <w:jc w:val="both"/>
      </w:pPr>
      <w:r>
        <w:rPr>
          <w:rFonts w:ascii="Cambria" w:hAnsi="Cambria"/>
          <w:b w:val="0"/>
          <w:i w:val="0"/>
          <w:sz w:val="22"/>
        </w:rPr>
        <w:t>The evaluation process falls directly under the CoE's purview, involving the secure collection of answer scripts, their moderation, and timely assessment. Modern practices such as digital evaluation, barcoding of scripts, and plagiarism checks for theses are increasingly incorporated to strengthen transparency and fairness. Once assessments are complete, the CoE is responsible for the accurate and timely publication of results, addressing discrepancies, and handling withheld cases. The issuance of provisional certificates, degrees, and transcripts also falls under the CoE's responsibility, culminating in the distribution of medals, prizes, and certificates during convocation ceremonies.</w:t>
      </w:r>
    </w:p>
    <w:p>
      <w:pPr>
        <w:jc w:val="both"/>
      </w:pPr>
      <w:r>
        <w:rPr>
          <w:rFonts w:ascii="Cambria" w:hAnsi="Cambria"/>
          <w:b w:val="0"/>
          <w:i w:val="0"/>
          <w:sz w:val="22"/>
        </w:rPr>
        <w:t>Beyond the core examination process, the CoE manages financial and administrative aspects linked to examination duties, including processing remuneration bills, handling conveyance reimbursements, and maintaining databases of candidates and examination records. The CoE also aligns institutional practices with quality assurance frameworks such as NAAC, NBA, and UGC guidelines, ensuring compliance with national standards.</w:t>
      </w:r>
    </w:p>
    <w:p>
      <w:pPr>
        <w:jc w:val="both"/>
      </w:pPr>
      <w:r>
        <w:rPr>
          <w:rFonts w:ascii="Cambria" w:hAnsi="Cambria"/>
          <w:b w:val="0"/>
          <w:i w:val="0"/>
          <w:sz w:val="22"/>
        </w:rPr>
        <w:t>In essence, the Controller of Examinations serves as the guardian of assessment integrity, ensuring that all stages of examinations—pre-conduct, conduct, and post-conduct—are executed with impartiality and efficiency. By upholding fairness and transparency, the CoE not only safeguards the trust of students and faculty but also strengthens the overall reputation and credibility of the institution in the higher education ecosystem.</w:t>
      </w:r>
    </w:p>
    <w:p>
      <w:pPr>
        <w:pStyle w:val="ListBullet"/>
        <w:jc w:val="both"/>
      </w:pPr>
      <w:r>
        <w:rPr>
          <w:rFonts w:ascii="Cambria" w:hAnsi="Cambria"/>
          <w:sz w:val="22"/>
        </w:rPr>
        <w:t>1. Position in the University Structure</w:t>
      </w:r>
    </w:p>
    <w:p>
      <w:pPr>
        <w:pStyle w:val="ListBullet2"/>
        <w:jc w:val="both"/>
      </w:pPr>
      <w:r>
        <w:rPr>
          <w:rFonts w:ascii="Cambria" w:hAnsi="Cambria"/>
          <w:sz w:val="22"/>
        </w:rPr>
        <w:t>The Controller of Examinations (CoE) is a core administrative officer responsible for managing the entire examination and evaluation system of the university.</w:t>
      </w:r>
    </w:p>
    <w:p>
      <w:pPr>
        <w:pStyle w:val="ListBullet2"/>
        <w:jc w:val="both"/>
      </w:pPr>
      <w:r>
        <w:rPr>
          <w:rFonts w:ascii="Cambria" w:hAnsi="Cambria"/>
          <w:sz w:val="22"/>
        </w:rPr>
        <w:t>Reports directly to the Vice-Chancellor and works closely with the Registrar, Deans, and Heads of Departments.</w:t>
      </w:r>
    </w:p>
    <w:p>
      <w:pPr>
        <w:pStyle w:val="ListBullet2"/>
        <w:jc w:val="both"/>
      </w:pPr>
      <w:r>
        <w:rPr>
          <w:rFonts w:ascii="Cambria" w:hAnsi="Cambria"/>
          <w:sz w:val="22"/>
        </w:rPr>
        <w:t>Ensures that examination processes are transparent, fair, and aligned with institutional and regulatory standards.</w:t>
      </w:r>
    </w:p>
    <w:p>
      <w:pPr>
        <w:pStyle w:val="ListBullet"/>
        <w:jc w:val="both"/>
      </w:pPr>
      <w:r>
        <w:rPr>
          <w:rFonts w:ascii="Cambria" w:hAnsi="Cambria"/>
          <w:sz w:val="22"/>
        </w:rPr>
        <w:t>2. Qualities of an Effective Controller of Examinations</w:t>
      </w:r>
    </w:p>
    <w:p>
      <w:pPr>
        <w:pStyle w:val="ListBullet2"/>
        <w:jc w:val="both"/>
      </w:pPr>
      <w:r>
        <w:rPr>
          <w:rFonts w:ascii="Cambria" w:hAnsi="Cambria"/>
          <w:sz w:val="22"/>
        </w:rPr>
        <w:t>High integrity and impartiality in decision-making.</w:t>
      </w:r>
    </w:p>
    <w:p>
      <w:pPr>
        <w:pStyle w:val="ListBullet2"/>
        <w:jc w:val="both"/>
      </w:pPr>
      <w:r>
        <w:rPr>
          <w:rFonts w:ascii="Cambria" w:hAnsi="Cambria"/>
          <w:sz w:val="22"/>
        </w:rPr>
        <w:t>Strong organizational skills to manage large-scale exams and evaluations.</w:t>
      </w:r>
    </w:p>
    <w:p>
      <w:pPr>
        <w:pStyle w:val="ListBullet2"/>
        <w:jc w:val="both"/>
      </w:pPr>
      <w:r>
        <w:rPr>
          <w:rFonts w:ascii="Cambria" w:hAnsi="Cambria"/>
          <w:sz w:val="22"/>
        </w:rPr>
        <w:t>Proficiency in digital tools for secure and efficient examination processes.</w:t>
      </w:r>
    </w:p>
    <w:p>
      <w:pPr>
        <w:pStyle w:val="ListBullet2"/>
        <w:jc w:val="both"/>
      </w:pPr>
      <w:r>
        <w:rPr>
          <w:rFonts w:ascii="Cambria" w:hAnsi="Cambria"/>
          <w:sz w:val="22"/>
        </w:rPr>
        <w:t>Ability to handle confidential data with discretion and accountability.</w:t>
      </w:r>
    </w:p>
    <w:p>
      <w:pPr>
        <w:keepNext/>
        <w:spacing w:before="160" w:after="120"/>
      </w:pPr>
      <w:r>
        <w:rPr>
          <w:rFonts w:ascii="Cambria" w:hAnsi="Cambria"/>
          <w:b/>
          <w:color w:val="1F3A5F"/>
          <w:sz w:val="30"/>
        </w:rPr>
        <w:t>Controller of Examinations (CoE): Appointment, Powers, and Responsibilities</w:t>
      </w:r>
    </w:p>
    <w:p>
      <w:pPr>
        <w:pStyle w:val="ListBullet"/>
        <w:jc w:val="both"/>
      </w:pPr>
      <w:r>
        <w:rPr>
          <w:rFonts w:ascii="Cambria" w:hAnsi="Cambria"/>
          <w:sz w:val="22"/>
        </w:rPr>
        <w:t>1. Appointment and Service Conditions</w:t>
      </w:r>
    </w:p>
    <w:p>
      <w:pPr>
        <w:pStyle w:val="ListBullet2"/>
        <w:jc w:val="both"/>
      </w:pPr>
      <w:r>
        <w:rPr>
          <w:rFonts w:ascii="Cambria" w:hAnsi="Cambria"/>
          <w:sz w:val="22"/>
        </w:rPr>
        <w:t>The Controller of Examinations (CoE) shall be appointed by the Governing Body of the Institution.</w:t>
      </w:r>
    </w:p>
    <w:p>
      <w:pPr>
        <w:pStyle w:val="ListBullet2"/>
        <w:jc w:val="both"/>
      </w:pPr>
      <w:r>
        <w:rPr>
          <w:rFonts w:ascii="Cambria" w:hAnsi="Cambria"/>
          <w:sz w:val="22"/>
        </w:rPr>
        <w:t>The emoluments, allowances, and service benefits of the CoE shall be determined and revised by the Governing Body from time to time, in line with institutional policies.</w:t>
      </w:r>
    </w:p>
    <w:p>
      <w:pPr>
        <w:pStyle w:val="ListBullet"/>
        <w:jc w:val="both"/>
      </w:pPr>
      <w:r>
        <w:rPr>
          <w:rFonts w:ascii="Cambria" w:hAnsi="Cambria"/>
          <w:sz w:val="22"/>
        </w:rPr>
        <w:t>2. Core Responsibilities of the CoE</w:t>
      </w:r>
    </w:p>
    <w:p>
      <w:pPr>
        <w:pStyle w:val="ListBullet2"/>
        <w:jc w:val="both"/>
      </w:pPr>
      <w:r>
        <w:rPr>
          <w:rFonts w:ascii="Cambria" w:hAnsi="Cambria"/>
          <w:sz w:val="22"/>
        </w:rPr>
        <w:t>Eligibility &amp; Fee Verification</w:t>
      </w:r>
    </w:p>
    <w:p>
      <w:pPr>
        <w:pStyle w:val="ListBullet"/>
        <w:jc w:val="both"/>
      </w:pPr>
      <w:r>
        <w:rPr>
          <w:rFonts w:ascii="Cambria" w:hAnsi="Cambria"/>
          <w:sz w:val="22"/>
        </w:rPr>
        <w:t>Verifies the eligibility of candidates to appear for examinations.</w:t>
      </w:r>
    </w:p>
    <w:p>
      <w:pPr>
        <w:pStyle w:val="ListBullet"/>
        <w:jc w:val="both"/>
      </w:pPr>
      <w:r>
        <w:rPr>
          <w:rFonts w:ascii="Cambria" w:hAnsi="Cambria"/>
          <w:sz w:val="22"/>
        </w:rPr>
        <w:t>Confirms the correctness of the examination fee payment made by candidates.</w:t>
      </w:r>
    </w:p>
    <w:p>
      <w:pPr>
        <w:pStyle w:val="ListBullet"/>
        <w:jc w:val="both"/>
      </w:pPr>
      <w:r>
        <w:rPr>
          <w:rFonts w:ascii="Cambria" w:hAnsi="Cambria"/>
          <w:sz w:val="22"/>
        </w:rPr>
        <w:t>Ensures only eligible and fee-cleared candidates are admitted to the examination process.</w:t>
      </w:r>
    </w:p>
    <w:p>
      <w:pPr>
        <w:pStyle w:val="ListBullet2"/>
        <w:jc w:val="both"/>
      </w:pPr>
      <w:r>
        <w:rPr>
          <w:rFonts w:ascii="Cambria" w:hAnsi="Cambria"/>
          <w:sz w:val="22"/>
        </w:rPr>
        <w:t>Hall Tickets &amp; Logistics</w:t>
      </w:r>
    </w:p>
    <w:p>
      <w:pPr>
        <w:pStyle w:val="ListBullet"/>
        <w:jc w:val="both"/>
      </w:pPr>
      <w:r>
        <w:rPr>
          <w:rFonts w:ascii="Cambria" w:hAnsi="Cambria"/>
          <w:sz w:val="22"/>
        </w:rPr>
        <w:t>Ensures timely issuance of Hall Tickets through the respective Heads of Departments.</w:t>
      </w:r>
    </w:p>
    <w:p>
      <w:pPr>
        <w:pStyle w:val="ListBullet"/>
        <w:jc w:val="both"/>
      </w:pPr>
      <w:r>
        <w:rPr>
          <w:rFonts w:ascii="Cambria" w:hAnsi="Cambria"/>
          <w:sz w:val="22"/>
        </w:rPr>
        <w:t>Dispatches the required examination stationery, materials, and resources well in advance to examination centers.</w:t>
      </w:r>
    </w:p>
    <w:p>
      <w:pPr>
        <w:pStyle w:val="ListBullet2"/>
        <w:jc w:val="both"/>
      </w:pPr>
      <w:r>
        <w:rPr>
          <w:rFonts w:ascii="Cambria" w:hAnsi="Cambria"/>
          <w:sz w:val="22"/>
        </w:rPr>
        <w:t>Question Paper Setting &amp; Confidentiality</w:t>
      </w:r>
    </w:p>
    <w:p>
      <w:pPr>
        <w:pStyle w:val="ListBullet"/>
        <w:jc w:val="both"/>
      </w:pPr>
      <w:r>
        <w:rPr>
          <w:rFonts w:ascii="Cambria" w:hAnsi="Cambria"/>
          <w:sz w:val="22"/>
        </w:rPr>
        <w:t>Coordinates with paper setters while maintaining strict confidentiality.</w:t>
      </w:r>
    </w:p>
    <w:p>
      <w:pPr>
        <w:pStyle w:val="ListBullet"/>
        <w:jc w:val="both"/>
      </w:pPr>
      <w:r>
        <w:rPr>
          <w:rFonts w:ascii="Cambria" w:hAnsi="Cambria"/>
          <w:sz w:val="22"/>
        </w:rPr>
        <w:t>Supplies them with necessary materials, including:</w:t>
      </w:r>
    </w:p>
    <w:p>
      <w:pPr>
        <w:pStyle w:val="ListBullet2"/>
        <w:jc w:val="both"/>
      </w:pPr>
      <w:r>
        <w:rPr>
          <w:rFonts w:ascii="Cambria" w:hAnsi="Cambria"/>
          <w:sz w:val="22"/>
        </w:rPr>
        <w:t>Title sheet with exam details (code, year, maximum marks, special instructions).</w:t>
      </w:r>
    </w:p>
    <w:p>
      <w:pPr>
        <w:pStyle w:val="ListBullet2"/>
        <w:jc w:val="both"/>
      </w:pPr>
      <w:r>
        <w:rPr>
          <w:rFonts w:ascii="Cambria" w:hAnsi="Cambria"/>
          <w:sz w:val="22"/>
        </w:rPr>
        <w:t>Relevant syllabus copy and model question papers from the Academic Section.</w:t>
      </w:r>
    </w:p>
    <w:p>
      <w:pPr>
        <w:pStyle w:val="ListBullet2"/>
        <w:jc w:val="both"/>
      </w:pPr>
      <w:r>
        <w:rPr>
          <w:rFonts w:ascii="Cambria" w:hAnsi="Cambria"/>
          <w:sz w:val="22"/>
        </w:rPr>
        <w:t>Detailed guidelines for paper setting and valuation scheme.</w:t>
      </w:r>
    </w:p>
    <w:p>
      <w:pPr>
        <w:pStyle w:val="ListBullet"/>
        <w:jc w:val="both"/>
      </w:pPr>
      <w:r>
        <w:rPr>
          <w:rFonts w:ascii="Cambria" w:hAnsi="Cambria"/>
          <w:sz w:val="22"/>
        </w:rPr>
        <w:t>Ensures confidential printing, secure storage, and dispatch of question papers.</w:t>
      </w:r>
    </w:p>
    <w:p>
      <w:pPr>
        <w:pStyle w:val="ListBullet2"/>
        <w:jc w:val="both"/>
      </w:pPr>
      <w:r>
        <w:rPr>
          <w:rFonts w:ascii="Cambria" w:hAnsi="Cambria"/>
          <w:sz w:val="22"/>
        </w:rPr>
        <w:t>Conduct of Examinations</w:t>
      </w:r>
    </w:p>
    <w:p>
      <w:pPr>
        <w:pStyle w:val="ListBullet"/>
        <w:jc w:val="both"/>
      </w:pPr>
      <w:r>
        <w:rPr>
          <w:rFonts w:ascii="Cambria" w:hAnsi="Cambria"/>
          <w:sz w:val="22"/>
        </w:rPr>
        <w:t>Prepares detailed guidelines for smooth and fair conduct, covering:</w:t>
      </w:r>
    </w:p>
    <w:p>
      <w:pPr>
        <w:pStyle w:val="ListBullet2"/>
        <w:jc w:val="both"/>
      </w:pPr>
      <w:r>
        <w:rPr>
          <w:rFonts w:ascii="Cambria" w:hAnsi="Cambria"/>
          <w:sz w:val="22"/>
        </w:rPr>
        <w:t>Seating arrangements and deployment of invigilators.</w:t>
      </w:r>
    </w:p>
    <w:p>
      <w:pPr>
        <w:pStyle w:val="ListBullet2"/>
        <w:jc w:val="both"/>
      </w:pPr>
      <w:r>
        <w:rPr>
          <w:rFonts w:ascii="Cambria" w:hAnsi="Cambria"/>
          <w:sz w:val="22"/>
        </w:rPr>
        <w:t>Secure procedure for opening/distributing question papers and answer scripts.</w:t>
      </w:r>
    </w:p>
    <w:p>
      <w:pPr>
        <w:pStyle w:val="ListBullet2"/>
        <w:jc w:val="both"/>
      </w:pPr>
      <w:r>
        <w:rPr>
          <w:rFonts w:ascii="Cambria" w:hAnsi="Cambria"/>
          <w:sz w:val="22"/>
        </w:rPr>
        <w:t>Roles and duties of Hall Superintendents and supporting staff.</w:t>
      </w:r>
    </w:p>
    <w:p>
      <w:pPr>
        <w:pStyle w:val="ListBullet2"/>
        <w:jc w:val="both"/>
      </w:pPr>
      <w:r>
        <w:rPr>
          <w:rFonts w:ascii="Cambria" w:hAnsi="Cambria"/>
          <w:sz w:val="22"/>
        </w:rPr>
        <w:t>Payment of remuneration to examination staff (theory/practical).</w:t>
      </w:r>
    </w:p>
    <w:p>
      <w:pPr>
        <w:pStyle w:val="ListBullet2"/>
        <w:jc w:val="both"/>
      </w:pPr>
      <w:r>
        <w:rPr>
          <w:rFonts w:ascii="Cambria" w:hAnsi="Cambria"/>
          <w:sz w:val="22"/>
        </w:rPr>
        <w:t>Reporting procedures for cases of malpractice.</w:t>
      </w:r>
    </w:p>
    <w:p>
      <w:pPr>
        <w:pStyle w:val="ListBullet2"/>
        <w:jc w:val="both"/>
      </w:pPr>
      <w:r>
        <w:rPr>
          <w:rFonts w:ascii="Cambria" w:hAnsi="Cambria"/>
          <w:sz w:val="22"/>
        </w:rPr>
        <w:t>Preparation of absentee statements and answer book accounts.</w:t>
      </w:r>
    </w:p>
    <w:p>
      <w:pPr>
        <w:pStyle w:val="ListBullet2"/>
        <w:jc w:val="both"/>
      </w:pPr>
      <w:r>
        <w:rPr>
          <w:rFonts w:ascii="Cambria" w:hAnsi="Cambria"/>
          <w:sz w:val="22"/>
        </w:rPr>
        <w:t>Sealed dispatch of completed answer booklets.</w:t>
      </w:r>
    </w:p>
    <w:p>
      <w:pPr>
        <w:pStyle w:val="ListBullet2"/>
        <w:jc w:val="both"/>
      </w:pPr>
      <w:r>
        <w:rPr>
          <w:rFonts w:ascii="Cambria" w:hAnsi="Cambria"/>
          <w:sz w:val="22"/>
        </w:rPr>
        <w:t>Arrangements for reimbursement of material charges for practical exams.</w:t>
      </w:r>
    </w:p>
    <w:p>
      <w:pPr>
        <w:pStyle w:val="ListBullet"/>
        <w:jc w:val="both"/>
      </w:pPr>
      <w:r>
        <w:rPr>
          <w:rFonts w:ascii="Cambria" w:hAnsi="Cambria"/>
          <w:sz w:val="22"/>
        </w:rPr>
        <w:t>Ensures compliance with Citizens' Charter timelines for examinations.</w:t>
      </w:r>
    </w:p>
    <w:p>
      <w:pPr>
        <w:pStyle w:val="ListBullet2"/>
        <w:jc w:val="both"/>
      </w:pPr>
      <w:r>
        <w:rPr>
          <w:rFonts w:ascii="Cambria" w:hAnsi="Cambria"/>
          <w:sz w:val="22"/>
        </w:rPr>
        <w:t>Evaluation &amp; Result Processing</w:t>
      </w:r>
    </w:p>
    <w:p>
      <w:pPr>
        <w:pStyle w:val="ListBullet"/>
        <w:jc w:val="both"/>
      </w:pPr>
      <w:r>
        <w:rPr>
          <w:rFonts w:ascii="Cambria" w:hAnsi="Cambria"/>
          <w:sz w:val="22"/>
        </w:rPr>
        <w:t>Ensures timely evaluation of answer scripts under confidentiality protocols.</w:t>
      </w:r>
    </w:p>
    <w:p>
      <w:pPr>
        <w:pStyle w:val="ListBullet"/>
        <w:jc w:val="both"/>
      </w:pPr>
      <w:r>
        <w:rPr>
          <w:rFonts w:ascii="Cambria" w:hAnsi="Cambria"/>
          <w:sz w:val="22"/>
        </w:rPr>
        <w:t>Supervises preparation of valuation schemes and moderation processes.</w:t>
      </w:r>
    </w:p>
    <w:p>
      <w:pPr>
        <w:pStyle w:val="ListBullet"/>
        <w:jc w:val="both"/>
      </w:pPr>
      <w:r>
        <w:rPr>
          <w:rFonts w:ascii="Cambria" w:hAnsi="Cambria"/>
          <w:sz w:val="22"/>
        </w:rPr>
        <w:t>Declares examination results within the prescribed schedule.</w:t>
      </w:r>
    </w:p>
    <w:p>
      <w:pPr>
        <w:pStyle w:val="ListBullet"/>
        <w:jc w:val="both"/>
      </w:pPr>
      <w:r>
        <w:rPr>
          <w:rFonts w:ascii="Cambria" w:hAnsi="Cambria"/>
          <w:sz w:val="22"/>
        </w:rPr>
        <w:t>Handles withheld results, discrepancies, and follow-up cases with due diligence.</w:t>
      </w:r>
    </w:p>
    <w:p>
      <w:pPr>
        <w:pStyle w:val="ListBullet"/>
        <w:jc w:val="both"/>
      </w:pPr>
      <w:r>
        <w:rPr>
          <w:rFonts w:ascii="Cambria" w:hAnsi="Cambria"/>
          <w:sz w:val="22"/>
        </w:rPr>
        <w:t>Prepares and ensures distribution of gold medals, prizes, and certificates during convocation.</w:t>
      </w:r>
    </w:p>
    <w:p>
      <w:pPr>
        <w:pStyle w:val="ListBullet2"/>
        <w:jc w:val="both"/>
      </w:pPr>
      <w:r>
        <w:rPr>
          <w:rFonts w:ascii="Cambria" w:hAnsi="Cambria"/>
          <w:sz w:val="22"/>
        </w:rPr>
        <w:t>Financial &amp; Administrative Functions</w:t>
      </w:r>
    </w:p>
    <w:p>
      <w:pPr>
        <w:pStyle w:val="ListBullet"/>
        <w:jc w:val="both"/>
      </w:pPr>
      <w:r>
        <w:rPr>
          <w:rFonts w:ascii="Cambria" w:hAnsi="Cambria"/>
          <w:sz w:val="22"/>
        </w:rPr>
        <w:t>Processes and clears bills related to TA, DA, remuneration, and allowances for examination staff.</w:t>
      </w:r>
    </w:p>
    <w:p>
      <w:pPr>
        <w:pStyle w:val="ListBullet"/>
        <w:jc w:val="both"/>
      </w:pPr>
      <w:r>
        <w:rPr>
          <w:rFonts w:ascii="Cambria" w:hAnsi="Cambria"/>
          <w:sz w:val="22"/>
        </w:rPr>
        <w:t>Maintains records, statistics, stock registers, and databases of candidates.</w:t>
      </w:r>
    </w:p>
    <w:p>
      <w:pPr>
        <w:pStyle w:val="ListBullet"/>
        <w:jc w:val="both"/>
      </w:pPr>
      <w:r>
        <w:rPr>
          <w:rFonts w:ascii="Cambria" w:hAnsi="Cambria"/>
          <w:sz w:val="22"/>
        </w:rPr>
        <w:t>Deals with examination fee collection, refunds, and reconciliation.</w:t>
      </w:r>
    </w:p>
    <w:p>
      <w:pPr>
        <w:pStyle w:val="ListBullet"/>
        <w:jc w:val="both"/>
      </w:pPr>
      <w:r>
        <w:rPr>
          <w:rFonts w:ascii="Cambria" w:hAnsi="Cambria"/>
          <w:sz w:val="22"/>
        </w:rPr>
        <w:t>Authorizes conveyance bills, postal reimbursements, and other examination-related expenses.</w:t>
      </w:r>
    </w:p>
    <w:p>
      <w:pPr>
        <w:pStyle w:val="ListBullet"/>
        <w:jc w:val="both"/>
      </w:pPr>
      <w:r>
        <w:rPr>
          <w:rFonts w:ascii="Cambria" w:hAnsi="Cambria"/>
          <w:sz w:val="22"/>
        </w:rPr>
        <w:t>Maintains day-to-day communication, correspondence, and circulars related to examinations.</w:t>
      </w:r>
    </w:p>
    <w:p>
      <w:pPr>
        <w:pStyle w:val="ListBullet"/>
        <w:jc w:val="both"/>
      </w:pPr>
      <w:r>
        <w:rPr>
          <w:rFonts w:ascii="Cambria" w:hAnsi="Cambria"/>
          <w:sz w:val="22"/>
        </w:rPr>
        <w:t>3. Governance and Quality Assurance</w:t>
      </w:r>
    </w:p>
    <w:p>
      <w:pPr>
        <w:pStyle w:val="ListBullet2"/>
        <w:jc w:val="both"/>
      </w:pPr>
      <w:r>
        <w:rPr>
          <w:rFonts w:ascii="Cambria" w:hAnsi="Cambria"/>
          <w:sz w:val="22"/>
        </w:rPr>
        <w:t>Ensures all stages of examinations—pre-conduct, conduct, and post-conduct—are carried out with integrity and transparency.</w:t>
      </w:r>
    </w:p>
    <w:p>
      <w:pPr>
        <w:pStyle w:val="ListBullet2"/>
        <w:jc w:val="both"/>
      </w:pPr>
      <w:r>
        <w:rPr>
          <w:rFonts w:ascii="Cambria" w:hAnsi="Cambria"/>
          <w:sz w:val="22"/>
        </w:rPr>
        <w:t>Implements anti-malpractice measures and strengthens fairness in evaluation.</w:t>
      </w:r>
    </w:p>
    <w:p>
      <w:pPr>
        <w:pStyle w:val="ListBullet2"/>
        <w:jc w:val="both"/>
      </w:pPr>
      <w:r>
        <w:rPr>
          <w:rFonts w:ascii="Cambria" w:hAnsi="Cambria"/>
          <w:sz w:val="22"/>
        </w:rPr>
        <w:t>Aligns examination practices with NAAC, NBA, UGC, and other quality assurance frameworks.</w:t>
      </w:r>
    </w:p>
    <w:p>
      <w:pPr>
        <w:pStyle w:val="ListBullet2"/>
        <w:jc w:val="both"/>
      </w:pPr>
      <w:r>
        <w:rPr>
          <w:rFonts w:ascii="Cambria" w:hAnsi="Cambria"/>
          <w:sz w:val="22"/>
        </w:rPr>
        <w:t>Establishes digital systems (ERP, online results, plagiarism checks) for modernization.</w:t>
      </w:r>
    </w:p>
    <w:p>
      <w:pPr>
        <w:pStyle w:val="ListBullet"/>
        <w:jc w:val="both"/>
      </w:pPr>
      <w:r>
        <w:rPr>
          <w:rFonts w:ascii="Cambria" w:hAnsi="Cambria"/>
          <w:sz w:val="22"/>
        </w:rPr>
        <w:t>4. Significance of the Role</w:t>
      </w:r>
    </w:p>
    <w:p>
      <w:pPr>
        <w:pStyle w:val="ListBullet2"/>
        <w:jc w:val="both"/>
      </w:pPr>
      <w:r>
        <w:rPr>
          <w:rFonts w:ascii="Cambria" w:hAnsi="Cambria"/>
          <w:sz w:val="22"/>
        </w:rPr>
        <w:t>The CoE is the guardian of academic integrity, ensuring examinations are conducted fairly, results are processed transparently, and certifications are issued credibly.</w:t>
      </w:r>
    </w:p>
    <w:p>
      <w:pPr>
        <w:pStyle w:val="ListBullet2"/>
        <w:jc w:val="both"/>
      </w:pPr>
      <w:r>
        <w:rPr>
          <w:rFonts w:ascii="Cambria" w:hAnsi="Cambria"/>
          <w:sz w:val="22"/>
        </w:rPr>
        <w:t>The office directly impacts student trust, institutional reputation, and accreditation outcomes.</w:t>
      </w:r>
    </w:p>
    <w:p>
      <w:pPr>
        <w:keepNext/>
        <w:spacing w:before="160" w:after="120"/>
      </w:pPr>
      <w:r>
        <w:rPr>
          <w:rFonts w:ascii="Cambria" w:hAnsi="Cambria"/>
          <w:b/>
          <w:color w:val="1F3A5F"/>
          <w:sz w:val="30"/>
        </w:rPr>
        <w:t>Controller of Examinations (CoE)</w:t>
      </w:r>
    </w:p>
    <w:tbl>
      <w:tblPr>
        <w:tblW w:type="auto" w:w="0"/>
        <w:tblLayout w:type="fixed"/>
        <w:tblLook w:firstColumn="1" w:firstRow="1" w:lastColumn="0" w:lastRow="0" w:noHBand="0" w:noVBand="1" w:val="04A0"/>
        <w:tblLayout w:type="fixed"/>
      </w:tblPr>
      <w:tblGrid>
        <w:gridCol w:w="2835"/>
        <w:gridCol w:w="3345"/>
        <w:gridCol w:w="2948"/>
      </w:tblGrid>
      <w:tr>
        <w:tc>
          <w:tcPr>
            <w:tcW w:type="dxa" w:w="2835"/>
            <w:shd w:val="clear" w:color="auto" w:fill="1F3A5F"/>
            <w:tcW w:w="2835" w:type="dxa"/>
          </w:tcPr>
          <w:p>
            <w:pPr>
              <w:jc w:val="center"/>
            </w:pPr>
            <w:r/>
            <w:r>
              <w:rPr>
                <w:rFonts w:ascii="Cambria" w:hAnsi="Cambria"/>
                <w:b/>
                <w:color w:val="FFFFFF"/>
                <w:sz w:val="22"/>
              </w:rPr>
              <w:t>Key Actions</w:t>
            </w:r>
          </w:p>
        </w:tc>
        <w:tc>
          <w:tcPr>
            <w:tcW w:type="dxa" w:w="3345"/>
            <w:shd w:val="clear" w:color="auto" w:fill="1F3A5F"/>
            <w:tcW w:w="3345" w:type="dxa"/>
          </w:tcPr>
          <w:p>
            <w:pPr>
              <w:jc w:val="center"/>
            </w:pPr>
            <w:r/>
            <w:r>
              <w:rPr>
                <w:rFonts w:ascii="Cambria" w:hAnsi="Cambria"/>
                <w:b/>
                <w:color w:val="FFFFFF"/>
                <w:sz w:val="22"/>
              </w:rPr>
              <w:t>Institutional Impact</w:t>
            </w:r>
          </w:p>
        </w:tc>
        <w:tc>
          <w:tcPr>
            <w:tcW w:type="dxa" w:w="2948"/>
            <w:shd w:val="clear" w:color="auto" w:fill="1F3A5F"/>
            <w:tcW w:w="2948" w:type="dxa"/>
          </w:tcPr>
          <w:p>
            <w:pPr>
              <w:jc w:val="center"/>
            </w:pPr>
            <w:r/>
            <w:r>
              <w:rPr>
                <w:rFonts w:ascii="Cambria" w:hAnsi="Cambria"/>
                <w:b/>
                <w:color w:val="FFFFFF"/>
                <w:sz w:val="22"/>
              </w:rPr>
              <w:t>Evidence / Documentation</w:t>
            </w:r>
          </w:p>
        </w:tc>
      </w:tr>
      <w:tr>
        <w:tc>
          <w:tcPr>
            <w:tcW w:type="dxa" w:w="2835"/>
            <w:tcW w:w="2835" w:type="dxa"/>
          </w:tcPr>
          <w:p>
            <w:pPr>
              <w:jc w:val="left"/>
            </w:pPr>
            <w:r/>
            <w:r>
              <w:rPr>
                <w:rFonts w:ascii="Cambria" w:hAnsi="Cambria"/>
                <w:b w:val="0"/>
                <w:sz w:val="19"/>
              </w:rPr>
              <w:t>Plans and schedules examinations (prepares timetables, allocates centers, issues guidelines)</w:t>
            </w:r>
          </w:p>
        </w:tc>
        <w:tc>
          <w:tcPr>
            <w:tcW w:type="dxa" w:w="3345"/>
            <w:tcW w:w="3345" w:type="dxa"/>
          </w:tcPr>
          <w:p>
            <w:pPr>
              <w:jc w:val="center"/>
            </w:pPr>
            <w:r/>
            <w:r>
              <w:rPr>
                <w:rFonts w:ascii="Cambria" w:hAnsi="Cambria"/>
                <w:b w:val="0"/>
                <w:sz w:val="19"/>
              </w:rPr>
              <w:t>Smooth and timely conduct of examinations; reduced scheduling conflicts.</w:t>
            </w:r>
          </w:p>
        </w:tc>
        <w:tc>
          <w:tcPr>
            <w:tcW w:type="dxa" w:w="2948"/>
            <w:tcW w:w="2948" w:type="dxa"/>
          </w:tcPr>
          <w:p>
            <w:pPr>
              <w:jc w:val="center"/>
            </w:pPr>
            <w:r/>
            <w:r>
              <w:rPr>
                <w:rFonts w:ascii="Cambria" w:hAnsi="Cambria"/>
                <w:b w:val="0"/>
                <w:sz w:val="19"/>
              </w:rPr>
              <w:t>Examination timetables, circulars, notification copies.</w:t>
            </w:r>
          </w:p>
        </w:tc>
      </w:tr>
      <w:tr>
        <w:tc>
          <w:tcPr>
            <w:tcW w:type="dxa" w:w="2835"/>
            <w:tcW w:w="2835" w:type="dxa"/>
            <w:shd w:val="clear" w:color="auto" w:fill="D9E2EC"/>
          </w:tcPr>
          <w:p>
            <w:pPr>
              <w:jc w:val="left"/>
            </w:pPr>
            <w:r/>
            <w:r>
              <w:rPr>
                <w:rFonts w:ascii="Cambria" w:hAnsi="Cambria"/>
                <w:b w:val="0"/>
                <w:sz w:val="19"/>
              </w:rPr>
              <w:t>Coordinates question paper setting and moderation</w:t>
            </w:r>
          </w:p>
        </w:tc>
        <w:tc>
          <w:tcPr>
            <w:tcW w:type="dxa" w:w="3345"/>
            <w:tcW w:w="3345" w:type="dxa"/>
            <w:shd w:val="clear" w:color="auto" w:fill="D9E2EC"/>
          </w:tcPr>
          <w:p>
            <w:pPr>
              <w:jc w:val="center"/>
            </w:pPr>
            <w:r/>
            <w:r>
              <w:rPr>
                <w:rFonts w:ascii="Cambria" w:hAnsi="Cambria"/>
                <w:b w:val="0"/>
                <w:sz w:val="19"/>
              </w:rPr>
              <w:t>Standardized, fair, and secure examination papers across departments.</w:t>
            </w:r>
          </w:p>
        </w:tc>
        <w:tc>
          <w:tcPr>
            <w:tcW w:type="dxa" w:w="2948"/>
            <w:tcW w:w="2948" w:type="dxa"/>
            <w:shd w:val="clear" w:color="auto" w:fill="D9E2EC"/>
          </w:tcPr>
          <w:p>
            <w:pPr>
              <w:jc w:val="center"/>
            </w:pPr>
            <w:r/>
            <w:r>
              <w:rPr>
                <w:rFonts w:ascii="Cambria" w:hAnsi="Cambria"/>
                <w:b w:val="0"/>
                <w:sz w:val="19"/>
              </w:rPr>
              <w:t>Confidential paper-setting records, moderation committee reports.</w:t>
            </w:r>
          </w:p>
        </w:tc>
      </w:tr>
      <w:tr>
        <w:tc>
          <w:tcPr>
            <w:tcW w:type="dxa" w:w="2835"/>
            <w:tcW w:w="2835" w:type="dxa"/>
          </w:tcPr>
          <w:p>
            <w:pPr>
              <w:jc w:val="left"/>
            </w:pPr>
            <w:r/>
            <w:r>
              <w:rPr>
                <w:rFonts w:ascii="Cambria" w:hAnsi="Cambria"/>
                <w:b w:val="0"/>
                <w:sz w:val="19"/>
              </w:rPr>
              <w:t>Ensures secure conduct of examinations (invigilation, anti-malpractice measures, confidentiality)</w:t>
            </w:r>
          </w:p>
        </w:tc>
        <w:tc>
          <w:tcPr>
            <w:tcW w:type="dxa" w:w="3345"/>
            <w:tcW w:w="3345" w:type="dxa"/>
          </w:tcPr>
          <w:p>
            <w:pPr>
              <w:jc w:val="center"/>
            </w:pPr>
            <w:r/>
            <w:r>
              <w:rPr>
                <w:rFonts w:ascii="Cambria" w:hAnsi="Cambria"/>
                <w:b w:val="0"/>
                <w:sz w:val="19"/>
              </w:rPr>
              <w:t>Fair, unbiased, and transparent examination process; prevention of malpractice.</w:t>
            </w:r>
          </w:p>
        </w:tc>
        <w:tc>
          <w:tcPr>
            <w:tcW w:type="dxa" w:w="2948"/>
            <w:tcW w:w="2948" w:type="dxa"/>
          </w:tcPr>
          <w:p>
            <w:pPr>
              <w:jc w:val="center"/>
            </w:pPr>
            <w:r/>
            <w:r>
              <w:rPr>
                <w:rFonts w:ascii="Cambria" w:hAnsi="Cambria"/>
                <w:b w:val="0"/>
                <w:sz w:val="19"/>
              </w:rPr>
              <w:t>Invigilation duty rosters, malpractice reports, CCTV monitoring logs.</w:t>
            </w:r>
          </w:p>
        </w:tc>
      </w:tr>
      <w:tr>
        <w:tc>
          <w:tcPr>
            <w:tcW w:type="dxa" w:w="2835"/>
            <w:tcW w:w="2835" w:type="dxa"/>
            <w:shd w:val="clear" w:color="auto" w:fill="D9E2EC"/>
          </w:tcPr>
          <w:p>
            <w:pPr>
              <w:jc w:val="left"/>
            </w:pPr>
            <w:r/>
            <w:r>
              <w:rPr>
                <w:rFonts w:ascii="Cambria" w:hAnsi="Cambria"/>
                <w:b w:val="0"/>
                <w:sz w:val="19"/>
              </w:rPr>
              <w:t>Oversees evaluation of answer scripts (manual/digital)</w:t>
            </w:r>
          </w:p>
        </w:tc>
        <w:tc>
          <w:tcPr>
            <w:tcW w:type="dxa" w:w="3345"/>
            <w:tcW w:w="3345" w:type="dxa"/>
            <w:shd w:val="clear" w:color="auto" w:fill="D9E2EC"/>
          </w:tcPr>
          <w:p>
            <w:pPr>
              <w:jc w:val="center"/>
            </w:pPr>
            <w:r/>
            <w:r>
              <w:rPr>
                <w:rFonts w:ascii="Cambria" w:hAnsi="Cambria"/>
                <w:b w:val="0"/>
                <w:sz w:val="19"/>
              </w:rPr>
              <w:t>Impartial and timely evaluation; accurate grading.</w:t>
            </w:r>
          </w:p>
        </w:tc>
        <w:tc>
          <w:tcPr>
            <w:tcW w:type="dxa" w:w="2948"/>
            <w:tcW w:w="2948" w:type="dxa"/>
            <w:shd w:val="clear" w:color="auto" w:fill="D9E2EC"/>
          </w:tcPr>
          <w:p>
            <w:pPr>
              <w:jc w:val="center"/>
            </w:pPr>
            <w:r/>
            <w:r>
              <w:rPr>
                <w:rFonts w:ascii="Cambria" w:hAnsi="Cambria"/>
                <w:b w:val="0"/>
                <w:sz w:val="19"/>
              </w:rPr>
              <w:t>Evaluation committee reports, digital evaluation logs, mark distribution records.</w:t>
            </w:r>
          </w:p>
        </w:tc>
      </w:tr>
      <w:tr>
        <w:tc>
          <w:tcPr>
            <w:tcW w:type="dxa" w:w="2835"/>
            <w:tcW w:w="2835" w:type="dxa"/>
          </w:tcPr>
          <w:p>
            <w:pPr>
              <w:jc w:val="left"/>
            </w:pPr>
            <w:r/>
            <w:r>
              <w:rPr>
                <w:rFonts w:ascii="Cambria" w:hAnsi="Cambria"/>
                <w:b w:val="0"/>
                <w:sz w:val="19"/>
              </w:rPr>
              <w:t>Publishes results within stipulated timeframe</w:t>
            </w:r>
          </w:p>
        </w:tc>
        <w:tc>
          <w:tcPr>
            <w:tcW w:type="dxa" w:w="3345"/>
            <w:tcW w:w="3345" w:type="dxa"/>
          </w:tcPr>
          <w:p>
            <w:pPr>
              <w:jc w:val="center"/>
            </w:pPr>
            <w:r/>
            <w:r>
              <w:rPr>
                <w:rFonts w:ascii="Cambria" w:hAnsi="Cambria"/>
                <w:b w:val="0"/>
                <w:sz w:val="19"/>
              </w:rPr>
              <w:t>Timely declaration of results; enhanced student trust.</w:t>
            </w:r>
          </w:p>
        </w:tc>
        <w:tc>
          <w:tcPr>
            <w:tcW w:type="dxa" w:w="2948"/>
            <w:tcW w:w="2948" w:type="dxa"/>
          </w:tcPr>
          <w:p>
            <w:pPr>
              <w:jc w:val="center"/>
            </w:pPr>
            <w:r/>
            <w:r>
              <w:rPr>
                <w:rFonts w:ascii="Cambria" w:hAnsi="Cambria"/>
                <w:b w:val="0"/>
                <w:sz w:val="19"/>
              </w:rPr>
              <w:t>Result gazettes, grade sheets, online result publication records.</w:t>
            </w:r>
          </w:p>
        </w:tc>
      </w:tr>
      <w:tr>
        <w:tc>
          <w:tcPr>
            <w:tcW w:type="dxa" w:w="2835"/>
            <w:tcW w:w="2835" w:type="dxa"/>
            <w:shd w:val="clear" w:color="auto" w:fill="D9E2EC"/>
          </w:tcPr>
          <w:p>
            <w:pPr>
              <w:jc w:val="left"/>
            </w:pPr>
            <w:r/>
            <w:r>
              <w:rPr>
                <w:rFonts w:ascii="Cambria" w:hAnsi="Cambria"/>
                <w:b w:val="0"/>
                <w:sz w:val="19"/>
              </w:rPr>
              <w:t>Issues provisional and final certificates</w:t>
            </w:r>
          </w:p>
        </w:tc>
        <w:tc>
          <w:tcPr>
            <w:tcW w:type="dxa" w:w="3345"/>
            <w:tcW w:w="3345" w:type="dxa"/>
            <w:shd w:val="clear" w:color="auto" w:fill="D9E2EC"/>
          </w:tcPr>
          <w:p>
            <w:pPr>
              <w:jc w:val="center"/>
            </w:pPr>
            <w:r/>
            <w:r>
              <w:rPr>
                <w:rFonts w:ascii="Cambria" w:hAnsi="Cambria"/>
                <w:b w:val="0"/>
                <w:sz w:val="19"/>
              </w:rPr>
              <w:t>Students receive valid academic credentials without delay; credibility maintained.</w:t>
            </w:r>
          </w:p>
        </w:tc>
        <w:tc>
          <w:tcPr>
            <w:tcW w:type="dxa" w:w="2948"/>
            <w:tcW w:w="2948" w:type="dxa"/>
            <w:shd w:val="clear" w:color="auto" w:fill="D9E2EC"/>
          </w:tcPr>
          <w:p>
            <w:pPr>
              <w:jc w:val="center"/>
            </w:pPr>
            <w:r/>
            <w:r>
              <w:rPr>
                <w:rFonts w:ascii="Cambria" w:hAnsi="Cambria"/>
                <w:b w:val="0"/>
                <w:sz w:val="19"/>
              </w:rPr>
              <w:t>Provisional and degree certificate registers, convocation records.</w:t>
            </w:r>
          </w:p>
        </w:tc>
      </w:tr>
      <w:tr>
        <w:tc>
          <w:tcPr>
            <w:tcW w:type="dxa" w:w="2835"/>
            <w:tcW w:w="2835" w:type="dxa"/>
          </w:tcPr>
          <w:p>
            <w:pPr>
              <w:jc w:val="left"/>
            </w:pPr>
            <w:r/>
            <w:r>
              <w:rPr>
                <w:rFonts w:ascii="Cambria" w:hAnsi="Cambria"/>
                <w:b w:val="0"/>
                <w:sz w:val="19"/>
              </w:rPr>
              <w:t>Implements exam reforms (OBE, continuous assessment, digital exams)</w:t>
            </w:r>
          </w:p>
        </w:tc>
        <w:tc>
          <w:tcPr>
            <w:tcW w:type="dxa" w:w="3345"/>
            <w:tcW w:w="3345" w:type="dxa"/>
          </w:tcPr>
          <w:p>
            <w:pPr>
              <w:jc w:val="center"/>
            </w:pPr>
            <w:r/>
            <w:r>
              <w:rPr>
                <w:rFonts w:ascii="Cambria" w:hAnsi="Cambria"/>
                <w:b w:val="0"/>
                <w:sz w:val="19"/>
              </w:rPr>
              <w:t>Modernized assessment system aligned with NAAC/NBA/UGC guidelines.</w:t>
            </w:r>
          </w:p>
        </w:tc>
        <w:tc>
          <w:tcPr>
            <w:tcW w:type="dxa" w:w="2948"/>
            <w:tcW w:w="2948" w:type="dxa"/>
          </w:tcPr>
          <w:p>
            <w:pPr>
              <w:jc w:val="center"/>
            </w:pPr>
            <w:r/>
            <w:r>
              <w:rPr>
                <w:rFonts w:ascii="Cambria" w:hAnsi="Cambria"/>
                <w:b w:val="0"/>
                <w:sz w:val="19"/>
              </w:rPr>
              <w:t>Policy circulars, accreditation reports, exam reform documentation.</w:t>
            </w:r>
          </w:p>
        </w:tc>
      </w:tr>
      <w:tr>
        <w:tc>
          <w:tcPr>
            <w:tcW w:type="dxa" w:w="2835"/>
            <w:tcW w:w="2835" w:type="dxa"/>
            <w:shd w:val="clear" w:color="auto" w:fill="D9E2EC"/>
          </w:tcPr>
          <w:p>
            <w:pPr>
              <w:jc w:val="left"/>
            </w:pPr>
            <w:r/>
            <w:r>
              <w:rPr>
                <w:rFonts w:ascii="Cambria" w:hAnsi="Cambria"/>
                <w:b w:val="0"/>
                <w:sz w:val="19"/>
              </w:rPr>
              <w:t>Maintains confidentiality of processes (secure printing, barcoding, digital storage)</w:t>
            </w:r>
          </w:p>
        </w:tc>
        <w:tc>
          <w:tcPr>
            <w:tcW w:type="dxa" w:w="3345"/>
            <w:tcW w:w="3345" w:type="dxa"/>
            <w:shd w:val="clear" w:color="auto" w:fill="D9E2EC"/>
          </w:tcPr>
          <w:p>
            <w:pPr>
              <w:jc w:val="center"/>
            </w:pPr>
            <w:r/>
            <w:r>
              <w:rPr>
                <w:rFonts w:ascii="Cambria" w:hAnsi="Cambria"/>
                <w:b w:val="0"/>
                <w:sz w:val="19"/>
              </w:rPr>
              <w:t>Integrity of examination system preserved; reduced chances of malpractice.</w:t>
            </w:r>
          </w:p>
        </w:tc>
        <w:tc>
          <w:tcPr>
            <w:tcW w:type="dxa" w:w="2948"/>
            <w:tcW w:w="2948" w:type="dxa"/>
            <w:shd w:val="clear" w:color="auto" w:fill="D9E2EC"/>
          </w:tcPr>
          <w:p>
            <w:pPr>
              <w:jc w:val="center"/>
            </w:pPr>
            <w:r/>
            <w:r>
              <w:rPr>
                <w:rFonts w:ascii="Cambria" w:hAnsi="Cambria"/>
                <w:b w:val="0"/>
                <w:sz w:val="19"/>
              </w:rPr>
              <w:t>Confidentiality protocols, barcoding records, IT security audit reports.</w:t>
            </w:r>
          </w:p>
        </w:tc>
      </w:tr>
    </w:tbl>
    <w:p>
      <w:pPr>
        <w:keepNext/>
        <w:spacing w:before="160" w:after="120"/>
      </w:pPr>
      <w:r>
        <w:rPr>
          <w:rFonts w:ascii="Cambria" w:hAnsi="Cambria"/>
          <w:b/>
          <w:color w:val="1F3A5F"/>
          <w:sz w:val="30"/>
        </w:rPr>
        <w:t>3-Year Progress Tracker: Controller of Examinations (CoE)</w:t>
      </w:r>
    </w:p>
    <w:tbl>
      <w:tblPr>
        <w:tblW w:type="auto" w:w="0"/>
        <w:tblLayout w:type="fixed"/>
        <w:tblLook w:firstColumn="1" w:firstRow="1" w:lastColumn="0" w:lastRow="0" w:noHBand="0" w:noVBand="1" w:val="04A0"/>
        <w:tblLayout w:type="fixed"/>
      </w:tblPr>
      <w:tblGrid>
        <w:gridCol w:w="1927"/>
        <w:gridCol w:w="2438"/>
        <w:gridCol w:w="2438"/>
        <w:gridCol w:w="2324"/>
      </w:tblGrid>
      <w:tr>
        <w:tc>
          <w:tcPr>
            <w:tcW w:type="dxa" w:w="1928"/>
            <w:shd w:val="clear" w:color="auto" w:fill="1F3A5F"/>
            <w:tcW w:w="1927" w:type="dxa"/>
          </w:tcPr>
          <w:p>
            <w:pPr>
              <w:jc w:val="center"/>
            </w:pPr>
            <w:r/>
            <w:r>
              <w:rPr>
                <w:rFonts w:ascii="Cambria" w:hAnsi="Cambria"/>
                <w:b/>
                <w:color w:val="FFFFFF"/>
                <w:sz w:val="20"/>
              </w:rPr>
              <w:t>Focus Area</w:t>
            </w:r>
          </w:p>
        </w:tc>
        <w:tc>
          <w:tcPr>
            <w:tcW w:type="dxa" w:w="2438"/>
            <w:shd w:val="clear" w:color="auto" w:fill="1F3A5F"/>
            <w:tcW w:w="2438" w:type="dxa"/>
          </w:tcPr>
          <w:p>
            <w:pPr>
              <w:jc w:val="center"/>
            </w:pPr>
            <w:r/>
            <w:r>
              <w:rPr>
                <w:rFonts w:ascii="Cambria" w:hAnsi="Cambria"/>
                <w:b/>
                <w:color w:val="FFFFFF"/>
                <w:sz w:val="20"/>
              </w:rPr>
              <w:t>Year 1 – Foundation</w:t>
            </w:r>
          </w:p>
        </w:tc>
        <w:tc>
          <w:tcPr>
            <w:tcW w:type="dxa" w:w="2438"/>
            <w:shd w:val="clear" w:color="auto" w:fill="1F3A5F"/>
            <w:tcW w:w="2438" w:type="dxa"/>
          </w:tcPr>
          <w:p>
            <w:pPr>
              <w:jc w:val="center"/>
            </w:pPr>
            <w:r/>
            <w:r>
              <w:rPr>
                <w:rFonts w:ascii="Cambria" w:hAnsi="Cambria"/>
                <w:b/>
                <w:color w:val="FFFFFF"/>
                <w:sz w:val="20"/>
              </w:rPr>
              <w:t>Year 2 – Growth &amp; Consolidation</w:t>
            </w:r>
          </w:p>
        </w:tc>
        <w:tc>
          <w:tcPr>
            <w:tcW w:type="dxa" w:w="2324"/>
            <w:shd w:val="clear" w:color="auto" w:fill="1F3A5F"/>
            <w:tcW w:w="2324" w:type="dxa"/>
          </w:tcPr>
          <w:p>
            <w:pPr>
              <w:jc w:val="center"/>
            </w:pPr>
            <w:r/>
            <w:r>
              <w:rPr>
                <w:rFonts w:ascii="Cambria" w:hAnsi="Cambria"/>
                <w:b/>
                <w:color w:val="FFFFFF"/>
                <w:sz w:val="20"/>
              </w:rPr>
              <w:t>Year 3 – Maturity &amp; Impact</w:t>
            </w:r>
          </w:p>
        </w:tc>
      </w:tr>
      <w:tr>
        <w:tc>
          <w:tcPr>
            <w:tcW w:type="dxa" w:w="1928"/>
            <w:tcW w:w="1927" w:type="dxa"/>
          </w:tcPr>
          <w:p>
            <w:pPr>
              <w:jc w:val="left"/>
            </w:pPr>
            <w:r/>
            <w:r>
              <w:rPr>
                <w:rFonts w:ascii="Cambria" w:hAnsi="Cambria"/>
                <w:b w:val="0"/>
                <w:sz w:val="18"/>
              </w:rPr>
              <w:t>Exam Planning &amp; Scheduling</w:t>
            </w:r>
          </w:p>
        </w:tc>
        <w:tc>
          <w:tcPr>
            <w:tcW w:type="dxa" w:w="2438"/>
            <w:tcW w:w="2438" w:type="dxa"/>
          </w:tcPr>
          <w:p>
            <w:pPr>
              <w:jc w:val="center"/>
            </w:pPr>
            <w:r/>
            <w:r>
              <w:rPr>
                <w:rFonts w:ascii="Cambria" w:hAnsi="Cambria"/>
                <w:b w:val="0"/>
                <w:sz w:val="18"/>
              </w:rPr>
              <w:t>Standardizes timetables and guidelines; centralized scheduling introduced.</w:t>
            </w:r>
          </w:p>
        </w:tc>
        <w:tc>
          <w:tcPr>
            <w:tcW w:type="dxa" w:w="2438"/>
            <w:tcW w:w="2438" w:type="dxa"/>
          </w:tcPr>
          <w:p>
            <w:pPr>
              <w:jc w:val="center"/>
            </w:pPr>
            <w:r/>
            <w:r>
              <w:rPr>
                <w:rFonts w:ascii="Cambria" w:hAnsi="Cambria"/>
                <w:b w:val="0"/>
                <w:sz w:val="18"/>
              </w:rPr>
              <w:t>Automated scheduling through ERP/MIS system.</w:t>
            </w:r>
          </w:p>
        </w:tc>
        <w:tc>
          <w:tcPr>
            <w:tcW w:type="dxa" w:w="2324"/>
            <w:tcW w:w="2324" w:type="dxa"/>
          </w:tcPr>
          <w:p>
            <w:pPr>
              <w:jc w:val="center"/>
            </w:pPr>
            <w:r/>
            <w:r>
              <w:rPr>
                <w:rFonts w:ascii="Cambria" w:hAnsi="Cambria"/>
                <w:b w:val="0"/>
                <w:sz w:val="18"/>
              </w:rPr>
              <w:t>Fully digital, conflict-free scheduling with student/staff dashboards.</w:t>
            </w:r>
          </w:p>
        </w:tc>
      </w:tr>
      <w:tr>
        <w:tc>
          <w:tcPr>
            <w:tcW w:type="dxa" w:w="1928"/>
            <w:tcW w:w="1927" w:type="dxa"/>
            <w:shd w:val="clear" w:color="auto" w:fill="D9E2EC"/>
          </w:tcPr>
          <w:p>
            <w:pPr>
              <w:jc w:val="left"/>
            </w:pPr>
            <w:r/>
            <w:r>
              <w:rPr>
                <w:rFonts w:ascii="Cambria" w:hAnsi="Cambria"/>
                <w:b w:val="0"/>
                <w:sz w:val="18"/>
              </w:rPr>
              <w:t>Confidentiality &amp; Security</w:t>
            </w:r>
          </w:p>
        </w:tc>
        <w:tc>
          <w:tcPr>
            <w:tcW w:type="dxa" w:w="2438"/>
            <w:tcW w:w="2438" w:type="dxa"/>
            <w:shd w:val="clear" w:color="auto" w:fill="D9E2EC"/>
          </w:tcPr>
          <w:p>
            <w:pPr>
              <w:jc w:val="center"/>
            </w:pPr>
            <w:r/>
            <w:r>
              <w:rPr>
                <w:rFonts w:ascii="Cambria" w:hAnsi="Cambria"/>
                <w:b w:val="0"/>
                <w:sz w:val="18"/>
              </w:rPr>
              <w:t>Introduces sealed paper-setting process; strengthens invigilation rules.</w:t>
            </w:r>
          </w:p>
        </w:tc>
        <w:tc>
          <w:tcPr>
            <w:tcW w:type="dxa" w:w="2438"/>
            <w:tcW w:w="2438" w:type="dxa"/>
            <w:shd w:val="clear" w:color="auto" w:fill="D9E2EC"/>
          </w:tcPr>
          <w:p>
            <w:pPr>
              <w:jc w:val="center"/>
            </w:pPr>
            <w:r/>
            <w:r>
              <w:rPr>
                <w:rFonts w:ascii="Cambria" w:hAnsi="Cambria"/>
                <w:b w:val="0"/>
                <w:sz w:val="18"/>
              </w:rPr>
              <w:t>Barcoding of answer scripts; limited digital evaluation trials.</w:t>
            </w:r>
          </w:p>
        </w:tc>
        <w:tc>
          <w:tcPr>
            <w:tcW w:type="dxa" w:w="2324"/>
            <w:tcW w:w="2324" w:type="dxa"/>
            <w:shd w:val="clear" w:color="auto" w:fill="D9E2EC"/>
          </w:tcPr>
          <w:p>
            <w:pPr>
              <w:jc w:val="center"/>
            </w:pPr>
            <w:r/>
            <w:r>
              <w:rPr>
                <w:rFonts w:ascii="Cambria" w:hAnsi="Cambria"/>
                <w:b w:val="0"/>
                <w:sz w:val="18"/>
              </w:rPr>
              <w:t>End-to-end digital exam security with encryption, CCTV, and biometric authentication.</w:t>
            </w:r>
          </w:p>
        </w:tc>
      </w:tr>
      <w:tr>
        <w:tc>
          <w:tcPr>
            <w:tcW w:type="dxa" w:w="1928"/>
            <w:tcW w:w="1927" w:type="dxa"/>
          </w:tcPr>
          <w:p>
            <w:pPr>
              <w:jc w:val="left"/>
            </w:pPr>
            <w:r/>
            <w:r>
              <w:rPr>
                <w:rFonts w:ascii="Cambria" w:hAnsi="Cambria"/>
                <w:b w:val="0"/>
                <w:sz w:val="18"/>
              </w:rPr>
              <w:t>Evaluation Process</w:t>
            </w:r>
          </w:p>
        </w:tc>
        <w:tc>
          <w:tcPr>
            <w:tcW w:type="dxa" w:w="2438"/>
            <w:tcW w:w="2438" w:type="dxa"/>
          </w:tcPr>
          <w:p>
            <w:pPr>
              <w:jc w:val="center"/>
            </w:pPr>
            <w:r/>
            <w:r>
              <w:rPr>
                <w:rFonts w:ascii="Cambria" w:hAnsi="Cambria"/>
                <w:b w:val="0"/>
                <w:sz w:val="18"/>
              </w:rPr>
              <w:t>Manual evaluation with moderation; initial faculty training in digital assessment.</w:t>
            </w:r>
          </w:p>
        </w:tc>
        <w:tc>
          <w:tcPr>
            <w:tcW w:type="dxa" w:w="2438"/>
            <w:tcW w:w="2438" w:type="dxa"/>
          </w:tcPr>
          <w:p>
            <w:pPr>
              <w:jc w:val="center"/>
            </w:pPr>
            <w:r/>
            <w:r>
              <w:rPr>
                <w:rFonts w:ascii="Cambria" w:hAnsi="Cambria"/>
                <w:b w:val="0"/>
                <w:sz w:val="18"/>
              </w:rPr>
              <w:t>Hybrid evaluation (manual + digital scanning) implemented; plagiarism checks for theses.</w:t>
            </w:r>
          </w:p>
        </w:tc>
        <w:tc>
          <w:tcPr>
            <w:tcW w:type="dxa" w:w="2324"/>
            <w:tcW w:w="2324" w:type="dxa"/>
          </w:tcPr>
          <w:p>
            <w:pPr>
              <w:jc w:val="center"/>
            </w:pPr>
            <w:r/>
            <w:r>
              <w:rPr>
                <w:rFonts w:ascii="Cambria" w:hAnsi="Cambria"/>
                <w:b w:val="0"/>
                <w:sz w:val="18"/>
              </w:rPr>
              <w:t>Fully digital evaluation system across departments; transparent grading with audit trails.</w:t>
            </w:r>
          </w:p>
        </w:tc>
      </w:tr>
      <w:tr>
        <w:tc>
          <w:tcPr>
            <w:tcW w:type="dxa" w:w="1928"/>
            <w:tcW w:w="1927" w:type="dxa"/>
            <w:shd w:val="clear" w:color="auto" w:fill="D9E2EC"/>
          </w:tcPr>
          <w:p>
            <w:pPr>
              <w:jc w:val="left"/>
            </w:pPr>
            <w:r/>
            <w:r>
              <w:rPr>
                <w:rFonts w:ascii="Cambria" w:hAnsi="Cambria"/>
                <w:b w:val="0"/>
                <w:sz w:val="18"/>
              </w:rPr>
              <w:t>Result Processing</w:t>
            </w:r>
          </w:p>
        </w:tc>
        <w:tc>
          <w:tcPr>
            <w:tcW w:type="dxa" w:w="2438"/>
            <w:tcW w:w="2438" w:type="dxa"/>
            <w:shd w:val="clear" w:color="auto" w:fill="D9E2EC"/>
          </w:tcPr>
          <w:p>
            <w:pPr>
              <w:jc w:val="center"/>
            </w:pPr>
            <w:r/>
            <w:r>
              <w:rPr>
                <w:rFonts w:ascii="Cambria" w:hAnsi="Cambria"/>
                <w:b w:val="0"/>
                <w:sz w:val="18"/>
              </w:rPr>
              <w:t>Result publication timeline improved (within 45 days).</w:t>
            </w:r>
          </w:p>
        </w:tc>
        <w:tc>
          <w:tcPr>
            <w:tcW w:type="dxa" w:w="2438"/>
            <w:tcW w:w="2438" w:type="dxa"/>
            <w:shd w:val="clear" w:color="auto" w:fill="D9E2EC"/>
          </w:tcPr>
          <w:p>
            <w:pPr>
              <w:jc w:val="center"/>
            </w:pPr>
            <w:r/>
            <w:r>
              <w:rPr>
                <w:rFonts w:ascii="Cambria" w:hAnsi="Cambria"/>
                <w:b w:val="0"/>
                <w:sz w:val="18"/>
              </w:rPr>
              <w:t>Online result declaration with grievance redressal cell.</w:t>
            </w:r>
          </w:p>
        </w:tc>
        <w:tc>
          <w:tcPr>
            <w:tcW w:type="dxa" w:w="2324"/>
            <w:tcW w:w="2324" w:type="dxa"/>
            <w:shd w:val="clear" w:color="auto" w:fill="D9E2EC"/>
          </w:tcPr>
          <w:p>
            <w:pPr>
              <w:jc w:val="center"/>
            </w:pPr>
            <w:r/>
            <w:r>
              <w:rPr>
                <w:rFonts w:ascii="Cambria" w:hAnsi="Cambria"/>
                <w:b w:val="0"/>
                <w:sz w:val="18"/>
              </w:rPr>
              <w:t>Results declared within 15–20 days; integrated with national databases (ABC/MEES).</w:t>
            </w:r>
          </w:p>
        </w:tc>
      </w:tr>
      <w:tr>
        <w:tc>
          <w:tcPr>
            <w:tcW w:type="dxa" w:w="1928"/>
            <w:tcW w:w="1927" w:type="dxa"/>
          </w:tcPr>
          <w:p>
            <w:pPr>
              <w:jc w:val="left"/>
            </w:pPr>
            <w:r/>
            <w:r>
              <w:rPr>
                <w:rFonts w:ascii="Cambria" w:hAnsi="Cambria"/>
                <w:b w:val="0"/>
                <w:sz w:val="18"/>
              </w:rPr>
              <w:t>Certification</w:t>
            </w:r>
          </w:p>
        </w:tc>
        <w:tc>
          <w:tcPr>
            <w:tcW w:type="dxa" w:w="2438"/>
            <w:tcW w:w="2438" w:type="dxa"/>
          </w:tcPr>
          <w:p>
            <w:pPr>
              <w:jc w:val="center"/>
            </w:pPr>
            <w:r/>
            <w:r>
              <w:rPr>
                <w:rFonts w:ascii="Cambria" w:hAnsi="Cambria"/>
                <w:b w:val="0"/>
                <w:sz w:val="18"/>
              </w:rPr>
              <w:t>Streamlined provisional certificate issuance.</w:t>
            </w:r>
          </w:p>
        </w:tc>
        <w:tc>
          <w:tcPr>
            <w:tcW w:type="dxa" w:w="2438"/>
            <w:tcW w:w="2438" w:type="dxa"/>
          </w:tcPr>
          <w:p>
            <w:pPr>
              <w:jc w:val="center"/>
            </w:pPr>
            <w:r/>
            <w:r>
              <w:rPr>
                <w:rFonts w:ascii="Cambria" w:hAnsi="Cambria"/>
                <w:b w:val="0"/>
                <w:sz w:val="18"/>
              </w:rPr>
              <w:t>QR-coded digital certificates introduced.</w:t>
            </w:r>
          </w:p>
        </w:tc>
        <w:tc>
          <w:tcPr>
            <w:tcW w:type="dxa" w:w="2324"/>
            <w:tcW w:w="2324" w:type="dxa"/>
          </w:tcPr>
          <w:p>
            <w:pPr>
              <w:jc w:val="center"/>
            </w:pPr>
            <w:r/>
            <w:r>
              <w:rPr>
                <w:rFonts w:ascii="Cambria" w:hAnsi="Cambria"/>
                <w:b w:val="0"/>
                <w:sz w:val="18"/>
              </w:rPr>
              <w:t>Blockchain-enabled degree verification system adopted.</w:t>
            </w:r>
          </w:p>
        </w:tc>
      </w:tr>
      <w:tr>
        <w:tc>
          <w:tcPr>
            <w:tcW w:type="dxa" w:w="1928"/>
            <w:tcW w:w="1927" w:type="dxa"/>
            <w:shd w:val="clear" w:color="auto" w:fill="D9E2EC"/>
          </w:tcPr>
          <w:p>
            <w:pPr>
              <w:jc w:val="left"/>
            </w:pPr>
            <w:r/>
            <w:r>
              <w:rPr>
                <w:rFonts w:ascii="Cambria" w:hAnsi="Cambria"/>
                <w:b w:val="0"/>
                <w:sz w:val="18"/>
              </w:rPr>
              <w:t>Exam Reforms</w:t>
            </w:r>
          </w:p>
        </w:tc>
        <w:tc>
          <w:tcPr>
            <w:tcW w:type="dxa" w:w="2438"/>
            <w:tcW w:w="2438" w:type="dxa"/>
            <w:shd w:val="clear" w:color="auto" w:fill="D9E2EC"/>
          </w:tcPr>
          <w:p>
            <w:pPr>
              <w:jc w:val="center"/>
            </w:pPr>
            <w:r/>
            <w:r>
              <w:rPr>
                <w:rFonts w:ascii="Cambria" w:hAnsi="Cambria"/>
                <w:b w:val="0"/>
                <w:sz w:val="18"/>
              </w:rPr>
              <w:t>Gap analysis of current practices vs. NAAC/NBA/UGC norms.</w:t>
            </w:r>
          </w:p>
        </w:tc>
        <w:tc>
          <w:tcPr>
            <w:tcW w:type="dxa" w:w="2438"/>
            <w:tcW w:w="2438" w:type="dxa"/>
            <w:shd w:val="clear" w:color="auto" w:fill="D9E2EC"/>
          </w:tcPr>
          <w:p>
            <w:pPr>
              <w:jc w:val="center"/>
            </w:pPr>
            <w:r/>
            <w:r>
              <w:rPr>
                <w:rFonts w:ascii="Cambria" w:hAnsi="Cambria"/>
                <w:b w:val="0"/>
                <w:sz w:val="18"/>
              </w:rPr>
              <w:t>Outcome-Based Education (OBE) integrated into exam pattern.</w:t>
            </w:r>
          </w:p>
        </w:tc>
        <w:tc>
          <w:tcPr>
            <w:tcW w:type="dxa" w:w="2324"/>
            <w:tcW w:w="2324" w:type="dxa"/>
            <w:shd w:val="clear" w:color="auto" w:fill="D9E2EC"/>
          </w:tcPr>
          <w:p>
            <w:pPr>
              <w:jc w:val="center"/>
            </w:pPr>
            <w:r/>
            <w:r>
              <w:rPr>
                <w:rFonts w:ascii="Cambria" w:hAnsi="Cambria"/>
                <w:b w:val="0"/>
                <w:sz w:val="18"/>
              </w:rPr>
              <w:t>Continuous internal assessment and competency-based evaluations fully implemented.</w:t>
            </w:r>
          </w:p>
        </w:tc>
      </w:tr>
      <w:tr>
        <w:tc>
          <w:tcPr>
            <w:tcW w:type="dxa" w:w="1928"/>
            <w:tcW w:w="1927" w:type="dxa"/>
          </w:tcPr>
          <w:p>
            <w:pPr>
              <w:jc w:val="left"/>
            </w:pPr>
            <w:r/>
            <w:r>
              <w:rPr>
                <w:rFonts w:ascii="Cambria" w:hAnsi="Cambria"/>
                <w:b w:val="0"/>
                <w:sz w:val="18"/>
              </w:rPr>
              <w:t>Stakeholder Confidence</w:t>
            </w:r>
          </w:p>
        </w:tc>
        <w:tc>
          <w:tcPr>
            <w:tcW w:type="dxa" w:w="2438"/>
            <w:tcW w:w="2438" w:type="dxa"/>
          </w:tcPr>
          <w:p>
            <w:pPr>
              <w:jc w:val="center"/>
            </w:pPr>
            <w:r/>
            <w:r>
              <w:rPr>
                <w:rFonts w:ascii="Cambria" w:hAnsi="Cambria"/>
                <w:b w:val="0"/>
                <w:sz w:val="18"/>
              </w:rPr>
              <w:t>Student satisfaction baseline survey conducted.</w:t>
            </w:r>
          </w:p>
        </w:tc>
        <w:tc>
          <w:tcPr>
            <w:tcW w:type="dxa" w:w="2438"/>
            <w:tcW w:w="2438" w:type="dxa"/>
          </w:tcPr>
          <w:p>
            <w:pPr>
              <w:jc w:val="center"/>
            </w:pPr>
            <w:r/>
            <w:r>
              <w:rPr>
                <w:rFonts w:ascii="Cambria" w:hAnsi="Cambria"/>
                <w:b w:val="0"/>
                <w:sz w:val="18"/>
              </w:rPr>
              <w:t>10–15% improvement in exam-related satisfaction levels.</w:t>
            </w:r>
          </w:p>
        </w:tc>
        <w:tc>
          <w:tcPr>
            <w:tcW w:type="dxa" w:w="2324"/>
            <w:tcW w:w="2324" w:type="dxa"/>
          </w:tcPr>
          <w:p>
            <w:pPr>
              <w:jc w:val="center"/>
            </w:pPr>
            <w:r/>
            <w:r>
              <w:rPr>
                <w:rFonts w:ascii="Cambria" w:hAnsi="Cambria"/>
                <w:b w:val="0"/>
                <w:sz w:val="18"/>
              </w:rPr>
              <w:t>90%+ satisfaction achieved; exam credibility recognized in accreditation cycles.</w:t>
            </w:r>
          </w:p>
        </w:tc>
      </w:tr>
    </w:tbl>
    <w:p>
      <w:r>
        <w:br w:type="page"/>
      </w:r>
    </w:p>
    <w:p>
      <w:pPr>
        <w:keepNext/>
        <w:spacing w:before="240" w:after="120"/>
      </w:pPr>
      <w:r>
        <w:rPr>
          <w:rFonts w:ascii="Cambria" w:hAnsi="Cambria"/>
          <w:b/>
          <w:color w:val="1F3A5F"/>
          <w:sz w:val="36"/>
        </w:rPr>
        <w:t>8. Finance Officer</w:t>
      </w:r>
    </w:p>
    <w:p>
      <w:pPr>
        <w:jc w:val="both"/>
      </w:pPr>
      <w:r>
        <w:rPr>
          <w:rFonts w:ascii="Cambria" w:hAnsi="Cambria"/>
          <w:b w:val="0"/>
          <w:i w:val="0"/>
          <w:sz w:val="22"/>
        </w:rPr>
        <w:t>The Finance Officer (FO) is a core administrative officer in a university entrusted with the responsibility of managing the institution's financial health, ensuring both operational efficiency and long-term sustainability. As the custodian of financial affairs, the FO oversees all accounting functions, including budgeting, payrolls, grants, scholarships, and fund disbursement, while maintaining compliance with statutory audit requirements and institutional policies. The Finance Officer works in close coordination with the Vice-Chancellor, Registrar, Governing Body, and Finance Committee to prepare annual budgets, monitor expenditure, and ensure that all financial transactions align with the university's strategic objectives.</w:t>
      </w:r>
    </w:p>
    <w:p>
      <w:pPr>
        <w:jc w:val="both"/>
      </w:pPr>
      <w:r>
        <w:rPr>
          <w:rFonts w:ascii="Cambria" w:hAnsi="Cambria"/>
          <w:b w:val="0"/>
          <w:i w:val="0"/>
          <w:sz w:val="22"/>
        </w:rPr>
        <w:t>One of the primary duties of the Finance Officer is to ensure financial accountability and transparency. This involves maintaining accurate records of income and expenditure, ensuring timely payment of salaries and benefits, and managing student fee collections. The FO also oversees the allocation of research grants, consultancy funds, and alumni endowments, ensuring that resources are utilized effectively for teaching, research, and infrastructure development. By coordinating internal and external audits, the FO safeguards compliance with government regulations, UGC guidelines, and institutional statutes, thereby reinforcing financial integrity.</w:t>
      </w:r>
    </w:p>
    <w:p>
      <w:pPr>
        <w:jc w:val="both"/>
      </w:pPr>
      <w:r>
        <w:rPr>
          <w:rFonts w:ascii="Cambria" w:hAnsi="Cambria"/>
          <w:b w:val="0"/>
          <w:i w:val="0"/>
          <w:sz w:val="22"/>
        </w:rPr>
        <w:t>Another significant responsibility of the Finance Officer is to contribute to long-term financial sustainability. This includes developing financial strategies that optimize resource mobilization, diversify revenue streams, and reduce dependency on a single funding source. The FO actively engages in financial planning for new projects, infrastructural expansions, and digital transformation initiatives, ensuring that investments align with the university's vision. By forecasting financial trends, managing risks, and ensuring prudent use of funds, the FO plays a critical role in maintaining institutional stability.</w:t>
      </w:r>
    </w:p>
    <w:p>
      <w:pPr>
        <w:jc w:val="both"/>
      </w:pPr>
      <w:r>
        <w:rPr>
          <w:rFonts w:ascii="Cambria" w:hAnsi="Cambria"/>
          <w:b w:val="0"/>
          <w:i w:val="0"/>
          <w:sz w:val="22"/>
        </w:rPr>
        <w:t>In modern higher education systems, the Finance Officer also has to adapt to digital governance. This includes implementing Enterprise Resource Planning (ERP) systems for finance, promoting e-payments, and ensuring cybersecurity in financial data management. By integrating technology, the FO enhances efficiency, reduces errors, and provides transparent access to financial records for stakeholders.</w:t>
      </w:r>
    </w:p>
    <w:p>
      <w:pPr>
        <w:jc w:val="both"/>
      </w:pPr>
      <w:r>
        <w:rPr>
          <w:rFonts w:ascii="Cambria" w:hAnsi="Cambria"/>
          <w:b w:val="0"/>
          <w:i w:val="0"/>
          <w:sz w:val="22"/>
        </w:rPr>
        <w:t>In summary, the Finance Officer serves as the financial guardian of the university, ensuring efficient management of accounts, payrolls, grants, and audits, while promoting accountability, transparency, and long-term sustainability. The role is not only administrative but also strategic, as the FO enables the university to pursue its academic, research, and social missions on a strong financial foundation.</w:t>
      </w:r>
    </w:p>
    <w:p>
      <w:pPr>
        <w:pStyle w:val="ListBullet"/>
        <w:jc w:val="both"/>
      </w:pPr>
      <w:r>
        <w:rPr>
          <w:rFonts w:ascii="Cambria" w:hAnsi="Cambria"/>
          <w:sz w:val="22"/>
        </w:rPr>
        <w:t>1. Core Responsibilities</w:t>
      </w:r>
    </w:p>
    <w:p>
      <w:pPr>
        <w:pStyle w:val="ListBullet2"/>
        <w:jc w:val="both"/>
      </w:pPr>
      <w:r>
        <w:rPr>
          <w:rFonts w:ascii="Cambria" w:hAnsi="Cambria"/>
          <w:sz w:val="22"/>
        </w:rPr>
        <w:t>Accounts &amp; Payroll Management</w:t>
      </w:r>
    </w:p>
    <w:p>
      <w:pPr>
        <w:pStyle w:val="ListBullet"/>
        <w:jc w:val="both"/>
      </w:pPr>
      <w:r>
        <w:rPr>
          <w:rFonts w:ascii="Cambria" w:hAnsi="Cambria"/>
          <w:sz w:val="22"/>
        </w:rPr>
        <w:t>Maintains accurate records of income, expenditure, assets, and liabilities.</w:t>
      </w:r>
    </w:p>
    <w:p>
      <w:pPr>
        <w:pStyle w:val="ListBullet"/>
        <w:jc w:val="both"/>
      </w:pPr>
      <w:r>
        <w:rPr>
          <w:rFonts w:ascii="Cambria" w:hAnsi="Cambria"/>
          <w:sz w:val="22"/>
        </w:rPr>
        <w:t>Ensures timely disbursement of staff salaries, pensions, and student scholarships.</w:t>
      </w:r>
    </w:p>
    <w:p>
      <w:pPr>
        <w:pStyle w:val="ListBullet2"/>
        <w:jc w:val="both"/>
      </w:pPr>
      <w:r>
        <w:rPr>
          <w:rFonts w:ascii="Cambria" w:hAnsi="Cambria"/>
          <w:sz w:val="22"/>
        </w:rPr>
        <w:t>Budgeting &amp; Resource Allocation</w:t>
      </w:r>
    </w:p>
    <w:p>
      <w:pPr>
        <w:pStyle w:val="ListBullet"/>
        <w:jc w:val="both"/>
      </w:pPr>
      <w:r>
        <w:rPr>
          <w:rFonts w:ascii="Cambria" w:hAnsi="Cambria"/>
          <w:sz w:val="22"/>
        </w:rPr>
        <w:t>Prepares annual budgets in consultation with departments and the Finance Committee.</w:t>
      </w:r>
    </w:p>
    <w:p>
      <w:pPr>
        <w:pStyle w:val="ListBullet"/>
        <w:jc w:val="both"/>
      </w:pPr>
      <w:r>
        <w:rPr>
          <w:rFonts w:ascii="Cambria" w:hAnsi="Cambria"/>
          <w:sz w:val="22"/>
        </w:rPr>
        <w:t>Allocates funds for teaching, research, infrastructure, and student support.</w:t>
      </w:r>
    </w:p>
    <w:p>
      <w:pPr>
        <w:pStyle w:val="ListBullet2"/>
        <w:jc w:val="both"/>
      </w:pPr>
      <w:r>
        <w:rPr>
          <w:rFonts w:ascii="Cambria" w:hAnsi="Cambria"/>
          <w:sz w:val="22"/>
        </w:rPr>
        <w:t>Audit &amp; Compliance</w:t>
      </w:r>
    </w:p>
    <w:p>
      <w:pPr>
        <w:pStyle w:val="ListBullet"/>
        <w:jc w:val="both"/>
      </w:pPr>
      <w:r>
        <w:rPr>
          <w:rFonts w:ascii="Cambria" w:hAnsi="Cambria"/>
          <w:sz w:val="22"/>
        </w:rPr>
        <w:t>Coordinates internal and external audits to ensure compliance with UGC, government, and statutory financial regulations.</w:t>
      </w:r>
    </w:p>
    <w:p>
      <w:pPr>
        <w:pStyle w:val="ListBullet"/>
        <w:jc w:val="both"/>
      </w:pPr>
      <w:r>
        <w:rPr>
          <w:rFonts w:ascii="Cambria" w:hAnsi="Cambria"/>
          <w:sz w:val="22"/>
        </w:rPr>
        <w:t>Implements financial controls to prevent irregularities.</w:t>
      </w:r>
    </w:p>
    <w:p>
      <w:pPr>
        <w:pStyle w:val="ListBullet2"/>
        <w:jc w:val="both"/>
      </w:pPr>
      <w:r>
        <w:rPr>
          <w:rFonts w:ascii="Cambria" w:hAnsi="Cambria"/>
          <w:sz w:val="22"/>
        </w:rPr>
        <w:t>Grants &amp; Endowments</w:t>
      </w:r>
    </w:p>
    <w:p>
      <w:pPr>
        <w:pStyle w:val="ListBullet"/>
        <w:jc w:val="both"/>
      </w:pPr>
      <w:r>
        <w:rPr>
          <w:rFonts w:ascii="Cambria" w:hAnsi="Cambria"/>
          <w:sz w:val="22"/>
        </w:rPr>
        <w:t>Administers government grants, research project funds, consultancy revenues, and alumni contributions.</w:t>
      </w:r>
    </w:p>
    <w:p>
      <w:pPr>
        <w:pStyle w:val="ListBullet"/>
        <w:jc w:val="both"/>
      </w:pPr>
      <w:r>
        <w:rPr>
          <w:rFonts w:ascii="Cambria" w:hAnsi="Cambria"/>
          <w:sz w:val="22"/>
        </w:rPr>
        <w:t>Ensures efficient utilization and timely reporting of fund usage.</w:t>
      </w:r>
    </w:p>
    <w:p>
      <w:pPr>
        <w:pStyle w:val="ListBullet2"/>
        <w:jc w:val="both"/>
      </w:pPr>
      <w:r>
        <w:rPr>
          <w:rFonts w:ascii="Cambria" w:hAnsi="Cambria"/>
          <w:sz w:val="22"/>
        </w:rPr>
        <w:t>Financial Sustainability</w:t>
      </w:r>
    </w:p>
    <w:p>
      <w:pPr>
        <w:pStyle w:val="ListBullet"/>
        <w:jc w:val="both"/>
      </w:pPr>
      <w:r>
        <w:rPr>
          <w:rFonts w:ascii="Cambria" w:hAnsi="Cambria"/>
          <w:sz w:val="22"/>
        </w:rPr>
        <w:t>Develops strategies to diversify revenue streams and reduce dependency on a single funding source.</w:t>
      </w:r>
    </w:p>
    <w:p>
      <w:pPr>
        <w:pStyle w:val="ListBullet"/>
        <w:jc w:val="both"/>
      </w:pPr>
      <w:r>
        <w:rPr>
          <w:rFonts w:ascii="Cambria" w:hAnsi="Cambria"/>
          <w:sz w:val="22"/>
        </w:rPr>
        <w:t>Advises the Governing Body on financial risks, investment opportunities, and resource mobilization.</w:t>
      </w:r>
    </w:p>
    <w:p>
      <w:pPr>
        <w:pStyle w:val="ListBullet"/>
        <w:jc w:val="both"/>
      </w:pPr>
      <w:r>
        <w:rPr>
          <w:rFonts w:ascii="Cambria" w:hAnsi="Cambria"/>
          <w:sz w:val="22"/>
        </w:rPr>
        <w:t>2. Strategic Role in University Governance</w:t>
      </w:r>
    </w:p>
    <w:p>
      <w:pPr>
        <w:pStyle w:val="ListBullet2"/>
        <w:jc w:val="both"/>
      </w:pPr>
      <w:r>
        <w:rPr>
          <w:rFonts w:ascii="Cambria" w:hAnsi="Cambria"/>
          <w:sz w:val="22"/>
        </w:rPr>
        <w:t>Works closely with the Vice-Chancellor to align financial planning with the university's vision and strategic plan.</w:t>
      </w:r>
    </w:p>
    <w:p>
      <w:pPr>
        <w:pStyle w:val="ListBullet2"/>
        <w:jc w:val="both"/>
      </w:pPr>
      <w:r>
        <w:rPr>
          <w:rFonts w:ascii="Cambria" w:hAnsi="Cambria"/>
          <w:sz w:val="22"/>
        </w:rPr>
        <w:t>Ensures funding availability for academic expansion, research initiatives, and digital transformation projects.</w:t>
      </w:r>
    </w:p>
    <w:p>
      <w:pPr>
        <w:pStyle w:val="ListBullet2"/>
        <w:jc w:val="both"/>
      </w:pPr>
      <w:r>
        <w:rPr>
          <w:rFonts w:ascii="Cambria" w:hAnsi="Cambria"/>
          <w:sz w:val="22"/>
        </w:rPr>
        <w:t>Strengthens institutional resilience through prudent financial forecasting and risk management.</w:t>
      </w:r>
    </w:p>
    <w:p>
      <w:pPr>
        <w:pStyle w:val="ListBullet"/>
        <w:jc w:val="both"/>
      </w:pPr>
      <w:r>
        <w:rPr>
          <w:rFonts w:ascii="Cambria" w:hAnsi="Cambria"/>
          <w:sz w:val="22"/>
        </w:rPr>
        <w:t>3. Digital and Modern Finance Practices</w:t>
      </w:r>
    </w:p>
    <w:p>
      <w:pPr>
        <w:pStyle w:val="ListBullet2"/>
        <w:jc w:val="both"/>
      </w:pPr>
      <w:r>
        <w:rPr>
          <w:rFonts w:ascii="Cambria" w:hAnsi="Cambria"/>
          <w:sz w:val="22"/>
        </w:rPr>
        <w:t>Implements ERP systems and e-payment platforms for transparent, real-time financial management.</w:t>
      </w:r>
    </w:p>
    <w:p>
      <w:pPr>
        <w:pStyle w:val="ListBullet2"/>
        <w:jc w:val="both"/>
      </w:pPr>
      <w:r>
        <w:rPr>
          <w:rFonts w:ascii="Cambria" w:hAnsi="Cambria"/>
          <w:sz w:val="22"/>
        </w:rPr>
        <w:t>Promotes digital governance by integrating finance with student management and HR systems.</w:t>
      </w:r>
    </w:p>
    <w:p>
      <w:pPr>
        <w:pStyle w:val="ListBullet2"/>
        <w:jc w:val="both"/>
      </w:pPr>
      <w:r>
        <w:rPr>
          <w:rFonts w:ascii="Cambria" w:hAnsi="Cambria"/>
          <w:sz w:val="22"/>
        </w:rPr>
        <w:t>Ensures cybersecurity in financial transactions and data handling.</w:t>
      </w:r>
    </w:p>
    <w:p>
      <w:pPr>
        <w:pStyle w:val="ListBullet"/>
        <w:jc w:val="both"/>
      </w:pPr>
      <w:r>
        <w:rPr>
          <w:rFonts w:ascii="Cambria" w:hAnsi="Cambria"/>
          <w:sz w:val="22"/>
        </w:rPr>
        <w:t>4. Qualities of an Effective Finance Officer</w:t>
      </w:r>
    </w:p>
    <w:p>
      <w:pPr>
        <w:pStyle w:val="ListBullet2"/>
        <w:jc w:val="both"/>
      </w:pPr>
      <w:r>
        <w:rPr>
          <w:rFonts w:ascii="Cambria" w:hAnsi="Cambria"/>
          <w:sz w:val="22"/>
        </w:rPr>
        <w:t>Strong knowledge of accounting, auditing, and higher education finance regulations.</w:t>
      </w:r>
    </w:p>
    <w:p>
      <w:pPr>
        <w:pStyle w:val="ListBullet2"/>
        <w:jc w:val="both"/>
      </w:pPr>
      <w:r>
        <w:rPr>
          <w:rFonts w:ascii="Cambria" w:hAnsi="Cambria"/>
          <w:sz w:val="22"/>
        </w:rPr>
        <w:t>Integrity, impartiality, and a commitment to transparency.</w:t>
      </w:r>
    </w:p>
    <w:p>
      <w:pPr>
        <w:pStyle w:val="ListBullet2"/>
        <w:jc w:val="both"/>
      </w:pPr>
      <w:r>
        <w:rPr>
          <w:rFonts w:ascii="Cambria" w:hAnsi="Cambria"/>
          <w:sz w:val="22"/>
        </w:rPr>
        <w:t>Strategic foresight to balance short-term operations with long-term sustainability.</w:t>
      </w:r>
    </w:p>
    <w:p>
      <w:pPr>
        <w:pStyle w:val="ListBullet2"/>
        <w:jc w:val="both"/>
      </w:pPr>
      <w:r>
        <w:rPr>
          <w:rFonts w:ascii="Cambria" w:hAnsi="Cambria"/>
          <w:sz w:val="22"/>
        </w:rPr>
        <w:t>Ability to engage effectively with stakeholders including faculty, staff, students, auditors, and regulators.</w:t>
      </w:r>
    </w:p>
    <w:p>
      <w:pPr>
        <w:pStyle w:val="ListBullet"/>
        <w:jc w:val="both"/>
      </w:pPr>
      <w:r>
        <w:rPr>
          <w:rFonts w:ascii="Cambria" w:hAnsi="Cambria"/>
          <w:sz w:val="22"/>
        </w:rPr>
        <w:t>5. Significance of the Role</w:t>
      </w:r>
    </w:p>
    <w:p>
      <w:pPr>
        <w:pStyle w:val="ListBullet2"/>
        <w:jc w:val="both"/>
      </w:pPr>
      <w:r>
        <w:rPr>
          <w:rFonts w:ascii="Cambria" w:hAnsi="Cambria"/>
          <w:sz w:val="22"/>
        </w:rPr>
        <w:t>Acts as the financial guardian of the university, ensuring that resources are used responsibly and effectively.</w:t>
      </w:r>
    </w:p>
    <w:p>
      <w:pPr>
        <w:pStyle w:val="ListBullet2"/>
        <w:jc w:val="both"/>
      </w:pPr>
      <w:r>
        <w:rPr>
          <w:rFonts w:ascii="Cambria" w:hAnsi="Cambria"/>
          <w:sz w:val="22"/>
        </w:rPr>
        <w:t>Supports accreditation and ranking efforts by providing financial data for NAAC, NBA, NIRF, and QS frameworks.</w:t>
      </w:r>
    </w:p>
    <w:p>
      <w:pPr>
        <w:pStyle w:val="ListBullet2"/>
        <w:jc w:val="both"/>
      </w:pPr>
      <w:r>
        <w:rPr>
          <w:rFonts w:ascii="Cambria" w:hAnsi="Cambria"/>
          <w:sz w:val="22"/>
        </w:rPr>
        <w:t>Plays a key role in enabling the university to achieve its academic mission without compromising fiscal stability.</w:t>
      </w:r>
    </w:p>
    <w:p>
      <w:pPr>
        <w:keepNext/>
        <w:spacing w:before="160" w:after="120"/>
      </w:pPr>
      <w:r>
        <w:rPr>
          <w:rFonts w:ascii="Cambria" w:hAnsi="Cambria"/>
          <w:b/>
          <w:color w:val="1F3A5F"/>
          <w:sz w:val="30"/>
        </w:rPr>
        <w:t>Finance Officer (FO)</w:t>
      </w:r>
    </w:p>
    <w:tbl>
      <w:tblPr>
        <w:tblW w:type="auto" w:w="0"/>
        <w:tblLayout w:type="fixed"/>
        <w:tblLook w:firstColumn="1" w:firstRow="1" w:lastColumn="0" w:lastRow="0" w:noHBand="0" w:noVBand="1" w:val="04A0"/>
        <w:tblLayout w:type="fixed"/>
      </w:tblPr>
      <w:tblGrid>
        <w:gridCol w:w="2835"/>
        <w:gridCol w:w="3345"/>
        <w:gridCol w:w="2948"/>
      </w:tblGrid>
      <w:tr>
        <w:tc>
          <w:tcPr>
            <w:tcW w:type="dxa" w:w="2835"/>
            <w:shd w:val="clear" w:color="auto" w:fill="1F3A5F"/>
            <w:tcW w:w="2835" w:type="dxa"/>
          </w:tcPr>
          <w:p>
            <w:pPr>
              <w:jc w:val="center"/>
            </w:pPr>
            <w:r/>
            <w:r>
              <w:rPr>
                <w:rFonts w:ascii="Cambria" w:hAnsi="Cambria"/>
                <w:b/>
                <w:color w:val="FFFFFF"/>
                <w:sz w:val="22"/>
              </w:rPr>
              <w:t>Key Actions</w:t>
            </w:r>
          </w:p>
        </w:tc>
        <w:tc>
          <w:tcPr>
            <w:tcW w:type="dxa" w:w="3345"/>
            <w:shd w:val="clear" w:color="auto" w:fill="1F3A5F"/>
            <w:tcW w:w="3345" w:type="dxa"/>
          </w:tcPr>
          <w:p>
            <w:pPr>
              <w:jc w:val="center"/>
            </w:pPr>
            <w:r/>
            <w:r>
              <w:rPr>
                <w:rFonts w:ascii="Cambria" w:hAnsi="Cambria"/>
                <w:b/>
                <w:color w:val="FFFFFF"/>
                <w:sz w:val="22"/>
              </w:rPr>
              <w:t>Institutional Impact</w:t>
            </w:r>
          </w:p>
        </w:tc>
        <w:tc>
          <w:tcPr>
            <w:tcW w:type="dxa" w:w="2948"/>
            <w:shd w:val="clear" w:color="auto" w:fill="1F3A5F"/>
            <w:tcW w:w="2948" w:type="dxa"/>
          </w:tcPr>
          <w:p>
            <w:pPr>
              <w:jc w:val="center"/>
            </w:pPr>
            <w:r/>
            <w:r>
              <w:rPr>
                <w:rFonts w:ascii="Cambria" w:hAnsi="Cambria"/>
                <w:b/>
                <w:color w:val="FFFFFF"/>
                <w:sz w:val="22"/>
              </w:rPr>
              <w:t>Evidence / Documentation</w:t>
            </w:r>
          </w:p>
        </w:tc>
      </w:tr>
      <w:tr>
        <w:tc>
          <w:tcPr>
            <w:tcW w:type="dxa" w:w="2835"/>
            <w:tcW w:w="2835" w:type="dxa"/>
          </w:tcPr>
          <w:p>
            <w:pPr>
              <w:jc w:val="left"/>
            </w:pPr>
            <w:r/>
            <w:r>
              <w:rPr>
                <w:rFonts w:ascii="Cambria" w:hAnsi="Cambria"/>
                <w:b w:val="0"/>
                <w:sz w:val="19"/>
              </w:rPr>
              <w:t>Prepares and monitors annual budgets</w:t>
            </w:r>
          </w:p>
        </w:tc>
        <w:tc>
          <w:tcPr>
            <w:tcW w:type="dxa" w:w="3345"/>
            <w:tcW w:w="3345" w:type="dxa"/>
          </w:tcPr>
          <w:p>
            <w:pPr>
              <w:jc w:val="center"/>
            </w:pPr>
            <w:r/>
            <w:r>
              <w:rPr>
                <w:rFonts w:ascii="Cambria" w:hAnsi="Cambria"/>
                <w:b w:val="0"/>
                <w:sz w:val="19"/>
              </w:rPr>
              <w:t>Ensures balanced allocation of resources; supports academic and research priorities.</w:t>
            </w:r>
          </w:p>
        </w:tc>
        <w:tc>
          <w:tcPr>
            <w:tcW w:type="dxa" w:w="2948"/>
            <w:tcW w:w="2948" w:type="dxa"/>
          </w:tcPr>
          <w:p>
            <w:pPr>
              <w:jc w:val="center"/>
            </w:pPr>
            <w:r/>
            <w:r>
              <w:rPr>
                <w:rFonts w:ascii="Cambria" w:hAnsi="Cambria"/>
                <w:b w:val="0"/>
                <w:sz w:val="19"/>
              </w:rPr>
              <w:t>Annual budget documents, Finance Committee minutes, Governing Body approvals.</w:t>
            </w:r>
          </w:p>
        </w:tc>
      </w:tr>
      <w:tr>
        <w:tc>
          <w:tcPr>
            <w:tcW w:type="dxa" w:w="2835"/>
            <w:tcW w:w="2835" w:type="dxa"/>
            <w:shd w:val="clear" w:color="auto" w:fill="D9E2EC"/>
          </w:tcPr>
          <w:p>
            <w:pPr>
              <w:jc w:val="left"/>
            </w:pPr>
            <w:r/>
            <w:r>
              <w:rPr>
                <w:rFonts w:ascii="Cambria" w:hAnsi="Cambria"/>
                <w:b w:val="0"/>
                <w:sz w:val="19"/>
              </w:rPr>
              <w:t>Maintains accounts and payroll systems</w:t>
            </w:r>
          </w:p>
        </w:tc>
        <w:tc>
          <w:tcPr>
            <w:tcW w:type="dxa" w:w="3345"/>
            <w:tcW w:w="3345" w:type="dxa"/>
            <w:shd w:val="clear" w:color="auto" w:fill="D9E2EC"/>
          </w:tcPr>
          <w:p>
            <w:pPr>
              <w:jc w:val="center"/>
            </w:pPr>
            <w:r/>
            <w:r>
              <w:rPr>
                <w:rFonts w:ascii="Cambria" w:hAnsi="Cambria"/>
                <w:b w:val="0"/>
                <w:sz w:val="19"/>
              </w:rPr>
              <w:t>Smooth salary disbursement, staff satisfaction, timely student scholarship distribution.</w:t>
            </w:r>
          </w:p>
        </w:tc>
        <w:tc>
          <w:tcPr>
            <w:tcW w:type="dxa" w:w="2948"/>
            <w:tcW w:w="2948" w:type="dxa"/>
            <w:shd w:val="clear" w:color="auto" w:fill="D9E2EC"/>
          </w:tcPr>
          <w:p>
            <w:pPr>
              <w:jc w:val="center"/>
            </w:pPr>
            <w:r/>
            <w:r>
              <w:rPr>
                <w:rFonts w:ascii="Cambria" w:hAnsi="Cambria"/>
                <w:b w:val="0"/>
                <w:sz w:val="19"/>
              </w:rPr>
              <w:t>Payroll records, bank statements, scholarship registers.</w:t>
            </w:r>
          </w:p>
        </w:tc>
      </w:tr>
      <w:tr>
        <w:tc>
          <w:tcPr>
            <w:tcW w:type="dxa" w:w="2835"/>
            <w:tcW w:w="2835" w:type="dxa"/>
          </w:tcPr>
          <w:p>
            <w:pPr>
              <w:jc w:val="left"/>
            </w:pPr>
            <w:r/>
            <w:r>
              <w:rPr>
                <w:rFonts w:ascii="Cambria" w:hAnsi="Cambria"/>
                <w:b w:val="0"/>
                <w:sz w:val="19"/>
              </w:rPr>
              <w:t>Coordinates internal and external audits</w:t>
            </w:r>
          </w:p>
        </w:tc>
        <w:tc>
          <w:tcPr>
            <w:tcW w:type="dxa" w:w="3345"/>
            <w:tcW w:w="3345" w:type="dxa"/>
          </w:tcPr>
          <w:p>
            <w:pPr>
              <w:jc w:val="center"/>
            </w:pPr>
            <w:r/>
            <w:r>
              <w:rPr>
                <w:rFonts w:ascii="Cambria" w:hAnsi="Cambria"/>
                <w:b w:val="0"/>
                <w:sz w:val="19"/>
              </w:rPr>
              <w:t>Transparency in fund utilization; compliance with statutory regulations (UGC, state, central).</w:t>
            </w:r>
          </w:p>
        </w:tc>
        <w:tc>
          <w:tcPr>
            <w:tcW w:type="dxa" w:w="2948"/>
            <w:tcW w:w="2948" w:type="dxa"/>
          </w:tcPr>
          <w:p>
            <w:pPr>
              <w:jc w:val="center"/>
            </w:pPr>
            <w:r/>
            <w:r>
              <w:rPr>
                <w:rFonts w:ascii="Cambria" w:hAnsi="Cambria"/>
                <w:b w:val="0"/>
                <w:sz w:val="19"/>
              </w:rPr>
              <w:t>Audit reports, compliance certificates, statutory filings.</w:t>
            </w:r>
          </w:p>
        </w:tc>
      </w:tr>
      <w:tr>
        <w:tc>
          <w:tcPr>
            <w:tcW w:type="dxa" w:w="2835"/>
            <w:tcW w:w="2835" w:type="dxa"/>
            <w:shd w:val="clear" w:color="auto" w:fill="D9E2EC"/>
          </w:tcPr>
          <w:p>
            <w:pPr>
              <w:jc w:val="left"/>
            </w:pPr>
            <w:r/>
            <w:r>
              <w:rPr>
                <w:rFonts w:ascii="Cambria" w:hAnsi="Cambria"/>
                <w:b w:val="0"/>
                <w:sz w:val="19"/>
              </w:rPr>
              <w:t>Administers grants, research funds, and endowments</w:t>
            </w:r>
          </w:p>
        </w:tc>
        <w:tc>
          <w:tcPr>
            <w:tcW w:type="dxa" w:w="3345"/>
            <w:tcW w:w="3345" w:type="dxa"/>
            <w:shd w:val="clear" w:color="auto" w:fill="D9E2EC"/>
          </w:tcPr>
          <w:p>
            <w:pPr>
              <w:jc w:val="center"/>
            </w:pPr>
            <w:r/>
            <w:r>
              <w:rPr>
                <w:rFonts w:ascii="Cambria" w:hAnsi="Cambria"/>
                <w:b w:val="0"/>
                <w:sz w:val="19"/>
              </w:rPr>
              <w:t>Enhanced research capacity; efficient use of government and donor funds; increased institutional reputation.</w:t>
            </w:r>
          </w:p>
        </w:tc>
        <w:tc>
          <w:tcPr>
            <w:tcW w:type="dxa" w:w="2948"/>
            <w:tcW w:w="2948" w:type="dxa"/>
            <w:shd w:val="clear" w:color="auto" w:fill="D9E2EC"/>
          </w:tcPr>
          <w:p>
            <w:pPr>
              <w:jc w:val="center"/>
            </w:pPr>
            <w:r/>
            <w:r>
              <w:rPr>
                <w:rFonts w:ascii="Cambria" w:hAnsi="Cambria"/>
                <w:b w:val="0"/>
                <w:sz w:val="19"/>
              </w:rPr>
              <w:t>Grant utilization reports, project funding records, alumni/endowment contribution records.</w:t>
            </w:r>
          </w:p>
        </w:tc>
      </w:tr>
      <w:tr>
        <w:tc>
          <w:tcPr>
            <w:tcW w:type="dxa" w:w="2835"/>
            <w:tcW w:w="2835" w:type="dxa"/>
          </w:tcPr>
          <w:p>
            <w:pPr>
              <w:jc w:val="left"/>
            </w:pPr>
            <w:r/>
            <w:r>
              <w:rPr>
                <w:rFonts w:ascii="Cambria" w:hAnsi="Cambria"/>
                <w:b w:val="0"/>
                <w:sz w:val="19"/>
              </w:rPr>
              <w:t>Implements financial control mechanisms (ERP, MIS, e-payments)</w:t>
            </w:r>
          </w:p>
        </w:tc>
        <w:tc>
          <w:tcPr>
            <w:tcW w:type="dxa" w:w="3345"/>
            <w:tcW w:w="3345" w:type="dxa"/>
          </w:tcPr>
          <w:p>
            <w:pPr>
              <w:jc w:val="center"/>
            </w:pPr>
            <w:r/>
            <w:r>
              <w:rPr>
                <w:rFonts w:ascii="Cambria" w:hAnsi="Cambria"/>
                <w:b w:val="0"/>
                <w:sz w:val="19"/>
              </w:rPr>
              <w:t>Prevents irregularities; ensures real-time monitoring of transactions; improves governance efficiency.</w:t>
            </w:r>
          </w:p>
        </w:tc>
        <w:tc>
          <w:tcPr>
            <w:tcW w:type="dxa" w:w="2948"/>
            <w:tcW w:w="2948" w:type="dxa"/>
          </w:tcPr>
          <w:p>
            <w:pPr>
              <w:jc w:val="center"/>
            </w:pPr>
            <w:r/>
            <w:r>
              <w:rPr>
                <w:rFonts w:ascii="Cambria" w:hAnsi="Cambria"/>
                <w:b w:val="0"/>
                <w:sz w:val="19"/>
              </w:rPr>
              <w:t>ERP/MIS system reports, digital transaction logs, IT audit reports.</w:t>
            </w:r>
          </w:p>
        </w:tc>
      </w:tr>
      <w:tr>
        <w:tc>
          <w:tcPr>
            <w:tcW w:type="dxa" w:w="2835"/>
            <w:tcW w:w="2835" w:type="dxa"/>
            <w:shd w:val="clear" w:color="auto" w:fill="D9E2EC"/>
          </w:tcPr>
          <w:p>
            <w:pPr>
              <w:jc w:val="left"/>
            </w:pPr>
            <w:r/>
            <w:r>
              <w:rPr>
                <w:rFonts w:ascii="Cambria" w:hAnsi="Cambria"/>
                <w:b w:val="0"/>
                <w:sz w:val="19"/>
              </w:rPr>
              <w:t>Advises on long-term financial planning and risk management</w:t>
            </w:r>
          </w:p>
        </w:tc>
        <w:tc>
          <w:tcPr>
            <w:tcW w:type="dxa" w:w="3345"/>
            <w:tcW w:w="3345" w:type="dxa"/>
            <w:shd w:val="clear" w:color="auto" w:fill="D9E2EC"/>
          </w:tcPr>
          <w:p>
            <w:pPr>
              <w:jc w:val="center"/>
            </w:pPr>
            <w:r/>
            <w:r>
              <w:rPr>
                <w:rFonts w:ascii="Cambria" w:hAnsi="Cambria"/>
                <w:b w:val="0"/>
                <w:sz w:val="19"/>
              </w:rPr>
              <w:t>Institutional sustainability; diversified revenue streams; reduced financial risks.</w:t>
            </w:r>
          </w:p>
        </w:tc>
        <w:tc>
          <w:tcPr>
            <w:tcW w:type="dxa" w:w="2948"/>
            <w:tcW w:w="2948" w:type="dxa"/>
            <w:shd w:val="clear" w:color="auto" w:fill="D9E2EC"/>
          </w:tcPr>
          <w:p>
            <w:pPr>
              <w:jc w:val="center"/>
            </w:pPr>
            <w:r/>
            <w:r>
              <w:rPr>
                <w:rFonts w:ascii="Cambria" w:hAnsi="Cambria"/>
                <w:b w:val="0"/>
                <w:sz w:val="19"/>
              </w:rPr>
              <w:t>Strategic financial plans, investment policies, Governing Body resolutions.</w:t>
            </w:r>
          </w:p>
        </w:tc>
      </w:tr>
      <w:tr>
        <w:tc>
          <w:tcPr>
            <w:tcW w:type="dxa" w:w="2835"/>
            <w:tcW w:w="2835" w:type="dxa"/>
          </w:tcPr>
          <w:p>
            <w:pPr>
              <w:jc w:val="left"/>
            </w:pPr>
            <w:r/>
            <w:r>
              <w:rPr>
                <w:rFonts w:ascii="Cambria" w:hAnsi="Cambria"/>
                <w:b w:val="0"/>
                <w:sz w:val="19"/>
              </w:rPr>
              <w:t>Manages procurement and expenditure approvals</w:t>
            </w:r>
          </w:p>
        </w:tc>
        <w:tc>
          <w:tcPr>
            <w:tcW w:type="dxa" w:w="3345"/>
            <w:tcW w:w="3345" w:type="dxa"/>
          </w:tcPr>
          <w:p>
            <w:pPr>
              <w:jc w:val="center"/>
            </w:pPr>
            <w:r/>
            <w:r>
              <w:rPr>
                <w:rFonts w:ascii="Cambria" w:hAnsi="Cambria"/>
                <w:b w:val="0"/>
                <w:sz w:val="19"/>
              </w:rPr>
              <w:t>Optimal utilization of resources; transparent vendor dealings; cost efficiency.</w:t>
            </w:r>
          </w:p>
        </w:tc>
        <w:tc>
          <w:tcPr>
            <w:tcW w:type="dxa" w:w="2948"/>
            <w:tcW w:w="2948" w:type="dxa"/>
          </w:tcPr>
          <w:p>
            <w:pPr>
              <w:jc w:val="center"/>
            </w:pPr>
            <w:r/>
            <w:r>
              <w:rPr>
                <w:rFonts w:ascii="Cambria" w:hAnsi="Cambria"/>
                <w:b w:val="0"/>
                <w:sz w:val="19"/>
              </w:rPr>
              <w:t>Procurement records, tender documents, expenditure registers.</w:t>
            </w:r>
          </w:p>
        </w:tc>
      </w:tr>
      <w:tr>
        <w:tc>
          <w:tcPr>
            <w:tcW w:type="dxa" w:w="2835"/>
            <w:tcW w:w="2835" w:type="dxa"/>
            <w:shd w:val="clear" w:color="auto" w:fill="D9E2EC"/>
          </w:tcPr>
          <w:p>
            <w:pPr>
              <w:jc w:val="left"/>
            </w:pPr>
            <w:r/>
            <w:r>
              <w:rPr>
                <w:rFonts w:ascii="Cambria" w:hAnsi="Cambria"/>
                <w:b w:val="0"/>
                <w:sz w:val="19"/>
              </w:rPr>
              <w:t>Prepares financial data for accreditation and rankings</w:t>
            </w:r>
          </w:p>
        </w:tc>
        <w:tc>
          <w:tcPr>
            <w:tcW w:type="dxa" w:w="3345"/>
            <w:tcW w:w="3345" w:type="dxa"/>
            <w:shd w:val="clear" w:color="auto" w:fill="D9E2EC"/>
          </w:tcPr>
          <w:p>
            <w:pPr>
              <w:jc w:val="center"/>
            </w:pPr>
            <w:r/>
            <w:r>
              <w:rPr>
                <w:rFonts w:ascii="Cambria" w:hAnsi="Cambria"/>
                <w:b w:val="0"/>
                <w:sz w:val="19"/>
              </w:rPr>
              <w:t>Strengthens NAAC, NBA, NIRF, QS submissions; demonstrates accountability to stakeholders.</w:t>
            </w:r>
          </w:p>
        </w:tc>
        <w:tc>
          <w:tcPr>
            <w:tcW w:type="dxa" w:w="2948"/>
            <w:tcW w:w="2948" w:type="dxa"/>
            <w:shd w:val="clear" w:color="auto" w:fill="D9E2EC"/>
          </w:tcPr>
          <w:p>
            <w:pPr>
              <w:jc w:val="center"/>
            </w:pPr>
            <w:r/>
            <w:r>
              <w:rPr>
                <w:rFonts w:ascii="Cambria" w:hAnsi="Cambria"/>
                <w:b w:val="0"/>
                <w:sz w:val="19"/>
              </w:rPr>
              <w:t>NAAC/NBA SSR financial annexes, NIRF financial data sheets, IQAC annual reports.</w:t>
            </w:r>
          </w:p>
        </w:tc>
      </w:tr>
    </w:tbl>
    <w:p>
      <w:pPr>
        <w:keepNext/>
        <w:spacing w:before="160" w:after="120"/>
      </w:pPr>
      <w:r>
        <w:rPr>
          <w:rFonts w:ascii="Cambria" w:hAnsi="Cambria"/>
          <w:b/>
          <w:color w:val="1F3A5F"/>
          <w:sz w:val="30"/>
        </w:rPr>
        <w:t>3-Year Finance Officer Progress Tracker</w:t>
      </w:r>
    </w:p>
    <w:tbl>
      <w:tblPr>
        <w:tblW w:type="auto" w:w="0"/>
        <w:tblLayout w:type="fixed"/>
        <w:tblLook w:firstColumn="1" w:firstRow="1" w:lastColumn="0" w:lastRow="0" w:noHBand="0" w:noVBand="1" w:val="04A0"/>
        <w:tblLayout w:type="fixed"/>
      </w:tblPr>
      <w:tblGrid>
        <w:gridCol w:w="1927"/>
        <w:gridCol w:w="2438"/>
        <w:gridCol w:w="2438"/>
        <w:gridCol w:w="2324"/>
      </w:tblGrid>
      <w:tr>
        <w:tc>
          <w:tcPr>
            <w:tcW w:type="dxa" w:w="1928"/>
            <w:shd w:val="clear" w:color="auto" w:fill="1F3A5F"/>
            <w:tcW w:w="1927" w:type="dxa"/>
          </w:tcPr>
          <w:p>
            <w:pPr>
              <w:jc w:val="center"/>
            </w:pPr>
            <w:r/>
            <w:r>
              <w:rPr>
                <w:rFonts w:ascii="Cambria" w:hAnsi="Cambria"/>
                <w:b/>
                <w:color w:val="FFFFFF"/>
                <w:sz w:val="20"/>
              </w:rPr>
              <w:t>Focus Area</w:t>
            </w:r>
          </w:p>
        </w:tc>
        <w:tc>
          <w:tcPr>
            <w:tcW w:type="dxa" w:w="2438"/>
            <w:shd w:val="clear" w:color="auto" w:fill="1F3A5F"/>
            <w:tcW w:w="2438" w:type="dxa"/>
          </w:tcPr>
          <w:p>
            <w:pPr>
              <w:jc w:val="center"/>
            </w:pPr>
            <w:r/>
            <w:r>
              <w:rPr>
                <w:rFonts w:ascii="Cambria" w:hAnsi="Cambria"/>
                <w:b/>
                <w:color w:val="FFFFFF"/>
                <w:sz w:val="20"/>
              </w:rPr>
              <w:t>Year 1 – Foundation</w:t>
            </w:r>
          </w:p>
        </w:tc>
        <w:tc>
          <w:tcPr>
            <w:tcW w:type="dxa" w:w="2438"/>
            <w:shd w:val="clear" w:color="auto" w:fill="1F3A5F"/>
            <w:tcW w:w="2438" w:type="dxa"/>
          </w:tcPr>
          <w:p>
            <w:pPr>
              <w:jc w:val="center"/>
            </w:pPr>
            <w:r/>
            <w:r>
              <w:rPr>
                <w:rFonts w:ascii="Cambria" w:hAnsi="Cambria"/>
                <w:b/>
                <w:color w:val="FFFFFF"/>
                <w:sz w:val="20"/>
              </w:rPr>
              <w:t>Year 2 – Growth &amp; Consolidation</w:t>
            </w:r>
          </w:p>
        </w:tc>
        <w:tc>
          <w:tcPr>
            <w:tcW w:type="dxa" w:w="2324"/>
            <w:shd w:val="clear" w:color="auto" w:fill="1F3A5F"/>
            <w:tcW w:w="2324" w:type="dxa"/>
          </w:tcPr>
          <w:p>
            <w:pPr>
              <w:jc w:val="center"/>
            </w:pPr>
            <w:r/>
            <w:r>
              <w:rPr>
                <w:rFonts w:ascii="Cambria" w:hAnsi="Cambria"/>
                <w:b/>
                <w:color w:val="FFFFFF"/>
                <w:sz w:val="20"/>
              </w:rPr>
              <w:t>Year 3 – Maturity &amp; Impact</w:t>
            </w:r>
          </w:p>
        </w:tc>
      </w:tr>
      <w:tr>
        <w:tc>
          <w:tcPr>
            <w:tcW w:type="dxa" w:w="1928"/>
            <w:tcW w:w="1927" w:type="dxa"/>
          </w:tcPr>
          <w:p>
            <w:pPr>
              <w:jc w:val="left"/>
            </w:pPr>
            <w:r/>
            <w:r>
              <w:rPr>
                <w:rFonts w:ascii="Cambria" w:hAnsi="Cambria"/>
                <w:b w:val="0"/>
                <w:sz w:val="18"/>
              </w:rPr>
              <w:t>Budgeting &amp; Resource Allocation</w:t>
            </w:r>
          </w:p>
        </w:tc>
        <w:tc>
          <w:tcPr>
            <w:tcW w:type="dxa" w:w="2438"/>
            <w:tcW w:w="2438" w:type="dxa"/>
          </w:tcPr>
          <w:p>
            <w:pPr>
              <w:jc w:val="center"/>
            </w:pPr>
            <w:r/>
            <w:r>
              <w:rPr>
                <w:rFonts w:ascii="Cambria" w:hAnsi="Cambria"/>
                <w:b w:val="0"/>
                <w:sz w:val="18"/>
              </w:rPr>
              <w:t>Standardized budget preparation process; department-wise allocations streamlined.</w:t>
            </w:r>
          </w:p>
        </w:tc>
        <w:tc>
          <w:tcPr>
            <w:tcW w:type="dxa" w:w="2438"/>
            <w:tcW w:w="2438" w:type="dxa"/>
          </w:tcPr>
          <w:p>
            <w:pPr>
              <w:jc w:val="center"/>
            </w:pPr>
            <w:r/>
            <w:r>
              <w:rPr>
                <w:rFonts w:ascii="Cambria" w:hAnsi="Cambria"/>
                <w:b w:val="0"/>
                <w:sz w:val="18"/>
              </w:rPr>
              <w:t>Mid-year budget reviews introduced; performance-linked allocations implemented.</w:t>
            </w:r>
          </w:p>
        </w:tc>
        <w:tc>
          <w:tcPr>
            <w:tcW w:type="dxa" w:w="2324"/>
            <w:tcW w:w="2324" w:type="dxa"/>
          </w:tcPr>
          <w:p>
            <w:pPr>
              <w:jc w:val="center"/>
            </w:pPr>
            <w:r/>
            <w:r>
              <w:rPr>
                <w:rFonts w:ascii="Cambria" w:hAnsi="Cambria"/>
                <w:b w:val="0"/>
                <w:sz w:val="18"/>
              </w:rPr>
              <w:t>Strategic multi-year budgeting aligned with institutional goals; scenario-based forecasting adopted.</w:t>
            </w:r>
          </w:p>
        </w:tc>
      </w:tr>
      <w:tr>
        <w:tc>
          <w:tcPr>
            <w:tcW w:type="dxa" w:w="1928"/>
            <w:tcW w:w="1927" w:type="dxa"/>
            <w:shd w:val="clear" w:color="auto" w:fill="D9E2EC"/>
          </w:tcPr>
          <w:p>
            <w:pPr>
              <w:jc w:val="left"/>
            </w:pPr>
            <w:r/>
            <w:r>
              <w:rPr>
                <w:rFonts w:ascii="Cambria" w:hAnsi="Cambria"/>
                <w:b w:val="0"/>
                <w:sz w:val="18"/>
              </w:rPr>
              <w:t>Accounts &amp; Payroll</w:t>
            </w:r>
          </w:p>
        </w:tc>
        <w:tc>
          <w:tcPr>
            <w:tcW w:type="dxa" w:w="2438"/>
            <w:tcW w:w="2438" w:type="dxa"/>
            <w:shd w:val="clear" w:color="auto" w:fill="D9E2EC"/>
          </w:tcPr>
          <w:p>
            <w:pPr>
              <w:jc w:val="center"/>
            </w:pPr>
            <w:r/>
            <w:r>
              <w:rPr>
                <w:rFonts w:ascii="Cambria" w:hAnsi="Cambria"/>
                <w:b w:val="0"/>
                <w:sz w:val="18"/>
              </w:rPr>
              <w:t>Payroll and fee collection digitized; baseline financial database created.</w:t>
            </w:r>
          </w:p>
        </w:tc>
        <w:tc>
          <w:tcPr>
            <w:tcW w:type="dxa" w:w="2438"/>
            <w:tcW w:w="2438" w:type="dxa"/>
            <w:shd w:val="clear" w:color="auto" w:fill="D9E2EC"/>
          </w:tcPr>
          <w:p>
            <w:pPr>
              <w:jc w:val="center"/>
            </w:pPr>
            <w:r/>
            <w:r>
              <w:rPr>
                <w:rFonts w:ascii="Cambria" w:hAnsi="Cambria"/>
                <w:b w:val="0"/>
                <w:sz w:val="18"/>
              </w:rPr>
              <w:t>Full integration of payroll, scholarships, and fee systems into ERP.</w:t>
            </w:r>
          </w:p>
        </w:tc>
        <w:tc>
          <w:tcPr>
            <w:tcW w:type="dxa" w:w="2324"/>
            <w:tcW w:w="2324" w:type="dxa"/>
            <w:shd w:val="clear" w:color="auto" w:fill="D9E2EC"/>
          </w:tcPr>
          <w:p>
            <w:pPr>
              <w:jc w:val="center"/>
            </w:pPr>
            <w:r/>
            <w:r>
              <w:rPr>
                <w:rFonts w:ascii="Cambria" w:hAnsi="Cambria"/>
                <w:b w:val="0"/>
                <w:sz w:val="18"/>
              </w:rPr>
              <w:t>Automated payroll + financial analytics dashboards; predictive planning for scholarships and benefits.</w:t>
            </w:r>
          </w:p>
        </w:tc>
      </w:tr>
      <w:tr>
        <w:tc>
          <w:tcPr>
            <w:tcW w:type="dxa" w:w="1928"/>
            <w:tcW w:w="1927" w:type="dxa"/>
          </w:tcPr>
          <w:p>
            <w:pPr>
              <w:jc w:val="left"/>
            </w:pPr>
            <w:r/>
            <w:r>
              <w:rPr>
                <w:rFonts w:ascii="Cambria" w:hAnsi="Cambria"/>
                <w:b w:val="0"/>
                <w:sz w:val="18"/>
              </w:rPr>
              <w:t>Audit &amp; Compliance</w:t>
            </w:r>
          </w:p>
        </w:tc>
        <w:tc>
          <w:tcPr>
            <w:tcW w:type="dxa" w:w="2438"/>
            <w:tcW w:w="2438" w:type="dxa"/>
          </w:tcPr>
          <w:p>
            <w:pPr>
              <w:jc w:val="center"/>
            </w:pPr>
            <w:r/>
            <w:r>
              <w:rPr>
                <w:rFonts w:ascii="Cambria" w:hAnsi="Cambria"/>
                <w:b w:val="0"/>
                <w:sz w:val="18"/>
              </w:rPr>
              <w:t>Timely statutory audit submission; compliance with UGC/state requirements.</w:t>
            </w:r>
          </w:p>
        </w:tc>
        <w:tc>
          <w:tcPr>
            <w:tcW w:type="dxa" w:w="2438"/>
            <w:tcW w:w="2438" w:type="dxa"/>
          </w:tcPr>
          <w:p>
            <w:pPr>
              <w:jc w:val="center"/>
            </w:pPr>
            <w:r/>
            <w:r>
              <w:rPr>
                <w:rFonts w:ascii="Cambria" w:hAnsi="Cambria"/>
                <w:b w:val="0"/>
                <w:sz w:val="18"/>
              </w:rPr>
              <w:t>Internal audit system strengthened; risk-based audit practices introduced.</w:t>
            </w:r>
          </w:p>
        </w:tc>
        <w:tc>
          <w:tcPr>
            <w:tcW w:type="dxa" w:w="2324"/>
            <w:tcW w:w="2324" w:type="dxa"/>
          </w:tcPr>
          <w:p>
            <w:pPr>
              <w:jc w:val="center"/>
            </w:pPr>
            <w:r/>
            <w:r>
              <w:rPr>
                <w:rFonts w:ascii="Cambria" w:hAnsi="Cambria"/>
                <w:b w:val="0"/>
                <w:sz w:val="18"/>
              </w:rPr>
              <w:t>Zero audit objections; compliance recognized in NAAC/NBA/UGC reviews.</w:t>
            </w:r>
          </w:p>
        </w:tc>
      </w:tr>
      <w:tr>
        <w:tc>
          <w:tcPr>
            <w:tcW w:type="dxa" w:w="1928"/>
            <w:tcW w:w="1927" w:type="dxa"/>
            <w:shd w:val="clear" w:color="auto" w:fill="D9E2EC"/>
          </w:tcPr>
          <w:p>
            <w:pPr>
              <w:jc w:val="left"/>
            </w:pPr>
            <w:r/>
            <w:r>
              <w:rPr>
                <w:rFonts w:ascii="Cambria" w:hAnsi="Cambria"/>
                <w:b w:val="0"/>
                <w:sz w:val="18"/>
              </w:rPr>
              <w:t>Grants &amp; Endowments</w:t>
            </w:r>
          </w:p>
        </w:tc>
        <w:tc>
          <w:tcPr>
            <w:tcW w:type="dxa" w:w="2438"/>
            <w:tcW w:w="2438" w:type="dxa"/>
            <w:shd w:val="clear" w:color="auto" w:fill="D9E2EC"/>
          </w:tcPr>
          <w:p>
            <w:pPr>
              <w:jc w:val="center"/>
            </w:pPr>
            <w:r/>
            <w:r>
              <w:rPr>
                <w:rFonts w:ascii="Cambria" w:hAnsi="Cambria"/>
                <w:b w:val="0"/>
                <w:sz w:val="18"/>
              </w:rPr>
              <w:t>Framework created for grant utilization and reporting.</w:t>
            </w:r>
          </w:p>
        </w:tc>
        <w:tc>
          <w:tcPr>
            <w:tcW w:type="dxa" w:w="2438"/>
            <w:tcW w:w="2438" w:type="dxa"/>
            <w:shd w:val="clear" w:color="auto" w:fill="D9E2EC"/>
          </w:tcPr>
          <w:p>
            <w:pPr>
              <w:jc w:val="center"/>
            </w:pPr>
            <w:r/>
            <w:r>
              <w:rPr>
                <w:rFonts w:ascii="Cambria" w:hAnsi="Cambria"/>
                <w:b w:val="0"/>
                <w:sz w:val="18"/>
              </w:rPr>
              <w:t>20–30% increase in external funding (research/consultancy/alumni).</w:t>
            </w:r>
          </w:p>
        </w:tc>
        <w:tc>
          <w:tcPr>
            <w:tcW w:type="dxa" w:w="2324"/>
            <w:tcW w:w="2324" w:type="dxa"/>
            <w:shd w:val="clear" w:color="auto" w:fill="D9E2EC"/>
          </w:tcPr>
          <w:p>
            <w:pPr>
              <w:jc w:val="center"/>
            </w:pPr>
            <w:r/>
            <w:r>
              <w:rPr>
                <w:rFonts w:ascii="Cambria" w:hAnsi="Cambria"/>
                <w:b w:val="0"/>
                <w:sz w:val="18"/>
              </w:rPr>
              <w:t>Substantial corpus/endowment fund established; recurring income from industry/alumni partnerships.</w:t>
            </w:r>
          </w:p>
        </w:tc>
      </w:tr>
      <w:tr>
        <w:tc>
          <w:tcPr>
            <w:tcW w:type="dxa" w:w="1928"/>
            <w:tcW w:w="1927" w:type="dxa"/>
          </w:tcPr>
          <w:p>
            <w:pPr>
              <w:jc w:val="left"/>
            </w:pPr>
            <w:r/>
            <w:r>
              <w:rPr>
                <w:rFonts w:ascii="Cambria" w:hAnsi="Cambria"/>
                <w:b w:val="0"/>
                <w:sz w:val="18"/>
              </w:rPr>
              <w:t>Financial Control &amp; Digitalization</w:t>
            </w:r>
          </w:p>
        </w:tc>
        <w:tc>
          <w:tcPr>
            <w:tcW w:type="dxa" w:w="2438"/>
            <w:tcW w:w="2438" w:type="dxa"/>
          </w:tcPr>
          <w:p>
            <w:pPr>
              <w:jc w:val="center"/>
            </w:pPr>
            <w:r/>
            <w:r>
              <w:rPr>
                <w:rFonts w:ascii="Cambria" w:hAnsi="Cambria"/>
                <w:b w:val="0"/>
                <w:sz w:val="18"/>
              </w:rPr>
              <w:t>ERP/MIS modules piloted for finance.</w:t>
            </w:r>
          </w:p>
        </w:tc>
        <w:tc>
          <w:tcPr>
            <w:tcW w:type="dxa" w:w="2438"/>
            <w:tcW w:w="2438" w:type="dxa"/>
          </w:tcPr>
          <w:p>
            <w:pPr>
              <w:jc w:val="center"/>
            </w:pPr>
            <w:r/>
            <w:r>
              <w:rPr>
                <w:rFonts w:ascii="Cambria" w:hAnsi="Cambria"/>
                <w:b w:val="0"/>
                <w:sz w:val="18"/>
              </w:rPr>
              <w:t>ERP fully implemented across finance, HR, and student services.</w:t>
            </w:r>
          </w:p>
        </w:tc>
        <w:tc>
          <w:tcPr>
            <w:tcW w:type="dxa" w:w="2324"/>
            <w:tcW w:w="2324" w:type="dxa"/>
          </w:tcPr>
          <w:p>
            <w:pPr>
              <w:jc w:val="center"/>
            </w:pPr>
            <w:r/>
            <w:r>
              <w:rPr>
                <w:rFonts w:ascii="Cambria" w:hAnsi="Cambria"/>
                <w:b w:val="0"/>
                <w:sz w:val="18"/>
              </w:rPr>
              <w:t>Blockchain-based/AI-enabled financial monitoring; full e-payment and digital receipts.</w:t>
            </w:r>
          </w:p>
        </w:tc>
      </w:tr>
      <w:tr>
        <w:tc>
          <w:tcPr>
            <w:tcW w:type="dxa" w:w="1928"/>
            <w:tcW w:w="1927" w:type="dxa"/>
            <w:shd w:val="clear" w:color="auto" w:fill="D9E2EC"/>
          </w:tcPr>
          <w:p>
            <w:pPr>
              <w:jc w:val="left"/>
            </w:pPr>
            <w:r/>
            <w:r>
              <w:rPr>
                <w:rFonts w:ascii="Cambria" w:hAnsi="Cambria"/>
                <w:b w:val="0"/>
                <w:sz w:val="18"/>
              </w:rPr>
              <w:t>Risk Management &amp; Sustainability</w:t>
            </w:r>
          </w:p>
        </w:tc>
        <w:tc>
          <w:tcPr>
            <w:tcW w:type="dxa" w:w="2438"/>
            <w:tcW w:w="2438" w:type="dxa"/>
            <w:shd w:val="clear" w:color="auto" w:fill="D9E2EC"/>
          </w:tcPr>
          <w:p>
            <w:pPr>
              <w:jc w:val="center"/>
            </w:pPr>
            <w:r/>
            <w:r>
              <w:rPr>
                <w:rFonts w:ascii="Cambria" w:hAnsi="Cambria"/>
                <w:b w:val="0"/>
                <w:sz w:val="18"/>
              </w:rPr>
              <w:t>Basic financial risk register developed; reliance on government funding continues.</w:t>
            </w:r>
          </w:p>
        </w:tc>
        <w:tc>
          <w:tcPr>
            <w:tcW w:type="dxa" w:w="2438"/>
            <w:tcW w:w="2438" w:type="dxa"/>
            <w:shd w:val="clear" w:color="auto" w:fill="D9E2EC"/>
          </w:tcPr>
          <w:p>
            <w:pPr>
              <w:jc w:val="center"/>
            </w:pPr>
            <w:r/>
            <w:r>
              <w:rPr>
                <w:rFonts w:ascii="Cambria" w:hAnsi="Cambria"/>
                <w:b w:val="0"/>
                <w:sz w:val="18"/>
              </w:rPr>
              <w:t>Revenue diversification via consultancy, continuing education, and alumni contributions.</w:t>
            </w:r>
          </w:p>
        </w:tc>
        <w:tc>
          <w:tcPr>
            <w:tcW w:type="dxa" w:w="2324"/>
            <w:tcW w:w="2324" w:type="dxa"/>
            <w:shd w:val="clear" w:color="auto" w:fill="D9E2EC"/>
          </w:tcPr>
          <w:p>
            <w:pPr>
              <w:jc w:val="center"/>
            </w:pPr>
            <w:r/>
            <w:r>
              <w:rPr>
                <w:rFonts w:ascii="Cambria" w:hAnsi="Cambria"/>
                <w:b w:val="0"/>
                <w:sz w:val="18"/>
              </w:rPr>
              <w:t>Sustainable financial model achieved; 25–30% revenue from non-governmental sources.</w:t>
            </w:r>
          </w:p>
        </w:tc>
      </w:tr>
      <w:tr>
        <w:tc>
          <w:tcPr>
            <w:tcW w:type="dxa" w:w="1928"/>
            <w:tcW w:w="1927" w:type="dxa"/>
          </w:tcPr>
          <w:p>
            <w:pPr>
              <w:jc w:val="left"/>
            </w:pPr>
            <w:r/>
            <w:r>
              <w:rPr>
                <w:rFonts w:ascii="Cambria" w:hAnsi="Cambria"/>
                <w:b w:val="0"/>
                <w:sz w:val="18"/>
              </w:rPr>
              <w:t>Accreditation &amp; Reporting</w:t>
            </w:r>
          </w:p>
        </w:tc>
        <w:tc>
          <w:tcPr>
            <w:tcW w:type="dxa" w:w="2438"/>
            <w:tcW w:w="2438" w:type="dxa"/>
          </w:tcPr>
          <w:p>
            <w:pPr>
              <w:jc w:val="center"/>
            </w:pPr>
            <w:r/>
            <w:r>
              <w:rPr>
                <w:rFonts w:ascii="Cambria" w:hAnsi="Cambria"/>
                <w:b w:val="0"/>
                <w:sz w:val="18"/>
              </w:rPr>
              <w:t>Financial data aligned with NAAC/NBA SSR formats.</w:t>
            </w:r>
          </w:p>
        </w:tc>
        <w:tc>
          <w:tcPr>
            <w:tcW w:type="dxa" w:w="2438"/>
            <w:tcW w:w="2438" w:type="dxa"/>
          </w:tcPr>
          <w:p>
            <w:pPr>
              <w:jc w:val="center"/>
            </w:pPr>
            <w:r/>
            <w:r>
              <w:rPr>
                <w:rFonts w:ascii="Cambria" w:hAnsi="Cambria"/>
                <w:b w:val="0"/>
                <w:sz w:val="18"/>
              </w:rPr>
              <w:t>Integrated NIRF/QS/IQAC reporting system established.</w:t>
            </w:r>
          </w:p>
        </w:tc>
        <w:tc>
          <w:tcPr>
            <w:tcW w:type="dxa" w:w="2324"/>
            <w:tcW w:w="2324" w:type="dxa"/>
          </w:tcPr>
          <w:p>
            <w:pPr>
              <w:jc w:val="center"/>
            </w:pPr>
            <w:r/>
            <w:r>
              <w:rPr>
                <w:rFonts w:ascii="Cambria" w:hAnsi="Cambria"/>
                <w:b w:val="0"/>
                <w:sz w:val="18"/>
              </w:rPr>
              <w:t>Finance recognized as best practice in rankings/accreditations; transparent reports published annually.</w:t>
            </w:r>
          </w:p>
        </w:tc>
      </w:tr>
    </w:tbl>
    <w:p>
      <w:r>
        <w:br w:type="page"/>
      </w:r>
    </w:p>
    <w:p>
      <w:pPr>
        <w:keepNext/>
        <w:spacing w:before="240" w:after="120"/>
      </w:pPr>
      <w:r>
        <w:rPr>
          <w:rFonts w:ascii="Cambria" w:hAnsi="Cambria"/>
          <w:b/>
          <w:color w:val="1F3A5F"/>
          <w:sz w:val="36"/>
        </w:rPr>
        <w:t>9. Director – Internal Quality Assurance Cell (IQAC)</w:t>
      </w:r>
    </w:p>
    <w:p>
      <w:pPr>
        <w:jc w:val="both"/>
      </w:pPr>
      <w:r>
        <w:rPr>
          <w:rFonts w:ascii="Cambria" w:hAnsi="Cambria"/>
          <w:b w:val="0"/>
          <w:i w:val="0"/>
          <w:sz w:val="22"/>
        </w:rPr>
        <w:t>The Director of the Internal Quality Assurance Cell (IQAC) is a core academic–administrative officer responsible for fostering a culture of continuous improvement and quality enhancement within a university. This role is central to ensuring that the institution complies with national and international accreditation frameworks such as NAAC (National Assessment and Accreditation Council), NBA (National Board of Accreditation), NIRF (National Institutional Ranking Framework), and QS/THE global ranking systems. The Director – IQAC serves as the institutional anchor for quality assurance by coordinating policies, monitoring academic and administrative processes, and preparing comprehensive reports that demonstrate accountability and excellence.</w:t>
      </w:r>
    </w:p>
    <w:p>
      <w:pPr>
        <w:jc w:val="both"/>
      </w:pPr>
      <w:r>
        <w:rPr>
          <w:rFonts w:ascii="Cambria" w:hAnsi="Cambria"/>
          <w:b w:val="0"/>
          <w:i w:val="0"/>
          <w:sz w:val="22"/>
        </w:rPr>
        <w:t>One of the key responsibilities of the Director – IQAC is to develop and implement quality benchmarks for teaching, learning, research, and governance. This involves preparing Self-Study Reports (SSR), Annual Quality Assurance Reports (AQAR), and performance evaluation dashboards that help the institution track progress against set goals. The IQAC also initiates academic and administrative audits, feedback mechanisms, and best-practice documentation to ensure continuous quality improvement across departments and programs.</w:t>
      </w:r>
    </w:p>
    <w:p>
      <w:pPr>
        <w:jc w:val="both"/>
      </w:pPr>
      <w:r>
        <w:rPr>
          <w:rFonts w:ascii="Cambria" w:hAnsi="Cambria"/>
          <w:b w:val="0"/>
          <w:i w:val="0"/>
          <w:sz w:val="22"/>
        </w:rPr>
        <w:t>Another important function of the IQAC Director is to integrate accreditation requirements with institutional planning and operations. By aligning university practices with NAAC criteria, NBA program-level outcomes, and NIRF performance indicators, the Director ensures that quality enhancement efforts are systematic and evidence-based. The role also extends to promoting faculty development programs, student-centric initiatives, and outcome-based education (OBE), which are critical for both accreditation success and academic competitiveness.</w:t>
      </w:r>
    </w:p>
    <w:p>
      <w:pPr>
        <w:jc w:val="both"/>
      </w:pPr>
      <w:r>
        <w:rPr>
          <w:rFonts w:ascii="Cambria" w:hAnsi="Cambria"/>
          <w:b w:val="0"/>
          <w:i w:val="0"/>
          <w:sz w:val="22"/>
        </w:rPr>
        <w:t>In addition to compliance, the Director – IQAC plays a strategic role in driving institutional rankings and global visibility. This includes benchmarking against leading institutions, coordinating international collaborations, and ensuring that performance data for global rankings such as QS or THE is accurate and reflective of institutional strengths. The Director also promotes innovation in quality management through digital dashboards, data-driven decision-making, and stakeholder engagement with faculty, students, alumni, and industry.</w:t>
      </w:r>
    </w:p>
    <w:p>
      <w:pPr>
        <w:jc w:val="both"/>
      </w:pPr>
      <w:r>
        <w:rPr>
          <w:rFonts w:ascii="Cambria" w:hAnsi="Cambria"/>
          <w:b w:val="0"/>
          <w:i w:val="0"/>
          <w:sz w:val="22"/>
        </w:rPr>
        <w:t>In summary, the Director – IQAC functions as the quality custodian of the university, responsible for monitoring accreditation, maintaining compliance with regulatory frameworks, and embedding a culture of excellence. By integrating accreditation requirements into governance and promoting continuous improvement, the Director – IQAC ensures that the institution remains accountable, competitive, and future-ready in the higher education ecosystem.</w:t>
      </w:r>
    </w:p>
    <w:p>
      <w:r>
        <w:rPr>
          <w:rFonts w:ascii="Cambria" w:hAnsi="Cambria"/>
          <w:b/>
          <w:i w:val="0"/>
          <w:sz w:val="22"/>
        </w:rPr>
        <w:t>Roles and Responsibilities</w:t>
      </w:r>
    </w:p>
    <w:p>
      <w:pPr>
        <w:pStyle w:val="ListBullet"/>
        <w:jc w:val="both"/>
      </w:pPr>
      <w:r>
        <w:rPr>
          <w:rFonts w:ascii="Cambria" w:hAnsi="Cambria"/>
          <w:sz w:val="22"/>
        </w:rPr>
        <w:t>Position in Structure</w:t>
      </w:r>
    </w:p>
    <w:p>
      <w:pPr>
        <w:pStyle w:val="ListBullet2"/>
        <w:jc w:val="both"/>
      </w:pPr>
      <w:r>
        <w:rPr>
          <w:rFonts w:ascii="Cambria" w:hAnsi="Cambria"/>
          <w:sz w:val="22"/>
        </w:rPr>
        <w:t>Senior academic–administrative officer.</w:t>
      </w:r>
    </w:p>
    <w:p>
      <w:pPr>
        <w:pStyle w:val="ListBullet2"/>
        <w:jc w:val="both"/>
      </w:pPr>
      <w:r>
        <w:rPr>
          <w:rFonts w:ascii="Cambria" w:hAnsi="Cambria"/>
          <w:sz w:val="22"/>
        </w:rPr>
        <w:t>Heads the Internal Quality Assurance Cell (IQAC), a statutory body mandated by NAAC.</w:t>
      </w:r>
    </w:p>
    <w:p>
      <w:pPr>
        <w:pStyle w:val="ListBullet2"/>
        <w:jc w:val="both"/>
      </w:pPr>
      <w:r>
        <w:rPr>
          <w:rFonts w:ascii="Cambria" w:hAnsi="Cambria"/>
          <w:sz w:val="22"/>
        </w:rPr>
        <w:t>Reports to the Vice-Chancellor / Principal and Governing Council.</w:t>
      </w:r>
    </w:p>
    <w:p>
      <w:pPr>
        <w:pStyle w:val="ListBullet"/>
        <w:jc w:val="both"/>
      </w:pPr>
      <w:r>
        <w:rPr>
          <w:rFonts w:ascii="Cambria" w:hAnsi="Cambria"/>
          <w:sz w:val="22"/>
        </w:rPr>
        <w:t>Core Responsibilities</w:t>
      </w:r>
    </w:p>
    <w:p>
      <w:pPr>
        <w:pStyle w:val="ListBullet2"/>
        <w:jc w:val="both"/>
      </w:pPr>
      <w:r>
        <w:rPr>
          <w:rFonts w:ascii="Cambria" w:hAnsi="Cambria"/>
          <w:sz w:val="22"/>
        </w:rPr>
        <w:t>Quality Benchmarking</w:t>
      </w:r>
    </w:p>
    <w:p>
      <w:pPr>
        <w:pStyle w:val="ListBullet"/>
        <w:jc w:val="both"/>
      </w:pPr>
      <w:r>
        <w:rPr>
          <w:rFonts w:ascii="Cambria" w:hAnsi="Cambria"/>
          <w:sz w:val="22"/>
        </w:rPr>
        <w:t>Develops and applies benchmarks for teaching, learning, research, and governance.</w:t>
      </w:r>
    </w:p>
    <w:p>
      <w:pPr>
        <w:pStyle w:val="ListBullet"/>
        <w:jc w:val="both"/>
      </w:pPr>
      <w:r>
        <w:rPr>
          <w:rFonts w:ascii="Cambria" w:hAnsi="Cambria"/>
          <w:sz w:val="22"/>
        </w:rPr>
        <w:t>Aligns performance with NAAC, NBA, NIRF, QS, and THE frameworks.</w:t>
      </w:r>
    </w:p>
    <w:p>
      <w:pPr>
        <w:pStyle w:val="ListBullet2"/>
        <w:jc w:val="both"/>
      </w:pPr>
      <w:r>
        <w:rPr>
          <w:rFonts w:ascii="Cambria" w:hAnsi="Cambria"/>
          <w:sz w:val="22"/>
        </w:rPr>
        <w:t>Accreditation Compliance</w:t>
      </w:r>
    </w:p>
    <w:p>
      <w:pPr>
        <w:pStyle w:val="ListBullet"/>
        <w:jc w:val="both"/>
      </w:pPr>
      <w:r>
        <w:rPr>
          <w:rFonts w:ascii="Cambria" w:hAnsi="Cambria"/>
          <w:sz w:val="22"/>
        </w:rPr>
        <w:t>Prepares Self-Study Reports (SSR) and Annual Quality Assurance Reports (AQAR).</w:t>
      </w:r>
    </w:p>
    <w:p>
      <w:pPr>
        <w:pStyle w:val="ListBullet"/>
        <w:jc w:val="both"/>
      </w:pPr>
      <w:r>
        <w:rPr>
          <w:rFonts w:ascii="Cambria" w:hAnsi="Cambria"/>
          <w:sz w:val="22"/>
        </w:rPr>
        <w:t>Ensures timely submission of accreditation documents.</w:t>
      </w:r>
    </w:p>
    <w:p>
      <w:pPr>
        <w:pStyle w:val="ListBullet2"/>
        <w:jc w:val="both"/>
      </w:pPr>
      <w:r>
        <w:rPr>
          <w:rFonts w:ascii="Cambria" w:hAnsi="Cambria"/>
          <w:sz w:val="22"/>
        </w:rPr>
        <w:t>Audits &amp; Monitoring</w:t>
      </w:r>
    </w:p>
    <w:p>
      <w:pPr>
        <w:pStyle w:val="ListBullet"/>
        <w:jc w:val="both"/>
      </w:pPr>
      <w:r>
        <w:rPr>
          <w:rFonts w:ascii="Cambria" w:hAnsi="Cambria"/>
          <w:sz w:val="22"/>
        </w:rPr>
        <w:t>Conducts internal academic and administrative audits.</w:t>
      </w:r>
    </w:p>
    <w:p>
      <w:pPr>
        <w:pStyle w:val="ListBullet"/>
        <w:jc w:val="both"/>
      </w:pPr>
      <w:r>
        <w:rPr>
          <w:rFonts w:ascii="Cambria" w:hAnsi="Cambria"/>
          <w:sz w:val="22"/>
        </w:rPr>
        <w:t>Tracks institutional performance indicators (KPIs).</w:t>
      </w:r>
    </w:p>
    <w:p>
      <w:pPr>
        <w:pStyle w:val="ListBullet2"/>
        <w:jc w:val="both"/>
      </w:pPr>
      <w:r>
        <w:rPr>
          <w:rFonts w:ascii="Cambria" w:hAnsi="Cambria"/>
          <w:sz w:val="22"/>
        </w:rPr>
        <w:t>Feedback Mechanisms</w:t>
      </w:r>
    </w:p>
    <w:p>
      <w:pPr>
        <w:pStyle w:val="ListBullet"/>
        <w:jc w:val="both"/>
      </w:pPr>
      <w:r>
        <w:rPr>
          <w:rFonts w:ascii="Cambria" w:hAnsi="Cambria"/>
          <w:sz w:val="22"/>
        </w:rPr>
        <w:t>Collects feedback from students, faculty, alumni, and industry.</w:t>
      </w:r>
    </w:p>
    <w:p>
      <w:pPr>
        <w:pStyle w:val="ListBullet"/>
        <w:jc w:val="both"/>
      </w:pPr>
      <w:r>
        <w:rPr>
          <w:rFonts w:ascii="Cambria" w:hAnsi="Cambria"/>
          <w:sz w:val="22"/>
        </w:rPr>
        <w:t>Integrates feedback into curriculum reforms and policy improvements.</w:t>
      </w:r>
    </w:p>
    <w:p>
      <w:pPr>
        <w:pStyle w:val="ListBullet2"/>
        <w:jc w:val="both"/>
      </w:pPr>
      <w:r>
        <w:rPr>
          <w:rFonts w:ascii="Cambria" w:hAnsi="Cambria"/>
          <w:sz w:val="22"/>
        </w:rPr>
        <w:t>Outcome-Based Education (OBE)</w:t>
      </w:r>
    </w:p>
    <w:p>
      <w:pPr>
        <w:pStyle w:val="ListBullet"/>
        <w:jc w:val="both"/>
      </w:pPr>
      <w:r>
        <w:rPr>
          <w:rFonts w:ascii="Cambria" w:hAnsi="Cambria"/>
          <w:sz w:val="22"/>
        </w:rPr>
        <w:t>Ensures CO–PO–PSO mapping and attainment analysis.</w:t>
      </w:r>
    </w:p>
    <w:p>
      <w:pPr>
        <w:pStyle w:val="ListBullet"/>
        <w:jc w:val="both"/>
      </w:pPr>
      <w:r>
        <w:rPr>
          <w:rFonts w:ascii="Cambria" w:hAnsi="Cambria"/>
          <w:sz w:val="22"/>
        </w:rPr>
        <w:t>Monitors continuous assessment practices.</w:t>
      </w:r>
    </w:p>
    <w:p>
      <w:pPr>
        <w:pStyle w:val="ListBullet2"/>
        <w:jc w:val="both"/>
      </w:pPr>
      <w:r>
        <w:rPr>
          <w:rFonts w:ascii="Cambria" w:hAnsi="Cambria"/>
          <w:sz w:val="22"/>
        </w:rPr>
        <w:t>Faculty &amp; Staff Development</w:t>
      </w:r>
    </w:p>
    <w:p>
      <w:pPr>
        <w:pStyle w:val="ListBullet"/>
        <w:jc w:val="both"/>
      </w:pPr>
      <w:r>
        <w:rPr>
          <w:rFonts w:ascii="Cambria" w:hAnsi="Cambria"/>
          <w:sz w:val="22"/>
        </w:rPr>
        <w:t>Organizes Faculty Development Programs (FDPs), workshops, and training.</w:t>
      </w:r>
    </w:p>
    <w:p>
      <w:pPr>
        <w:pStyle w:val="ListBullet"/>
        <w:jc w:val="both"/>
      </w:pPr>
      <w:r>
        <w:rPr>
          <w:rFonts w:ascii="Cambria" w:hAnsi="Cambria"/>
          <w:sz w:val="22"/>
        </w:rPr>
        <w:t>Builds capacity for teaching excellence and research productivity.</w:t>
      </w:r>
    </w:p>
    <w:p>
      <w:pPr>
        <w:pStyle w:val="ListBullet2"/>
        <w:jc w:val="both"/>
      </w:pPr>
      <w:r>
        <w:rPr>
          <w:rFonts w:ascii="Cambria" w:hAnsi="Cambria"/>
          <w:sz w:val="22"/>
        </w:rPr>
        <w:t>Documentation &amp; Best Practices</w:t>
      </w:r>
    </w:p>
    <w:p>
      <w:pPr>
        <w:pStyle w:val="ListBullet"/>
        <w:jc w:val="both"/>
      </w:pPr>
      <w:r>
        <w:rPr>
          <w:rFonts w:ascii="Cambria" w:hAnsi="Cambria"/>
          <w:sz w:val="22"/>
        </w:rPr>
        <w:t>Identifies, documents, and disseminates institutional best practices.</w:t>
      </w:r>
    </w:p>
    <w:p>
      <w:pPr>
        <w:pStyle w:val="ListBullet"/>
        <w:jc w:val="both"/>
      </w:pPr>
      <w:r>
        <w:rPr>
          <w:rFonts w:ascii="Cambria" w:hAnsi="Cambria"/>
          <w:sz w:val="22"/>
        </w:rPr>
        <w:t>Publishes IQAC reports and quality newsletters.</w:t>
      </w:r>
    </w:p>
    <w:p>
      <w:pPr>
        <w:pStyle w:val="ListBullet2"/>
        <w:jc w:val="both"/>
      </w:pPr>
      <w:r>
        <w:rPr>
          <w:rFonts w:ascii="Cambria" w:hAnsi="Cambria"/>
          <w:sz w:val="22"/>
        </w:rPr>
        <w:t>Digitalization</w:t>
      </w:r>
    </w:p>
    <w:p>
      <w:pPr>
        <w:pStyle w:val="ListBullet"/>
        <w:jc w:val="both"/>
      </w:pPr>
      <w:r>
        <w:rPr>
          <w:rFonts w:ascii="Cambria" w:hAnsi="Cambria"/>
          <w:sz w:val="22"/>
        </w:rPr>
        <w:t>Implements ERP/MIS dashboards for quality tracking.</w:t>
      </w:r>
    </w:p>
    <w:p>
      <w:pPr>
        <w:pStyle w:val="ListBullet"/>
        <w:jc w:val="both"/>
      </w:pPr>
      <w:r>
        <w:rPr>
          <w:rFonts w:ascii="Cambria" w:hAnsi="Cambria"/>
          <w:sz w:val="22"/>
        </w:rPr>
        <w:t>Promotes data-driven decision-making and transparency.</w:t>
      </w:r>
    </w:p>
    <w:p>
      <w:pPr>
        <w:pStyle w:val="ListBullet2"/>
        <w:jc w:val="both"/>
      </w:pPr>
      <w:r>
        <w:rPr>
          <w:rFonts w:ascii="Cambria" w:hAnsi="Cambria"/>
          <w:sz w:val="22"/>
        </w:rPr>
        <w:t>Rankings &amp; Visibility</w:t>
      </w:r>
    </w:p>
    <w:p>
      <w:pPr>
        <w:pStyle w:val="ListBullet"/>
        <w:jc w:val="both"/>
      </w:pPr>
      <w:r>
        <w:rPr>
          <w:rFonts w:ascii="Cambria" w:hAnsi="Cambria"/>
          <w:sz w:val="22"/>
        </w:rPr>
        <w:t>Facilitates participation in NIRF and global rankings.</w:t>
      </w:r>
    </w:p>
    <w:p>
      <w:pPr>
        <w:pStyle w:val="ListBullet"/>
        <w:jc w:val="both"/>
      </w:pPr>
      <w:r>
        <w:rPr>
          <w:rFonts w:ascii="Cambria" w:hAnsi="Cambria"/>
          <w:sz w:val="22"/>
        </w:rPr>
        <w:t>Enhances institutional competitiveness and reputation.</w:t>
      </w:r>
    </w:p>
    <w:p>
      <w:pPr>
        <w:pStyle w:val="ListBullet"/>
        <w:jc w:val="both"/>
      </w:pPr>
      <w:r>
        <w:rPr>
          <w:rFonts w:ascii="Cambria" w:hAnsi="Cambria"/>
          <w:sz w:val="22"/>
        </w:rPr>
        <w:t>Qualities of an Effective IQAC Director</w:t>
      </w:r>
    </w:p>
    <w:p>
      <w:pPr>
        <w:pStyle w:val="ListBullet2"/>
        <w:jc w:val="both"/>
      </w:pPr>
      <w:r>
        <w:rPr>
          <w:rFonts w:ascii="Cambria" w:hAnsi="Cambria"/>
          <w:sz w:val="22"/>
        </w:rPr>
        <w:t>Strong knowledge of accreditation frameworks and quality assurance.</w:t>
      </w:r>
    </w:p>
    <w:p>
      <w:pPr>
        <w:pStyle w:val="ListBullet2"/>
        <w:jc w:val="both"/>
      </w:pPr>
      <w:r>
        <w:rPr>
          <w:rFonts w:ascii="Cambria" w:hAnsi="Cambria"/>
          <w:sz w:val="22"/>
        </w:rPr>
        <w:t>Analytical and data-driven mindset.</w:t>
      </w:r>
    </w:p>
    <w:p>
      <w:pPr>
        <w:pStyle w:val="ListBullet2"/>
        <w:jc w:val="both"/>
      </w:pPr>
      <w:r>
        <w:rPr>
          <w:rFonts w:ascii="Cambria" w:hAnsi="Cambria"/>
          <w:sz w:val="22"/>
        </w:rPr>
        <w:t>Integrity, transparency, and commitment to continuous improvement.</w:t>
      </w:r>
    </w:p>
    <w:p>
      <w:pPr>
        <w:pStyle w:val="ListBullet2"/>
        <w:jc w:val="both"/>
      </w:pPr>
      <w:r>
        <w:rPr>
          <w:rFonts w:ascii="Cambria" w:hAnsi="Cambria"/>
          <w:sz w:val="22"/>
        </w:rPr>
        <w:t>Collaborative leadership to engage faculty, students, alumni, and industry.</w:t>
      </w:r>
    </w:p>
    <w:p>
      <w:pPr>
        <w:keepNext/>
        <w:spacing w:before="160" w:after="120"/>
      </w:pPr>
      <w:r>
        <w:rPr>
          <w:rFonts w:ascii="Cambria" w:hAnsi="Cambria"/>
          <w:b/>
          <w:color w:val="1F3A5F"/>
          <w:sz w:val="30"/>
        </w:rPr>
        <w:t>Director – IQAC</w:t>
      </w:r>
    </w:p>
    <w:tbl>
      <w:tblPr>
        <w:tblW w:type="auto" w:w="0"/>
        <w:tblLayout w:type="fixed"/>
        <w:tblLook w:firstColumn="1" w:firstRow="1" w:lastColumn="0" w:lastRow="0" w:noHBand="0" w:noVBand="1" w:val="04A0"/>
        <w:tblLayout w:type="fixed"/>
      </w:tblPr>
      <w:tblGrid>
        <w:gridCol w:w="2835"/>
        <w:gridCol w:w="3345"/>
        <w:gridCol w:w="2948"/>
      </w:tblGrid>
      <w:tr>
        <w:tc>
          <w:tcPr>
            <w:tcW w:type="dxa" w:w="2835"/>
            <w:shd w:val="clear" w:color="auto" w:fill="1F3A5F"/>
            <w:tcW w:w="2835" w:type="dxa"/>
          </w:tcPr>
          <w:p>
            <w:pPr>
              <w:jc w:val="center"/>
            </w:pPr>
            <w:r/>
            <w:r>
              <w:rPr>
                <w:rFonts w:ascii="Cambria" w:hAnsi="Cambria"/>
                <w:b/>
                <w:color w:val="FFFFFF"/>
                <w:sz w:val="22"/>
              </w:rPr>
              <w:t>Key Actions</w:t>
            </w:r>
          </w:p>
        </w:tc>
        <w:tc>
          <w:tcPr>
            <w:tcW w:type="dxa" w:w="3345"/>
            <w:shd w:val="clear" w:color="auto" w:fill="1F3A5F"/>
            <w:tcW w:w="3345" w:type="dxa"/>
          </w:tcPr>
          <w:p>
            <w:pPr>
              <w:jc w:val="center"/>
            </w:pPr>
            <w:r/>
            <w:r>
              <w:rPr>
                <w:rFonts w:ascii="Cambria" w:hAnsi="Cambria"/>
                <w:b/>
                <w:color w:val="FFFFFF"/>
                <w:sz w:val="22"/>
              </w:rPr>
              <w:t>Institutional Impact</w:t>
            </w:r>
          </w:p>
        </w:tc>
        <w:tc>
          <w:tcPr>
            <w:tcW w:type="dxa" w:w="2948"/>
            <w:shd w:val="clear" w:color="auto" w:fill="1F3A5F"/>
            <w:tcW w:w="2948" w:type="dxa"/>
          </w:tcPr>
          <w:p>
            <w:pPr>
              <w:jc w:val="center"/>
            </w:pPr>
            <w:r/>
            <w:r>
              <w:rPr>
                <w:rFonts w:ascii="Cambria" w:hAnsi="Cambria"/>
                <w:b/>
                <w:color w:val="FFFFFF"/>
                <w:sz w:val="22"/>
              </w:rPr>
              <w:t>Evidence / Documentation</w:t>
            </w:r>
          </w:p>
        </w:tc>
      </w:tr>
      <w:tr>
        <w:tc>
          <w:tcPr>
            <w:tcW w:type="dxa" w:w="2835"/>
            <w:tcW w:w="2835" w:type="dxa"/>
          </w:tcPr>
          <w:p>
            <w:pPr>
              <w:jc w:val="left"/>
            </w:pPr>
            <w:r/>
            <w:r>
              <w:rPr>
                <w:rFonts w:ascii="Cambria" w:hAnsi="Cambria"/>
                <w:b w:val="0"/>
                <w:sz w:val="19"/>
              </w:rPr>
              <w:t>Prepares Self-Study Reports (SSR) and Annual Quality Assurance Reports (AQAR)</w:t>
            </w:r>
          </w:p>
        </w:tc>
        <w:tc>
          <w:tcPr>
            <w:tcW w:type="dxa" w:w="3345"/>
            <w:tcW w:w="3345" w:type="dxa"/>
          </w:tcPr>
          <w:p>
            <w:pPr>
              <w:jc w:val="center"/>
            </w:pPr>
            <w:r/>
            <w:r>
              <w:rPr>
                <w:rFonts w:ascii="Cambria" w:hAnsi="Cambria"/>
                <w:b w:val="0"/>
                <w:sz w:val="19"/>
              </w:rPr>
              <w:t>Demonstrates institutional accountability and readiness for accreditation; strengthens NAAC/NBA outcomes.</w:t>
            </w:r>
          </w:p>
        </w:tc>
        <w:tc>
          <w:tcPr>
            <w:tcW w:type="dxa" w:w="2948"/>
            <w:tcW w:w="2948" w:type="dxa"/>
          </w:tcPr>
          <w:p>
            <w:pPr>
              <w:jc w:val="center"/>
            </w:pPr>
            <w:r/>
            <w:r>
              <w:rPr>
                <w:rFonts w:ascii="Cambria" w:hAnsi="Cambria"/>
                <w:b w:val="0"/>
                <w:sz w:val="19"/>
              </w:rPr>
              <w:t>SSR submissions, AQAR reports, accreditation feedback, peer team visit records.</w:t>
            </w:r>
          </w:p>
        </w:tc>
      </w:tr>
      <w:tr>
        <w:tc>
          <w:tcPr>
            <w:tcW w:type="dxa" w:w="2835"/>
            <w:tcW w:w="2835" w:type="dxa"/>
            <w:shd w:val="clear" w:color="auto" w:fill="D9E2EC"/>
          </w:tcPr>
          <w:p>
            <w:pPr>
              <w:jc w:val="left"/>
            </w:pPr>
            <w:r/>
            <w:r>
              <w:rPr>
                <w:rFonts w:ascii="Cambria" w:hAnsi="Cambria"/>
                <w:b w:val="0"/>
                <w:sz w:val="19"/>
              </w:rPr>
              <w:t>Develops quality benchmarks for teaching, learning, and research</w:t>
            </w:r>
          </w:p>
        </w:tc>
        <w:tc>
          <w:tcPr>
            <w:tcW w:type="dxa" w:w="3345"/>
            <w:tcW w:w="3345" w:type="dxa"/>
            <w:shd w:val="clear" w:color="auto" w:fill="D9E2EC"/>
          </w:tcPr>
          <w:p>
            <w:pPr>
              <w:jc w:val="center"/>
            </w:pPr>
            <w:r/>
            <w:r>
              <w:rPr>
                <w:rFonts w:ascii="Cambria" w:hAnsi="Cambria"/>
                <w:b w:val="0"/>
                <w:sz w:val="19"/>
              </w:rPr>
              <w:t>Continuous improvement in academic delivery, curriculum design, and research output.</w:t>
            </w:r>
          </w:p>
        </w:tc>
        <w:tc>
          <w:tcPr>
            <w:tcW w:type="dxa" w:w="2948"/>
            <w:tcW w:w="2948" w:type="dxa"/>
            <w:shd w:val="clear" w:color="auto" w:fill="D9E2EC"/>
          </w:tcPr>
          <w:p>
            <w:pPr>
              <w:jc w:val="center"/>
            </w:pPr>
            <w:r/>
            <w:r>
              <w:rPr>
                <w:rFonts w:ascii="Cambria" w:hAnsi="Cambria"/>
                <w:b w:val="0"/>
                <w:sz w:val="19"/>
              </w:rPr>
              <w:t>Benchmarking reports, academic audit records, faculty development program reports.</w:t>
            </w:r>
          </w:p>
        </w:tc>
      </w:tr>
      <w:tr>
        <w:tc>
          <w:tcPr>
            <w:tcW w:type="dxa" w:w="2835"/>
            <w:tcW w:w="2835" w:type="dxa"/>
          </w:tcPr>
          <w:p>
            <w:pPr>
              <w:jc w:val="left"/>
            </w:pPr>
            <w:r/>
            <w:r>
              <w:rPr>
                <w:rFonts w:ascii="Cambria" w:hAnsi="Cambria"/>
                <w:b w:val="0"/>
                <w:sz w:val="19"/>
              </w:rPr>
              <w:t>Conducts internal academic and administrative audits</w:t>
            </w:r>
          </w:p>
        </w:tc>
        <w:tc>
          <w:tcPr>
            <w:tcW w:type="dxa" w:w="3345"/>
            <w:tcW w:w="3345" w:type="dxa"/>
          </w:tcPr>
          <w:p>
            <w:pPr>
              <w:jc w:val="center"/>
            </w:pPr>
            <w:r/>
            <w:r>
              <w:rPr>
                <w:rFonts w:ascii="Cambria" w:hAnsi="Cambria"/>
                <w:b w:val="0"/>
                <w:sz w:val="19"/>
              </w:rPr>
              <w:t>Identifies strengths and gaps; ensures corrective measures for governance and academic quality.</w:t>
            </w:r>
          </w:p>
        </w:tc>
        <w:tc>
          <w:tcPr>
            <w:tcW w:type="dxa" w:w="2948"/>
            <w:tcW w:w="2948" w:type="dxa"/>
          </w:tcPr>
          <w:p>
            <w:pPr>
              <w:jc w:val="center"/>
            </w:pPr>
            <w:r/>
            <w:r>
              <w:rPr>
                <w:rFonts w:ascii="Cambria" w:hAnsi="Cambria"/>
                <w:b w:val="0"/>
                <w:sz w:val="19"/>
              </w:rPr>
              <w:t>Internal audit reports, corrective action plans, compliance records.</w:t>
            </w:r>
          </w:p>
        </w:tc>
      </w:tr>
    </w:tbl>
    <w:tbl>
      <w:tblPr>
        <w:tblW w:type="auto" w:w="0"/>
        <w:tblLayout w:type="fixed"/>
        <w:tblLook w:firstColumn="1" w:firstRow="1" w:lastColumn="0" w:lastRow="0" w:noHBand="0" w:noVBand="1" w:val="04A0"/>
        <w:tblLayout w:type="fixed"/>
      </w:tblPr>
      <w:tblGrid>
        <w:gridCol w:w="2835"/>
        <w:gridCol w:w="3345"/>
        <w:gridCol w:w="2948"/>
      </w:tblGrid>
      <w:tr>
        <w:tc>
          <w:tcPr>
            <w:tcW w:type="dxa" w:w="2835"/>
            <w:shd w:val="clear" w:color="auto" w:fill="1F3A5F"/>
            <w:tcW w:w="2835" w:type="dxa"/>
          </w:tcPr>
          <w:p>
            <w:pPr>
              <w:jc w:val="center"/>
            </w:pPr>
            <w:r/>
            <w:r>
              <w:rPr>
                <w:rFonts w:ascii="Cambria" w:hAnsi="Cambria"/>
                <w:b/>
                <w:color w:val="FFFFFF"/>
                <w:sz w:val="22"/>
              </w:rPr>
              <w:t>Key Actions</w:t>
            </w:r>
          </w:p>
        </w:tc>
        <w:tc>
          <w:tcPr>
            <w:tcW w:type="dxa" w:w="3345"/>
            <w:shd w:val="clear" w:color="auto" w:fill="1F3A5F"/>
            <w:tcW w:w="3345" w:type="dxa"/>
          </w:tcPr>
          <w:p>
            <w:pPr>
              <w:jc w:val="center"/>
            </w:pPr>
            <w:r/>
            <w:r>
              <w:rPr>
                <w:rFonts w:ascii="Cambria" w:hAnsi="Cambria"/>
                <w:b/>
                <w:color w:val="FFFFFF"/>
                <w:sz w:val="22"/>
              </w:rPr>
              <w:t>Institutional Impact</w:t>
            </w:r>
          </w:p>
        </w:tc>
        <w:tc>
          <w:tcPr>
            <w:tcW w:type="dxa" w:w="2948"/>
            <w:shd w:val="clear" w:color="auto" w:fill="1F3A5F"/>
            <w:tcW w:w="2948" w:type="dxa"/>
          </w:tcPr>
          <w:p>
            <w:pPr>
              <w:jc w:val="center"/>
            </w:pPr>
            <w:r/>
            <w:r>
              <w:rPr>
                <w:rFonts w:ascii="Cambria" w:hAnsi="Cambria"/>
                <w:b/>
                <w:color w:val="FFFFFF"/>
                <w:sz w:val="22"/>
              </w:rPr>
              <w:t>Evidence / Documentation</w:t>
            </w:r>
          </w:p>
        </w:tc>
      </w:tr>
      <w:tr>
        <w:tc>
          <w:tcPr>
            <w:tcW w:type="dxa" w:w="2835"/>
            <w:tcW w:w="2835" w:type="dxa"/>
          </w:tcPr>
          <w:p>
            <w:pPr>
              <w:jc w:val="left"/>
            </w:pPr>
            <w:r/>
            <w:r>
              <w:rPr>
                <w:rFonts w:ascii="Cambria" w:hAnsi="Cambria"/>
                <w:b w:val="0"/>
                <w:sz w:val="19"/>
              </w:rPr>
              <w:t>Monitors NIRF, NAAC, NBA, QS, THE performance indicators</w:t>
            </w:r>
          </w:p>
        </w:tc>
        <w:tc>
          <w:tcPr>
            <w:tcW w:type="dxa" w:w="3345"/>
            <w:tcW w:w="3345" w:type="dxa"/>
          </w:tcPr>
          <w:p>
            <w:pPr>
              <w:jc w:val="center"/>
            </w:pPr>
            <w:r/>
            <w:r>
              <w:rPr>
                <w:rFonts w:ascii="Cambria" w:hAnsi="Cambria"/>
                <w:b w:val="0"/>
                <w:sz w:val="19"/>
              </w:rPr>
              <w:t>Improved national and global rankings; enhanced institutional reputation and competitiveness.</w:t>
            </w:r>
          </w:p>
        </w:tc>
        <w:tc>
          <w:tcPr>
            <w:tcW w:type="dxa" w:w="2948"/>
            <w:tcW w:w="2948" w:type="dxa"/>
          </w:tcPr>
          <w:p>
            <w:pPr>
              <w:jc w:val="center"/>
            </w:pPr>
            <w:r/>
            <w:r>
              <w:rPr>
                <w:rFonts w:ascii="Cambria" w:hAnsi="Cambria"/>
                <w:b w:val="0"/>
                <w:sz w:val="19"/>
              </w:rPr>
              <w:t>NIRF data sheets, NBA program accreditation reports, QS/THE submission records.</w:t>
            </w:r>
          </w:p>
        </w:tc>
      </w:tr>
      <w:tr>
        <w:tc>
          <w:tcPr>
            <w:tcW w:type="dxa" w:w="2835"/>
            <w:tcW w:w="2835" w:type="dxa"/>
            <w:shd w:val="clear" w:color="auto" w:fill="D9E2EC"/>
          </w:tcPr>
          <w:p>
            <w:pPr>
              <w:jc w:val="left"/>
            </w:pPr>
            <w:r/>
            <w:r>
              <w:rPr>
                <w:rFonts w:ascii="Cambria" w:hAnsi="Cambria"/>
                <w:b w:val="0"/>
                <w:sz w:val="19"/>
              </w:rPr>
              <w:t>Implements feedback mechanisms (students, alumni, industry, faculty)</w:t>
            </w:r>
          </w:p>
        </w:tc>
        <w:tc>
          <w:tcPr>
            <w:tcW w:type="dxa" w:w="3345"/>
            <w:tcW w:w="3345" w:type="dxa"/>
            <w:shd w:val="clear" w:color="auto" w:fill="D9E2EC"/>
          </w:tcPr>
          <w:p>
            <w:pPr>
              <w:jc w:val="center"/>
            </w:pPr>
            <w:r/>
            <w:r>
              <w:rPr>
                <w:rFonts w:ascii="Cambria" w:hAnsi="Cambria"/>
                <w:b w:val="0"/>
                <w:sz w:val="19"/>
              </w:rPr>
              <w:t>Data-driven decision-making; enhanced student/faculty satisfaction and industry relevance.</w:t>
            </w:r>
          </w:p>
        </w:tc>
        <w:tc>
          <w:tcPr>
            <w:tcW w:type="dxa" w:w="2948"/>
            <w:tcW w:w="2948" w:type="dxa"/>
            <w:shd w:val="clear" w:color="auto" w:fill="D9E2EC"/>
          </w:tcPr>
          <w:p>
            <w:pPr>
              <w:jc w:val="center"/>
            </w:pPr>
            <w:r/>
            <w:r>
              <w:rPr>
                <w:rFonts w:ascii="Cambria" w:hAnsi="Cambria"/>
                <w:b w:val="0"/>
                <w:sz w:val="19"/>
              </w:rPr>
              <w:t>Feedback forms, analysis reports, action taken reports (ATRs).</w:t>
            </w:r>
          </w:p>
        </w:tc>
      </w:tr>
      <w:tr>
        <w:tc>
          <w:tcPr>
            <w:tcW w:type="dxa" w:w="2835"/>
            <w:tcW w:w="2835" w:type="dxa"/>
          </w:tcPr>
          <w:p>
            <w:pPr>
              <w:jc w:val="left"/>
            </w:pPr>
            <w:r/>
            <w:r>
              <w:rPr>
                <w:rFonts w:ascii="Cambria" w:hAnsi="Cambria"/>
                <w:b w:val="0"/>
                <w:sz w:val="19"/>
              </w:rPr>
              <w:t>Promotes outcome-based education (OBE) and continuous assessment practices</w:t>
            </w:r>
          </w:p>
        </w:tc>
        <w:tc>
          <w:tcPr>
            <w:tcW w:type="dxa" w:w="3345"/>
            <w:tcW w:w="3345" w:type="dxa"/>
          </w:tcPr>
          <w:p>
            <w:pPr>
              <w:jc w:val="center"/>
            </w:pPr>
            <w:r/>
            <w:r>
              <w:rPr>
                <w:rFonts w:ascii="Cambria" w:hAnsi="Cambria"/>
                <w:b w:val="0"/>
                <w:sz w:val="19"/>
              </w:rPr>
              <w:t>Strengthened graduate attributes, employability, and alignment with global education standards.</w:t>
            </w:r>
          </w:p>
        </w:tc>
        <w:tc>
          <w:tcPr>
            <w:tcW w:type="dxa" w:w="2948"/>
            <w:tcW w:w="2948" w:type="dxa"/>
          </w:tcPr>
          <w:p>
            <w:pPr>
              <w:jc w:val="center"/>
            </w:pPr>
            <w:r/>
            <w:r>
              <w:rPr>
                <w:rFonts w:ascii="Cambria" w:hAnsi="Cambria"/>
                <w:b w:val="0"/>
                <w:sz w:val="19"/>
              </w:rPr>
              <w:t>OBE course files, CO-PO mapping reports, attainment data.</w:t>
            </w:r>
          </w:p>
        </w:tc>
      </w:tr>
      <w:tr>
        <w:tc>
          <w:tcPr>
            <w:tcW w:type="dxa" w:w="2835"/>
            <w:tcW w:w="2835" w:type="dxa"/>
            <w:shd w:val="clear" w:color="auto" w:fill="D9E2EC"/>
          </w:tcPr>
          <w:p>
            <w:pPr>
              <w:jc w:val="left"/>
            </w:pPr>
            <w:r/>
            <w:r>
              <w:rPr>
                <w:rFonts w:ascii="Cambria" w:hAnsi="Cambria"/>
                <w:b w:val="0"/>
                <w:sz w:val="19"/>
              </w:rPr>
              <w:t>Organizes Faculty Development Programs (FDPs) and training workshops</w:t>
            </w:r>
          </w:p>
        </w:tc>
        <w:tc>
          <w:tcPr>
            <w:tcW w:type="dxa" w:w="3345"/>
            <w:tcW w:w="3345" w:type="dxa"/>
            <w:shd w:val="clear" w:color="auto" w:fill="D9E2EC"/>
          </w:tcPr>
          <w:p>
            <w:pPr>
              <w:jc w:val="center"/>
            </w:pPr>
            <w:r/>
            <w:r>
              <w:rPr>
                <w:rFonts w:ascii="Cambria" w:hAnsi="Cambria"/>
                <w:b w:val="0"/>
                <w:sz w:val="19"/>
              </w:rPr>
              <w:t>Capacity building among faculty and staff; improved teaching-learning processes.</w:t>
            </w:r>
          </w:p>
        </w:tc>
        <w:tc>
          <w:tcPr>
            <w:tcW w:type="dxa" w:w="2948"/>
            <w:tcW w:w="2948" w:type="dxa"/>
            <w:shd w:val="clear" w:color="auto" w:fill="D9E2EC"/>
          </w:tcPr>
          <w:p>
            <w:pPr>
              <w:jc w:val="center"/>
            </w:pPr>
            <w:r/>
            <w:r>
              <w:rPr>
                <w:rFonts w:ascii="Cambria" w:hAnsi="Cambria"/>
                <w:b w:val="0"/>
                <w:sz w:val="19"/>
              </w:rPr>
              <w:t>FDP schedules, attendance records, workshop proceedings.</w:t>
            </w:r>
          </w:p>
        </w:tc>
      </w:tr>
      <w:tr>
        <w:tc>
          <w:tcPr>
            <w:tcW w:type="dxa" w:w="2835"/>
            <w:tcW w:w="2835" w:type="dxa"/>
          </w:tcPr>
          <w:p>
            <w:pPr>
              <w:jc w:val="left"/>
            </w:pPr>
            <w:r/>
            <w:r>
              <w:rPr>
                <w:rFonts w:ascii="Cambria" w:hAnsi="Cambria"/>
                <w:b w:val="0"/>
                <w:sz w:val="19"/>
              </w:rPr>
              <w:t>Documents best practices and case studies</w:t>
            </w:r>
          </w:p>
        </w:tc>
        <w:tc>
          <w:tcPr>
            <w:tcW w:type="dxa" w:w="3345"/>
            <w:tcW w:w="3345" w:type="dxa"/>
          </w:tcPr>
          <w:p>
            <w:pPr>
              <w:jc w:val="center"/>
            </w:pPr>
            <w:r/>
            <w:r>
              <w:rPr>
                <w:rFonts w:ascii="Cambria" w:hAnsi="Cambria"/>
                <w:b w:val="0"/>
                <w:sz w:val="19"/>
              </w:rPr>
              <w:t>Dissemination of innovative practices; recognition in accreditation reports and peer benchmarking.</w:t>
            </w:r>
          </w:p>
        </w:tc>
        <w:tc>
          <w:tcPr>
            <w:tcW w:type="dxa" w:w="2948"/>
            <w:tcW w:w="2948" w:type="dxa"/>
          </w:tcPr>
          <w:p>
            <w:pPr>
              <w:jc w:val="center"/>
            </w:pPr>
            <w:r/>
            <w:r>
              <w:rPr>
                <w:rFonts w:ascii="Cambria" w:hAnsi="Cambria"/>
                <w:b w:val="0"/>
                <w:sz w:val="19"/>
              </w:rPr>
              <w:t>Best practice documentation, IQAC annual newsletters, case study repositories.</w:t>
            </w:r>
          </w:p>
        </w:tc>
      </w:tr>
      <w:tr>
        <w:tc>
          <w:tcPr>
            <w:tcW w:type="dxa" w:w="2835"/>
            <w:tcW w:w="2835" w:type="dxa"/>
            <w:shd w:val="clear" w:color="auto" w:fill="D9E2EC"/>
          </w:tcPr>
          <w:p>
            <w:pPr>
              <w:jc w:val="left"/>
            </w:pPr>
            <w:r/>
            <w:r>
              <w:rPr>
                <w:rFonts w:ascii="Cambria" w:hAnsi="Cambria"/>
                <w:b w:val="0"/>
                <w:sz w:val="19"/>
              </w:rPr>
              <w:t>Facilitates digital dashboards and MIS for quality monitoring</w:t>
            </w:r>
          </w:p>
        </w:tc>
        <w:tc>
          <w:tcPr>
            <w:tcW w:type="dxa" w:w="3345"/>
            <w:tcW w:w="3345" w:type="dxa"/>
            <w:shd w:val="clear" w:color="auto" w:fill="D9E2EC"/>
          </w:tcPr>
          <w:p>
            <w:pPr>
              <w:jc w:val="center"/>
            </w:pPr>
            <w:r/>
            <w:r>
              <w:rPr>
                <w:rFonts w:ascii="Cambria" w:hAnsi="Cambria"/>
                <w:b w:val="0"/>
                <w:sz w:val="19"/>
              </w:rPr>
              <w:t>Real-time monitoring of KPIs; enhanced transparency and efficiency in governance.</w:t>
            </w:r>
          </w:p>
        </w:tc>
        <w:tc>
          <w:tcPr>
            <w:tcW w:type="dxa" w:w="2948"/>
            <w:tcW w:w="2948" w:type="dxa"/>
            <w:shd w:val="clear" w:color="auto" w:fill="D9E2EC"/>
          </w:tcPr>
          <w:p>
            <w:pPr>
              <w:jc w:val="center"/>
            </w:pPr>
            <w:r/>
            <w:r>
              <w:rPr>
                <w:rFonts w:ascii="Cambria" w:hAnsi="Cambria"/>
                <w:b w:val="0"/>
                <w:sz w:val="19"/>
              </w:rPr>
              <w:t>ERP/MIS records, quality dashboards, KPI monitoring reports.</w:t>
            </w:r>
          </w:p>
        </w:tc>
      </w:tr>
    </w:tbl>
    <w:p>
      <w:pPr>
        <w:keepNext/>
        <w:spacing w:before="160" w:after="120"/>
      </w:pPr>
      <w:r>
        <w:rPr>
          <w:rFonts w:ascii="Cambria" w:hAnsi="Cambria"/>
          <w:b/>
          <w:color w:val="1F3A5F"/>
          <w:sz w:val="30"/>
        </w:rPr>
        <w:t>3-Year IQAC Progress Tracker</w:t>
      </w:r>
    </w:p>
    <w:tbl>
      <w:tblPr>
        <w:tblW w:type="auto" w:w="0"/>
        <w:tblLayout w:type="fixed"/>
        <w:tblLook w:firstColumn="1" w:firstRow="1" w:lastColumn="0" w:lastRow="0" w:noHBand="0" w:noVBand="1" w:val="04A0"/>
        <w:tblLayout w:type="fixed"/>
      </w:tblPr>
      <w:tblGrid>
        <w:gridCol w:w="1927"/>
        <w:gridCol w:w="2438"/>
        <w:gridCol w:w="2438"/>
        <w:gridCol w:w="2324"/>
      </w:tblGrid>
      <w:tr>
        <w:tc>
          <w:tcPr>
            <w:tcW w:type="dxa" w:w="1928"/>
            <w:shd w:val="clear" w:color="auto" w:fill="1F3A5F"/>
            <w:tcW w:w="1927" w:type="dxa"/>
          </w:tcPr>
          <w:p>
            <w:pPr>
              <w:jc w:val="center"/>
            </w:pPr>
            <w:r/>
            <w:r>
              <w:rPr>
                <w:rFonts w:ascii="Cambria" w:hAnsi="Cambria"/>
                <w:b/>
                <w:color w:val="FFFFFF"/>
                <w:sz w:val="20"/>
              </w:rPr>
              <w:t>Focus Area</w:t>
            </w:r>
          </w:p>
        </w:tc>
        <w:tc>
          <w:tcPr>
            <w:tcW w:type="dxa" w:w="2438"/>
            <w:shd w:val="clear" w:color="auto" w:fill="1F3A5F"/>
            <w:tcW w:w="2438" w:type="dxa"/>
          </w:tcPr>
          <w:p>
            <w:pPr>
              <w:jc w:val="center"/>
            </w:pPr>
            <w:r/>
            <w:r>
              <w:rPr>
                <w:rFonts w:ascii="Cambria" w:hAnsi="Cambria"/>
                <w:b/>
                <w:color w:val="FFFFFF"/>
                <w:sz w:val="20"/>
              </w:rPr>
              <w:t>Year 1 – Foundation</w:t>
            </w:r>
          </w:p>
        </w:tc>
        <w:tc>
          <w:tcPr>
            <w:tcW w:type="dxa" w:w="2438"/>
            <w:shd w:val="clear" w:color="auto" w:fill="1F3A5F"/>
            <w:tcW w:w="2438" w:type="dxa"/>
          </w:tcPr>
          <w:p>
            <w:pPr>
              <w:jc w:val="center"/>
            </w:pPr>
            <w:r/>
            <w:r>
              <w:rPr>
                <w:rFonts w:ascii="Cambria" w:hAnsi="Cambria"/>
                <w:b/>
                <w:color w:val="FFFFFF"/>
                <w:sz w:val="20"/>
              </w:rPr>
              <w:t>Year 2 – Growth &amp; Consolidation</w:t>
            </w:r>
          </w:p>
        </w:tc>
        <w:tc>
          <w:tcPr>
            <w:tcW w:type="dxa" w:w="2324"/>
            <w:shd w:val="clear" w:color="auto" w:fill="1F3A5F"/>
            <w:tcW w:w="2324" w:type="dxa"/>
          </w:tcPr>
          <w:p>
            <w:pPr>
              <w:jc w:val="center"/>
            </w:pPr>
            <w:r/>
            <w:r>
              <w:rPr>
                <w:rFonts w:ascii="Cambria" w:hAnsi="Cambria"/>
                <w:b/>
                <w:color w:val="FFFFFF"/>
                <w:sz w:val="20"/>
              </w:rPr>
              <w:t>Year 3 – Maturity &amp; Impact</w:t>
            </w:r>
          </w:p>
        </w:tc>
      </w:tr>
      <w:tr>
        <w:tc>
          <w:tcPr>
            <w:tcW w:type="dxa" w:w="1928"/>
            <w:tcW w:w="1927" w:type="dxa"/>
          </w:tcPr>
          <w:p>
            <w:pPr>
              <w:jc w:val="left"/>
            </w:pPr>
            <w:r/>
            <w:r>
              <w:rPr>
                <w:rFonts w:ascii="Cambria" w:hAnsi="Cambria"/>
                <w:b w:val="0"/>
                <w:sz w:val="18"/>
              </w:rPr>
              <w:t>Accreditation &amp; Compliance</w:t>
            </w:r>
          </w:p>
        </w:tc>
        <w:tc>
          <w:tcPr>
            <w:tcW w:type="dxa" w:w="2438"/>
            <w:tcW w:w="2438" w:type="dxa"/>
          </w:tcPr>
          <w:p>
            <w:pPr>
              <w:jc w:val="center"/>
            </w:pPr>
            <w:r/>
            <w:r>
              <w:rPr>
                <w:rFonts w:ascii="Cambria" w:hAnsi="Cambria"/>
                <w:b w:val="0"/>
                <w:sz w:val="18"/>
              </w:rPr>
              <w:t>Preparation of baseline SSR/AQAR; compliance with minimum NAAC/NBA requirements.</w:t>
            </w:r>
          </w:p>
        </w:tc>
        <w:tc>
          <w:tcPr>
            <w:tcW w:type="dxa" w:w="2438"/>
            <w:tcW w:w="2438" w:type="dxa"/>
          </w:tcPr>
          <w:p>
            <w:pPr>
              <w:jc w:val="center"/>
            </w:pPr>
            <w:r/>
            <w:r>
              <w:rPr>
                <w:rFonts w:ascii="Cambria" w:hAnsi="Cambria"/>
                <w:b w:val="0"/>
                <w:sz w:val="18"/>
              </w:rPr>
              <w:t>Mid-cycle academic and administrative audits conducted; partial accreditation achieved for some programs.</w:t>
            </w:r>
          </w:p>
        </w:tc>
        <w:tc>
          <w:tcPr>
            <w:tcW w:type="dxa" w:w="2324"/>
            <w:tcW w:w="2324" w:type="dxa"/>
          </w:tcPr>
          <w:p>
            <w:pPr>
              <w:jc w:val="center"/>
            </w:pPr>
            <w:r/>
            <w:r>
              <w:rPr>
                <w:rFonts w:ascii="Cambria" w:hAnsi="Cambria"/>
                <w:b w:val="0"/>
                <w:sz w:val="18"/>
              </w:rPr>
              <w:t>Full NAAC/NBA cycle completed with improved grades; reaccreditation readiness ensured.</w:t>
            </w:r>
          </w:p>
        </w:tc>
      </w:tr>
      <w:tr>
        <w:tc>
          <w:tcPr>
            <w:tcW w:type="dxa" w:w="1928"/>
            <w:tcW w:w="1927" w:type="dxa"/>
            <w:shd w:val="clear" w:color="auto" w:fill="D9E2EC"/>
          </w:tcPr>
          <w:p>
            <w:pPr>
              <w:jc w:val="left"/>
            </w:pPr>
            <w:r/>
            <w:r>
              <w:rPr>
                <w:rFonts w:ascii="Cambria" w:hAnsi="Cambria"/>
                <w:b w:val="0"/>
                <w:sz w:val="18"/>
              </w:rPr>
              <w:t>Quality Benchmarks</w:t>
            </w:r>
          </w:p>
        </w:tc>
        <w:tc>
          <w:tcPr>
            <w:tcW w:type="dxa" w:w="2438"/>
            <w:tcW w:w="2438" w:type="dxa"/>
            <w:shd w:val="clear" w:color="auto" w:fill="D9E2EC"/>
          </w:tcPr>
          <w:p>
            <w:pPr>
              <w:jc w:val="center"/>
            </w:pPr>
            <w:r/>
            <w:r>
              <w:rPr>
                <w:rFonts w:ascii="Cambria" w:hAnsi="Cambria"/>
                <w:b w:val="0"/>
                <w:sz w:val="18"/>
              </w:rPr>
              <w:t>Initial benchmarks for teaching, research, and governance defined.</w:t>
            </w:r>
          </w:p>
        </w:tc>
        <w:tc>
          <w:tcPr>
            <w:tcW w:type="dxa" w:w="2438"/>
            <w:tcW w:w="2438" w:type="dxa"/>
            <w:shd w:val="clear" w:color="auto" w:fill="D9E2EC"/>
          </w:tcPr>
          <w:p>
            <w:pPr>
              <w:jc w:val="center"/>
            </w:pPr>
            <w:r/>
            <w:r>
              <w:rPr>
                <w:rFonts w:ascii="Cambria" w:hAnsi="Cambria"/>
                <w:b w:val="0"/>
                <w:sz w:val="18"/>
              </w:rPr>
              <w:t>Benchmarks revised based on stakeholder feedback and performance data.</w:t>
            </w:r>
          </w:p>
        </w:tc>
        <w:tc>
          <w:tcPr>
            <w:tcW w:type="dxa" w:w="2324"/>
            <w:tcW w:w="2324" w:type="dxa"/>
            <w:shd w:val="clear" w:color="auto" w:fill="D9E2EC"/>
          </w:tcPr>
          <w:p>
            <w:pPr>
              <w:jc w:val="center"/>
            </w:pPr>
            <w:r/>
            <w:r>
              <w:rPr>
                <w:rFonts w:ascii="Cambria" w:hAnsi="Cambria"/>
                <w:b w:val="0"/>
                <w:sz w:val="18"/>
              </w:rPr>
              <w:t>Continuous improvement culture institutionalized; benchmarking aligned with global standards (QS/THE).</w:t>
            </w:r>
          </w:p>
        </w:tc>
      </w:tr>
      <w:tr>
        <w:tc>
          <w:tcPr>
            <w:tcW w:type="dxa" w:w="1928"/>
            <w:tcW w:w="1927" w:type="dxa"/>
          </w:tcPr>
          <w:p>
            <w:pPr>
              <w:jc w:val="left"/>
            </w:pPr>
            <w:r/>
            <w:r>
              <w:rPr>
                <w:rFonts w:ascii="Cambria" w:hAnsi="Cambria"/>
                <w:b w:val="0"/>
                <w:sz w:val="18"/>
              </w:rPr>
              <w:t>Academic &amp; Administrative Audits</w:t>
            </w:r>
          </w:p>
        </w:tc>
        <w:tc>
          <w:tcPr>
            <w:tcW w:type="dxa" w:w="2438"/>
            <w:tcW w:w="2438" w:type="dxa"/>
          </w:tcPr>
          <w:p>
            <w:pPr>
              <w:jc w:val="center"/>
            </w:pPr>
            <w:r/>
            <w:r>
              <w:rPr>
                <w:rFonts w:ascii="Cambria" w:hAnsi="Cambria"/>
                <w:b w:val="0"/>
                <w:sz w:val="18"/>
              </w:rPr>
              <w:t>Pilot academic audit conducted in 1–2 departments.</w:t>
            </w:r>
          </w:p>
        </w:tc>
        <w:tc>
          <w:tcPr>
            <w:tcW w:type="dxa" w:w="2438"/>
            <w:tcW w:w="2438" w:type="dxa"/>
          </w:tcPr>
          <w:p>
            <w:pPr>
              <w:jc w:val="center"/>
            </w:pPr>
            <w:r/>
            <w:r>
              <w:rPr>
                <w:rFonts w:ascii="Cambria" w:hAnsi="Cambria"/>
                <w:b w:val="0"/>
                <w:sz w:val="18"/>
              </w:rPr>
              <w:t>Regular academic &amp; administrative audits across all faculties.</w:t>
            </w:r>
          </w:p>
        </w:tc>
        <w:tc>
          <w:tcPr>
            <w:tcW w:type="dxa" w:w="2324"/>
            <w:tcW w:w="2324" w:type="dxa"/>
          </w:tcPr>
          <w:p>
            <w:pPr>
              <w:jc w:val="center"/>
            </w:pPr>
            <w:r/>
            <w:r>
              <w:rPr>
                <w:rFonts w:ascii="Cambria" w:hAnsi="Cambria"/>
                <w:b w:val="0"/>
                <w:sz w:val="18"/>
              </w:rPr>
              <w:t>Institutional audit reports published annually; corrective actions fully embedded.</w:t>
            </w:r>
          </w:p>
        </w:tc>
      </w:tr>
      <w:tr>
        <w:tc>
          <w:tcPr>
            <w:tcW w:type="dxa" w:w="1928"/>
            <w:tcW w:w="1927" w:type="dxa"/>
            <w:shd w:val="clear" w:color="auto" w:fill="D9E2EC"/>
          </w:tcPr>
          <w:p>
            <w:pPr>
              <w:jc w:val="left"/>
            </w:pPr>
            <w:r/>
            <w:r>
              <w:rPr>
                <w:rFonts w:ascii="Cambria" w:hAnsi="Cambria"/>
                <w:b w:val="0"/>
                <w:sz w:val="18"/>
              </w:rPr>
              <w:t>Ranking Performance (NIRF/QS/THE)</w:t>
            </w:r>
          </w:p>
        </w:tc>
        <w:tc>
          <w:tcPr>
            <w:tcW w:type="dxa" w:w="2438"/>
            <w:tcW w:w="2438" w:type="dxa"/>
            <w:shd w:val="clear" w:color="auto" w:fill="D9E2EC"/>
          </w:tcPr>
          <w:p>
            <w:pPr>
              <w:jc w:val="center"/>
            </w:pPr>
            <w:r/>
            <w:r>
              <w:rPr>
                <w:rFonts w:ascii="Cambria" w:hAnsi="Cambria"/>
                <w:b w:val="0"/>
                <w:sz w:val="18"/>
              </w:rPr>
              <w:t>Baseline NIRF data submitted; initial participation in QS/THE rankings.</w:t>
            </w:r>
          </w:p>
        </w:tc>
        <w:tc>
          <w:tcPr>
            <w:tcW w:type="dxa" w:w="2438"/>
            <w:tcW w:w="2438" w:type="dxa"/>
            <w:shd w:val="clear" w:color="auto" w:fill="D9E2EC"/>
          </w:tcPr>
          <w:p>
            <w:pPr>
              <w:jc w:val="center"/>
            </w:pPr>
            <w:r/>
            <w:r>
              <w:rPr>
                <w:rFonts w:ascii="Cambria" w:hAnsi="Cambria"/>
                <w:b w:val="0"/>
                <w:sz w:val="18"/>
              </w:rPr>
              <w:t>Improvement in NIRF rank; first recognition in QS subject rankings.</w:t>
            </w:r>
          </w:p>
        </w:tc>
        <w:tc>
          <w:tcPr>
            <w:tcW w:type="dxa" w:w="2324"/>
            <w:tcW w:w="2324" w:type="dxa"/>
            <w:shd w:val="clear" w:color="auto" w:fill="D9E2EC"/>
          </w:tcPr>
          <w:p>
            <w:pPr>
              <w:jc w:val="center"/>
            </w:pPr>
            <w:r/>
            <w:r>
              <w:rPr>
                <w:rFonts w:ascii="Cambria" w:hAnsi="Cambria"/>
                <w:b w:val="0"/>
                <w:sz w:val="18"/>
              </w:rPr>
              <w:t>Significant rise in national/global rankings; brand visibility strengthened.</w:t>
            </w:r>
          </w:p>
        </w:tc>
      </w:tr>
      <w:tr>
        <w:tc>
          <w:tcPr>
            <w:tcW w:type="dxa" w:w="1928"/>
            <w:tcW w:w="1927" w:type="dxa"/>
          </w:tcPr>
          <w:p>
            <w:pPr>
              <w:jc w:val="left"/>
            </w:pPr>
            <w:r/>
            <w:r>
              <w:rPr>
                <w:rFonts w:ascii="Cambria" w:hAnsi="Cambria"/>
                <w:b w:val="0"/>
                <w:sz w:val="18"/>
              </w:rPr>
              <w:t>Feedback Systems</w:t>
            </w:r>
          </w:p>
        </w:tc>
        <w:tc>
          <w:tcPr>
            <w:tcW w:type="dxa" w:w="2438"/>
            <w:tcW w:w="2438" w:type="dxa"/>
          </w:tcPr>
          <w:p>
            <w:pPr>
              <w:jc w:val="center"/>
            </w:pPr>
            <w:r/>
            <w:r>
              <w:rPr>
                <w:rFonts w:ascii="Cambria" w:hAnsi="Cambria"/>
                <w:b w:val="0"/>
                <w:sz w:val="18"/>
              </w:rPr>
              <w:t>Student and faculty feedback mechanisms piloted.</w:t>
            </w:r>
          </w:p>
        </w:tc>
        <w:tc>
          <w:tcPr>
            <w:tcW w:type="dxa" w:w="2438"/>
            <w:tcW w:w="2438" w:type="dxa"/>
          </w:tcPr>
          <w:p>
            <w:pPr>
              <w:jc w:val="center"/>
            </w:pPr>
            <w:r/>
            <w:r>
              <w:rPr>
                <w:rFonts w:ascii="Cambria" w:hAnsi="Cambria"/>
                <w:b w:val="0"/>
                <w:sz w:val="18"/>
              </w:rPr>
              <w:t>Alumni and industry feedback mechanisms introduced; feedback integrated into policy reforms.</w:t>
            </w:r>
          </w:p>
        </w:tc>
        <w:tc>
          <w:tcPr>
            <w:tcW w:type="dxa" w:w="2324"/>
            <w:tcW w:w="2324" w:type="dxa"/>
          </w:tcPr>
          <w:p>
            <w:pPr>
              <w:jc w:val="center"/>
            </w:pPr>
            <w:r/>
            <w:r>
              <w:rPr>
                <w:rFonts w:ascii="Cambria" w:hAnsi="Cambria"/>
                <w:b w:val="0"/>
                <w:sz w:val="18"/>
              </w:rPr>
              <w:t>360-degree feedback system institutionalized; feedback drives major curriculum/administrative reforms.</w:t>
            </w:r>
          </w:p>
        </w:tc>
      </w:tr>
      <w:tr>
        <w:tc>
          <w:tcPr>
            <w:tcW w:type="dxa" w:w="1928"/>
            <w:tcW w:w="1927" w:type="dxa"/>
            <w:shd w:val="clear" w:color="auto" w:fill="D9E2EC"/>
          </w:tcPr>
          <w:p>
            <w:pPr>
              <w:jc w:val="left"/>
            </w:pPr>
            <w:r/>
            <w:r>
              <w:rPr>
                <w:rFonts w:ascii="Cambria" w:hAnsi="Cambria"/>
                <w:b w:val="0"/>
                <w:sz w:val="18"/>
              </w:rPr>
              <w:t>Outcome-Based Education (OBE)</w:t>
            </w:r>
          </w:p>
        </w:tc>
        <w:tc>
          <w:tcPr>
            <w:tcW w:type="dxa" w:w="2438"/>
            <w:tcW w:w="2438" w:type="dxa"/>
            <w:shd w:val="clear" w:color="auto" w:fill="D9E2EC"/>
          </w:tcPr>
          <w:p>
            <w:pPr>
              <w:jc w:val="center"/>
            </w:pPr>
            <w:r/>
            <w:r>
              <w:rPr>
                <w:rFonts w:ascii="Cambria" w:hAnsi="Cambria"/>
                <w:b w:val="0"/>
                <w:sz w:val="18"/>
              </w:rPr>
              <w:t>CO-PO-PSO mapping initiated in selected programs.</w:t>
            </w:r>
          </w:p>
        </w:tc>
        <w:tc>
          <w:tcPr>
            <w:tcW w:type="dxa" w:w="2438"/>
            <w:tcW w:w="2438" w:type="dxa"/>
            <w:shd w:val="clear" w:color="auto" w:fill="D9E2EC"/>
          </w:tcPr>
          <w:p>
            <w:pPr>
              <w:jc w:val="center"/>
            </w:pPr>
            <w:r/>
            <w:r>
              <w:rPr>
                <w:rFonts w:ascii="Cambria" w:hAnsi="Cambria"/>
                <w:b w:val="0"/>
                <w:sz w:val="18"/>
              </w:rPr>
              <w:t>OBE expanded to majority of departments; outcome attainment reports generated.</w:t>
            </w:r>
          </w:p>
        </w:tc>
        <w:tc>
          <w:tcPr>
            <w:tcW w:type="dxa" w:w="2324"/>
            <w:tcW w:w="2324" w:type="dxa"/>
            <w:shd w:val="clear" w:color="auto" w:fill="D9E2EC"/>
          </w:tcPr>
          <w:p>
            <w:pPr>
              <w:jc w:val="center"/>
            </w:pPr>
            <w:r/>
            <w:r>
              <w:rPr>
                <w:rFonts w:ascii="Cambria" w:hAnsi="Cambria"/>
                <w:b w:val="0"/>
                <w:sz w:val="18"/>
              </w:rPr>
              <w:t>OBE fully institutionalized; attainment data used in accreditation success and international collaborations.</w:t>
            </w:r>
          </w:p>
        </w:tc>
      </w:tr>
      <w:tr>
        <w:tc>
          <w:tcPr>
            <w:tcW w:type="dxa" w:w="1928"/>
            <w:tcW w:w="1927" w:type="dxa"/>
          </w:tcPr>
          <w:p>
            <w:pPr>
              <w:jc w:val="left"/>
            </w:pPr>
            <w:r/>
            <w:r>
              <w:rPr>
                <w:rFonts w:ascii="Cambria" w:hAnsi="Cambria"/>
                <w:b w:val="0"/>
                <w:sz w:val="18"/>
              </w:rPr>
              <w:t>Capacity Building</w:t>
            </w:r>
          </w:p>
        </w:tc>
        <w:tc>
          <w:tcPr>
            <w:tcW w:type="dxa" w:w="2438"/>
            <w:tcW w:w="2438" w:type="dxa"/>
          </w:tcPr>
          <w:p>
            <w:pPr>
              <w:jc w:val="center"/>
            </w:pPr>
            <w:r/>
            <w:r>
              <w:rPr>
                <w:rFonts w:ascii="Cambria" w:hAnsi="Cambria"/>
                <w:b w:val="0"/>
                <w:sz w:val="18"/>
              </w:rPr>
              <w:t>2–3 Faculty Development Programs (FDPs) organized.</w:t>
            </w:r>
          </w:p>
        </w:tc>
        <w:tc>
          <w:tcPr>
            <w:tcW w:type="dxa" w:w="2438"/>
            <w:tcW w:w="2438" w:type="dxa"/>
          </w:tcPr>
          <w:p>
            <w:pPr>
              <w:jc w:val="center"/>
            </w:pPr>
            <w:r/>
            <w:r>
              <w:rPr>
                <w:rFonts w:ascii="Cambria" w:hAnsi="Cambria"/>
                <w:b w:val="0"/>
                <w:sz w:val="18"/>
              </w:rPr>
              <w:t>FDPs and workshops expanded; staff training in ERP/OBE systems.</w:t>
            </w:r>
          </w:p>
        </w:tc>
        <w:tc>
          <w:tcPr>
            <w:tcW w:type="dxa" w:w="2324"/>
            <w:tcW w:w="2324" w:type="dxa"/>
          </w:tcPr>
          <w:p>
            <w:pPr>
              <w:jc w:val="center"/>
            </w:pPr>
            <w:r/>
            <w:r>
              <w:rPr>
                <w:rFonts w:ascii="Cambria" w:hAnsi="Cambria"/>
                <w:b w:val="0"/>
                <w:sz w:val="18"/>
              </w:rPr>
              <w:t>Regular FDP calendar institutionalized; faculty skill index improved significantly.</w:t>
            </w:r>
          </w:p>
        </w:tc>
      </w:tr>
      <w:tr>
        <w:tc>
          <w:tcPr>
            <w:tcW w:type="dxa" w:w="1928"/>
            <w:tcW w:w="1927" w:type="dxa"/>
            <w:shd w:val="clear" w:color="auto" w:fill="D9E2EC"/>
          </w:tcPr>
          <w:p>
            <w:pPr>
              <w:jc w:val="left"/>
            </w:pPr>
            <w:r/>
            <w:r>
              <w:rPr>
                <w:rFonts w:ascii="Cambria" w:hAnsi="Cambria"/>
                <w:b w:val="0"/>
                <w:sz w:val="18"/>
              </w:rPr>
              <w:t>Digitalization &amp; MIS</w:t>
            </w:r>
          </w:p>
        </w:tc>
        <w:tc>
          <w:tcPr>
            <w:tcW w:type="dxa" w:w="2438"/>
            <w:tcW w:w="2438" w:type="dxa"/>
            <w:shd w:val="clear" w:color="auto" w:fill="D9E2EC"/>
          </w:tcPr>
          <w:p>
            <w:pPr>
              <w:jc w:val="center"/>
            </w:pPr>
            <w:r/>
            <w:r>
              <w:rPr>
                <w:rFonts w:ascii="Cambria" w:hAnsi="Cambria"/>
                <w:b w:val="0"/>
                <w:sz w:val="18"/>
              </w:rPr>
              <w:t>ERP/MIS system piloted for quality data tracking.</w:t>
            </w:r>
          </w:p>
        </w:tc>
        <w:tc>
          <w:tcPr>
            <w:tcW w:type="dxa" w:w="2438"/>
            <w:tcW w:w="2438" w:type="dxa"/>
            <w:shd w:val="clear" w:color="auto" w:fill="D9E2EC"/>
          </w:tcPr>
          <w:p>
            <w:pPr>
              <w:jc w:val="center"/>
            </w:pPr>
            <w:r/>
            <w:r>
              <w:rPr>
                <w:rFonts w:ascii="Cambria" w:hAnsi="Cambria"/>
                <w:b w:val="0"/>
                <w:sz w:val="18"/>
              </w:rPr>
              <w:t>ERP integrated with student feedback, exam systems, and HR.</w:t>
            </w:r>
          </w:p>
        </w:tc>
        <w:tc>
          <w:tcPr>
            <w:tcW w:type="dxa" w:w="2324"/>
            <w:tcW w:w="2324" w:type="dxa"/>
            <w:shd w:val="clear" w:color="auto" w:fill="D9E2EC"/>
          </w:tcPr>
          <w:p>
            <w:pPr>
              <w:jc w:val="center"/>
            </w:pPr>
            <w:r/>
            <w:r>
              <w:rPr>
                <w:rFonts w:ascii="Cambria" w:hAnsi="Cambria"/>
                <w:b w:val="0"/>
                <w:sz w:val="18"/>
              </w:rPr>
              <w:t>Fully operational digital IQAC dashboard with real-time KPI monitoring.</w:t>
            </w:r>
          </w:p>
        </w:tc>
      </w:tr>
      <w:tr>
        <w:tc>
          <w:tcPr>
            <w:tcW w:type="dxa" w:w="1928"/>
            <w:tcW w:w="1927" w:type="dxa"/>
          </w:tcPr>
          <w:p>
            <w:pPr>
              <w:jc w:val="left"/>
            </w:pPr>
            <w:r/>
            <w:r>
              <w:rPr>
                <w:rFonts w:ascii="Cambria" w:hAnsi="Cambria"/>
                <w:b w:val="0"/>
                <w:sz w:val="18"/>
              </w:rPr>
              <w:t>Best Practices &amp; Innovation</w:t>
            </w:r>
          </w:p>
        </w:tc>
        <w:tc>
          <w:tcPr>
            <w:tcW w:type="dxa" w:w="2438"/>
            <w:tcW w:w="2438" w:type="dxa"/>
          </w:tcPr>
          <w:p>
            <w:pPr>
              <w:jc w:val="center"/>
            </w:pPr>
            <w:r/>
            <w:r>
              <w:rPr>
                <w:rFonts w:ascii="Cambria" w:hAnsi="Cambria"/>
                <w:b w:val="0"/>
                <w:sz w:val="18"/>
              </w:rPr>
              <w:t>Documentation of 2 institutional best practices.</w:t>
            </w:r>
          </w:p>
        </w:tc>
        <w:tc>
          <w:tcPr>
            <w:tcW w:type="dxa" w:w="2438"/>
            <w:tcW w:w="2438" w:type="dxa"/>
          </w:tcPr>
          <w:p>
            <w:pPr>
              <w:jc w:val="center"/>
            </w:pPr>
            <w:r/>
            <w:r>
              <w:rPr>
                <w:rFonts w:ascii="Cambria" w:hAnsi="Cambria"/>
                <w:b w:val="0"/>
                <w:sz w:val="18"/>
              </w:rPr>
              <w:t>Dissemination of best practices across all departments.</w:t>
            </w:r>
          </w:p>
        </w:tc>
        <w:tc>
          <w:tcPr>
            <w:tcW w:type="dxa" w:w="2324"/>
            <w:tcW w:w="2324" w:type="dxa"/>
          </w:tcPr>
          <w:p>
            <w:pPr>
              <w:jc w:val="center"/>
            </w:pPr>
            <w:r/>
            <w:r>
              <w:rPr>
                <w:rFonts w:ascii="Cambria" w:hAnsi="Cambria"/>
                <w:b w:val="0"/>
                <w:sz w:val="18"/>
              </w:rPr>
              <w:t>Recognition of best practices in accreditation reports; published as national case studies.</w:t>
            </w:r>
          </w:p>
        </w:tc>
      </w:tr>
    </w:tbl>
    <w:p>
      <w:r>
        <w:br w:type="page"/>
      </w:r>
    </w:p>
    <w:p>
      <w:pPr>
        <w:keepNext/>
        <w:spacing w:before="240" w:after="120"/>
      </w:pPr>
      <w:r>
        <w:rPr>
          <w:rFonts w:ascii="Cambria" w:hAnsi="Cambria"/>
          <w:b/>
          <w:color w:val="1F3A5F"/>
          <w:sz w:val="36"/>
        </w:rPr>
        <w:t>10. Director of HR &amp; Administration</w:t>
      </w:r>
    </w:p>
    <w:p>
      <w:pPr>
        <w:jc w:val="both"/>
      </w:pPr>
      <w:r>
        <w:rPr>
          <w:rFonts w:ascii="Cambria" w:hAnsi="Cambria"/>
          <w:b w:val="0"/>
          <w:i w:val="0"/>
          <w:sz w:val="22"/>
        </w:rPr>
        <w:t>Human Resources (HR) and Administration in universities play a pivotal role in managing the unique needs of a highly diverse workforce that includes faculty, researchers, administrative staff, technical personnel, and student workers. Unlike corporate HR systems that focus primarily on efficiency and profitability, university HR operates within an academic environment that is complex, decentralized, and governed by statutory and accreditation requirements. This demands policies that balance regulatory compliance, academic freedom, institutional values, and the professional development of employees.</w:t>
      </w:r>
    </w:p>
    <w:p>
      <w:pPr>
        <w:jc w:val="both"/>
      </w:pPr>
      <w:r>
        <w:rPr>
          <w:rFonts w:ascii="Cambria" w:hAnsi="Cambria"/>
          <w:b w:val="0"/>
          <w:i w:val="0"/>
          <w:sz w:val="22"/>
        </w:rPr>
        <w:t>Traditional HR functions such as recruitment, payroll, promotions, and benefits administration form the backbone of university workforce management. However, higher education HR must also address unique challenges such as managing tenure and career advancement schemes (CAS), ensuring fair performance appraisals, supporting research-intensive roles, and facilitating international appointments in line with global academic competitiveness. The administrative side ensures smooth coordination of service records, statutory compliance, and retirement benefits, while also maintaining transparency in processes that are closely scrutinized by governing councils, accreditation agencies, and external auditors.</w:t>
      </w:r>
    </w:p>
    <w:p>
      <w:pPr>
        <w:jc w:val="both"/>
      </w:pPr>
      <w:r>
        <w:rPr>
          <w:rFonts w:ascii="Cambria" w:hAnsi="Cambria"/>
          <w:b w:val="0"/>
          <w:i w:val="0"/>
          <w:sz w:val="22"/>
        </w:rPr>
        <w:t>A significant dimension of HR in universities is staff and faculty development. Institutions are expected to provide Faculty Development Programs (FDPs), leadership training, and skill enhancement workshops that keep pace with outcome-based education (OBE), digital pedagogy, and research excellence. Simultaneously, administrative HR ensures that grievance redressal mechanisms, welfare schemes, diversity and inclusion initiatives, and mental health support systems are in place to maintain institutional harmony and employee satisfaction.</w:t>
      </w:r>
    </w:p>
    <w:p>
      <w:pPr>
        <w:jc w:val="both"/>
      </w:pPr>
      <w:r>
        <w:rPr>
          <w:rFonts w:ascii="Cambria" w:hAnsi="Cambria"/>
          <w:b w:val="0"/>
          <w:i w:val="0"/>
          <w:sz w:val="22"/>
        </w:rPr>
        <w:t>Moreover, the student workforce presents a distinctive HR challenge in universities. Managing part-time student employees, research assistants, and interns requires flexible policies that balance academic commitments with work responsibilities. This dual role of HR as both an employer and academic enabler highlights the uniqueness of university administration.</w:t>
      </w:r>
    </w:p>
    <w:p>
      <w:pPr>
        <w:jc w:val="both"/>
      </w:pPr>
      <w:r>
        <w:rPr>
          <w:rFonts w:ascii="Cambria" w:hAnsi="Cambria"/>
          <w:b w:val="0"/>
          <w:i w:val="0"/>
          <w:sz w:val="22"/>
        </w:rPr>
        <w:t>In modern contexts, universities are also moving towards digital HR ecosystems through ERP platforms, e-governance systems, and data-driven decision-making. These digital interventions enable transparency, automate payroll and leave management, and provide dashboards for performance monitoring and compliance reporting.</w:t>
      </w:r>
    </w:p>
    <w:p>
      <w:r>
        <w:rPr>
          <w:rFonts w:ascii="Cambria" w:hAnsi="Cambria"/>
          <w:b/>
          <w:i w:val="0"/>
          <w:sz w:val="22"/>
        </w:rPr>
        <w:t>Roles and Responsibilities</w:t>
      </w:r>
    </w:p>
    <w:p>
      <w:pPr>
        <w:pStyle w:val="ListBullet"/>
        <w:jc w:val="both"/>
      </w:pPr>
      <w:r>
        <w:rPr>
          <w:rFonts w:ascii="Cambria" w:hAnsi="Cambria"/>
          <w:sz w:val="22"/>
        </w:rPr>
        <w:t>Position in University Structure</w:t>
      </w:r>
    </w:p>
    <w:p>
      <w:pPr>
        <w:pStyle w:val="ListBullet2"/>
        <w:jc w:val="both"/>
      </w:pPr>
      <w:r>
        <w:rPr>
          <w:rFonts w:ascii="Cambria" w:hAnsi="Cambria"/>
          <w:sz w:val="22"/>
        </w:rPr>
        <w:t>Senior administrative officer responsible for Human Resources and institutional administration.</w:t>
      </w:r>
    </w:p>
    <w:p>
      <w:pPr>
        <w:pStyle w:val="ListBullet2"/>
        <w:jc w:val="both"/>
      </w:pPr>
      <w:r>
        <w:rPr>
          <w:rFonts w:ascii="Cambria" w:hAnsi="Cambria"/>
          <w:sz w:val="22"/>
        </w:rPr>
        <w:t>Reports to the Vice-Chancellor / Registrar and works in coordination with Deans, HoDs, and the Finance Officer.</w:t>
      </w:r>
    </w:p>
    <w:p>
      <w:pPr>
        <w:pStyle w:val="ListBullet2"/>
        <w:jc w:val="both"/>
      </w:pPr>
      <w:r>
        <w:rPr>
          <w:rFonts w:ascii="Cambria" w:hAnsi="Cambria"/>
          <w:sz w:val="22"/>
        </w:rPr>
        <w:t>Ensures effective workforce management, staff welfare, and regulatory compliance.</w:t>
      </w:r>
    </w:p>
    <w:p>
      <w:pPr>
        <w:pStyle w:val="ListBullet"/>
        <w:jc w:val="both"/>
      </w:pPr>
      <w:r>
        <w:rPr>
          <w:rFonts w:ascii="Cambria" w:hAnsi="Cambria"/>
          <w:sz w:val="22"/>
        </w:rPr>
        <w:t>Core Responsibilities</w:t>
      </w:r>
    </w:p>
    <w:p>
      <w:pPr>
        <w:pStyle w:val="ListBullet2"/>
        <w:jc w:val="both"/>
      </w:pPr>
      <w:r>
        <w:rPr>
          <w:rFonts w:ascii="Cambria" w:hAnsi="Cambria"/>
          <w:sz w:val="22"/>
        </w:rPr>
        <w:t>Faculty Recruitment &amp; Appointments</w:t>
      </w:r>
    </w:p>
    <w:p>
      <w:pPr>
        <w:pStyle w:val="ListBullet"/>
        <w:jc w:val="both"/>
      </w:pPr>
      <w:r>
        <w:rPr>
          <w:rFonts w:ascii="Cambria" w:hAnsi="Cambria"/>
          <w:sz w:val="22"/>
        </w:rPr>
        <w:t>Manages end-to-end faculty recruitment in line with UGC/AICTE/state regulations.</w:t>
      </w:r>
    </w:p>
    <w:p>
      <w:pPr>
        <w:pStyle w:val="ListBullet"/>
        <w:jc w:val="both"/>
      </w:pPr>
      <w:r>
        <w:rPr>
          <w:rFonts w:ascii="Cambria" w:hAnsi="Cambria"/>
          <w:sz w:val="22"/>
        </w:rPr>
        <w:t>Coordinates selection committees, interviews, and appointment procedures.</w:t>
      </w:r>
    </w:p>
    <w:p>
      <w:pPr>
        <w:pStyle w:val="ListBullet2"/>
        <w:jc w:val="both"/>
      </w:pPr>
      <w:r>
        <w:rPr>
          <w:rFonts w:ascii="Cambria" w:hAnsi="Cambria"/>
          <w:sz w:val="22"/>
        </w:rPr>
        <w:t>Promotions &amp; Career Advancement</w:t>
      </w:r>
    </w:p>
    <w:p>
      <w:pPr>
        <w:pStyle w:val="ListBullet"/>
        <w:jc w:val="both"/>
      </w:pPr>
      <w:r>
        <w:rPr>
          <w:rFonts w:ascii="Cambria" w:hAnsi="Cambria"/>
          <w:sz w:val="22"/>
        </w:rPr>
        <w:t>Oversees faculty promotions, career advancement schemes (CAS), and service rules.</w:t>
      </w:r>
    </w:p>
    <w:p>
      <w:pPr>
        <w:pStyle w:val="ListBullet"/>
        <w:jc w:val="both"/>
      </w:pPr>
      <w:r>
        <w:rPr>
          <w:rFonts w:ascii="Cambria" w:hAnsi="Cambria"/>
          <w:sz w:val="22"/>
        </w:rPr>
        <w:t>Maintains transparent policies for academic progression.</w:t>
      </w:r>
    </w:p>
    <w:p>
      <w:pPr>
        <w:pStyle w:val="ListBullet2"/>
        <w:jc w:val="both"/>
      </w:pPr>
      <w:r>
        <w:rPr>
          <w:rFonts w:ascii="Cambria" w:hAnsi="Cambria"/>
          <w:sz w:val="22"/>
        </w:rPr>
        <w:t>Performance Appraisal &amp; Development</w:t>
      </w:r>
    </w:p>
    <w:p>
      <w:pPr>
        <w:pStyle w:val="ListBullet"/>
        <w:jc w:val="both"/>
      </w:pPr>
      <w:r>
        <w:rPr>
          <w:rFonts w:ascii="Cambria" w:hAnsi="Cambria"/>
          <w:sz w:val="22"/>
        </w:rPr>
        <w:t>Conducts annual performance appraisal for faculty and staff.</w:t>
      </w:r>
    </w:p>
    <w:p>
      <w:pPr>
        <w:pStyle w:val="ListBullet"/>
        <w:jc w:val="both"/>
      </w:pPr>
      <w:r>
        <w:rPr>
          <w:rFonts w:ascii="Cambria" w:hAnsi="Cambria"/>
          <w:sz w:val="22"/>
        </w:rPr>
        <w:t>Facilitates faculty development programs (FDPs), workshops, and training.</w:t>
      </w:r>
    </w:p>
    <w:p>
      <w:pPr>
        <w:pStyle w:val="ListBullet2"/>
        <w:jc w:val="both"/>
      </w:pPr>
      <w:r>
        <w:rPr>
          <w:rFonts w:ascii="Cambria" w:hAnsi="Cambria"/>
          <w:sz w:val="22"/>
        </w:rPr>
        <w:t>Staff Grievance Redressal</w:t>
      </w:r>
    </w:p>
    <w:p>
      <w:pPr>
        <w:pStyle w:val="ListBullet"/>
        <w:jc w:val="both"/>
      </w:pPr>
      <w:r>
        <w:rPr>
          <w:rFonts w:ascii="Cambria" w:hAnsi="Cambria"/>
          <w:sz w:val="22"/>
        </w:rPr>
        <w:t>Implements grievance mechanisms for both teaching and non-teaching staff.</w:t>
      </w:r>
    </w:p>
    <w:p>
      <w:pPr>
        <w:pStyle w:val="ListBullet"/>
        <w:jc w:val="both"/>
      </w:pPr>
      <w:r>
        <w:rPr>
          <w:rFonts w:ascii="Cambria" w:hAnsi="Cambria"/>
          <w:sz w:val="22"/>
        </w:rPr>
        <w:t>Ensures fair, transparent, and timely resolution of issues.</w:t>
      </w:r>
    </w:p>
    <w:p>
      <w:pPr>
        <w:pStyle w:val="ListBullet2"/>
        <w:jc w:val="both"/>
      </w:pPr>
      <w:r>
        <w:rPr>
          <w:rFonts w:ascii="Cambria" w:hAnsi="Cambria"/>
          <w:sz w:val="22"/>
        </w:rPr>
        <w:t>Service Records &amp; HR Policies</w:t>
      </w:r>
    </w:p>
    <w:p>
      <w:pPr>
        <w:pStyle w:val="ListBullet"/>
        <w:jc w:val="both"/>
      </w:pPr>
      <w:r>
        <w:rPr>
          <w:rFonts w:ascii="Cambria" w:hAnsi="Cambria"/>
          <w:sz w:val="22"/>
        </w:rPr>
        <w:t>Maintains personnel records, contracts, retirement benefits, and leave policies.</w:t>
      </w:r>
    </w:p>
    <w:p>
      <w:pPr>
        <w:pStyle w:val="ListBullet"/>
        <w:jc w:val="both"/>
      </w:pPr>
      <w:r>
        <w:rPr>
          <w:rFonts w:ascii="Cambria" w:hAnsi="Cambria"/>
          <w:sz w:val="22"/>
        </w:rPr>
        <w:t>Frames HR policies to ensure compliance with labor laws and institutional statutes.</w:t>
      </w:r>
    </w:p>
    <w:p>
      <w:pPr>
        <w:pStyle w:val="ListBullet2"/>
        <w:jc w:val="both"/>
      </w:pPr>
      <w:r>
        <w:rPr>
          <w:rFonts w:ascii="Cambria" w:hAnsi="Cambria"/>
          <w:sz w:val="22"/>
        </w:rPr>
        <w:t>Administration &amp; Welfare</w:t>
      </w:r>
    </w:p>
    <w:p>
      <w:pPr>
        <w:pStyle w:val="ListBullet"/>
        <w:jc w:val="both"/>
      </w:pPr>
      <w:r>
        <w:rPr>
          <w:rFonts w:ascii="Cambria" w:hAnsi="Cambria"/>
          <w:sz w:val="22"/>
        </w:rPr>
        <w:t>Ensures smooth day-to-day administrative operations.</w:t>
      </w:r>
    </w:p>
    <w:p>
      <w:pPr>
        <w:pStyle w:val="ListBullet"/>
        <w:jc w:val="both"/>
      </w:pPr>
      <w:r>
        <w:rPr>
          <w:rFonts w:ascii="Cambria" w:hAnsi="Cambria"/>
          <w:sz w:val="22"/>
        </w:rPr>
        <w:t>Introduces welfare schemes, diversity &amp; inclusion practices, and employee engagement initiatives.</w:t>
      </w:r>
    </w:p>
    <w:p>
      <w:pPr>
        <w:pStyle w:val="ListBullet"/>
        <w:jc w:val="both"/>
      </w:pPr>
      <w:r>
        <w:rPr>
          <w:rFonts w:ascii="Cambria" w:hAnsi="Cambria"/>
          <w:sz w:val="22"/>
        </w:rPr>
        <w:t>Strategic Functions</w:t>
      </w:r>
    </w:p>
    <w:p>
      <w:pPr>
        <w:pStyle w:val="ListBullet2"/>
        <w:jc w:val="both"/>
      </w:pPr>
      <w:r>
        <w:rPr>
          <w:rFonts w:ascii="Cambria" w:hAnsi="Cambria"/>
          <w:sz w:val="22"/>
        </w:rPr>
        <w:t>Aligns HR policies with university's mission and vision.</w:t>
      </w:r>
    </w:p>
    <w:p>
      <w:pPr>
        <w:pStyle w:val="ListBullet2"/>
        <w:jc w:val="both"/>
      </w:pPr>
      <w:r>
        <w:rPr>
          <w:rFonts w:ascii="Cambria" w:hAnsi="Cambria"/>
          <w:sz w:val="22"/>
        </w:rPr>
        <w:t>Ensures compliance with statutory requirements, accreditation, and NAAC/NBA expectations.</w:t>
      </w:r>
    </w:p>
    <w:p>
      <w:pPr>
        <w:pStyle w:val="ListBullet2"/>
        <w:jc w:val="both"/>
      </w:pPr>
      <w:r>
        <w:rPr>
          <w:rFonts w:ascii="Cambria" w:hAnsi="Cambria"/>
          <w:sz w:val="22"/>
        </w:rPr>
        <w:t>Builds institutional resilience through capacity building and succession planning.</w:t>
      </w:r>
    </w:p>
    <w:p>
      <w:pPr>
        <w:pStyle w:val="ListBullet2"/>
        <w:jc w:val="both"/>
      </w:pPr>
      <w:r>
        <w:rPr>
          <w:rFonts w:ascii="Cambria" w:hAnsi="Cambria"/>
          <w:sz w:val="22"/>
        </w:rPr>
        <w:t>Strengthens institutional reputation by promoting a culture of transparency, fairness, and professionalism.</w:t>
      </w:r>
    </w:p>
    <w:p>
      <w:pPr>
        <w:pStyle w:val="ListBullet"/>
        <w:jc w:val="both"/>
      </w:pPr>
      <w:r>
        <w:rPr>
          <w:rFonts w:ascii="Cambria" w:hAnsi="Cambria"/>
          <w:sz w:val="22"/>
        </w:rPr>
        <w:t>Qualities of an Effective HR &amp; Administration Director</w:t>
      </w:r>
    </w:p>
    <w:p>
      <w:pPr>
        <w:pStyle w:val="ListBullet2"/>
        <w:jc w:val="both"/>
      </w:pPr>
      <w:r>
        <w:rPr>
          <w:rFonts w:ascii="Cambria" w:hAnsi="Cambria"/>
          <w:sz w:val="22"/>
        </w:rPr>
        <w:t>Strong knowledge of higher education service regulations.</w:t>
      </w:r>
    </w:p>
    <w:p>
      <w:pPr>
        <w:pStyle w:val="ListBullet2"/>
        <w:jc w:val="both"/>
      </w:pPr>
      <w:r>
        <w:rPr>
          <w:rFonts w:ascii="Cambria" w:hAnsi="Cambria"/>
          <w:sz w:val="22"/>
        </w:rPr>
        <w:t>Integrity, impartiality, and conflict resolution skills.</w:t>
      </w:r>
    </w:p>
    <w:p>
      <w:pPr>
        <w:pStyle w:val="ListBullet2"/>
        <w:jc w:val="both"/>
      </w:pPr>
      <w:r>
        <w:rPr>
          <w:rFonts w:ascii="Cambria" w:hAnsi="Cambria"/>
          <w:sz w:val="22"/>
        </w:rPr>
        <w:t>Ability to manage change, motivate staff, and promote inclusivity.</w:t>
      </w:r>
    </w:p>
    <w:p>
      <w:pPr>
        <w:pStyle w:val="ListBullet2"/>
        <w:jc w:val="both"/>
      </w:pPr>
      <w:r>
        <w:rPr>
          <w:rFonts w:ascii="Cambria" w:hAnsi="Cambria"/>
          <w:sz w:val="22"/>
        </w:rPr>
        <w:t>Strategic outlook with human-centered leadership.</w:t>
      </w:r>
    </w:p>
    <w:p>
      <w:pPr>
        <w:keepNext/>
        <w:spacing w:before="160" w:after="120"/>
      </w:pPr>
      <w:r>
        <w:rPr>
          <w:rFonts w:ascii="Cambria" w:hAnsi="Cambria"/>
          <w:b/>
          <w:color w:val="1F3A5F"/>
          <w:sz w:val="30"/>
        </w:rPr>
        <w:t>Director – HR &amp; Administration</w:t>
      </w:r>
    </w:p>
    <w:tbl>
      <w:tblPr>
        <w:tblW w:type="auto" w:w="0"/>
        <w:tblLayout w:type="fixed"/>
        <w:tblLook w:firstColumn="1" w:firstRow="1" w:lastColumn="0" w:lastRow="0" w:noHBand="0" w:noVBand="1" w:val="04A0"/>
        <w:tblLayout w:type="fixed"/>
      </w:tblPr>
      <w:tblGrid>
        <w:gridCol w:w="2835"/>
        <w:gridCol w:w="3345"/>
        <w:gridCol w:w="2948"/>
      </w:tblGrid>
      <w:tr>
        <w:tc>
          <w:tcPr>
            <w:tcW w:type="dxa" w:w="2835"/>
            <w:shd w:val="clear" w:color="auto" w:fill="1F3A5F"/>
            <w:tcW w:w="2835" w:type="dxa"/>
          </w:tcPr>
          <w:p>
            <w:pPr>
              <w:jc w:val="center"/>
            </w:pPr>
            <w:r/>
            <w:r>
              <w:rPr>
                <w:rFonts w:ascii="Cambria" w:hAnsi="Cambria"/>
                <w:b/>
                <w:color w:val="FFFFFF"/>
                <w:sz w:val="22"/>
              </w:rPr>
              <w:t>Key Actions</w:t>
            </w:r>
          </w:p>
        </w:tc>
        <w:tc>
          <w:tcPr>
            <w:tcW w:type="dxa" w:w="3345"/>
            <w:shd w:val="clear" w:color="auto" w:fill="1F3A5F"/>
            <w:tcW w:w="3345" w:type="dxa"/>
          </w:tcPr>
          <w:p>
            <w:pPr>
              <w:jc w:val="center"/>
            </w:pPr>
            <w:r/>
            <w:r>
              <w:rPr>
                <w:rFonts w:ascii="Cambria" w:hAnsi="Cambria"/>
                <w:b/>
                <w:color w:val="FFFFFF"/>
                <w:sz w:val="22"/>
              </w:rPr>
              <w:t>Institutional Impact</w:t>
            </w:r>
          </w:p>
        </w:tc>
        <w:tc>
          <w:tcPr>
            <w:tcW w:type="dxa" w:w="2948"/>
            <w:shd w:val="clear" w:color="auto" w:fill="1F3A5F"/>
            <w:tcW w:w="2948" w:type="dxa"/>
          </w:tcPr>
          <w:p>
            <w:pPr>
              <w:jc w:val="center"/>
            </w:pPr>
            <w:r/>
            <w:r>
              <w:rPr>
                <w:rFonts w:ascii="Cambria" w:hAnsi="Cambria"/>
                <w:b/>
                <w:color w:val="FFFFFF"/>
                <w:sz w:val="22"/>
              </w:rPr>
              <w:t>Evidence / Documentation</w:t>
            </w:r>
          </w:p>
        </w:tc>
      </w:tr>
      <w:tr>
        <w:tc>
          <w:tcPr>
            <w:tcW w:type="dxa" w:w="2835"/>
            <w:tcW w:w="2835" w:type="dxa"/>
          </w:tcPr>
          <w:p>
            <w:pPr>
              <w:jc w:val="left"/>
            </w:pPr>
            <w:r/>
            <w:r>
              <w:rPr>
                <w:rFonts w:ascii="Cambria" w:hAnsi="Cambria"/>
                <w:b w:val="0"/>
                <w:sz w:val="19"/>
              </w:rPr>
              <w:t>Oversees faculty recruitment and appointments</w:t>
            </w:r>
          </w:p>
        </w:tc>
        <w:tc>
          <w:tcPr>
            <w:tcW w:type="dxa" w:w="3345"/>
            <w:tcW w:w="3345" w:type="dxa"/>
          </w:tcPr>
          <w:p>
            <w:pPr>
              <w:jc w:val="center"/>
            </w:pPr>
            <w:r/>
            <w:r>
              <w:rPr>
                <w:rFonts w:ascii="Cambria" w:hAnsi="Cambria"/>
                <w:b w:val="0"/>
                <w:sz w:val="19"/>
              </w:rPr>
              <w:t>Transparent hiring process; improved academic quality through merit-based selection.</w:t>
            </w:r>
          </w:p>
        </w:tc>
        <w:tc>
          <w:tcPr>
            <w:tcW w:type="dxa" w:w="2948"/>
            <w:tcW w:w="2948" w:type="dxa"/>
          </w:tcPr>
          <w:p>
            <w:pPr>
              <w:jc w:val="center"/>
            </w:pPr>
            <w:r/>
            <w:r>
              <w:rPr>
                <w:rFonts w:ascii="Cambria" w:hAnsi="Cambria"/>
                <w:b w:val="0"/>
                <w:sz w:val="19"/>
              </w:rPr>
              <w:t>Recruitment advertisements, selection committee minutes, appointment orders.</w:t>
            </w:r>
          </w:p>
        </w:tc>
      </w:tr>
      <w:tr>
        <w:tc>
          <w:tcPr>
            <w:tcW w:type="dxa" w:w="2835"/>
            <w:tcW w:w="2835" w:type="dxa"/>
            <w:shd w:val="clear" w:color="auto" w:fill="D9E2EC"/>
          </w:tcPr>
          <w:p>
            <w:pPr>
              <w:jc w:val="left"/>
            </w:pPr>
            <w:r/>
            <w:r>
              <w:rPr>
                <w:rFonts w:ascii="Cambria" w:hAnsi="Cambria"/>
                <w:b w:val="0"/>
                <w:sz w:val="19"/>
              </w:rPr>
              <w:t>Manages faculty promotions and Career Advancement Schemes (CAS)</w:t>
            </w:r>
          </w:p>
        </w:tc>
        <w:tc>
          <w:tcPr>
            <w:tcW w:type="dxa" w:w="3345"/>
            <w:tcW w:w="3345" w:type="dxa"/>
            <w:shd w:val="clear" w:color="auto" w:fill="D9E2EC"/>
          </w:tcPr>
          <w:p>
            <w:pPr>
              <w:jc w:val="center"/>
            </w:pPr>
            <w:r/>
            <w:r>
              <w:rPr>
                <w:rFonts w:ascii="Cambria" w:hAnsi="Cambria"/>
                <w:b w:val="0"/>
                <w:sz w:val="19"/>
              </w:rPr>
              <w:t>Encourages faculty retention and motivation; builds academic leadership pipeline.</w:t>
            </w:r>
          </w:p>
        </w:tc>
        <w:tc>
          <w:tcPr>
            <w:tcW w:type="dxa" w:w="2948"/>
            <w:tcW w:w="2948" w:type="dxa"/>
            <w:shd w:val="clear" w:color="auto" w:fill="D9E2EC"/>
          </w:tcPr>
          <w:p>
            <w:pPr>
              <w:jc w:val="center"/>
            </w:pPr>
            <w:r/>
            <w:r>
              <w:rPr>
                <w:rFonts w:ascii="Cambria" w:hAnsi="Cambria"/>
                <w:b w:val="0"/>
                <w:sz w:val="19"/>
              </w:rPr>
              <w:t>Promotion orders, CAS guidelines, service records.</w:t>
            </w:r>
          </w:p>
        </w:tc>
      </w:tr>
      <w:tr>
        <w:tc>
          <w:tcPr>
            <w:tcW w:type="dxa" w:w="2835"/>
            <w:tcW w:w="2835" w:type="dxa"/>
          </w:tcPr>
          <w:p>
            <w:pPr>
              <w:jc w:val="left"/>
            </w:pPr>
            <w:r/>
            <w:r>
              <w:rPr>
                <w:rFonts w:ascii="Cambria" w:hAnsi="Cambria"/>
                <w:b w:val="0"/>
                <w:sz w:val="19"/>
              </w:rPr>
              <w:t>Conducts annual performance appraisals of staff and faculty</w:t>
            </w:r>
          </w:p>
        </w:tc>
        <w:tc>
          <w:tcPr>
            <w:tcW w:type="dxa" w:w="3345"/>
            <w:tcW w:w="3345" w:type="dxa"/>
          </w:tcPr>
          <w:p>
            <w:pPr>
              <w:jc w:val="center"/>
            </w:pPr>
            <w:r/>
            <w:r>
              <w:rPr>
                <w:rFonts w:ascii="Cambria" w:hAnsi="Cambria"/>
                <w:b w:val="0"/>
                <w:sz w:val="19"/>
              </w:rPr>
              <w:t>Strengthened accountability; improved teaching, research, and service outcomes.</w:t>
            </w:r>
          </w:p>
        </w:tc>
        <w:tc>
          <w:tcPr>
            <w:tcW w:type="dxa" w:w="2948"/>
            <w:tcW w:w="2948" w:type="dxa"/>
          </w:tcPr>
          <w:p>
            <w:pPr>
              <w:jc w:val="center"/>
            </w:pPr>
            <w:r/>
            <w:r>
              <w:rPr>
                <w:rFonts w:ascii="Cambria" w:hAnsi="Cambria"/>
                <w:b w:val="0"/>
                <w:sz w:val="19"/>
              </w:rPr>
              <w:t>Performance appraisal reports, KPI/score sheets, feedback forms.</w:t>
            </w:r>
          </w:p>
        </w:tc>
      </w:tr>
      <w:tr>
        <w:tc>
          <w:tcPr>
            <w:tcW w:type="dxa" w:w="2835"/>
            <w:tcW w:w="2835" w:type="dxa"/>
            <w:shd w:val="clear" w:color="auto" w:fill="D9E2EC"/>
          </w:tcPr>
          <w:p>
            <w:pPr>
              <w:jc w:val="left"/>
            </w:pPr>
            <w:r/>
            <w:r>
              <w:rPr>
                <w:rFonts w:ascii="Cambria" w:hAnsi="Cambria"/>
                <w:b w:val="0"/>
                <w:sz w:val="19"/>
              </w:rPr>
              <w:t>Facilitates Faculty Development Programs (FDPs) and staff training</w:t>
            </w:r>
          </w:p>
        </w:tc>
        <w:tc>
          <w:tcPr>
            <w:tcW w:type="dxa" w:w="3345"/>
            <w:tcW w:w="3345" w:type="dxa"/>
            <w:shd w:val="clear" w:color="auto" w:fill="D9E2EC"/>
          </w:tcPr>
          <w:p>
            <w:pPr>
              <w:jc w:val="center"/>
            </w:pPr>
            <w:r/>
            <w:r>
              <w:rPr>
                <w:rFonts w:ascii="Cambria" w:hAnsi="Cambria"/>
                <w:b w:val="0"/>
                <w:sz w:val="19"/>
              </w:rPr>
              <w:t>Enhanced professional development; improved teaching-learning and research culture.</w:t>
            </w:r>
          </w:p>
        </w:tc>
        <w:tc>
          <w:tcPr>
            <w:tcW w:type="dxa" w:w="2948"/>
            <w:tcW w:w="2948" w:type="dxa"/>
            <w:shd w:val="clear" w:color="auto" w:fill="D9E2EC"/>
          </w:tcPr>
          <w:p>
            <w:pPr>
              <w:jc w:val="center"/>
            </w:pPr>
            <w:r/>
            <w:r>
              <w:rPr>
                <w:rFonts w:ascii="Cambria" w:hAnsi="Cambria"/>
                <w:b w:val="0"/>
                <w:sz w:val="19"/>
              </w:rPr>
              <w:t>FDP schedules, attendance records, training workshop reports.</w:t>
            </w:r>
          </w:p>
        </w:tc>
      </w:tr>
      <w:tr>
        <w:tc>
          <w:tcPr>
            <w:tcW w:type="dxa" w:w="2835"/>
            <w:tcW w:w="2835" w:type="dxa"/>
          </w:tcPr>
          <w:p>
            <w:pPr>
              <w:jc w:val="left"/>
            </w:pPr>
            <w:r/>
            <w:r>
              <w:rPr>
                <w:rFonts w:ascii="Cambria" w:hAnsi="Cambria"/>
                <w:b w:val="0"/>
                <w:sz w:val="19"/>
              </w:rPr>
              <w:t>Implements staff grievance redressal mechanisms</w:t>
            </w:r>
          </w:p>
        </w:tc>
        <w:tc>
          <w:tcPr>
            <w:tcW w:type="dxa" w:w="3345"/>
            <w:tcW w:w="3345" w:type="dxa"/>
          </w:tcPr>
          <w:p>
            <w:pPr>
              <w:jc w:val="center"/>
            </w:pPr>
            <w:r/>
            <w:r>
              <w:rPr>
                <w:rFonts w:ascii="Cambria" w:hAnsi="Cambria"/>
                <w:b w:val="0"/>
                <w:sz w:val="19"/>
              </w:rPr>
              <w:t>Improved employee satisfaction and institutional harmony.</w:t>
            </w:r>
          </w:p>
        </w:tc>
        <w:tc>
          <w:tcPr>
            <w:tcW w:type="dxa" w:w="2948"/>
            <w:tcW w:w="2948" w:type="dxa"/>
          </w:tcPr>
          <w:p>
            <w:pPr>
              <w:jc w:val="center"/>
            </w:pPr>
            <w:r/>
            <w:r>
              <w:rPr>
                <w:rFonts w:ascii="Cambria" w:hAnsi="Cambria"/>
                <w:b w:val="0"/>
                <w:sz w:val="19"/>
              </w:rPr>
              <w:t>Grievance committee reports, grievance resolution records.</w:t>
            </w:r>
          </w:p>
        </w:tc>
      </w:tr>
      <w:tr>
        <w:tc>
          <w:tcPr>
            <w:tcW w:type="dxa" w:w="2835"/>
            <w:tcW w:w="2835" w:type="dxa"/>
            <w:shd w:val="clear" w:color="auto" w:fill="D9E2EC"/>
          </w:tcPr>
          <w:p>
            <w:pPr>
              <w:jc w:val="left"/>
            </w:pPr>
            <w:r/>
            <w:r>
              <w:rPr>
                <w:rFonts w:ascii="Cambria" w:hAnsi="Cambria"/>
                <w:b w:val="0"/>
                <w:sz w:val="19"/>
              </w:rPr>
              <w:t>Maintains service records, contracts, and benefits administration</w:t>
            </w:r>
          </w:p>
        </w:tc>
        <w:tc>
          <w:tcPr>
            <w:tcW w:type="dxa" w:w="3345"/>
            <w:tcW w:w="3345" w:type="dxa"/>
            <w:shd w:val="clear" w:color="auto" w:fill="D9E2EC"/>
          </w:tcPr>
          <w:p>
            <w:pPr>
              <w:jc w:val="center"/>
            </w:pPr>
            <w:r/>
            <w:r>
              <w:rPr>
                <w:rFonts w:ascii="Cambria" w:hAnsi="Cambria"/>
                <w:b w:val="0"/>
                <w:sz w:val="19"/>
              </w:rPr>
              <w:t>Accurate HR records; smoother career progression and retirement processes.</w:t>
            </w:r>
          </w:p>
        </w:tc>
        <w:tc>
          <w:tcPr>
            <w:tcW w:type="dxa" w:w="2948"/>
            <w:tcW w:w="2948" w:type="dxa"/>
            <w:shd w:val="clear" w:color="auto" w:fill="D9E2EC"/>
          </w:tcPr>
          <w:p>
            <w:pPr>
              <w:jc w:val="center"/>
            </w:pPr>
            <w:r/>
            <w:r>
              <w:rPr>
                <w:rFonts w:ascii="Cambria" w:hAnsi="Cambria"/>
                <w:b w:val="0"/>
                <w:sz w:val="19"/>
              </w:rPr>
              <w:t>Employee service registers, payroll records, retirement benefit documents.</w:t>
            </w:r>
          </w:p>
        </w:tc>
      </w:tr>
      <w:tr>
        <w:tc>
          <w:tcPr>
            <w:tcW w:type="dxa" w:w="2835"/>
            <w:tcW w:w="2835" w:type="dxa"/>
          </w:tcPr>
          <w:p>
            <w:pPr>
              <w:jc w:val="left"/>
            </w:pPr>
            <w:r/>
            <w:r>
              <w:rPr>
                <w:rFonts w:ascii="Cambria" w:hAnsi="Cambria"/>
                <w:b w:val="0"/>
                <w:sz w:val="19"/>
              </w:rPr>
              <w:t>Frames and enforces HR policies in line with labor laws and UGC/AICTE norms</w:t>
            </w:r>
          </w:p>
        </w:tc>
        <w:tc>
          <w:tcPr>
            <w:tcW w:type="dxa" w:w="3345"/>
            <w:tcW w:w="3345" w:type="dxa"/>
          </w:tcPr>
          <w:p>
            <w:pPr>
              <w:jc w:val="center"/>
            </w:pPr>
            <w:r/>
            <w:r>
              <w:rPr>
                <w:rFonts w:ascii="Cambria" w:hAnsi="Cambria"/>
                <w:b w:val="0"/>
                <w:sz w:val="19"/>
              </w:rPr>
              <w:t>Compliance with statutory requirements; institutional credibility in audits.</w:t>
            </w:r>
          </w:p>
        </w:tc>
        <w:tc>
          <w:tcPr>
            <w:tcW w:type="dxa" w:w="2948"/>
            <w:tcW w:w="2948" w:type="dxa"/>
          </w:tcPr>
          <w:p>
            <w:pPr>
              <w:jc w:val="center"/>
            </w:pPr>
            <w:r/>
            <w:r>
              <w:rPr>
                <w:rFonts w:ascii="Cambria" w:hAnsi="Cambria"/>
                <w:b w:val="0"/>
                <w:sz w:val="19"/>
              </w:rPr>
              <w:t>HR policy documents, compliance certificates, audit reports.</w:t>
            </w:r>
          </w:p>
        </w:tc>
      </w:tr>
      <w:tr>
        <w:tc>
          <w:tcPr>
            <w:tcW w:type="dxa" w:w="2835"/>
            <w:tcW w:w="2835" w:type="dxa"/>
            <w:shd w:val="clear" w:color="auto" w:fill="D9E2EC"/>
          </w:tcPr>
          <w:p>
            <w:pPr>
              <w:jc w:val="left"/>
            </w:pPr>
            <w:r/>
            <w:r>
              <w:rPr>
                <w:rFonts w:ascii="Cambria" w:hAnsi="Cambria"/>
                <w:b w:val="0"/>
                <w:sz w:val="19"/>
              </w:rPr>
              <w:t>Promotes diversity, equity, and inclusion in staff policies</w:t>
            </w:r>
          </w:p>
        </w:tc>
        <w:tc>
          <w:tcPr>
            <w:tcW w:type="dxa" w:w="3345"/>
            <w:tcW w:w="3345" w:type="dxa"/>
            <w:shd w:val="clear" w:color="auto" w:fill="D9E2EC"/>
          </w:tcPr>
          <w:p>
            <w:pPr>
              <w:jc w:val="center"/>
            </w:pPr>
            <w:r/>
            <w:r>
              <w:rPr>
                <w:rFonts w:ascii="Cambria" w:hAnsi="Cambria"/>
                <w:b w:val="0"/>
                <w:sz w:val="19"/>
              </w:rPr>
              <w:t>Builds inclusive workplace culture; strengthens social responsibility of the university.</w:t>
            </w:r>
          </w:p>
        </w:tc>
        <w:tc>
          <w:tcPr>
            <w:tcW w:type="dxa" w:w="2948"/>
            <w:tcW w:w="2948" w:type="dxa"/>
            <w:shd w:val="clear" w:color="auto" w:fill="D9E2EC"/>
          </w:tcPr>
          <w:p>
            <w:pPr>
              <w:jc w:val="center"/>
            </w:pPr>
            <w:r/>
            <w:r>
              <w:rPr>
                <w:rFonts w:ascii="Cambria" w:hAnsi="Cambria"/>
                <w:b w:val="0"/>
                <w:sz w:val="19"/>
              </w:rPr>
              <w:t>Diversity policy documents, recruitment statistics, inclusivity reports.</w:t>
            </w:r>
          </w:p>
        </w:tc>
      </w:tr>
      <w:tr>
        <w:tc>
          <w:tcPr>
            <w:tcW w:type="dxa" w:w="2835"/>
            <w:tcW w:w="2835" w:type="dxa"/>
          </w:tcPr>
          <w:p>
            <w:pPr>
              <w:jc w:val="left"/>
            </w:pPr>
            <w:r/>
            <w:r>
              <w:rPr>
                <w:rFonts w:ascii="Cambria" w:hAnsi="Cambria"/>
                <w:b w:val="0"/>
                <w:sz w:val="19"/>
              </w:rPr>
              <w:t>Ensures day-to-day administrative efficiency and welfare schemes</w:t>
            </w:r>
          </w:p>
        </w:tc>
        <w:tc>
          <w:tcPr>
            <w:tcW w:type="dxa" w:w="3345"/>
            <w:tcW w:w="3345" w:type="dxa"/>
          </w:tcPr>
          <w:p>
            <w:pPr>
              <w:jc w:val="center"/>
            </w:pPr>
            <w:r/>
            <w:r>
              <w:rPr>
                <w:rFonts w:ascii="Cambria" w:hAnsi="Cambria"/>
                <w:b w:val="0"/>
                <w:sz w:val="19"/>
              </w:rPr>
              <w:t>Improved staff morale; efficient university operations.</w:t>
            </w:r>
          </w:p>
        </w:tc>
        <w:tc>
          <w:tcPr>
            <w:tcW w:type="dxa" w:w="2948"/>
            <w:tcW w:w="2948" w:type="dxa"/>
          </w:tcPr>
          <w:p>
            <w:pPr>
              <w:jc w:val="center"/>
            </w:pPr>
            <w:r/>
            <w:r>
              <w:rPr>
                <w:rFonts w:ascii="Cambria" w:hAnsi="Cambria"/>
                <w:b w:val="0"/>
                <w:sz w:val="19"/>
              </w:rPr>
              <w:t>Administrative circulars, welfare scheme records, employee satisfaction surveys.</w:t>
            </w:r>
          </w:p>
        </w:tc>
      </w:tr>
    </w:tbl>
    <w:p>
      <w:pPr>
        <w:keepNext/>
        <w:spacing w:before="160" w:after="120"/>
      </w:pPr>
      <w:r>
        <w:rPr>
          <w:rFonts w:ascii="Cambria" w:hAnsi="Cambria"/>
          <w:b/>
          <w:color w:val="1F3A5F"/>
          <w:sz w:val="30"/>
        </w:rPr>
        <w:t>3-Year HR &amp; Administration Progress Tracker</w:t>
      </w:r>
    </w:p>
    <w:tbl>
      <w:tblPr>
        <w:tblW w:type="auto" w:w="0"/>
        <w:tblLayout w:type="fixed"/>
        <w:tblLook w:firstColumn="1" w:firstRow="1" w:lastColumn="0" w:lastRow="0" w:noHBand="0" w:noVBand="1" w:val="04A0"/>
        <w:tblLayout w:type="fixed"/>
      </w:tblPr>
      <w:tblGrid>
        <w:gridCol w:w="1927"/>
        <w:gridCol w:w="2438"/>
        <w:gridCol w:w="2438"/>
        <w:gridCol w:w="2324"/>
      </w:tblGrid>
      <w:tr>
        <w:tc>
          <w:tcPr>
            <w:tcW w:type="dxa" w:w="1928"/>
            <w:shd w:val="clear" w:color="auto" w:fill="1F3A5F"/>
            <w:tcW w:w="1927" w:type="dxa"/>
          </w:tcPr>
          <w:p>
            <w:pPr>
              <w:jc w:val="center"/>
            </w:pPr>
            <w:r/>
            <w:r>
              <w:rPr>
                <w:rFonts w:ascii="Cambria" w:hAnsi="Cambria"/>
                <w:b/>
                <w:color w:val="FFFFFF"/>
                <w:sz w:val="20"/>
              </w:rPr>
              <w:t>Focus Area</w:t>
            </w:r>
          </w:p>
        </w:tc>
        <w:tc>
          <w:tcPr>
            <w:tcW w:type="dxa" w:w="2438"/>
            <w:shd w:val="clear" w:color="auto" w:fill="1F3A5F"/>
            <w:tcW w:w="2438" w:type="dxa"/>
          </w:tcPr>
          <w:p>
            <w:pPr>
              <w:jc w:val="center"/>
            </w:pPr>
            <w:r/>
            <w:r>
              <w:rPr>
                <w:rFonts w:ascii="Cambria" w:hAnsi="Cambria"/>
                <w:b/>
                <w:color w:val="FFFFFF"/>
                <w:sz w:val="20"/>
              </w:rPr>
              <w:t>Year 1 – Foundation</w:t>
            </w:r>
          </w:p>
        </w:tc>
        <w:tc>
          <w:tcPr>
            <w:tcW w:type="dxa" w:w="2438"/>
            <w:shd w:val="clear" w:color="auto" w:fill="1F3A5F"/>
            <w:tcW w:w="2438" w:type="dxa"/>
          </w:tcPr>
          <w:p>
            <w:pPr>
              <w:jc w:val="center"/>
            </w:pPr>
            <w:r/>
            <w:r>
              <w:rPr>
                <w:rFonts w:ascii="Cambria" w:hAnsi="Cambria"/>
                <w:b/>
                <w:color w:val="FFFFFF"/>
                <w:sz w:val="20"/>
              </w:rPr>
              <w:t>Year 2 – Growth &amp; Consolidation</w:t>
            </w:r>
          </w:p>
        </w:tc>
        <w:tc>
          <w:tcPr>
            <w:tcW w:type="dxa" w:w="2324"/>
            <w:shd w:val="clear" w:color="auto" w:fill="1F3A5F"/>
            <w:tcW w:w="2324" w:type="dxa"/>
          </w:tcPr>
          <w:p>
            <w:pPr>
              <w:jc w:val="center"/>
            </w:pPr>
            <w:r/>
            <w:r>
              <w:rPr>
                <w:rFonts w:ascii="Cambria" w:hAnsi="Cambria"/>
                <w:b/>
                <w:color w:val="FFFFFF"/>
                <w:sz w:val="20"/>
              </w:rPr>
              <w:t>Year 3 – Maturity &amp; Impact</w:t>
            </w:r>
          </w:p>
        </w:tc>
      </w:tr>
      <w:tr>
        <w:tc>
          <w:tcPr>
            <w:tcW w:type="dxa" w:w="1928"/>
            <w:tcW w:w="1927" w:type="dxa"/>
          </w:tcPr>
          <w:p>
            <w:pPr>
              <w:jc w:val="left"/>
            </w:pPr>
            <w:r/>
            <w:r>
              <w:rPr>
                <w:rFonts w:ascii="Cambria" w:hAnsi="Cambria"/>
                <w:b w:val="0"/>
                <w:sz w:val="18"/>
              </w:rPr>
              <w:t>Faculty Recruitment &amp; Appointments</w:t>
            </w:r>
          </w:p>
        </w:tc>
        <w:tc>
          <w:tcPr>
            <w:tcW w:type="dxa" w:w="2438"/>
            <w:tcW w:w="2438" w:type="dxa"/>
          </w:tcPr>
          <w:p>
            <w:pPr>
              <w:jc w:val="center"/>
            </w:pPr>
            <w:r/>
            <w:r>
              <w:rPr>
                <w:rFonts w:ascii="Cambria" w:hAnsi="Cambria"/>
                <w:b w:val="0"/>
                <w:sz w:val="18"/>
              </w:rPr>
              <w:t>Recruitment policies aligned with UGC/AICTE/state guidelines; transparent hiring introduced.</w:t>
            </w:r>
          </w:p>
        </w:tc>
        <w:tc>
          <w:tcPr>
            <w:tcW w:type="dxa" w:w="2438"/>
            <w:tcW w:w="2438" w:type="dxa"/>
          </w:tcPr>
          <w:p>
            <w:pPr>
              <w:jc w:val="center"/>
            </w:pPr>
            <w:r/>
            <w:r>
              <w:rPr>
                <w:rFonts w:ascii="Cambria" w:hAnsi="Cambria"/>
                <w:b w:val="0"/>
                <w:sz w:val="18"/>
              </w:rPr>
              <w:t>Recruitment through digital platforms and ERP integration; diversity in hiring improved.</w:t>
            </w:r>
          </w:p>
        </w:tc>
        <w:tc>
          <w:tcPr>
            <w:tcW w:type="dxa" w:w="2324"/>
            <w:tcW w:w="2324" w:type="dxa"/>
          </w:tcPr>
          <w:p>
            <w:pPr>
              <w:jc w:val="center"/>
            </w:pPr>
            <w:r/>
            <w:r>
              <w:rPr>
                <w:rFonts w:ascii="Cambria" w:hAnsi="Cambria"/>
                <w:b w:val="0"/>
                <w:sz w:val="18"/>
              </w:rPr>
              <w:t>Institutional reputation strengthened by global faculty recruitment and sustained talent retention.</w:t>
            </w:r>
          </w:p>
        </w:tc>
      </w:tr>
      <w:tr>
        <w:tc>
          <w:tcPr>
            <w:tcW w:type="dxa" w:w="1928"/>
            <w:tcW w:w="1927" w:type="dxa"/>
            <w:shd w:val="clear" w:color="auto" w:fill="D9E2EC"/>
          </w:tcPr>
          <w:p>
            <w:pPr>
              <w:jc w:val="left"/>
            </w:pPr>
            <w:r/>
            <w:r>
              <w:rPr>
                <w:rFonts w:ascii="Cambria" w:hAnsi="Cambria"/>
                <w:b w:val="0"/>
                <w:sz w:val="18"/>
              </w:rPr>
              <w:t>Promotions &amp; Career Advancement (CAS)</w:t>
            </w:r>
          </w:p>
        </w:tc>
        <w:tc>
          <w:tcPr>
            <w:tcW w:type="dxa" w:w="2438"/>
            <w:tcW w:w="2438" w:type="dxa"/>
            <w:shd w:val="clear" w:color="auto" w:fill="D9E2EC"/>
          </w:tcPr>
          <w:p>
            <w:pPr>
              <w:jc w:val="center"/>
            </w:pPr>
            <w:r/>
            <w:r>
              <w:rPr>
                <w:rFonts w:ascii="Cambria" w:hAnsi="Cambria"/>
                <w:b w:val="0"/>
                <w:sz w:val="18"/>
              </w:rPr>
              <w:t>CAS guidelines circulated; first round of promotions initiated.</w:t>
            </w:r>
          </w:p>
        </w:tc>
        <w:tc>
          <w:tcPr>
            <w:tcW w:type="dxa" w:w="2438"/>
            <w:tcW w:w="2438" w:type="dxa"/>
            <w:shd w:val="clear" w:color="auto" w:fill="D9E2EC"/>
          </w:tcPr>
          <w:p>
            <w:pPr>
              <w:jc w:val="center"/>
            </w:pPr>
            <w:r/>
            <w:r>
              <w:rPr>
                <w:rFonts w:ascii="Cambria" w:hAnsi="Cambria"/>
                <w:b w:val="0"/>
                <w:sz w:val="18"/>
              </w:rPr>
              <w:t>Transparent appraisal-linked promotions; mentoring for mid-career faculty.</w:t>
            </w:r>
          </w:p>
        </w:tc>
        <w:tc>
          <w:tcPr>
            <w:tcW w:type="dxa" w:w="2324"/>
            <w:tcW w:w="2324" w:type="dxa"/>
            <w:shd w:val="clear" w:color="auto" w:fill="D9E2EC"/>
          </w:tcPr>
          <w:p>
            <w:pPr>
              <w:jc w:val="center"/>
            </w:pPr>
            <w:r/>
            <w:r>
              <w:rPr>
                <w:rFonts w:ascii="Cambria" w:hAnsi="Cambria"/>
                <w:b w:val="0"/>
                <w:sz w:val="18"/>
              </w:rPr>
              <w:t>Strong leadership pipeline created; improved faculty retention and satisfaction.</w:t>
            </w:r>
          </w:p>
        </w:tc>
      </w:tr>
      <w:tr>
        <w:tc>
          <w:tcPr>
            <w:tcW w:type="dxa" w:w="1928"/>
            <w:tcW w:w="1927" w:type="dxa"/>
          </w:tcPr>
          <w:p>
            <w:pPr>
              <w:jc w:val="left"/>
            </w:pPr>
            <w:r/>
            <w:r>
              <w:rPr>
                <w:rFonts w:ascii="Cambria" w:hAnsi="Cambria"/>
                <w:b w:val="0"/>
                <w:sz w:val="18"/>
              </w:rPr>
              <w:t>Performance Appraisal &amp; Accountability</w:t>
            </w:r>
          </w:p>
        </w:tc>
        <w:tc>
          <w:tcPr>
            <w:tcW w:type="dxa" w:w="2438"/>
            <w:tcW w:w="2438" w:type="dxa"/>
          </w:tcPr>
          <w:p>
            <w:pPr>
              <w:jc w:val="center"/>
            </w:pPr>
            <w:r/>
            <w:r>
              <w:rPr>
                <w:rFonts w:ascii="Cambria" w:hAnsi="Cambria"/>
                <w:b w:val="0"/>
                <w:sz w:val="18"/>
              </w:rPr>
              <w:t>Basic annual appraisal system implemented; faculty/staff KPIs introduced.</w:t>
            </w:r>
          </w:p>
        </w:tc>
        <w:tc>
          <w:tcPr>
            <w:tcW w:type="dxa" w:w="2438"/>
            <w:tcW w:w="2438" w:type="dxa"/>
          </w:tcPr>
          <w:p>
            <w:pPr>
              <w:jc w:val="center"/>
            </w:pPr>
            <w:r/>
            <w:r>
              <w:rPr>
                <w:rFonts w:ascii="Cambria" w:hAnsi="Cambria"/>
                <w:b w:val="0"/>
                <w:sz w:val="18"/>
              </w:rPr>
              <w:t>Multi-dimensional appraisal with student/alumni/peer feedback.</w:t>
            </w:r>
          </w:p>
        </w:tc>
        <w:tc>
          <w:tcPr>
            <w:tcW w:type="dxa" w:w="2324"/>
            <w:tcW w:w="2324" w:type="dxa"/>
          </w:tcPr>
          <w:p>
            <w:pPr>
              <w:jc w:val="center"/>
            </w:pPr>
            <w:r/>
            <w:r>
              <w:rPr>
                <w:rFonts w:ascii="Cambria" w:hAnsi="Cambria"/>
                <w:b w:val="0"/>
                <w:sz w:val="18"/>
              </w:rPr>
              <w:t>Data-driven appraisal system fully integrated into ERP; continuous improvement culture embedded.</w:t>
            </w:r>
          </w:p>
        </w:tc>
      </w:tr>
      <w:tr>
        <w:tc>
          <w:tcPr>
            <w:tcW w:type="dxa" w:w="1928"/>
            <w:tcW w:w="1927" w:type="dxa"/>
            <w:shd w:val="clear" w:color="auto" w:fill="D9E2EC"/>
          </w:tcPr>
          <w:p>
            <w:pPr>
              <w:jc w:val="left"/>
            </w:pPr>
            <w:r/>
            <w:r>
              <w:rPr>
                <w:rFonts w:ascii="Cambria" w:hAnsi="Cambria"/>
                <w:b w:val="0"/>
                <w:sz w:val="18"/>
              </w:rPr>
              <w:t>Faculty &amp; Staff Development (FDPs/Training)</w:t>
            </w:r>
          </w:p>
        </w:tc>
        <w:tc>
          <w:tcPr>
            <w:tcW w:type="dxa" w:w="2438"/>
            <w:tcW w:w="2438" w:type="dxa"/>
            <w:shd w:val="clear" w:color="auto" w:fill="D9E2EC"/>
          </w:tcPr>
          <w:p>
            <w:pPr>
              <w:jc w:val="center"/>
            </w:pPr>
            <w:r/>
            <w:r>
              <w:rPr>
                <w:rFonts w:ascii="Cambria" w:hAnsi="Cambria"/>
                <w:b w:val="0"/>
                <w:sz w:val="18"/>
              </w:rPr>
              <w:t>2–3 FDPs/workshops organized; orientation for new staff.</w:t>
            </w:r>
          </w:p>
        </w:tc>
        <w:tc>
          <w:tcPr>
            <w:tcW w:type="dxa" w:w="2438"/>
            <w:tcW w:w="2438" w:type="dxa"/>
            <w:shd w:val="clear" w:color="auto" w:fill="D9E2EC"/>
          </w:tcPr>
          <w:p>
            <w:pPr>
              <w:jc w:val="center"/>
            </w:pPr>
            <w:r/>
            <w:r>
              <w:rPr>
                <w:rFonts w:ascii="Cambria" w:hAnsi="Cambria"/>
                <w:b w:val="0"/>
                <w:sz w:val="18"/>
              </w:rPr>
              <w:t>Regular FDP calendar institutionalized; staff trained in digital/OBE tools.</w:t>
            </w:r>
          </w:p>
        </w:tc>
        <w:tc>
          <w:tcPr>
            <w:tcW w:type="dxa" w:w="2324"/>
            <w:tcW w:w="2324" w:type="dxa"/>
            <w:shd w:val="clear" w:color="auto" w:fill="D9E2EC"/>
          </w:tcPr>
          <w:p>
            <w:pPr>
              <w:jc w:val="center"/>
            </w:pPr>
            <w:r/>
            <w:r>
              <w:rPr>
                <w:rFonts w:ascii="Cambria" w:hAnsi="Cambria"/>
                <w:b w:val="0"/>
                <w:sz w:val="18"/>
              </w:rPr>
              <w:t>International FDPs, leadership training, and capacity-building recognized as best practice.</w:t>
            </w:r>
          </w:p>
        </w:tc>
      </w:tr>
      <w:tr>
        <w:tc>
          <w:tcPr>
            <w:tcW w:type="dxa" w:w="1928"/>
            <w:tcW w:w="1927" w:type="dxa"/>
          </w:tcPr>
          <w:p>
            <w:pPr>
              <w:jc w:val="left"/>
            </w:pPr>
            <w:r/>
            <w:r>
              <w:rPr>
                <w:rFonts w:ascii="Cambria" w:hAnsi="Cambria"/>
                <w:b w:val="0"/>
                <w:sz w:val="18"/>
              </w:rPr>
              <w:t>Grievance Redressal</w:t>
            </w:r>
          </w:p>
        </w:tc>
        <w:tc>
          <w:tcPr>
            <w:tcW w:type="dxa" w:w="2438"/>
            <w:tcW w:w="2438" w:type="dxa"/>
          </w:tcPr>
          <w:p>
            <w:pPr>
              <w:jc w:val="center"/>
            </w:pPr>
            <w:r/>
            <w:r>
              <w:rPr>
                <w:rFonts w:ascii="Cambria" w:hAnsi="Cambria"/>
                <w:b w:val="0"/>
                <w:sz w:val="18"/>
              </w:rPr>
              <w:t>Grievance committee established; basic mechanism operational.</w:t>
            </w:r>
          </w:p>
        </w:tc>
        <w:tc>
          <w:tcPr>
            <w:tcW w:type="dxa" w:w="2438"/>
            <w:tcW w:w="2438" w:type="dxa"/>
          </w:tcPr>
          <w:p>
            <w:pPr>
              <w:jc w:val="center"/>
            </w:pPr>
            <w:r/>
            <w:r>
              <w:rPr>
                <w:rFonts w:ascii="Cambria" w:hAnsi="Cambria"/>
                <w:b w:val="0"/>
                <w:sz w:val="18"/>
              </w:rPr>
              <w:t>Digital grievance portal launched with monitoring dashboards.</w:t>
            </w:r>
          </w:p>
        </w:tc>
        <w:tc>
          <w:tcPr>
            <w:tcW w:type="dxa" w:w="2324"/>
            <w:tcW w:w="2324" w:type="dxa"/>
          </w:tcPr>
          <w:p>
            <w:pPr>
              <w:jc w:val="center"/>
            </w:pPr>
            <w:r/>
            <w:r>
              <w:rPr>
                <w:rFonts w:ascii="Cambria" w:hAnsi="Cambria"/>
                <w:b w:val="0"/>
                <w:sz w:val="18"/>
              </w:rPr>
              <w:t>100% grievance resolution within stipulated timelines; employee satisfaction index significantly improved.</w:t>
            </w:r>
          </w:p>
        </w:tc>
      </w:tr>
      <w:tr>
        <w:tc>
          <w:tcPr>
            <w:tcW w:type="dxa" w:w="1928"/>
            <w:tcW w:w="1927" w:type="dxa"/>
            <w:shd w:val="clear" w:color="auto" w:fill="D9E2EC"/>
          </w:tcPr>
          <w:p>
            <w:pPr>
              <w:jc w:val="left"/>
            </w:pPr>
            <w:r/>
            <w:r>
              <w:rPr>
                <w:rFonts w:ascii="Cambria" w:hAnsi="Cambria"/>
                <w:b w:val="0"/>
                <w:sz w:val="18"/>
              </w:rPr>
              <w:t>HR Policies &amp; Records</w:t>
            </w:r>
          </w:p>
        </w:tc>
        <w:tc>
          <w:tcPr>
            <w:tcW w:type="dxa" w:w="2438"/>
            <w:tcW w:w="2438" w:type="dxa"/>
            <w:shd w:val="clear" w:color="auto" w:fill="D9E2EC"/>
          </w:tcPr>
          <w:p>
            <w:pPr>
              <w:jc w:val="center"/>
            </w:pPr>
            <w:r/>
            <w:r>
              <w:rPr>
                <w:rFonts w:ascii="Cambria" w:hAnsi="Cambria"/>
                <w:b w:val="0"/>
                <w:sz w:val="18"/>
              </w:rPr>
              <w:t>HR policies documented and communicated; service registers updated.</w:t>
            </w:r>
          </w:p>
        </w:tc>
        <w:tc>
          <w:tcPr>
            <w:tcW w:type="dxa" w:w="2438"/>
            <w:tcW w:w="2438" w:type="dxa"/>
            <w:shd w:val="clear" w:color="auto" w:fill="D9E2EC"/>
          </w:tcPr>
          <w:p>
            <w:pPr>
              <w:jc w:val="center"/>
            </w:pPr>
            <w:r/>
            <w:r>
              <w:rPr>
                <w:rFonts w:ascii="Cambria" w:hAnsi="Cambria"/>
                <w:b w:val="0"/>
                <w:sz w:val="18"/>
              </w:rPr>
              <w:t>ERP integration of payroll, leave, retirement, and service benefits.</w:t>
            </w:r>
          </w:p>
        </w:tc>
        <w:tc>
          <w:tcPr>
            <w:tcW w:type="dxa" w:w="2324"/>
            <w:tcW w:w="2324" w:type="dxa"/>
            <w:shd w:val="clear" w:color="auto" w:fill="D9E2EC"/>
          </w:tcPr>
          <w:p>
            <w:pPr>
              <w:jc w:val="center"/>
            </w:pPr>
            <w:r/>
            <w:r>
              <w:rPr>
                <w:rFonts w:ascii="Cambria" w:hAnsi="Cambria"/>
                <w:b w:val="0"/>
                <w:sz w:val="18"/>
              </w:rPr>
              <w:t>End-to-end HR automation achieved; compliance ensured with zero audit objections.</w:t>
            </w:r>
          </w:p>
        </w:tc>
      </w:tr>
      <w:tr>
        <w:tc>
          <w:tcPr>
            <w:tcW w:type="dxa" w:w="1928"/>
            <w:tcW w:w="1927" w:type="dxa"/>
          </w:tcPr>
          <w:p>
            <w:pPr>
              <w:jc w:val="left"/>
            </w:pPr>
            <w:r/>
            <w:r>
              <w:rPr>
                <w:rFonts w:ascii="Cambria" w:hAnsi="Cambria"/>
                <w:b w:val="0"/>
                <w:sz w:val="18"/>
              </w:rPr>
              <w:t>Diversity, Equity &amp; Inclusion (DEI)</w:t>
            </w:r>
          </w:p>
        </w:tc>
        <w:tc>
          <w:tcPr>
            <w:tcW w:type="dxa" w:w="2438"/>
            <w:tcW w:w="2438" w:type="dxa"/>
          </w:tcPr>
          <w:p>
            <w:pPr>
              <w:jc w:val="center"/>
            </w:pPr>
            <w:r/>
            <w:r>
              <w:rPr>
                <w:rFonts w:ascii="Cambria" w:hAnsi="Cambria"/>
                <w:b w:val="0"/>
                <w:sz w:val="18"/>
              </w:rPr>
              <w:t>Initial DEI policy drafted; awareness programs introduced.</w:t>
            </w:r>
          </w:p>
        </w:tc>
        <w:tc>
          <w:tcPr>
            <w:tcW w:type="dxa" w:w="2438"/>
            <w:tcW w:w="2438" w:type="dxa"/>
          </w:tcPr>
          <w:p>
            <w:pPr>
              <w:jc w:val="center"/>
            </w:pPr>
            <w:r/>
            <w:r>
              <w:rPr>
                <w:rFonts w:ascii="Cambria" w:hAnsi="Cambria"/>
                <w:b w:val="0"/>
                <w:sz w:val="18"/>
              </w:rPr>
              <w:t>Inclusivity initiatives strengthened; diversity indicators tracked.</w:t>
            </w:r>
          </w:p>
        </w:tc>
        <w:tc>
          <w:tcPr>
            <w:tcW w:type="dxa" w:w="2324"/>
            <w:tcW w:w="2324" w:type="dxa"/>
          </w:tcPr>
          <w:p>
            <w:pPr>
              <w:jc w:val="center"/>
            </w:pPr>
            <w:r/>
            <w:r>
              <w:rPr>
                <w:rFonts w:ascii="Cambria" w:hAnsi="Cambria"/>
                <w:b w:val="0"/>
                <w:sz w:val="18"/>
              </w:rPr>
              <w:t>DEI model recognized as best practice in NAAC/NBA/UGC reports; inclusive campus culture institutionalized.</w:t>
            </w:r>
          </w:p>
        </w:tc>
      </w:tr>
      <w:tr>
        <w:tc>
          <w:tcPr>
            <w:tcW w:type="dxa" w:w="1928"/>
            <w:tcW w:w="1927" w:type="dxa"/>
            <w:shd w:val="clear" w:color="auto" w:fill="D9E2EC"/>
          </w:tcPr>
          <w:p>
            <w:pPr>
              <w:jc w:val="left"/>
            </w:pPr>
            <w:r/>
            <w:r>
              <w:rPr>
                <w:rFonts w:ascii="Cambria" w:hAnsi="Cambria"/>
                <w:b w:val="0"/>
                <w:sz w:val="18"/>
              </w:rPr>
              <w:t>Administration &amp; Welfare</w:t>
            </w:r>
          </w:p>
        </w:tc>
        <w:tc>
          <w:tcPr>
            <w:tcW w:type="dxa" w:w="2438"/>
            <w:tcW w:w="2438" w:type="dxa"/>
            <w:shd w:val="clear" w:color="auto" w:fill="D9E2EC"/>
          </w:tcPr>
          <w:p>
            <w:pPr>
              <w:jc w:val="center"/>
            </w:pPr>
            <w:r/>
            <w:r>
              <w:rPr>
                <w:rFonts w:ascii="Cambria" w:hAnsi="Cambria"/>
                <w:b w:val="0"/>
                <w:sz w:val="18"/>
              </w:rPr>
              <w:t>Basic welfare schemes initiated (health, insurance, housing).</w:t>
            </w:r>
          </w:p>
        </w:tc>
        <w:tc>
          <w:tcPr>
            <w:tcW w:type="dxa" w:w="2438"/>
            <w:tcW w:w="2438" w:type="dxa"/>
            <w:shd w:val="clear" w:color="auto" w:fill="D9E2EC"/>
          </w:tcPr>
          <w:p>
            <w:pPr>
              <w:jc w:val="center"/>
            </w:pPr>
            <w:r/>
            <w:r>
              <w:rPr>
                <w:rFonts w:ascii="Cambria" w:hAnsi="Cambria"/>
                <w:b w:val="0"/>
                <w:sz w:val="18"/>
              </w:rPr>
              <w:t>Expanded welfare schemes (career counseling, mental health support).</w:t>
            </w:r>
          </w:p>
        </w:tc>
        <w:tc>
          <w:tcPr>
            <w:tcW w:type="dxa" w:w="2324"/>
            <w:tcW w:w="2324" w:type="dxa"/>
            <w:shd w:val="clear" w:color="auto" w:fill="D9E2EC"/>
          </w:tcPr>
          <w:p>
            <w:pPr>
              <w:jc w:val="center"/>
            </w:pPr>
            <w:r/>
            <w:r>
              <w:rPr>
                <w:rFonts w:ascii="Cambria" w:hAnsi="Cambria"/>
                <w:b w:val="0"/>
                <w:sz w:val="18"/>
              </w:rPr>
              <w:t>Comprehensive welfare ecosystem established; high employee morale and productivity.</w:t>
            </w:r>
          </w:p>
        </w:tc>
      </w:tr>
    </w:tbl>
    <w:p>
      <w:r>
        <w:br w:type="page"/>
      </w:r>
    </w:p>
    <w:p>
      <w:pPr>
        <w:keepNext/>
        <w:spacing w:before="240" w:after="120"/>
      </w:pPr>
      <w:r>
        <w:rPr>
          <w:rFonts w:ascii="Cambria" w:hAnsi="Cambria"/>
          <w:b/>
          <w:color w:val="1F3A5F"/>
          <w:sz w:val="36"/>
        </w:rPr>
        <w:t>11. Academic Leadership</w:t>
      </w:r>
    </w:p>
    <w:p>
      <w:pPr>
        <w:keepNext/>
        <w:spacing w:before="160" w:after="120"/>
      </w:pPr>
      <w:r>
        <w:rPr>
          <w:rFonts w:ascii="Cambria" w:hAnsi="Cambria"/>
          <w:b/>
          <w:color w:val="1F3A5F"/>
          <w:sz w:val="30"/>
        </w:rPr>
        <w:t>1. Deans of Faculties / Schools</w:t>
      </w:r>
    </w:p>
    <w:p>
      <w:pPr>
        <w:pStyle w:val="ListBullet"/>
        <w:jc w:val="both"/>
      </w:pPr>
      <w:r>
        <w:rPr>
          <w:rFonts w:ascii="Cambria" w:hAnsi="Cambria"/>
          <w:sz w:val="22"/>
        </w:rPr>
        <w:t>Position in Structure</w:t>
      </w:r>
    </w:p>
    <w:p>
      <w:pPr>
        <w:pStyle w:val="ListBullet2"/>
        <w:jc w:val="both"/>
      </w:pPr>
      <w:r>
        <w:rPr>
          <w:rFonts w:ascii="Cambria" w:hAnsi="Cambria"/>
          <w:sz w:val="22"/>
        </w:rPr>
        <w:t>Senior academic leaders heading major faculties or schools such as Engineering, Sciences, Arts, Medicine, Business, Law, etc.</w:t>
      </w:r>
    </w:p>
    <w:p>
      <w:pPr>
        <w:pStyle w:val="ListBullet2"/>
        <w:jc w:val="both"/>
      </w:pPr>
      <w:r>
        <w:rPr>
          <w:rFonts w:ascii="Cambria" w:hAnsi="Cambria"/>
          <w:sz w:val="22"/>
        </w:rPr>
        <w:t>Report to the Vice-Chancellor / Pro-Vice-Chancellor and coordinate directly with Heads of Departments (HoDs).</w:t>
      </w:r>
    </w:p>
    <w:p>
      <w:pPr>
        <w:pStyle w:val="ListBullet"/>
        <w:jc w:val="both"/>
      </w:pPr>
      <w:r>
        <w:rPr>
          <w:rFonts w:ascii="Cambria" w:hAnsi="Cambria"/>
          <w:sz w:val="22"/>
        </w:rPr>
        <w:t>Core Responsibilities</w:t>
      </w:r>
    </w:p>
    <w:p>
      <w:pPr>
        <w:pStyle w:val="ListBullet2"/>
        <w:jc w:val="both"/>
      </w:pPr>
      <w:r>
        <w:rPr>
          <w:rFonts w:ascii="Cambria" w:hAnsi="Cambria"/>
          <w:sz w:val="22"/>
        </w:rPr>
        <w:t>Curriculum Design &amp; Development</w:t>
      </w:r>
    </w:p>
    <w:p>
      <w:pPr>
        <w:pStyle w:val="ListBullet"/>
        <w:jc w:val="both"/>
      </w:pPr>
      <w:r>
        <w:rPr>
          <w:rFonts w:ascii="Cambria" w:hAnsi="Cambria"/>
          <w:sz w:val="22"/>
        </w:rPr>
        <w:t>Ensure programs are updated in line with Outcome-Based Education (OBE), industry needs, and accreditation requirements (NAAC, NBA).</w:t>
      </w:r>
    </w:p>
    <w:p>
      <w:pPr>
        <w:pStyle w:val="ListBullet2"/>
        <w:jc w:val="both"/>
      </w:pPr>
      <w:r>
        <w:rPr>
          <w:rFonts w:ascii="Cambria" w:hAnsi="Cambria"/>
          <w:sz w:val="22"/>
        </w:rPr>
        <w:t>Research Promotion</w:t>
      </w:r>
    </w:p>
    <w:p>
      <w:pPr>
        <w:pStyle w:val="ListBullet"/>
        <w:jc w:val="both"/>
      </w:pPr>
      <w:r>
        <w:rPr>
          <w:rFonts w:ascii="Cambria" w:hAnsi="Cambria"/>
          <w:sz w:val="22"/>
        </w:rPr>
        <w:t>Facilitate research initiatives, collaborations, publications, and patents within the faculty.</w:t>
      </w:r>
    </w:p>
    <w:p>
      <w:pPr>
        <w:pStyle w:val="ListBullet2"/>
        <w:jc w:val="both"/>
      </w:pPr>
      <w:r>
        <w:rPr>
          <w:rFonts w:ascii="Cambria" w:hAnsi="Cambria"/>
          <w:sz w:val="22"/>
        </w:rPr>
        <w:t>Faculty Evaluation &amp; Development</w:t>
      </w:r>
    </w:p>
    <w:p>
      <w:pPr>
        <w:pStyle w:val="ListBullet"/>
        <w:jc w:val="both"/>
      </w:pPr>
      <w:r>
        <w:rPr>
          <w:rFonts w:ascii="Cambria" w:hAnsi="Cambria"/>
          <w:sz w:val="22"/>
        </w:rPr>
        <w:t>Oversee faculty performance appraisals, promotions, and career development activities.</w:t>
      </w:r>
    </w:p>
    <w:p>
      <w:pPr>
        <w:pStyle w:val="ListBullet2"/>
        <w:jc w:val="both"/>
      </w:pPr>
      <w:r>
        <w:rPr>
          <w:rFonts w:ascii="Cambria" w:hAnsi="Cambria"/>
          <w:sz w:val="22"/>
        </w:rPr>
        <w:t>Academic Quality Assurance</w:t>
      </w:r>
    </w:p>
    <w:p>
      <w:pPr>
        <w:pStyle w:val="ListBullet"/>
        <w:jc w:val="both"/>
      </w:pPr>
      <w:r>
        <w:rPr>
          <w:rFonts w:ascii="Cambria" w:hAnsi="Cambria"/>
          <w:sz w:val="22"/>
        </w:rPr>
        <w:t>Ensure compliance with IQAC benchmarks and regulatory frameworks.</w:t>
      </w:r>
    </w:p>
    <w:p>
      <w:pPr>
        <w:pStyle w:val="ListBullet"/>
        <w:jc w:val="both"/>
      </w:pPr>
      <w:r>
        <w:rPr>
          <w:rFonts w:ascii="Cambria" w:hAnsi="Cambria"/>
          <w:sz w:val="22"/>
        </w:rPr>
        <w:t>Coordinate academic audits and continuous improvement processes.</w:t>
      </w:r>
    </w:p>
    <w:p>
      <w:pPr>
        <w:pStyle w:val="ListBullet2"/>
        <w:jc w:val="both"/>
      </w:pPr>
      <w:r>
        <w:rPr>
          <w:rFonts w:ascii="Cambria" w:hAnsi="Cambria"/>
          <w:sz w:val="22"/>
        </w:rPr>
        <w:t>Resource Mobilization</w:t>
      </w:r>
    </w:p>
    <w:p>
      <w:pPr>
        <w:pStyle w:val="ListBullet"/>
        <w:jc w:val="both"/>
      </w:pPr>
      <w:r>
        <w:rPr>
          <w:rFonts w:ascii="Cambria" w:hAnsi="Cambria"/>
          <w:sz w:val="22"/>
        </w:rPr>
        <w:t>Engage in fundraising, alumni relations, and industry partnerships for the faculty/school.</w:t>
      </w:r>
    </w:p>
    <w:p>
      <w:pPr>
        <w:pStyle w:val="ListBullet"/>
        <w:jc w:val="both"/>
      </w:pPr>
      <w:r>
        <w:rPr>
          <w:rFonts w:ascii="Cambria" w:hAnsi="Cambria"/>
          <w:sz w:val="22"/>
        </w:rPr>
        <w:t>Strategic Role</w:t>
      </w:r>
    </w:p>
    <w:p>
      <w:pPr>
        <w:pStyle w:val="ListBullet2"/>
        <w:jc w:val="both"/>
      </w:pPr>
      <w:r>
        <w:rPr>
          <w:rFonts w:ascii="Cambria" w:hAnsi="Cambria"/>
          <w:sz w:val="22"/>
        </w:rPr>
        <w:t>Shape the academic vision of their faculty, balancing teaching, research, and community engagement.</w:t>
      </w:r>
    </w:p>
    <w:p>
      <w:pPr>
        <w:pStyle w:val="ListBullet2"/>
        <w:jc w:val="both"/>
      </w:pPr>
      <w:r>
        <w:rPr>
          <w:rFonts w:ascii="Cambria" w:hAnsi="Cambria"/>
          <w:sz w:val="22"/>
        </w:rPr>
        <w:t>Act as a bridge between university leadership and individual departments.</w:t>
      </w:r>
    </w:p>
    <w:p>
      <w:pPr>
        <w:keepNext/>
        <w:spacing w:before="160" w:after="120"/>
      </w:pPr>
      <w:r>
        <w:rPr>
          <w:rFonts w:ascii="Cambria" w:hAnsi="Cambria"/>
          <w:b/>
          <w:color w:val="1F3A5F"/>
          <w:sz w:val="30"/>
        </w:rPr>
        <w:t>2. Heads of Departments (HoDs)</w:t>
      </w:r>
    </w:p>
    <w:p>
      <w:pPr>
        <w:pStyle w:val="ListBullet"/>
        <w:jc w:val="both"/>
      </w:pPr>
      <w:r>
        <w:rPr>
          <w:rFonts w:ascii="Cambria" w:hAnsi="Cambria"/>
          <w:sz w:val="22"/>
        </w:rPr>
        <w:t>Position in Structure</w:t>
      </w:r>
    </w:p>
    <w:p>
      <w:pPr>
        <w:pStyle w:val="ListBullet2"/>
        <w:jc w:val="both"/>
      </w:pPr>
      <w:r>
        <w:rPr>
          <w:rFonts w:ascii="Cambria" w:hAnsi="Cambria"/>
          <w:sz w:val="22"/>
        </w:rPr>
        <w:t>Mid-level academic leaders directing specific academic departments such as Physics, Computer Science, Law, Economics, etc.</w:t>
      </w:r>
    </w:p>
    <w:p>
      <w:pPr>
        <w:pStyle w:val="ListBullet2"/>
        <w:jc w:val="both"/>
      </w:pPr>
      <w:r>
        <w:rPr>
          <w:rFonts w:ascii="Cambria" w:hAnsi="Cambria"/>
          <w:sz w:val="22"/>
        </w:rPr>
        <w:t>Report to the Dean of Faculty/School and work closely with faculty members and students.</w:t>
      </w:r>
    </w:p>
    <w:p>
      <w:pPr>
        <w:pStyle w:val="ListBullet"/>
        <w:jc w:val="both"/>
      </w:pPr>
      <w:r>
        <w:rPr>
          <w:rFonts w:ascii="Cambria" w:hAnsi="Cambria"/>
          <w:sz w:val="22"/>
        </w:rPr>
        <w:t>Core Responsibilities</w:t>
      </w:r>
    </w:p>
    <w:p>
      <w:pPr>
        <w:pStyle w:val="ListBullet2"/>
        <w:jc w:val="both"/>
      </w:pPr>
      <w:r>
        <w:rPr>
          <w:rFonts w:ascii="Cambria" w:hAnsi="Cambria"/>
          <w:sz w:val="22"/>
        </w:rPr>
        <w:t>Academic Management</w:t>
      </w:r>
    </w:p>
    <w:p>
      <w:pPr>
        <w:pStyle w:val="ListBullet"/>
        <w:jc w:val="both"/>
      </w:pPr>
      <w:r>
        <w:rPr>
          <w:rFonts w:ascii="Cambria" w:hAnsi="Cambria"/>
          <w:sz w:val="22"/>
        </w:rPr>
        <w:t>Plan and allocate teaching schedules, faculty workloads, and course assignments.</w:t>
      </w:r>
    </w:p>
    <w:p>
      <w:pPr>
        <w:pStyle w:val="ListBullet"/>
        <w:jc w:val="both"/>
      </w:pPr>
      <w:r>
        <w:rPr>
          <w:rFonts w:ascii="Cambria" w:hAnsi="Cambria"/>
          <w:sz w:val="22"/>
        </w:rPr>
        <w:t>Ensure efficient delivery of courses and practical sessions.</w:t>
      </w:r>
    </w:p>
    <w:p>
      <w:pPr>
        <w:pStyle w:val="ListBullet2"/>
        <w:jc w:val="both"/>
      </w:pPr>
      <w:r>
        <w:rPr>
          <w:rFonts w:ascii="Cambria" w:hAnsi="Cambria"/>
          <w:sz w:val="22"/>
        </w:rPr>
        <w:t>Departmental Research Leadership</w:t>
      </w:r>
    </w:p>
    <w:p>
      <w:pPr>
        <w:pStyle w:val="ListBullet"/>
        <w:jc w:val="both"/>
      </w:pPr>
      <w:r>
        <w:rPr>
          <w:rFonts w:ascii="Cambria" w:hAnsi="Cambria"/>
          <w:sz w:val="22"/>
        </w:rPr>
        <w:t>Encourage faculty and student research projects.</w:t>
      </w:r>
    </w:p>
    <w:p>
      <w:pPr>
        <w:pStyle w:val="ListBullet"/>
        <w:jc w:val="both"/>
      </w:pPr>
      <w:r>
        <w:rPr>
          <w:rFonts w:ascii="Cambria" w:hAnsi="Cambria"/>
          <w:sz w:val="22"/>
        </w:rPr>
        <w:t>Facilitate collaborations with industry and research centers.</w:t>
      </w:r>
    </w:p>
    <w:p>
      <w:pPr>
        <w:pStyle w:val="ListBullet2"/>
        <w:jc w:val="both"/>
      </w:pPr>
      <w:r>
        <w:rPr>
          <w:rFonts w:ascii="Cambria" w:hAnsi="Cambria"/>
          <w:sz w:val="22"/>
        </w:rPr>
        <w:t>Student Mentoring &amp; Support</w:t>
      </w:r>
    </w:p>
    <w:p>
      <w:pPr>
        <w:pStyle w:val="ListBullet"/>
        <w:jc w:val="both"/>
      </w:pPr>
      <w:r>
        <w:rPr>
          <w:rFonts w:ascii="Cambria" w:hAnsi="Cambria"/>
          <w:sz w:val="22"/>
        </w:rPr>
        <w:t>Supervise student advising, mentoring, and academic counseling.</w:t>
      </w:r>
    </w:p>
    <w:p>
      <w:pPr>
        <w:pStyle w:val="ListBullet"/>
        <w:jc w:val="both"/>
      </w:pPr>
      <w:r>
        <w:rPr>
          <w:rFonts w:ascii="Cambria" w:hAnsi="Cambria"/>
          <w:sz w:val="22"/>
        </w:rPr>
        <w:t>Address student grievances and ensure progression.</w:t>
      </w:r>
    </w:p>
    <w:p>
      <w:pPr>
        <w:pStyle w:val="ListBullet2"/>
        <w:jc w:val="both"/>
      </w:pPr>
      <w:r>
        <w:rPr>
          <w:rFonts w:ascii="Cambria" w:hAnsi="Cambria"/>
          <w:sz w:val="22"/>
        </w:rPr>
        <w:t>Faculty Development &amp; Appraisal</w:t>
      </w:r>
    </w:p>
    <w:p>
      <w:pPr>
        <w:pStyle w:val="ListBullet"/>
        <w:jc w:val="both"/>
      </w:pPr>
      <w:r>
        <w:rPr>
          <w:rFonts w:ascii="Cambria" w:hAnsi="Cambria"/>
          <w:sz w:val="22"/>
        </w:rPr>
        <w:t>Monitor teaching performance, recommend promotions, and provide mentorship.</w:t>
      </w:r>
    </w:p>
    <w:p>
      <w:pPr>
        <w:pStyle w:val="ListBullet2"/>
        <w:jc w:val="both"/>
      </w:pPr>
      <w:r>
        <w:rPr>
          <w:rFonts w:ascii="Cambria" w:hAnsi="Cambria"/>
          <w:sz w:val="22"/>
        </w:rPr>
        <w:t>Departmental Governance</w:t>
      </w:r>
    </w:p>
    <w:p>
      <w:pPr>
        <w:pStyle w:val="ListBullet"/>
        <w:jc w:val="both"/>
      </w:pPr>
      <w:r>
        <w:rPr>
          <w:rFonts w:ascii="Cambria" w:hAnsi="Cambria"/>
          <w:sz w:val="22"/>
        </w:rPr>
        <w:t>Organize departmental meetings, coordinate examinations, and maintain records.</w:t>
      </w:r>
    </w:p>
    <w:p>
      <w:pPr>
        <w:pStyle w:val="ListBullet"/>
        <w:jc w:val="both"/>
      </w:pPr>
      <w:r>
        <w:rPr>
          <w:rFonts w:ascii="Cambria" w:hAnsi="Cambria"/>
          <w:sz w:val="22"/>
        </w:rPr>
        <w:t>Liaise with the Dean and IQAC on curriculum reviews and quality assurance.</w:t>
      </w:r>
    </w:p>
    <w:p>
      <w:pPr>
        <w:pStyle w:val="ListBullet"/>
        <w:jc w:val="both"/>
      </w:pPr>
      <w:r>
        <w:rPr>
          <w:rFonts w:ascii="Cambria" w:hAnsi="Cambria"/>
          <w:sz w:val="22"/>
        </w:rPr>
        <w:t>Strategic Role</w:t>
      </w:r>
    </w:p>
    <w:p>
      <w:pPr>
        <w:pStyle w:val="ListBullet2"/>
        <w:jc w:val="both"/>
      </w:pPr>
      <w:r>
        <w:rPr>
          <w:rFonts w:ascii="Cambria" w:hAnsi="Cambria"/>
          <w:sz w:val="22"/>
        </w:rPr>
        <w:t>Serve as the first line of academic leadership closest to faculty and students.</w:t>
      </w:r>
    </w:p>
    <w:p>
      <w:pPr>
        <w:pStyle w:val="ListBullet2"/>
        <w:jc w:val="both"/>
      </w:pPr>
      <w:r>
        <w:rPr>
          <w:rFonts w:ascii="Cambria" w:hAnsi="Cambria"/>
          <w:sz w:val="22"/>
        </w:rPr>
        <w:t>Translate institutional policies into departmental practice.</w:t>
      </w:r>
    </w:p>
    <w:p>
      <w:r>
        <w:br w:type="page"/>
      </w:r>
    </w:p>
    <w:p>
      <w:pPr>
        <w:keepNext/>
        <w:spacing w:before="240" w:after="120"/>
      </w:pPr>
      <w:r>
        <w:rPr>
          <w:rFonts w:ascii="Cambria" w:hAnsi="Cambria"/>
          <w:b/>
          <w:color w:val="1F3A5F"/>
          <w:sz w:val="36"/>
        </w:rPr>
        <w:t>12. Deans of Faculties / Schools</w:t>
      </w:r>
    </w:p>
    <w:p>
      <w:pPr>
        <w:jc w:val="both"/>
      </w:pPr>
      <w:r>
        <w:rPr>
          <w:rFonts w:ascii="Cambria" w:hAnsi="Cambria"/>
          <w:b w:val="0"/>
          <w:i w:val="0"/>
          <w:sz w:val="22"/>
        </w:rPr>
        <w:t>Within a university's academic structure, the Deans of Faculties or Schools occupy a critical leadership position as senior academic and administrative heads of their respective units. Each dean is entrusted with overseeing a particular academic division—such as Engineering, Medicine, Sciences, Arts, Business, or Law—and plays a central role in shaping the academic vision, strategy, and operations of that faculty or school. Reporting to a higher-level university administrator, typically the Provost, Vice-President for Academic Affairs, or Pro-Vice-Chancellor (Academic) depending on the governance system, deans serve as the principal link between institutional leadership and departmental units. Their role combines strategic oversight with operational management, ensuring that faculty-level goals align with the broader mission of the university.</w:t>
      </w:r>
    </w:p>
    <w:p>
      <w:pPr>
        <w:jc w:val="both"/>
      </w:pPr>
      <w:r>
        <w:rPr>
          <w:rFonts w:ascii="Cambria" w:hAnsi="Cambria"/>
          <w:b w:val="0"/>
          <w:i w:val="0"/>
          <w:sz w:val="22"/>
        </w:rPr>
        <w:t>A key responsibility of deans is the development, delivery, and continuous improvement of academic programs. They work with department chairs, program directors, and faculty to design curricula that meet accreditation requirements, reflect national and international educational standards, and respond to evolving industry and societal needs. By embedding Outcome-Based Education (OBE) frameworks, accreditation compliance (NAAC, NBA, NIRF, QS, THE), and innovation into academic programs, deans ensure that their schools remain competitive and relevant. In addition, they oversee teaching quality, student learning outcomes, and the incorporation of digital and experiential learning methods.</w:t>
      </w:r>
    </w:p>
    <w:p>
      <w:pPr>
        <w:jc w:val="both"/>
      </w:pPr>
      <w:r>
        <w:rPr>
          <w:rFonts w:ascii="Cambria" w:hAnsi="Cambria"/>
          <w:b w:val="0"/>
          <w:i w:val="0"/>
          <w:sz w:val="22"/>
        </w:rPr>
        <w:t>Deans are also responsible for faculty and staff management, which includes recruitment, evaluation, professional development, and promotions. They play a vital role in mentoring junior faculty, fostering research productivity, and encouraging interdisciplinary collaboration. By ensuring that faculty workloads are fairly distributed and aligned with institutional expectations, deans safeguard both academic quality and faculty well-being. Furthermore, they establish performance benchmarks and provide guidance for faculty participation in research, publications, and external engagement.</w:t>
      </w:r>
    </w:p>
    <w:p>
      <w:pPr>
        <w:jc w:val="both"/>
      </w:pPr>
      <w:r>
        <w:rPr>
          <w:rFonts w:ascii="Cambria" w:hAnsi="Cambria"/>
          <w:b w:val="0"/>
          <w:i w:val="0"/>
          <w:sz w:val="22"/>
        </w:rPr>
        <w:t>Beyond internal responsibilities, deans are the public face of their faculties or schools to the rest of the university and to external stakeholders. They represent their divisions in university-level councils and committees, advocate for resources, and promote their faculty's achievements. Externally, they engage with industry partners, professional associations, alumni networks, funding bodies, and international collaborators. Such outreach not only enhances the reputation of the faculty but also generates opportunities for research funding, student internships, community projects, and global academic partnerships.</w:t>
      </w:r>
    </w:p>
    <w:p>
      <w:pPr>
        <w:jc w:val="both"/>
      </w:pPr>
      <w:r>
        <w:rPr>
          <w:rFonts w:ascii="Cambria" w:hAnsi="Cambria"/>
          <w:b w:val="0"/>
          <w:i w:val="0"/>
          <w:sz w:val="22"/>
        </w:rPr>
        <w:t>From a financial and administrative perspective, deans are responsible for budget preparation, resource allocation, and infrastructure management within their schools. They ensure optimal use of funds, seek additional financial support through grants, donations, and partnerships, and oversee the maintenance and development of laboratories, classrooms, and research centers. By balancing financial stewardship with academic priorities, deans contribute to the long-term sustainability of their faculties.</w:t>
      </w:r>
    </w:p>
    <w:p>
      <w:pPr>
        <w:jc w:val="both"/>
      </w:pPr>
      <w:r>
        <w:rPr>
          <w:rFonts w:ascii="Cambria" w:hAnsi="Cambria"/>
          <w:b w:val="0"/>
          <w:i w:val="0"/>
          <w:sz w:val="22"/>
        </w:rPr>
        <w:t>In the realm of research and innovation, deans encourage and support research centers, collaborative projects, patents, publications, and technology transfer initiatives. They play a strategic role in aligning departmental research with institutional priorities and national/global challenges. In doing so, they help elevate the university's standing in global rankings and contribute to societal and economic development.</w:t>
      </w:r>
    </w:p>
    <w:p>
      <w:pPr>
        <w:pStyle w:val="ListBullet"/>
        <w:jc w:val="both"/>
      </w:pPr>
      <w:r>
        <w:rPr>
          <w:rFonts w:ascii="Cambria" w:hAnsi="Cambria"/>
          <w:sz w:val="22"/>
        </w:rPr>
        <w:t>1. Position in the University Structure</w:t>
      </w:r>
    </w:p>
    <w:p>
      <w:pPr>
        <w:pStyle w:val="ListBullet2"/>
        <w:jc w:val="both"/>
      </w:pPr>
      <w:r>
        <w:rPr>
          <w:rFonts w:ascii="Cambria" w:hAnsi="Cambria"/>
          <w:sz w:val="22"/>
        </w:rPr>
        <w:t>The Dean is the senior-most academic leader of a faculty or school within a university, responsible for strategic oversight of disciplines such as Engineering, Sciences, Arts, Medicine, Business, Law, and Humanities.</w:t>
      </w:r>
    </w:p>
    <w:p>
      <w:pPr>
        <w:pStyle w:val="ListBullet2"/>
        <w:jc w:val="both"/>
      </w:pPr>
      <w:r>
        <w:rPr>
          <w:rFonts w:ascii="Cambria" w:hAnsi="Cambria"/>
          <w:sz w:val="22"/>
        </w:rPr>
        <w:t>Reports directly to the Vice-Chancellor or Pro-Vice-Chancellor and acts as the link between central leadership and departmental heads (HoDs).</w:t>
      </w:r>
    </w:p>
    <w:p>
      <w:pPr>
        <w:pStyle w:val="ListBullet2"/>
        <w:jc w:val="both"/>
      </w:pPr>
      <w:r>
        <w:rPr>
          <w:rFonts w:ascii="Cambria" w:hAnsi="Cambria"/>
          <w:sz w:val="22"/>
        </w:rPr>
        <w:t>Functions as the academic, administrative, and strategic head of the faculty/school.</w:t>
      </w:r>
    </w:p>
    <w:p>
      <w:pPr>
        <w:pStyle w:val="ListBullet"/>
        <w:jc w:val="both"/>
      </w:pPr>
      <w:r>
        <w:rPr>
          <w:rFonts w:ascii="Cambria" w:hAnsi="Cambria"/>
          <w:sz w:val="22"/>
        </w:rPr>
        <w:t>2. Core Responsibilities</w:t>
      </w:r>
    </w:p>
    <w:p>
      <w:pPr>
        <w:pStyle w:val="ListBullet2"/>
        <w:jc w:val="both"/>
      </w:pPr>
      <w:r>
        <w:rPr>
          <w:rFonts w:ascii="Cambria" w:hAnsi="Cambria"/>
          <w:sz w:val="22"/>
        </w:rPr>
        <w:t>Curriculum Design &amp; Quality Assurance</w:t>
      </w:r>
    </w:p>
    <w:p>
      <w:pPr>
        <w:pStyle w:val="ListBullet"/>
        <w:jc w:val="both"/>
      </w:pPr>
      <w:r>
        <w:rPr>
          <w:rFonts w:ascii="Cambria" w:hAnsi="Cambria"/>
          <w:sz w:val="22"/>
        </w:rPr>
        <w:t>Ensures curriculum development and regular revisions in line with Outcome-Based Education (OBE), national policies (NEP 2020, UGC norms), and global standards.</w:t>
      </w:r>
    </w:p>
    <w:p>
      <w:pPr>
        <w:pStyle w:val="ListBullet"/>
        <w:jc w:val="both"/>
      </w:pPr>
      <w:r>
        <w:rPr>
          <w:rFonts w:ascii="Cambria" w:hAnsi="Cambria"/>
          <w:sz w:val="22"/>
        </w:rPr>
        <w:t>Works with Boards of Studies and Academic Councils to approve and implement courses.</w:t>
      </w:r>
    </w:p>
    <w:p>
      <w:pPr>
        <w:pStyle w:val="ListBullet2"/>
        <w:jc w:val="both"/>
      </w:pPr>
      <w:r>
        <w:rPr>
          <w:rFonts w:ascii="Cambria" w:hAnsi="Cambria"/>
          <w:sz w:val="22"/>
        </w:rPr>
        <w:t>Research &amp; Innovation Leadership</w:t>
      </w:r>
    </w:p>
    <w:p>
      <w:pPr>
        <w:pStyle w:val="ListBullet"/>
        <w:jc w:val="both"/>
      </w:pPr>
      <w:r>
        <w:rPr>
          <w:rFonts w:ascii="Cambria" w:hAnsi="Cambria"/>
          <w:sz w:val="22"/>
        </w:rPr>
        <w:t>Encourages interdisciplinary research, faculty publications, patents, and research grants.</w:t>
      </w:r>
    </w:p>
    <w:p>
      <w:pPr>
        <w:pStyle w:val="ListBullet"/>
        <w:jc w:val="both"/>
      </w:pPr>
      <w:r>
        <w:rPr>
          <w:rFonts w:ascii="Cambria" w:hAnsi="Cambria"/>
          <w:sz w:val="22"/>
        </w:rPr>
        <w:t>Establishes research centers and partnerships with industries and global institutions.</w:t>
      </w:r>
    </w:p>
    <w:p>
      <w:pPr>
        <w:pStyle w:val="ListBullet2"/>
        <w:jc w:val="both"/>
      </w:pPr>
      <w:r>
        <w:rPr>
          <w:rFonts w:ascii="Cambria" w:hAnsi="Cambria"/>
          <w:sz w:val="22"/>
        </w:rPr>
        <w:t>Faculty Development &amp; Evaluation</w:t>
      </w:r>
    </w:p>
    <w:p>
      <w:pPr>
        <w:pStyle w:val="ListBullet"/>
        <w:jc w:val="both"/>
      </w:pPr>
      <w:r>
        <w:rPr>
          <w:rFonts w:ascii="Cambria" w:hAnsi="Cambria"/>
          <w:sz w:val="22"/>
        </w:rPr>
        <w:t>Oversees recruitment, appraisals, and professional development of faculty members.</w:t>
      </w:r>
    </w:p>
    <w:p>
      <w:pPr>
        <w:pStyle w:val="ListBullet"/>
        <w:jc w:val="both"/>
      </w:pPr>
      <w:r>
        <w:rPr>
          <w:rFonts w:ascii="Cambria" w:hAnsi="Cambria"/>
          <w:sz w:val="22"/>
        </w:rPr>
        <w:t>Implements faculty training programs, mentoring, and leadership development.</w:t>
      </w:r>
    </w:p>
    <w:p>
      <w:pPr>
        <w:pStyle w:val="ListBullet2"/>
        <w:jc w:val="both"/>
      </w:pPr>
      <w:r>
        <w:rPr>
          <w:rFonts w:ascii="Cambria" w:hAnsi="Cambria"/>
          <w:sz w:val="22"/>
        </w:rPr>
        <w:t>Academic Quality &amp; Accreditation</w:t>
      </w:r>
    </w:p>
    <w:p>
      <w:pPr>
        <w:pStyle w:val="ListBullet"/>
        <w:jc w:val="both"/>
      </w:pPr>
      <w:r>
        <w:rPr>
          <w:rFonts w:ascii="Cambria" w:hAnsi="Cambria"/>
          <w:sz w:val="22"/>
        </w:rPr>
        <w:t>Ensures compliance with NAAC, NBA, NIRF, QS, and THE frameworks.</w:t>
      </w:r>
    </w:p>
    <w:p>
      <w:pPr>
        <w:pStyle w:val="ListBullet"/>
        <w:jc w:val="both"/>
      </w:pPr>
      <w:r>
        <w:rPr>
          <w:rFonts w:ascii="Cambria" w:hAnsi="Cambria"/>
          <w:sz w:val="22"/>
        </w:rPr>
        <w:t>Conducts academic audits and performance monitoring within the faculty.</w:t>
      </w:r>
    </w:p>
    <w:p>
      <w:pPr>
        <w:pStyle w:val="ListBullet2"/>
        <w:jc w:val="both"/>
      </w:pPr>
      <w:r>
        <w:rPr>
          <w:rFonts w:ascii="Cambria" w:hAnsi="Cambria"/>
          <w:sz w:val="22"/>
        </w:rPr>
        <w:t>Student Development &amp; Welfare</w:t>
      </w:r>
    </w:p>
    <w:p>
      <w:pPr>
        <w:pStyle w:val="ListBullet"/>
        <w:jc w:val="both"/>
      </w:pPr>
      <w:r>
        <w:rPr>
          <w:rFonts w:ascii="Cambria" w:hAnsi="Cambria"/>
          <w:sz w:val="22"/>
        </w:rPr>
        <w:t>Promotes student-centered teaching and learning, mentoring programs, and career development activities.</w:t>
      </w:r>
    </w:p>
    <w:p>
      <w:pPr>
        <w:pStyle w:val="ListBullet"/>
        <w:jc w:val="both"/>
      </w:pPr>
      <w:r>
        <w:rPr>
          <w:rFonts w:ascii="Cambria" w:hAnsi="Cambria"/>
          <w:sz w:val="22"/>
        </w:rPr>
        <w:t>Ensures inclusivity, equity, and opportunities for internships and placements.</w:t>
      </w:r>
    </w:p>
    <w:p>
      <w:pPr>
        <w:pStyle w:val="ListBullet2"/>
        <w:jc w:val="both"/>
      </w:pPr>
      <w:r>
        <w:rPr>
          <w:rFonts w:ascii="Cambria" w:hAnsi="Cambria"/>
          <w:sz w:val="22"/>
        </w:rPr>
        <w:t>Resource Mobilization &amp; Networking</w:t>
      </w:r>
    </w:p>
    <w:p>
      <w:pPr>
        <w:pStyle w:val="ListBullet"/>
        <w:jc w:val="both"/>
      </w:pPr>
      <w:r>
        <w:rPr>
          <w:rFonts w:ascii="Cambria" w:hAnsi="Cambria"/>
          <w:sz w:val="22"/>
        </w:rPr>
        <w:t>Secures external funding, endowments, and industry collaborations.</w:t>
      </w:r>
    </w:p>
    <w:p>
      <w:pPr>
        <w:pStyle w:val="ListBullet"/>
        <w:jc w:val="both"/>
      </w:pPr>
      <w:r>
        <w:rPr>
          <w:rFonts w:ascii="Cambria" w:hAnsi="Cambria"/>
          <w:sz w:val="22"/>
        </w:rPr>
        <w:t>Builds alumni networks to support faculty growth and student opportunities.</w:t>
      </w:r>
    </w:p>
    <w:p>
      <w:pPr>
        <w:pStyle w:val="ListBullet"/>
        <w:jc w:val="both"/>
      </w:pPr>
      <w:r>
        <w:rPr>
          <w:rFonts w:ascii="Cambria" w:hAnsi="Cambria"/>
          <w:sz w:val="22"/>
        </w:rPr>
        <w:t>3. Strategic Role of Deans</w:t>
      </w:r>
    </w:p>
    <w:p>
      <w:pPr>
        <w:pStyle w:val="ListBullet2"/>
        <w:jc w:val="both"/>
      </w:pPr>
      <w:r>
        <w:rPr>
          <w:rFonts w:ascii="Cambria" w:hAnsi="Cambria"/>
          <w:sz w:val="22"/>
        </w:rPr>
        <w:t>Shape the vision and mission of the faculty/school, aligning it with institutional priorities.</w:t>
      </w:r>
    </w:p>
    <w:p>
      <w:pPr>
        <w:pStyle w:val="ListBullet2"/>
        <w:jc w:val="both"/>
      </w:pPr>
      <w:r>
        <w:rPr>
          <w:rFonts w:ascii="Cambria" w:hAnsi="Cambria"/>
          <w:sz w:val="22"/>
        </w:rPr>
        <w:t>Balance the dual focus of teaching and research, ensuring academic competitiveness.</w:t>
      </w:r>
    </w:p>
    <w:p>
      <w:pPr>
        <w:pStyle w:val="ListBullet2"/>
        <w:jc w:val="both"/>
      </w:pPr>
      <w:r>
        <w:rPr>
          <w:rFonts w:ascii="Cambria" w:hAnsi="Cambria"/>
          <w:sz w:val="22"/>
        </w:rPr>
        <w:t>Act as a policy implementer at the faculty level, translating institutional strategy into actionable plans.</w:t>
      </w:r>
    </w:p>
    <w:p>
      <w:pPr>
        <w:pStyle w:val="ListBullet2"/>
        <w:jc w:val="both"/>
      </w:pPr>
      <w:r>
        <w:rPr>
          <w:rFonts w:ascii="Cambria" w:hAnsi="Cambria"/>
          <w:sz w:val="22"/>
        </w:rPr>
        <w:t>Serve as ambassadors of their faculty in national and international collaborations.</w:t>
      </w:r>
    </w:p>
    <w:p>
      <w:pPr>
        <w:pStyle w:val="ListBullet"/>
        <w:jc w:val="both"/>
      </w:pPr>
      <w:r>
        <w:rPr>
          <w:rFonts w:ascii="Cambria" w:hAnsi="Cambria"/>
          <w:sz w:val="22"/>
        </w:rPr>
        <w:t>4. Qualities of an Effective Dean</w:t>
      </w:r>
    </w:p>
    <w:p>
      <w:pPr>
        <w:pStyle w:val="ListBullet2"/>
        <w:jc w:val="both"/>
      </w:pPr>
      <w:r>
        <w:rPr>
          <w:rFonts w:ascii="Cambria" w:hAnsi="Cambria"/>
          <w:sz w:val="22"/>
        </w:rPr>
        <w:t>Strong academic record and research excellence.</w:t>
      </w:r>
    </w:p>
    <w:p>
      <w:pPr>
        <w:pStyle w:val="ListBullet2"/>
        <w:jc w:val="both"/>
      </w:pPr>
      <w:r>
        <w:rPr>
          <w:rFonts w:ascii="Cambria" w:hAnsi="Cambria"/>
          <w:sz w:val="22"/>
        </w:rPr>
        <w:t>Leadership skills with the ability to inspire faculty and students.</w:t>
      </w:r>
    </w:p>
    <w:p>
      <w:pPr>
        <w:pStyle w:val="ListBullet2"/>
        <w:jc w:val="both"/>
      </w:pPr>
      <w:r>
        <w:rPr>
          <w:rFonts w:ascii="Cambria" w:hAnsi="Cambria"/>
          <w:sz w:val="22"/>
        </w:rPr>
        <w:t>Administrative competence for managing diverse academic units.</w:t>
      </w:r>
    </w:p>
    <w:p>
      <w:pPr>
        <w:pStyle w:val="ListBullet2"/>
        <w:jc w:val="both"/>
      </w:pPr>
      <w:r>
        <w:rPr>
          <w:rFonts w:ascii="Cambria" w:hAnsi="Cambria"/>
          <w:sz w:val="22"/>
        </w:rPr>
        <w:t>Integrity, fairness, and a vision for global competitiveness.</w:t>
      </w:r>
    </w:p>
    <w:p>
      <w:pPr>
        <w:keepNext/>
        <w:spacing w:before="160" w:after="120"/>
      </w:pPr>
      <w:r>
        <w:rPr>
          <w:rFonts w:ascii="Cambria" w:hAnsi="Cambria"/>
          <w:b/>
          <w:color w:val="1F3A5F"/>
          <w:sz w:val="30"/>
        </w:rPr>
        <w:t>Dean of Faculty / School</w:t>
      </w:r>
    </w:p>
    <w:tbl>
      <w:tblPr>
        <w:tblW w:type="auto" w:w="0"/>
        <w:tblLayout w:type="fixed"/>
        <w:tblLook w:firstColumn="1" w:firstRow="1" w:lastColumn="0" w:lastRow="0" w:noHBand="0" w:noVBand="1" w:val="04A0"/>
        <w:tblLayout w:type="fixed"/>
      </w:tblPr>
      <w:tblGrid>
        <w:gridCol w:w="2835"/>
        <w:gridCol w:w="3345"/>
        <w:gridCol w:w="2948"/>
      </w:tblGrid>
      <w:tr>
        <w:tc>
          <w:tcPr>
            <w:tcW w:type="dxa" w:w="2835"/>
            <w:shd w:val="clear" w:color="auto" w:fill="1F3A5F"/>
            <w:tcW w:w="2835" w:type="dxa"/>
          </w:tcPr>
          <w:p>
            <w:pPr>
              <w:jc w:val="center"/>
            </w:pPr>
            <w:r/>
            <w:r>
              <w:rPr>
                <w:rFonts w:ascii="Cambria" w:hAnsi="Cambria"/>
                <w:b/>
                <w:color w:val="FFFFFF"/>
                <w:sz w:val="22"/>
              </w:rPr>
              <w:t>Key Actions</w:t>
            </w:r>
          </w:p>
        </w:tc>
        <w:tc>
          <w:tcPr>
            <w:tcW w:type="dxa" w:w="3345"/>
            <w:shd w:val="clear" w:color="auto" w:fill="1F3A5F"/>
            <w:tcW w:w="3345" w:type="dxa"/>
          </w:tcPr>
          <w:p>
            <w:pPr>
              <w:jc w:val="center"/>
            </w:pPr>
            <w:r/>
            <w:r>
              <w:rPr>
                <w:rFonts w:ascii="Cambria" w:hAnsi="Cambria"/>
                <w:b/>
                <w:color w:val="FFFFFF"/>
                <w:sz w:val="22"/>
              </w:rPr>
              <w:t>Institutional Impact</w:t>
            </w:r>
          </w:p>
        </w:tc>
        <w:tc>
          <w:tcPr>
            <w:tcW w:type="dxa" w:w="2948"/>
            <w:shd w:val="clear" w:color="auto" w:fill="1F3A5F"/>
            <w:tcW w:w="2948" w:type="dxa"/>
          </w:tcPr>
          <w:p>
            <w:pPr>
              <w:jc w:val="center"/>
            </w:pPr>
            <w:r/>
            <w:r>
              <w:rPr>
                <w:rFonts w:ascii="Cambria" w:hAnsi="Cambria"/>
                <w:b/>
                <w:color w:val="FFFFFF"/>
                <w:sz w:val="22"/>
              </w:rPr>
              <w:t>Evidence / Documentation</w:t>
            </w:r>
          </w:p>
        </w:tc>
      </w:tr>
      <w:tr>
        <w:tc>
          <w:tcPr>
            <w:tcW w:type="dxa" w:w="2835"/>
            <w:tcW w:w="2835" w:type="dxa"/>
          </w:tcPr>
          <w:p>
            <w:pPr>
              <w:jc w:val="left"/>
            </w:pPr>
            <w:r/>
            <w:r>
              <w:rPr>
                <w:rFonts w:ascii="Cambria" w:hAnsi="Cambria"/>
                <w:b w:val="0"/>
                <w:sz w:val="19"/>
              </w:rPr>
              <w:t>Leads curriculum design and revisions in line with OBE and NEP 2020</w:t>
            </w:r>
          </w:p>
        </w:tc>
        <w:tc>
          <w:tcPr>
            <w:tcW w:type="dxa" w:w="3345"/>
            <w:tcW w:w="3345" w:type="dxa"/>
          </w:tcPr>
          <w:p>
            <w:pPr>
              <w:jc w:val="center"/>
            </w:pPr>
            <w:r/>
            <w:r>
              <w:rPr>
                <w:rFonts w:ascii="Cambria" w:hAnsi="Cambria"/>
                <w:b w:val="0"/>
                <w:sz w:val="19"/>
              </w:rPr>
              <w:t>Modern, industry-relevant programs; improved graduate employability and academic quality.</w:t>
            </w:r>
          </w:p>
        </w:tc>
        <w:tc>
          <w:tcPr>
            <w:tcW w:type="dxa" w:w="2948"/>
            <w:tcW w:w="2948" w:type="dxa"/>
          </w:tcPr>
          <w:p>
            <w:pPr>
              <w:jc w:val="center"/>
            </w:pPr>
            <w:r/>
            <w:r>
              <w:rPr>
                <w:rFonts w:ascii="Cambria" w:hAnsi="Cambria"/>
                <w:b w:val="0"/>
                <w:sz w:val="19"/>
              </w:rPr>
              <w:t>Board of Studies minutes, Academic Council approvals, revised syllabi, course files.</w:t>
            </w:r>
          </w:p>
        </w:tc>
      </w:tr>
      <w:tr>
        <w:tc>
          <w:tcPr>
            <w:tcW w:type="dxa" w:w="2835"/>
            <w:tcW w:w="2835" w:type="dxa"/>
            <w:shd w:val="clear" w:color="auto" w:fill="D9E2EC"/>
          </w:tcPr>
          <w:p>
            <w:pPr>
              <w:jc w:val="left"/>
            </w:pPr>
            <w:r/>
            <w:r>
              <w:rPr>
                <w:rFonts w:ascii="Cambria" w:hAnsi="Cambria"/>
                <w:b w:val="0"/>
                <w:sz w:val="19"/>
              </w:rPr>
              <w:t>Promotes interdisciplinary research and innovation</w:t>
            </w:r>
          </w:p>
        </w:tc>
        <w:tc>
          <w:tcPr>
            <w:tcW w:type="dxa" w:w="3345"/>
            <w:tcW w:w="3345" w:type="dxa"/>
            <w:shd w:val="clear" w:color="auto" w:fill="D9E2EC"/>
          </w:tcPr>
          <w:p>
            <w:pPr>
              <w:jc w:val="center"/>
            </w:pPr>
            <w:r/>
            <w:r>
              <w:rPr>
                <w:rFonts w:ascii="Cambria" w:hAnsi="Cambria"/>
                <w:b w:val="0"/>
                <w:sz w:val="19"/>
              </w:rPr>
              <w:t>Increased publications, patents, funded projects, and research visibility.</w:t>
            </w:r>
          </w:p>
        </w:tc>
        <w:tc>
          <w:tcPr>
            <w:tcW w:type="dxa" w:w="2948"/>
            <w:tcW w:w="2948" w:type="dxa"/>
            <w:shd w:val="clear" w:color="auto" w:fill="D9E2EC"/>
          </w:tcPr>
          <w:p>
            <w:pPr>
              <w:jc w:val="center"/>
            </w:pPr>
            <w:r/>
            <w:r>
              <w:rPr>
                <w:rFonts w:ascii="Cambria" w:hAnsi="Cambria"/>
                <w:b w:val="0"/>
                <w:sz w:val="19"/>
              </w:rPr>
              <w:t>Research project records, publication databases, patent certificates, MoUs with research partners.</w:t>
            </w:r>
          </w:p>
        </w:tc>
      </w:tr>
      <w:tr>
        <w:tc>
          <w:tcPr>
            <w:tcW w:type="dxa" w:w="2835"/>
            <w:tcW w:w="2835" w:type="dxa"/>
          </w:tcPr>
          <w:p>
            <w:pPr>
              <w:jc w:val="left"/>
            </w:pPr>
            <w:r/>
            <w:r>
              <w:rPr>
                <w:rFonts w:ascii="Cambria" w:hAnsi="Cambria"/>
                <w:b w:val="0"/>
                <w:sz w:val="19"/>
              </w:rPr>
              <w:t>Oversees faculty recruitment, appraisal, and development</w:t>
            </w:r>
          </w:p>
        </w:tc>
        <w:tc>
          <w:tcPr>
            <w:tcW w:type="dxa" w:w="3345"/>
            <w:tcW w:w="3345" w:type="dxa"/>
          </w:tcPr>
          <w:p>
            <w:pPr>
              <w:jc w:val="center"/>
            </w:pPr>
            <w:r/>
            <w:r>
              <w:rPr>
                <w:rFonts w:ascii="Cambria" w:hAnsi="Cambria"/>
                <w:b w:val="0"/>
                <w:sz w:val="19"/>
              </w:rPr>
              <w:t>Strengthened faculty quality; motivated workforce; leadership pipeline built.</w:t>
            </w:r>
          </w:p>
        </w:tc>
        <w:tc>
          <w:tcPr>
            <w:tcW w:type="dxa" w:w="2948"/>
            <w:tcW w:w="2948" w:type="dxa"/>
          </w:tcPr>
          <w:p>
            <w:pPr>
              <w:jc w:val="center"/>
            </w:pPr>
            <w:r/>
            <w:r>
              <w:rPr>
                <w:rFonts w:ascii="Cambria" w:hAnsi="Cambria"/>
                <w:b w:val="0"/>
                <w:sz w:val="19"/>
              </w:rPr>
              <w:t>Faculty recruitment reports, appraisal records, FDP schedules, promotion orders.</w:t>
            </w:r>
          </w:p>
        </w:tc>
      </w:tr>
      <w:tr>
        <w:tc>
          <w:tcPr>
            <w:tcW w:type="dxa" w:w="2835"/>
            <w:tcW w:w="2835" w:type="dxa"/>
            <w:shd w:val="clear" w:color="auto" w:fill="D9E2EC"/>
          </w:tcPr>
          <w:p>
            <w:pPr>
              <w:jc w:val="left"/>
            </w:pPr>
            <w:r/>
            <w:r>
              <w:rPr>
                <w:rFonts w:ascii="Cambria" w:hAnsi="Cambria"/>
                <w:b w:val="0"/>
                <w:sz w:val="19"/>
              </w:rPr>
              <w:t>Ensures accreditation and compliance (NAAC, NBA, NIRF, QS/THE)</w:t>
            </w:r>
          </w:p>
        </w:tc>
        <w:tc>
          <w:tcPr>
            <w:tcW w:type="dxa" w:w="3345"/>
            <w:tcW w:w="3345" w:type="dxa"/>
            <w:shd w:val="clear" w:color="auto" w:fill="D9E2EC"/>
          </w:tcPr>
          <w:p>
            <w:pPr>
              <w:jc w:val="center"/>
            </w:pPr>
            <w:r/>
            <w:r>
              <w:rPr>
                <w:rFonts w:ascii="Cambria" w:hAnsi="Cambria"/>
                <w:b w:val="0"/>
                <w:sz w:val="19"/>
              </w:rPr>
              <w:t>Higher accreditation grades; improved national and global rankings.</w:t>
            </w:r>
          </w:p>
        </w:tc>
        <w:tc>
          <w:tcPr>
            <w:tcW w:type="dxa" w:w="2948"/>
            <w:tcW w:w="2948" w:type="dxa"/>
            <w:shd w:val="clear" w:color="auto" w:fill="D9E2EC"/>
          </w:tcPr>
          <w:p>
            <w:pPr>
              <w:jc w:val="center"/>
            </w:pPr>
            <w:r/>
            <w:r>
              <w:rPr>
                <w:rFonts w:ascii="Cambria" w:hAnsi="Cambria"/>
                <w:b w:val="0"/>
                <w:sz w:val="19"/>
              </w:rPr>
              <w:t>Accreditation reports, SSR submissions, NIRF data sheets, ranking certificates.</w:t>
            </w:r>
          </w:p>
        </w:tc>
      </w:tr>
      <w:tr>
        <w:tc>
          <w:tcPr>
            <w:tcW w:type="dxa" w:w="2835"/>
            <w:tcW w:w="2835" w:type="dxa"/>
          </w:tcPr>
          <w:p>
            <w:pPr>
              <w:jc w:val="left"/>
            </w:pPr>
            <w:r/>
            <w:r>
              <w:rPr>
                <w:rFonts w:ascii="Cambria" w:hAnsi="Cambria"/>
                <w:b w:val="0"/>
                <w:sz w:val="19"/>
              </w:rPr>
              <w:t>Implements academic audits and quality monitoring</w:t>
            </w:r>
          </w:p>
        </w:tc>
        <w:tc>
          <w:tcPr>
            <w:tcW w:type="dxa" w:w="3345"/>
            <w:tcW w:w="3345" w:type="dxa"/>
          </w:tcPr>
          <w:p>
            <w:pPr>
              <w:jc w:val="center"/>
            </w:pPr>
            <w:r/>
            <w:r>
              <w:rPr>
                <w:rFonts w:ascii="Cambria" w:hAnsi="Cambria"/>
                <w:b w:val="0"/>
                <w:sz w:val="19"/>
              </w:rPr>
              <w:t>Continuous improvement culture embedded; transparent governance.</w:t>
            </w:r>
          </w:p>
        </w:tc>
        <w:tc>
          <w:tcPr>
            <w:tcW w:type="dxa" w:w="2948"/>
            <w:tcW w:w="2948" w:type="dxa"/>
          </w:tcPr>
          <w:p>
            <w:pPr>
              <w:jc w:val="center"/>
            </w:pPr>
            <w:r/>
            <w:r>
              <w:rPr>
                <w:rFonts w:ascii="Cambria" w:hAnsi="Cambria"/>
                <w:b w:val="0"/>
                <w:sz w:val="19"/>
              </w:rPr>
              <w:t>Internal academic audit reports, IQAC records, performance review reports.</w:t>
            </w:r>
          </w:p>
        </w:tc>
      </w:tr>
      <w:tr>
        <w:tc>
          <w:tcPr>
            <w:tcW w:type="dxa" w:w="2835"/>
            <w:tcW w:w="2835" w:type="dxa"/>
            <w:shd w:val="clear" w:color="auto" w:fill="D9E2EC"/>
          </w:tcPr>
          <w:p>
            <w:pPr>
              <w:jc w:val="left"/>
            </w:pPr>
            <w:r/>
            <w:r>
              <w:rPr>
                <w:rFonts w:ascii="Cambria" w:hAnsi="Cambria"/>
                <w:b w:val="0"/>
                <w:sz w:val="19"/>
              </w:rPr>
              <w:t>Promotes student mentoring, welfare, and career development</w:t>
            </w:r>
          </w:p>
        </w:tc>
        <w:tc>
          <w:tcPr>
            <w:tcW w:type="dxa" w:w="3345"/>
            <w:tcW w:w="3345" w:type="dxa"/>
            <w:shd w:val="clear" w:color="auto" w:fill="D9E2EC"/>
          </w:tcPr>
          <w:p>
            <w:pPr>
              <w:jc w:val="center"/>
            </w:pPr>
            <w:r/>
            <w:r>
              <w:rPr>
                <w:rFonts w:ascii="Cambria" w:hAnsi="Cambria"/>
                <w:b w:val="0"/>
                <w:sz w:val="19"/>
              </w:rPr>
              <w:t>Higher student satisfaction, retention, and placement rates.</w:t>
            </w:r>
          </w:p>
        </w:tc>
        <w:tc>
          <w:tcPr>
            <w:tcW w:type="dxa" w:w="2948"/>
            <w:tcW w:w="2948" w:type="dxa"/>
            <w:shd w:val="clear" w:color="auto" w:fill="D9E2EC"/>
          </w:tcPr>
          <w:p>
            <w:pPr>
              <w:jc w:val="center"/>
            </w:pPr>
            <w:r/>
            <w:r>
              <w:rPr>
                <w:rFonts w:ascii="Cambria" w:hAnsi="Cambria"/>
                <w:b w:val="0"/>
                <w:sz w:val="19"/>
              </w:rPr>
              <w:t>Student mentoring logs, placement reports, alumni feedback, student satisfaction surveys.</w:t>
            </w:r>
          </w:p>
        </w:tc>
      </w:tr>
      <w:tr>
        <w:tc>
          <w:tcPr>
            <w:tcW w:type="dxa" w:w="2835"/>
            <w:tcW w:w="2835" w:type="dxa"/>
          </w:tcPr>
          <w:p>
            <w:pPr>
              <w:jc w:val="left"/>
            </w:pPr>
            <w:r/>
            <w:r>
              <w:rPr>
                <w:rFonts w:ascii="Cambria" w:hAnsi="Cambria"/>
                <w:b w:val="0"/>
                <w:sz w:val="19"/>
              </w:rPr>
              <w:t>Mobilizes resources through alumni, industry, and funding agencies</w:t>
            </w:r>
          </w:p>
        </w:tc>
        <w:tc>
          <w:tcPr>
            <w:tcW w:type="dxa" w:w="3345"/>
            <w:tcW w:w="3345" w:type="dxa"/>
          </w:tcPr>
          <w:p>
            <w:pPr>
              <w:jc w:val="center"/>
            </w:pPr>
            <w:r/>
            <w:r>
              <w:rPr>
                <w:rFonts w:ascii="Cambria" w:hAnsi="Cambria"/>
                <w:b w:val="0"/>
                <w:sz w:val="19"/>
              </w:rPr>
              <w:t>Financial sustainability; enhanced infrastructure, research facilities, and scholarships.</w:t>
            </w:r>
          </w:p>
        </w:tc>
        <w:tc>
          <w:tcPr>
            <w:tcW w:type="dxa" w:w="2948"/>
            <w:tcW w:w="2948" w:type="dxa"/>
          </w:tcPr>
          <w:p>
            <w:pPr>
              <w:jc w:val="center"/>
            </w:pPr>
            <w:r/>
            <w:r>
              <w:rPr>
                <w:rFonts w:ascii="Cambria" w:hAnsi="Cambria"/>
                <w:b w:val="0"/>
                <w:sz w:val="19"/>
              </w:rPr>
              <w:t>Alumni contribution records, industry MoUs, grant sanction letters, funding reports.</w:t>
            </w:r>
          </w:p>
        </w:tc>
      </w:tr>
      <w:tr>
        <w:tc>
          <w:tcPr>
            <w:tcW w:type="dxa" w:w="2835"/>
            <w:tcW w:w="2835" w:type="dxa"/>
            <w:shd w:val="clear" w:color="auto" w:fill="D9E2EC"/>
          </w:tcPr>
          <w:p>
            <w:pPr>
              <w:jc w:val="left"/>
            </w:pPr>
            <w:r/>
            <w:r>
              <w:rPr>
                <w:rFonts w:ascii="Cambria" w:hAnsi="Cambria"/>
                <w:b w:val="0"/>
                <w:sz w:val="19"/>
              </w:rPr>
              <w:t>Represents faculty in national and international collaborations</w:t>
            </w:r>
          </w:p>
        </w:tc>
        <w:tc>
          <w:tcPr>
            <w:tcW w:type="dxa" w:w="3345"/>
            <w:tcW w:w="3345" w:type="dxa"/>
            <w:shd w:val="clear" w:color="auto" w:fill="D9E2EC"/>
          </w:tcPr>
          <w:p>
            <w:pPr>
              <w:jc w:val="center"/>
            </w:pPr>
            <w:r/>
            <w:r>
              <w:rPr>
                <w:rFonts w:ascii="Cambria" w:hAnsi="Cambria"/>
                <w:b w:val="0"/>
                <w:sz w:val="19"/>
              </w:rPr>
              <w:t>Expanded academic networks; enhanced global competitiveness.</w:t>
            </w:r>
          </w:p>
        </w:tc>
        <w:tc>
          <w:tcPr>
            <w:tcW w:type="dxa" w:w="2948"/>
            <w:tcW w:w="2948" w:type="dxa"/>
            <w:shd w:val="clear" w:color="auto" w:fill="D9E2EC"/>
          </w:tcPr>
          <w:p>
            <w:pPr>
              <w:jc w:val="center"/>
            </w:pPr>
            <w:r/>
            <w:r>
              <w:rPr>
                <w:rFonts w:ascii="Cambria" w:hAnsi="Cambria"/>
                <w:b w:val="0"/>
                <w:sz w:val="19"/>
              </w:rPr>
              <w:t>MoUs with universities/industries, collaboration reports, exchange program records.</w:t>
            </w:r>
          </w:p>
        </w:tc>
      </w:tr>
    </w:tbl>
    <w:p>
      <w:pPr>
        <w:keepNext/>
        <w:spacing w:before="160" w:after="120"/>
      </w:pPr>
      <w:r>
        <w:rPr>
          <w:rFonts w:ascii="Cambria" w:hAnsi="Cambria"/>
          <w:b/>
          <w:color w:val="1F3A5F"/>
          <w:sz w:val="30"/>
        </w:rPr>
        <w:t>3-Year Dean Progress Tracker</w:t>
      </w:r>
    </w:p>
    <w:tbl>
      <w:tblPr>
        <w:tblW w:type="auto" w:w="0"/>
        <w:tblLayout w:type="fixed"/>
        <w:tblLook w:firstColumn="1" w:firstRow="1" w:lastColumn="0" w:lastRow="0" w:noHBand="0" w:noVBand="1" w:val="04A0"/>
        <w:tblLayout w:type="fixed"/>
      </w:tblPr>
      <w:tblGrid>
        <w:gridCol w:w="1927"/>
        <w:gridCol w:w="2438"/>
        <w:gridCol w:w="2438"/>
        <w:gridCol w:w="2324"/>
      </w:tblGrid>
      <w:tr>
        <w:tc>
          <w:tcPr>
            <w:tcW w:type="dxa" w:w="1928"/>
            <w:shd w:val="clear" w:color="auto" w:fill="1F3A5F"/>
            <w:tcW w:w="1927" w:type="dxa"/>
          </w:tcPr>
          <w:p>
            <w:pPr>
              <w:jc w:val="center"/>
            </w:pPr>
            <w:r/>
            <w:r>
              <w:rPr>
                <w:rFonts w:ascii="Cambria" w:hAnsi="Cambria"/>
                <w:b/>
                <w:color w:val="FFFFFF"/>
                <w:sz w:val="20"/>
              </w:rPr>
              <w:t>Focus Area</w:t>
            </w:r>
          </w:p>
        </w:tc>
        <w:tc>
          <w:tcPr>
            <w:tcW w:type="dxa" w:w="2438"/>
            <w:shd w:val="clear" w:color="auto" w:fill="1F3A5F"/>
            <w:tcW w:w="2438" w:type="dxa"/>
          </w:tcPr>
          <w:p>
            <w:pPr>
              <w:jc w:val="center"/>
            </w:pPr>
            <w:r/>
            <w:r>
              <w:rPr>
                <w:rFonts w:ascii="Cambria" w:hAnsi="Cambria"/>
                <w:b/>
                <w:color w:val="FFFFFF"/>
                <w:sz w:val="20"/>
              </w:rPr>
              <w:t>Year 1 – Foundation</w:t>
            </w:r>
          </w:p>
        </w:tc>
        <w:tc>
          <w:tcPr>
            <w:tcW w:type="dxa" w:w="2438"/>
            <w:shd w:val="clear" w:color="auto" w:fill="1F3A5F"/>
            <w:tcW w:w="2438" w:type="dxa"/>
          </w:tcPr>
          <w:p>
            <w:pPr>
              <w:jc w:val="center"/>
            </w:pPr>
            <w:r/>
            <w:r>
              <w:rPr>
                <w:rFonts w:ascii="Cambria" w:hAnsi="Cambria"/>
                <w:b/>
                <w:color w:val="FFFFFF"/>
                <w:sz w:val="20"/>
              </w:rPr>
              <w:t>Year 2 – Growth &amp; Consolidation</w:t>
            </w:r>
          </w:p>
        </w:tc>
        <w:tc>
          <w:tcPr>
            <w:tcW w:type="dxa" w:w="2324"/>
            <w:shd w:val="clear" w:color="auto" w:fill="1F3A5F"/>
            <w:tcW w:w="2324" w:type="dxa"/>
          </w:tcPr>
          <w:p>
            <w:pPr>
              <w:jc w:val="center"/>
            </w:pPr>
            <w:r/>
            <w:r>
              <w:rPr>
                <w:rFonts w:ascii="Cambria" w:hAnsi="Cambria"/>
                <w:b/>
                <w:color w:val="FFFFFF"/>
                <w:sz w:val="20"/>
              </w:rPr>
              <w:t>Year 3 – Maturity &amp; Impact</w:t>
            </w:r>
          </w:p>
        </w:tc>
      </w:tr>
      <w:tr>
        <w:tc>
          <w:tcPr>
            <w:tcW w:type="dxa" w:w="1928"/>
            <w:tcW w:w="1927" w:type="dxa"/>
          </w:tcPr>
          <w:p>
            <w:pPr>
              <w:jc w:val="left"/>
            </w:pPr>
            <w:r/>
            <w:r>
              <w:rPr>
                <w:rFonts w:ascii="Cambria" w:hAnsi="Cambria"/>
                <w:b w:val="0"/>
                <w:sz w:val="18"/>
              </w:rPr>
              <w:t>Curriculum Design &amp; Quality</w:t>
            </w:r>
          </w:p>
        </w:tc>
        <w:tc>
          <w:tcPr>
            <w:tcW w:type="dxa" w:w="2438"/>
            <w:tcW w:w="2438" w:type="dxa"/>
          </w:tcPr>
          <w:p>
            <w:pPr>
              <w:jc w:val="center"/>
            </w:pPr>
            <w:r/>
            <w:r>
              <w:rPr>
                <w:rFonts w:ascii="Cambria" w:hAnsi="Cambria"/>
                <w:b w:val="0"/>
                <w:sz w:val="18"/>
              </w:rPr>
              <w:t>Curriculum gap analysis conducted; alignment with NEP 2020 and OBE framework initiated.</w:t>
            </w:r>
          </w:p>
        </w:tc>
        <w:tc>
          <w:tcPr>
            <w:tcW w:type="dxa" w:w="2438"/>
            <w:tcW w:w="2438" w:type="dxa"/>
          </w:tcPr>
          <w:p>
            <w:pPr>
              <w:jc w:val="center"/>
            </w:pPr>
            <w:r/>
            <w:r>
              <w:rPr>
                <w:rFonts w:ascii="Cambria" w:hAnsi="Cambria"/>
                <w:b w:val="0"/>
                <w:sz w:val="18"/>
              </w:rPr>
              <w:t>Revised curriculum implemented across departments; pilot industry-linked courses introduced.</w:t>
            </w:r>
          </w:p>
        </w:tc>
        <w:tc>
          <w:tcPr>
            <w:tcW w:type="dxa" w:w="2324"/>
            <w:tcW w:w="2324" w:type="dxa"/>
          </w:tcPr>
          <w:p>
            <w:pPr>
              <w:jc w:val="center"/>
            </w:pPr>
            <w:r/>
            <w:r>
              <w:rPr>
                <w:rFonts w:ascii="Cambria" w:hAnsi="Cambria"/>
                <w:b w:val="0"/>
                <w:sz w:val="18"/>
              </w:rPr>
              <w:t>Fully OBE-based curriculum; industry–academia co-designed programs recognized in accreditation.</w:t>
            </w:r>
          </w:p>
        </w:tc>
      </w:tr>
      <w:tr>
        <w:tc>
          <w:tcPr>
            <w:tcW w:type="dxa" w:w="1928"/>
            <w:tcW w:w="1927" w:type="dxa"/>
            <w:shd w:val="clear" w:color="auto" w:fill="D9E2EC"/>
          </w:tcPr>
          <w:p>
            <w:pPr>
              <w:jc w:val="left"/>
            </w:pPr>
            <w:r/>
            <w:r>
              <w:rPr>
                <w:rFonts w:ascii="Cambria" w:hAnsi="Cambria"/>
                <w:b w:val="0"/>
                <w:sz w:val="18"/>
              </w:rPr>
              <w:t>Research &amp; Innovation</w:t>
            </w:r>
          </w:p>
        </w:tc>
        <w:tc>
          <w:tcPr>
            <w:tcW w:type="dxa" w:w="2438"/>
            <w:tcW w:w="2438" w:type="dxa"/>
            <w:shd w:val="clear" w:color="auto" w:fill="D9E2EC"/>
          </w:tcPr>
          <w:p>
            <w:pPr>
              <w:jc w:val="center"/>
            </w:pPr>
            <w:r/>
            <w:r>
              <w:rPr>
                <w:rFonts w:ascii="Cambria" w:hAnsi="Cambria"/>
                <w:b w:val="0"/>
                <w:sz w:val="18"/>
              </w:rPr>
              <w:t>Research policy at faculty level framed; seed funding provided.</w:t>
            </w:r>
          </w:p>
        </w:tc>
        <w:tc>
          <w:tcPr>
            <w:tcW w:type="dxa" w:w="2438"/>
            <w:tcW w:w="2438" w:type="dxa"/>
            <w:shd w:val="clear" w:color="auto" w:fill="D9E2EC"/>
          </w:tcPr>
          <w:p>
            <w:pPr>
              <w:jc w:val="center"/>
            </w:pPr>
            <w:r/>
            <w:r>
              <w:rPr>
                <w:rFonts w:ascii="Cambria" w:hAnsi="Cambria"/>
                <w:b w:val="0"/>
                <w:sz w:val="18"/>
              </w:rPr>
              <w:t>Increase in publications and projects; interdisciplinary research centers established.</w:t>
            </w:r>
          </w:p>
        </w:tc>
        <w:tc>
          <w:tcPr>
            <w:tcW w:type="dxa" w:w="2324"/>
            <w:tcW w:w="2324" w:type="dxa"/>
            <w:shd w:val="clear" w:color="auto" w:fill="D9E2EC"/>
          </w:tcPr>
          <w:p>
            <w:pPr>
              <w:jc w:val="center"/>
            </w:pPr>
            <w:r/>
            <w:r>
              <w:rPr>
                <w:rFonts w:ascii="Cambria" w:hAnsi="Cambria"/>
                <w:b w:val="0"/>
                <w:sz w:val="18"/>
              </w:rPr>
              <w:t>Significant funded projects, patents, and start-ups launched; global research collaborations secured.</w:t>
            </w:r>
          </w:p>
        </w:tc>
      </w:tr>
      <w:tr>
        <w:tc>
          <w:tcPr>
            <w:tcW w:type="dxa" w:w="1928"/>
            <w:tcW w:w="1927" w:type="dxa"/>
          </w:tcPr>
          <w:p>
            <w:pPr>
              <w:jc w:val="left"/>
            </w:pPr>
            <w:r/>
            <w:r>
              <w:rPr>
                <w:rFonts w:ascii="Cambria" w:hAnsi="Cambria"/>
                <w:b w:val="0"/>
                <w:sz w:val="18"/>
              </w:rPr>
              <w:t>Faculty Development &amp; Appraisal</w:t>
            </w:r>
          </w:p>
        </w:tc>
        <w:tc>
          <w:tcPr>
            <w:tcW w:type="dxa" w:w="2438"/>
            <w:tcW w:w="2438" w:type="dxa"/>
          </w:tcPr>
          <w:p>
            <w:pPr>
              <w:jc w:val="center"/>
            </w:pPr>
            <w:r/>
            <w:r>
              <w:rPr>
                <w:rFonts w:ascii="Cambria" w:hAnsi="Cambria"/>
                <w:b w:val="0"/>
                <w:sz w:val="18"/>
              </w:rPr>
              <w:t>Faculty appraisal system introduced; 2–3 FDPs/workshops organized.</w:t>
            </w:r>
          </w:p>
        </w:tc>
        <w:tc>
          <w:tcPr>
            <w:tcW w:type="dxa" w:w="2438"/>
            <w:tcW w:w="2438" w:type="dxa"/>
          </w:tcPr>
          <w:p>
            <w:pPr>
              <w:jc w:val="center"/>
            </w:pPr>
            <w:r/>
            <w:r>
              <w:rPr>
                <w:rFonts w:ascii="Cambria" w:hAnsi="Cambria"/>
                <w:b w:val="0"/>
                <w:sz w:val="18"/>
              </w:rPr>
              <w:t>Performance-based promotions and leadership training rolled out; FDPs institutionalized.</w:t>
            </w:r>
          </w:p>
        </w:tc>
        <w:tc>
          <w:tcPr>
            <w:tcW w:type="dxa" w:w="2324"/>
            <w:tcW w:w="2324" w:type="dxa"/>
          </w:tcPr>
          <w:p>
            <w:pPr>
              <w:jc w:val="center"/>
            </w:pPr>
            <w:r/>
            <w:r>
              <w:rPr>
                <w:rFonts w:ascii="Cambria" w:hAnsi="Cambria"/>
                <w:b w:val="0"/>
                <w:sz w:val="18"/>
              </w:rPr>
              <w:t>Faculty research productivity and teaching quality significantly improved; leadership pipeline strengthened.</w:t>
            </w:r>
          </w:p>
        </w:tc>
      </w:tr>
      <w:tr>
        <w:tc>
          <w:tcPr>
            <w:tcW w:type="dxa" w:w="1928"/>
            <w:tcW w:w="1927" w:type="dxa"/>
            <w:shd w:val="clear" w:color="auto" w:fill="D9E2EC"/>
          </w:tcPr>
          <w:p>
            <w:pPr>
              <w:jc w:val="left"/>
            </w:pPr>
            <w:r/>
            <w:r>
              <w:rPr>
                <w:rFonts w:ascii="Cambria" w:hAnsi="Cambria"/>
                <w:b w:val="0"/>
                <w:sz w:val="18"/>
              </w:rPr>
              <w:t>Accreditation &amp; Compliance</w:t>
            </w:r>
          </w:p>
        </w:tc>
        <w:tc>
          <w:tcPr>
            <w:tcW w:type="dxa" w:w="2438"/>
            <w:tcW w:w="2438" w:type="dxa"/>
            <w:shd w:val="clear" w:color="auto" w:fill="D9E2EC"/>
          </w:tcPr>
          <w:p>
            <w:pPr>
              <w:jc w:val="center"/>
            </w:pPr>
            <w:r/>
            <w:r>
              <w:rPr>
                <w:rFonts w:ascii="Cambria" w:hAnsi="Cambria"/>
                <w:b w:val="0"/>
                <w:sz w:val="18"/>
              </w:rPr>
              <w:t>SSR preparation initiated for NAAC/NBA; baseline NIRF data submitted.</w:t>
            </w:r>
          </w:p>
        </w:tc>
        <w:tc>
          <w:tcPr>
            <w:tcW w:type="dxa" w:w="2438"/>
            <w:tcW w:w="2438" w:type="dxa"/>
            <w:shd w:val="clear" w:color="auto" w:fill="D9E2EC"/>
          </w:tcPr>
          <w:p>
            <w:pPr>
              <w:jc w:val="center"/>
            </w:pPr>
            <w:r/>
            <w:r>
              <w:rPr>
                <w:rFonts w:ascii="Cambria" w:hAnsi="Cambria"/>
                <w:b w:val="0"/>
                <w:sz w:val="18"/>
              </w:rPr>
              <w:t>Partial program-level accreditation achieved; improved NIRF ranking.</w:t>
            </w:r>
          </w:p>
        </w:tc>
        <w:tc>
          <w:tcPr>
            <w:tcW w:type="dxa" w:w="2324"/>
            <w:tcW w:w="2324" w:type="dxa"/>
            <w:shd w:val="clear" w:color="auto" w:fill="D9E2EC"/>
          </w:tcPr>
          <w:p>
            <w:pPr>
              <w:jc w:val="center"/>
            </w:pPr>
            <w:r/>
            <w:r>
              <w:rPr>
                <w:rFonts w:ascii="Cambria" w:hAnsi="Cambria"/>
                <w:b w:val="0"/>
                <w:sz w:val="18"/>
              </w:rPr>
              <w:t>High accreditation grades (NAAC A/ NBA Tier-1); faculty ranked in QS/THE subject categories.</w:t>
            </w:r>
          </w:p>
        </w:tc>
      </w:tr>
      <w:tr>
        <w:tc>
          <w:tcPr>
            <w:tcW w:type="dxa" w:w="1928"/>
            <w:tcW w:w="1927" w:type="dxa"/>
          </w:tcPr>
          <w:p>
            <w:pPr>
              <w:jc w:val="left"/>
            </w:pPr>
            <w:r/>
            <w:r>
              <w:rPr>
                <w:rFonts w:ascii="Cambria" w:hAnsi="Cambria"/>
                <w:b w:val="0"/>
                <w:sz w:val="18"/>
              </w:rPr>
              <w:t>Academic Audits &amp; Monitoring</w:t>
            </w:r>
          </w:p>
        </w:tc>
        <w:tc>
          <w:tcPr>
            <w:tcW w:type="dxa" w:w="2438"/>
            <w:tcW w:w="2438" w:type="dxa"/>
          </w:tcPr>
          <w:p>
            <w:pPr>
              <w:jc w:val="center"/>
            </w:pPr>
            <w:r/>
            <w:r>
              <w:rPr>
                <w:rFonts w:ascii="Cambria" w:hAnsi="Cambria"/>
                <w:b w:val="0"/>
                <w:sz w:val="18"/>
              </w:rPr>
              <w:t>First cycle of academic audit conducted; performance indicators defined.</w:t>
            </w:r>
          </w:p>
        </w:tc>
        <w:tc>
          <w:tcPr>
            <w:tcW w:type="dxa" w:w="2438"/>
            <w:tcW w:w="2438" w:type="dxa"/>
          </w:tcPr>
          <w:p>
            <w:pPr>
              <w:jc w:val="center"/>
            </w:pPr>
            <w:r/>
            <w:r>
              <w:rPr>
                <w:rFonts w:ascii="Cambria" w:hAnsi="Cambria"/>
                <w:b w:val="0"/>
                <w:sz w:val="18"/>
              </w:rPr>
              <w:t>Department-level audit cycle institutionalized; regular reporting to IQAC.</w:t>
            </w:r>
          </w:p>
        </w:tc>
        <w:tc>
          <w:tcPr>
            <w:tcW w:type="dxa" w:w="2324"/>
            <w:tcW w:w="2324" w:type="dxa"/>
          </w:tcPr>
          <w:p>
            <w:pPr>
              <w:jc w:val="center"/>
            </w:pPr>
            <w:r/>
            <w:r>
              <w:rPr>
                <w:rFonts w:ascii="Cambria" w:hAnsi="Cambria"/>
                <w:b w:val="0"/>
                <w:sz w:val="18"/>
              </w:rPr>
              <w:t>Continuous improvement culture fully embedded; audit results cited in accreditation success.</w:t>
            </w:r>
          </w:p>
        </w:tc>
      </w:tr>
      <w:tr>
        <w:tc>
          <w:tcPr>
            <w:tcW w:type="dxa" w:w="1928"/>
            <w:tcW w:w="1927" w:type="dxa"/>
            <w:shd w:val="clear" w:color="auto" w:fill="D9E2EC"/>
          </w:tcPr>
          <w:p>
            <w:pPr>
              <w:jc w:val="left"/>
            </w:pPr>
            <w:r/>
            <w:r>
              <w:rPr>
                <w:rFonts w:ascii="Cambria" w:hAnsi="Cambria"/>
                <w:b w:val="0"/>
                <w:sz w:val="18"/>
              </w:rPr>
              <w:t>Student Mentoring &amp; Welfare</w:t>
            </w:r>
          </w:p>
        </w:tc>
        <w:tc>
          <w:tcPr>
            <w:tcW w:type="dxa" w:w="2438"/>
            <w:tcW w:w="2438" w:type="dxa"/>
            <w:shd w:val="clear" w:color="auto" w:fill="D9E2EC"/>
          </w:tcPr>
          <w:p>
            <w:pPr>
              <w:jc w:val="center"/>
            </w:pPr>
            <w:r/>
            <w:r>
              <w:rPr>
                <w:rFonts w:ascii="Cambria" w:hAnsi="Cambria"/>
                <w:b w:val="0"/>
                <w:sz w:val="18"/>
              </w:rPr>
              <w:t>Mentoring and student support system formalized; baseline student satisfaction survey conducted.</w:t>
            </w:r>
          </w:p>
        </w:tc>
        <w:tc>
          <w:tcPr>
            <w:tcW w:type="dxa" w:w="2438"/>
            <w:tcW w:w="2438" w:type="dxa"/>
            <w:shd w:val="clear" w:color="auto" w:fill="D9E2EC"/>
          </w:tcPr>
          <w:p>
            <w:pPr>
              <w:jc w:val="center"/>
            </w:pPr>
            <w:r/>
            <w:r>
              <w:rPr>
                <w:rFonts w:ascii="Cambria" w:hAnsi="Cambria"/>
                <w:b w:val="0"/>
                <w:sz w:val="18"/>
              </w:rPr>
              <w:t>Student development activities expanded (placements, counseling, internships).</w:t>
            </w:r>
          </w:p>
        </w:tc>
        <w:tc>
          <w:tcPr>
            <w:tcW w:type="dxa" w:w="2324"/>
            <w:tcW w:w="2324" w:type="dxa"/>
            <w:shd w:val="clear" w:color="auto" w:fill="D9E2EC"/>
          </w:tcPr>
          <w:p>
            <w:pPr>
              <w:jc w:val="center"/>
            </w:pPr>
            <w:r/>
            <w:r>
              <w:rPr>
                <w:rFonts w:ascii="Cambria" w:hAnsi="Cambria"/>
                <w:b w:val="0"/>
                <w:sz w:val="18"/>
              </w:rPr>
              <w:t>High student retention, placement rate above 85%; alumni actively engaged in mentoring.</w:t>
            </w:r>
          </w:p>
        </w:tc>
      </w:tr>
      <w:tr>
        <w:tc>
          <w:tcPr>
            <w:tcW w:type="dxa" w:w="1928"/>
            <w:tcW w:w="1927" w:type="dxa"/>
          </w:tcPr>
          <w:p>
            <w:pPr>
              <w:jc w:val="left"/>
            </w:pPr>
            <w:r/>
            <w:r>
              <w:rPr>
                <w:rFonts w:ascii="Cambria" w:hAnsi="Cambria"/>
                <w:b w:val="0"/>
                <w:sz w:val="18"/>
              </w:rPr>
              <w:t>Resource Mobilization &amp; Industry Partnerships</w:t>
            </w:r>
          </w:p>
        </w:tc>
        <w:tc>
          <w:tcPr>
            <w:tcW w:type="dxa" w:w="2438"/>
            <w:tcW w:w="2438" w:type="dxa"/>
          </w:tcPr>
          <w:p>
            <w:pPr>
              <w:jc w:val="center"/>
            </w:pPr>
            <w:r/>
            <w:r>
              <w:rPr>
                <w:rFonts w:ascii="Cambria" w:hAnsi="Cambria"/>
                <w:b w:val="0"/>
                <w:sz w:val="18"/>
              </w:rPr>
              <w:t>Initial MoUs with industries and alumni associations signed.</w:t>
            </w:r>
          </w:p>
        </w:tc>
        <w:tc>
          <w:tcPr>
            <w:tcW w:type="dxa" w:w="2438"/>
            <w:tcW w:w="2438" w:type="dxa"/>
          </w:tcPr>
          <w:p>
            <w:pPr>
              <w:jc w:val="center"/>
            </w:pPr>
            <w:r/>
            <w:r>
              <w:rPr>
                <w:rFonts w:ascii="Cambria" w:hAnsi="Cambria"/>
                <w:b w:val="0"/>
                <w:sz w:val="18"/>
              </w:rPr>
              <w:t>Industry-sponsored labs, internships, and scholarships introduced.</w:t>
            </w:r>
          </w:p>
        </w:tc>
        <w:tc>
          <w:tcPr>
            <w:tcW w:type="dxa" w:w="2324"/>
            <w:tcW w:w="2324" w:type="dxa"/>
          </w:tcPr>
          <w:p>
            <w:pPr>
              <w:jc w:val="center"/>
            </w:pPr>
            <w:r/>
            <w:r>
              <w:rPr>
                <w:rFonts w:ascii="Cambria" w:hAnsi="Cambria"/>
                <w:b w:val="0"/>
                <w:sz w:val="18"/>
              </w:rPr>
              <w:t>Alumni and industry partnerships generate sustainable funding; innovation hubs established.</w:t>
            </w:r>
          </w:p>
        </w:tc>
      </w:tr>
      <w:tr>
        <w:tc>
          <w:tcPr>
            <w:tcW w:type="dxa" w:w="1928"/>
            <w:tcW w:w="1927" w:type="dxa"/>
            <w:shd w:val="clear" w:color="auto" w:fill="D9E2EC"/>
          </w:tcPr>
          <w:p>
            <w:pPr>
              <w:jc w:val="left"/>
            </w:pPr>
            <w:r/>
            <w:r>
              <w:rPr>
                <w:rFonts w:ascii="Cambria" w:hAnsi="Cambria"/>
                <w:b w:val="0"/>
                <w:sz w:val="18"/>
              </w:rPr>
              <w:t>Internationalization</w:t>
            </w:r>
          </w:p>
        </w:tc>
        <w:tc>
          <w:tcPr>
            <w:tcW w:type="dxa" w:w="2438"/>
            <w:tcW w:w="2438" w:type="dxa"/>
            <w:shd w:val="clear" w:color="auto" w:fill="D9E2EC"/>
          </w:tcPr>
          <w:p>
            <w:pPr>
              <w:jc w:val="center"/>
            </w:pPr>
            <w:r/>
            <w:r>
              <w:rPr>
                <w:rFonts w:ascii="Cambria" w:hAnsi="Cambria"/>
                <w:b w:val="0"/>
                <w:sz w:val="18"/>
              </w:rPr>
              <w:t>Participation in global academic fairs; initial faculty/student exchange programs.</w:t>
            </w:r>
          </w:p>
        </w:tc>
        <w:tc>
          <w:tcPr>
            <w:tcW w:type="dxa" w:w="2438"/>
            <w:tcW w:w="2438" w:type="dxa"/>
            <w:shd w:val="clear" w:color="auto" w:fill="D9E2EC"/>
          </w:tcPr>
          <w:p>
            <w:pPr>
              <w:jc w:val="center"/>
            </w:pPr>
            <w:r/>
            <w:r>
              <w:rPr>
                <w:rFonts w:ascii="Cambria" w:hAnsi="Cambria"/>
                <w:b w:val="0"/>
                <w:sz w:val="18"/>
              </w:rPr>
              <w:t>Active collaborations with 3–5 international universities; visiting scholar programs started.</w:t>
            </w:r>
          </w:p>
        </w:tc>
        <w:tc>
          <w:tcPr>
            <w:tcW w:type="dxa" w:w="2324"/>
            <w:tcW w:w="2324" w:type="dxa"/>
            <w:shd w:val="clear" w:color="auto" w:fill="D9E2EC"/>
          </w:tcPr>
          <w:p>
            <w:pPr>
              <w:jc w:val="center"/>
            </w:pPr>
            <w:r/>
            <w:r>
              <w:rPr>
                <w:rFonts w:ascii="Cambria" w:hAnsi="Cambria"/>
                <w:b w:val="0"/>
                <w:sz w:val="18"/>
              </w:rPr>
              <w:t>Faculty ranked in top global subject rankings; international student enrollment increased.</w:t>
            </w:r>
          </w:p>
        </w:tc>
      </w:tr>
    </w:tbl>
    <w:p>
      <w:r>
        <w:br w:type="page"/>
      </w:r>
    </w:p>
    <w:p>
      <w:pPr>
        <w:keepNext/>
        <w:spacing w:before="240" w:after="120"/>
      </w:pPr>
      <w:r>
        <w:rPr>
          <w:rFonts w:ascii="Cambria" w:hAnsi="Cambria"/>
          <w:b/>
          <w:color w:val="1F3A5F"/>
          <w:sz w:val="36"/>
        </w:rPr>
        <w:t>13. Heads of Departments (HoDs)</w:t>
      </w:r>
    </w:p>
    <w:p>
      <w:pPr>
        <w:jc w:val="both"/>
      </w:pPr>
      <w:r>
        <w:rPr>
          <w:rFonts w:ascii="Cambria" w:hAnsi="Cambria"/>
          <w:b w:val="0"/>
          <w:i w:val="0"/>
          <w:sz w:val="22"/>
        </w:rPr>
        <w:t>Within a university, the Head of Department (HoD) serves as the primary academic and administrative leader of a specific department or discipline, making this role one of the most crucial in the institutional hierarchy. The HoD functions as the immediate bridge between the department and higher-level university administration, including the Dean of the Faculty/School, the Provost, or Pro-Vice-Chancellor (Academic Affairs). This dual position of responsibility requires the HoD to balance the pursuit of academic excellence with managerial, administrative, and financial oversight, ensuring that departmental goals align with the broader mission and vision of the university.</w:t>
      </w:r>
    </w:p>
    <w:p>
      <w:pPr>
        <w:jc w:val="both"/>
      </w:pPr>
      <w:r>
        <w:rPr>
          <w:rFonts w:ascii="Cambria" w:hAnsi="Cambria"/>
          <w:b w:val="0"/>
          <w:i w:val="0"/>
          <w:sz w:val="22"/>
        </w:rPr>
        <w:t>Typically, the HoD is an experienced and respected faculty member, chosen on the basis of academic standing, leadership qualities, and administrative capability. Their responsibilities begin with providing academic leadership, which includes overseeing curriculum design, ensuring effective teaching delivery, monitoring course outcomes, and embedding innovations in pedagogy. By coordinating faculty workloads and timetables, the HoD ensures that teaching schedules are well-organized and equitable. Moreover, they play a key role in promoting research productivity, encouraging publications, conference participation, collaborative projects, and grant applications within the department.</w:t>
      </w:r>
    </w:p>
    <w:p>
      <w:pPr>
        <w:jc w:val="both"/>
      </w:pPr>
      <w:r>
        <w:rPr>
          <w:rFonts w:ascii="Cambria" w:hAnsi="Cambria"/>
          <w:b w:val="0"/>
          <w:i w:val="0"/>
          <w:sz w:val="22"/>
        </w:rPr>
        <w:t>From an administrative perspective, the HoD is entrusted with significant managerial and budgetary responsibilities. They prepare departmental budgets, allocate resources for teaching and research, manage laboratory and library facilities, and ensure the proper use of funds in line with university financial policies. In addition, they oversee the recruitment of faculty and staff at the departmental level, mentor junior colleagues, and conduct performance reviews to ensure accountability and professional growth. The HoD also manages departmental meetings, maintains records, and prepares reports for accreditation bodies, thereby playing a central role in compliance with frameworks such as NAAC, NBA, NIRF, QS, and THE.</w:t>
      </w:r>
    </w:p>
    <w:p>
      <w:pPr>
        <w:jc w:val="both"/>
      </w:pPr>
      <w:r>
        <w:rPr>
          <w:rFonts w:ascii="Cambria" w:hAnsi="Cambria"/>
          <w:b w:val="0"/>
          <w:i w:val="0"/>
          <w:sz w:val="22"/>
        </w:rPr>
        <w:t>The HoD is equally responsible for student mentoring and support. They supervise student advising systems, handle grievances, and facilitate academic counseling and career guidance. By fostering a supportive learning environment, they enhance student satisfaction, retention, and employability outcomes. In many universities, the HoD also liaises with industry partners and alumni to develop internship opportunities, guest lectures, and placement pipelines, strengthening the department's relevance and reputation.</w:t>
      </w:r>
    </w:p>
    <w:p>
      <w:pPr>
        <w:jc w:val="both"/>
      </w:pPr>
      <w:r>
        <w:rPr>
          <w:rFonts w:ascii="Cambria" w:hAnsi="Cambria"/>
          <w:b w:val="0"/>
          <w:i w:val="0"/>
          <w:sz w:val="22"/>
        </w:rPr>
        <w:t>Strategically, the HoD ensures that departmental priorities are aligned with the faculty-level and institutional strategic plans. This includes contributing to accreditation processes, implementing quality assurance measures in collaboration with the Internal Quality Assurance Cell (IQAC), and ensuring that academic practices comply with university statutes and national regulations. The HoD thus plays a vital role in translating high-level institutional policies into concrete departmental action.</w:t>
      </w:r>
    </w:p>
    <w:p>
      <w:pPr>
        <w:pStyle w:val="ListBullet"/>
        <w:jc w:val="both"/>
      </w:pPr>
      <w:r>
        <w:rPr>
          <w:rFonts w:ascii="Cambria" w:hAnsi="Cambria"/>
          <w:sz w:val="22"/>
        </w:rPr>
        <w:t>1. Position in the University Structure</w:t>
      </w:r>
    </w:p>
    <w:p>
      <w:pPr>
        <w:pStyle w:val="ListBullet2"/>
        <w:jc w:val="both"/>
      </w:pPr>
      <w:r>
        <w:rPr>
          <w:rFonts w:ascii="Cambria" w:hAnsi="Cambria"/>
          <w:sz w:val="22"/>
        </w:rPr>
        <w:t>The Head of Department (HoD) is the academic and administrative leader of a specific department such as Physics, Computer Science, Economics, Law, or English.</w:t>
      </w:r>
    </w:p>
    <w:p>
      <w:pPr>
        <w:pStyle w:val="ListBullet2"/>
        <w:jc w:val="both"/>
      </w:pPr>
      <w:r>
        <w:rPr>
          <w:rFonts w:ascii="Cambria" w:hAnsi="Cambria"/>
          <w:sz w:val="22"/>
        </w:rPr>
        <w:t>Reports to the Dean of the Faculty/School and serves as the immediate authority for faculty members, staff, and students in the department.</w:t>
      </w:r>
    </w:p>
    <w:p>
      <w:pPr>
        <w:pStyle w:val="ListBullet2"/>
        <w:jc w:val="both"/>
      </w:pPr>
      <w:r>
        <w:rPr>
          <w:rFonts w:ascii="Cambria" w:hAnsi="Cambria"/>
          <w:sz w:val="22"/>
        </w:rPr>
        <w:t>Functions as the link between departmental academic practices and institutional strategy, translating university and faculty-level policies into departmental execution.</w:t>
      </w:r>
    </w:p>
    <w:p>
      <w:pPr>
        <w:pStyle w:val="ListBullet"/>
        <w:jc w:val="both"/>
      </w:pPr>
      <w:r>
        <w:rPr>
          <w:rFonts w:ascii="Cambria" w:hAnsi="Cambria"/>
          <w:sz w:val="22"/>
        </w:rPr>
        <w:t>2. Core Responsibilities</w:t>
      </w:r>
    </w:p>
    <w:p>
      <w:pPr>
        <w:pStyle w:val="ListBullet2"/>
        <w:jc w:val="both"/>
      </w:pPr>
      <w:r>
        <w:rPr>
          <w:rFonts w:ascii="Cambria" w:hAnsi="Cambria"/>
          <w:sz w:val="22"/>
        </w:rPr>
        <w:t>Academic Leadership</w:t>
      </w:r>
    </w:p>
    <w:p>
      <w:pPr>
        <w:pStyle w:val="ListBullet"/>
        <w:jc w:val="both"/>
      </w:pPr>
      <w:r>
        <w:rPr>
          <w:rFonts w:ascii="Cambria" w:hAnsi="Cambria"/>
          <w:sz w:val="22"/>
        </w:rPr>
        <w:t>Plans teaching schedules, allocates courses, and ensures timely delivery of syllabi.</w:t>
      </w:r>
    </w:p>
    <w:p>
      <w:pPr>
        <w:pStyle w:val="ListBullet"/>
        <w:jc w:val="both"/>
      </w:pPr>
      <w:r>
        <w:rPr>
          <w:rFonts w:ascii="Cambria" w:hAnsi="Cambria"/>
          <w:sz w:val="22"/>
        </w:rPr>
        <w:t>Oversees curriculum review, continuous assessment, and program outcome mapping in line with Outcome-Based Education (OBE).</w:t>
      </w:r>
    </w:p>
    <w:p>
      <w:pPr>
        <w:pStyle w:val="ListBullet2"/>
        <w:jc w:val="both"/>
      </w:pPr>
      <w:r>
        <w:rPr>
          <w:rFonts w:ascii="Cambria" w:hAnsi="Cambria"/>
          <w:sz w:val="22"/>
        </w:rPr>
        <w:t>Research Promotion</w:t>
      </w:r>
    </w:p>
    <w:p>
      <w:pPr>
        <w:pStyle w:val="ListBullet"/>
        <w:jc w:val="both"/>
      </w:pPr>
      <w:r>
        <w:rPr>
          <w:rFonts w:ascii="Cambria" w:hAnsi="Cambria"/>
          <w:sz w:val="22"/>
        </w:rPr>
        <w:t>Encourages faculty and student research projects, publications, and collaborations.</w:t>
      </w:r>
    </w:p>
    <w:p>
      <w:pPr>
        <w:pStyle w:val="ListBullet"/>
        <w:jc w:val="both"/>
      </w:pPr>
      <w:r>
        <w:rPr>
          <w:rFonts w:ascii="Cambria" w:hAnsi="Cambria"/>
          <w:sz w:val="22"/>
        </w:rPr>
        <w:t>Facilitates industry linkages, conferences, and departmental seminars.</w:t>
      </w:r>
    </w:p>
    <w:p>
      <w:pPr>
        <w:pStyle w:val="ListBullet2"/>
        <w:jc w:val="both"/>
      </w:pPr>
      <w:r>
        <w:rPr>
          <w:rFonts w:ascii="Cambria" w:hAnsi="Cambria"/>
          <w:sz w:val="22"/>
        </w:rPr>
        <w:t>Faculty Management</w:t>
      </w:r>
    </w:p>
    <w:p>
      <w:pPr>
        <w:pStyle w:val="ListBullet"/>
        <w:jc w:val="both"/>
      </w:pPr>
      <w:r>
        <w:rPr>
          <w:rFonts w:ascii="Cambria" w:hAnsi="Cambria"/>
          <w:sz w:val="22"/>
        </w:rPr>
        <w:t>Monitors faculty workload, performance, and professional development.</w:t>
      </w:r>
    </w:p>
    <w:p>
      <w:pPr>
        <w:pStyle w:val="ListBullet"/>
        <w:jc w:val="both"/>
      </w:pPr>
      <w:r>
        <w:rPr>
          <w:rFonts w:ascii="Cambria" w:hAnsi="Cambria"/>
          <w:sz w:val="22"/>
        </w:rPr>
        <w:t>Provides mentorship for junior faculty and recommends promotions/appraisals.</w:t>
      </w:r>
    </w:p>
    <w:p>
      <w:pPr>
        <w:pStyle w:val="ListBullet2"/>
        <w:jc w:val="both"/>
      </w:pPr>
      <w:r>
        <w:rPr>
          <w:rFonts w:ascii="Cambria" w:hAnsi="Cambria"/>
          <w:sz w:val="22"/>
        </w:rPr>
        <w:t>Student Mentoring &amp; Support</w:t>
      </w:r>
    </w:p>
    <w:p>
      <w:pPr>
        <w:pStyle w:val="ListBullet"/>
        <w:jc w:val="both"/>
      </w:pPr>
      <w:r>
        <w:rPr>
          <w:rFonts w:ascii="Cambria" w:hAnsi="Cambria"/>
          <w:sz w:val="22"/>
        </w:rPr>
        <w:t>Ensures effective student advising, mentoring, and academic counseling.</w:t>
      </w:r>
    </w:p>
    <w:p>
      <w:pPr>
        <w:pStyle w:val="ListBullet"/>
        <w:jc w:val="both"/>
      </w:pPr>
      <w:r>
        <w:rPr>
          <w:rFonts w:ascii="Cambria" w:hAnsi="Cambria"/>
          <w:sz w:val="22"/>
        </w:rPr>
        <w:t>Addresses student grievances and supports career guidance initiatives.</w:t>
      </w:r>
    </w:p>
    <w:p>
      <w:pPr>
        <w:pStyle w:val="ListBullet2"/>
        <w:jc w:val="both"/>
      </w:pPr>
      <w:r>
        <w:rPr>
          <w:rFonts w:ascii="Cambria" w:hAnsi="Cambria"/>
          <w:sz w:val="22"/>
        </w:rPr>
        <w:t>Examination &amp; Evaluation</w:t>
      </w:r>
    </w:p>
    <w:p>
      <w:pPr>
        <w:pStyle w:val="ListBullet"/>
        <w:jc w:val="both"/>
      </w:pPr>
      <w:r>
        <w:rPr>
          <w:rFonts w:ascii="Cambria" w:hAnsi="Cambria"/>
          <w:sz w:val="22"/>
        </w:rPr>
        <w:t>Coordinates with the Controller of Examinations for smooth conduct of departmental exams.</w:t>
      </w:r>
    </w:p>
    <w:p>
      <w:pPr>
        <w:pStyle w:val="ListBullet"/>
        <w:jc w:val="both"/>
      </w:pPr>
      <w:r>
        <w:rPr>
          <w:rFonts w:ascii="Cambria" w:hAnsi="Cambria"/>
          <w:sz w:val="22"/>
        </w:rPr>
        <w:t>Supervises evaluation of assignments, projects, and lab/practical components.</w:t>
      </w:r>
    </w:p>
    <w:p>
      <w:pPr>
        <w:pStyle w:val="ListBullet2"/>
        <w:jc w:val="both"/>
      </w:pPr>
      <w:r>
        <w:rPr>
          <w:rFonts w:ascii="Cambria" w:hAnsi="Cambria"/>
          <w:sz w:val="22"/>
        </w:rPr>
        <w:t>Departmental Administration</w:t>
      </w:r>
    </w:p>
    <w:p>
      <w:pPr>
        <w:pStyle w:val="ListBullet"/>
        <w:jc w:val="both"/>
      </w:pPr>
      <w:r>
        <w:rPr>
          <w:rFonts w:ascii="Cambria" w:hAnsi="Cambria"/>
          <w:sz w:val="22"/>
        </w:rPr>
        <w:t>Organizes departmental meetings, records minutes, and maintains academic records.</w:t>
      </w:r>
    </w:p>
    <w:p>
      <w:pPr>
        <w:pStyle w:val="ListBullet"/>
        <w:jc w:val="both"/>
      </w:pPr>
      <w:r>
        <w:rPr>
          <w:rFonts w:ascii="Cambria" w:hAnsi="Cambria"/>
          <w:sz w:val="22"/>
        </w:rPr>
        <w:t>Manages departmental budgets, labs, and infrastructure needs.</w:t>
      </w:r>
    </w:p>
    <w:p>
      <w:pPr>
        <w:pStyle w:val="ListBullet2"/>
        <w:jc w:val="both"/>
      </w:pPr>
      <w:r>
        <w:rPr>
          <w:rFonts w:ascii="Cambria" w:hAnsi="Cambria"/>
          <w:sz w:val="22"/>
        </w:rPr>
        <w:t>Accreditation &amp; Quality Assurance</w:t>
      </w:r>
    </w:p>
    <w:p>
      <w:pPr>
        <w:pStyle w:val="ListBullet"/>
        <w:jc w:val="both"/>
      </w:pPr>
      <w:r>
        <w:rPr>
          <w:rFonts w:ascii="Cambria" w:hAnsi="Cambria"/>
          <w:sz w:val="22"/>
        </w:rPr>
        <w:t>Provides departmental data for NAAC, NBA, NIRF, and IQAC reports.</w:t>
      </w:r>
    </w:p>
    <w:p>
      <w:pPr>
        <w:pStyle w:val="ListBullet"/>
        <w:jc w:val="both"/>
      </w:pPr>
      <w:r>
        <w:rPr>
          <w:rFonts w:ascii="Cambria" w:hAnsi="Cambria"/>
          <w:sz w:val="22"/>
        </w:rPr>
        <w:t>Ensures compliance with institutional quality standards.</w:t>
      </w:r>
    </w:p>
    <w:p>
      <w:pPr>
        <w:pStyle w:val="ListBullet"/>
        <w:jc w:val="both"/>
      </w:pPr>
      <w:r>
        <w:rPr>
          <w:rFonts w:ascii="Cambria" w:hAnsi="Cambria"/>
          <w:sz w:val="22"/>
        </w:rPr>
        <w:t>3. Strategic Role of HoDs</w:t>
      </w:r>
    </w:p>
    <w:p>
      <w:pPr>
        <w:pStyle w:val="ListBullet2"/>
        <w:jc w:val="both"/>
      </w:pPr>
      <w:r>
        <w:rPr>
          <w:rFonts w:ascii="Cambria" w:hAnsi="Cambria"/>
          <w:sz w:val="22"/>
        </w:rPr>
        <w:t>Serve as the first line of academic leadership closest to faculty and students.</w:t>
      </w:r>
    </w:p>
    <w:p>
      <w:pPr>
        <w:pStyle w:val="ListBullet2"/>
        <w:jc w:val="both"/>
      </w:pPr>
      <w:r>
        <w:rPr>
          <w:rFonts w:ascii="Cambria" w:hAnsi="Cambria"/>
          <w:sz w:val="22"/>
        </w:rPr>
        <w:t>Balance teaching, research, and service at the department level.</w:t>
      </w:r>
    </w:p>
    <w:p>
      <w:pPr>
        <w:pStyle w:val="ListBullet2"/>
        <w:jc w:val="both"/>
      </w:pPr>
      <w:r>
        <w:rPr>
          <w:rFonts w:ascii="Cambria" w:hAnsi="Cambria"/>
          <w:sz w:val="22"/>
        </w:rPr>
        <w:t>Align departmental goals with faculty/school and institutional vision.</w:t>
      </w:r>
    </w:p>
    <w:p>
      <w:pPr>
        <w:pStyle w:val="ListBullet2"/>
        <w:jc w:val="both"/>
      </w:pPr>
      <w:r>
        <w:rPr>
          <w:rFonts w:ascii="Cambria" w:hAnsi="Cambria"/>
          <w:sz w:val="22"/>
        </w:rPr>
        <w:t>Nurture innovation, inclusivity, and academic excellence within the department.</w:t>
      </w:r>
    </w:p>
    <w:p>
      <w:pPr>
        <w:pStyle w:val="ListBullet"/>
        <w:jc w:val="both"/>
      </w:pPr>
      <w:r>
        <w:rPr>
          <w:rFonts w:ascii="Cambria" w:hAnsi="Cambria"/>
          <w:sz w:val="22"/>
        </w:rPr>
        <w:t>4. Qualities of an Effective HoD</w:t>
      </w:r>
    </w:p>
    <w:p>
      <w:pPr>
        <w:pStyle w:val="ListBullet2"/>
        <w:jc w:val="both"/>
      </w:pPr>
      <w:r>
        <w:rPr>
          <w:rFonts w:ascii="Cambria" w:hAnsi="Cambria"/>
          <w:sz w:val="22"/>
        </w:rPr>
        <w:t>Strong academic and research credentials.</w:t>
      </w:r>
    </w:p>
    <w:p>
      <w:pPr>
        <w:pStyle w:val="ListBullet2"/>
        <w:jc w:val="both"/>
      </w:pPr>
      <w:r>
        <w:rPr>
          <w:rFonts w:ascii="Cambria" w:hAnsi="Cambria"/>
          <w:sz w:val="22"/>
        </w:rPr>
        <w:t>Ability to lead by example and motivate faculty and students.</w:t>
      </w:r>
    </w:p>
    <w:p>
      <w:pPr>
        <w:pStyle w:val="ListBullet2"/>
        <w:jc w:val="both"/>
      </w:pPr>
      <w:r>
        <w:rPr>
          <w:rFonts w:ascii="Cambria" w:hAnsi="Cambria"/>
          <w:sz w:val="22"/>
        </w:rPr>
        <w:t>Administrative competence for managing schedules, resources, and compliance.</w:t>
      </w:r>
    </w:p>
    <w:p>
      <w:pPr>
        <w:pStyle w:val="ListBullet2"/>
        <w:jc w:val="both"/>
      </w:pPr>
      <w:r>
        <w:rPr>
          <w:rFonts w:ascii="Cambria" w:hAnsi="Cambria"/>
          <w:sz w:val="22"/>
        </w:rPr>
        <w:t>Integrity, fairness, and communication skills to resolve conflicts and build a collaborative culture.</w:t>
      </w:r>
    </w:p>
    <w:p>
      <w:pPr>
        <w:keepNext/>
        <w:spacing w:before="160" w:after="120"/>
      </w:pPr>
      <w:r>
        <w:rPr>
          <w:rFonts w:ascii="Cambria" w:hAnsi="Cambria"/>
          <w:b/>
          <w:color w:val="1F3A5F"/>
          <w:sz w:val="30"/>
        </w:rPr>
        <w:t>Head of Department (HoD)</w:t>
      </w:r>
    </w:p>
    <w:tbl>
      <w:tblPr>
        <w:tblW w:type="auto" w:w="0"/>
        <w:tblLayout w:type="fixed"/>
        <w:tblLook w:firstColumn="1" w:firstRow="1" w:lastColumn="0" w:lastRow="0" w:noHBand="0" w:noVBand="1" w:val="04A0"/>
        <w:tblLayout w:type="fixed"/>
      </w:tblPr>
      <w:tblGrid>
        <w:gridCol w:w="2835"/>
        <w:gridCol w:w="3345"/>
        <w:gridCol w:w="2948"/>
      </w:tblGrid>
      <w:tr>
        <w:tc>
          <w:tcPr>
            <w:tcW w:type="dxa" w:w="2835"/>
            <w:shd w:val="clear" w:color="auto" w:fill="1F3A5F"/>
            <w:tcW w:w="2835" w:type="dxa"/>
          </w:tcPr>
          <w:p>
            <w:pPr>
              <w:jc w:val="center"/>
            </w:pPr>
            <w:r/>
            <w:r>
              <w:rPr>
                <w:rFonts w:ascii="Cambria" w:hAnsi="Cambria"/>
                <w:b/>
                <w:color w:val="FFFFFF"/>
                <w:sz w:val="22"/>
              </w:rPr>
              <w:t>Key Actions</w:t>
            </w:r>
          </w:p>
        </w:tc>
        <w:tc>
          <w:tcPr>
            <w:tcW w:type="dxa" w:w="3345"/>
            <w:shd w:val="clear" w:color="auto" w:fill="1F3A5F"/>
            <w:tcW w:w="3345" w:type="dxa"/>
          </w:tcPr>
          <w:p>
            <w:pPr>
              <w:jc w:val="center"/>
            </w:pPr>
            <w:r/>
            <w:r>
              <w:rPr>
                <w:rFonts w:ascii="Cambria" w:hAnsi="Cambria"/>
                <w:b/>
                <w:color w:val="FFFFFF"/>
                <w:sz w:val="22"/>
              </w:rPr>
              <w:t>Institutional Impact</w:t>
            </w:r>
          </w:p>
        </w:tc>
        <w:tc>
          <w:tcPr>
            <w:tcW w:type="dxa" w:w="2948"/>
            <w:shd w:val="clear" w:color="auto" w:fill="1F3A5F"/>
            <w:tcW w:w="2948" w:type="dxa"/>
          </w:tcPr>
          <w:p>
            <w:pPr>
              <w:jc w:val="center"/>
            </w:pPr>
            <w:r/>
            <w:r>
              <w:rPr>
                <w:rFonts w:ascii="Cambria" w:hAnsi="Cambria"/>
                <w:b/>
                <w:color w:val="FFFFFF"/>
                <w:sz w:val="22"/>
              </w:rPr>
              <w:t>Evidence / Documentation</w:t>
            </w:r>
          </w:p>
        </w:tc>
      </w:tr>
      <w:tr>
        <w:tc>
          <w:tcPr>
            <w:tcW w:type="dxa" w:w="2835"/>
            <w:tcW w:w="2835" w:type="dxa"/>
          </w:tcPr>
          <w:p>
            <w:pPr>
              <w:jc w:val="left"/>
            </w:pPr>
            <w:r/>
            <w:r>
              <w:rPr>
                <w:rFonts w:ascii="Cambria" w:hAnsi="Cambria"/>
                <w:b w:val="0"/>
                <w:sz w:val="19"/>
              </w:rPr>
              <w:t>Plans teaching schedules, allocates courses, and monitors delivery</w:t>
            </w:r>
          </w:p>
        </w:tc>
        <w:tc>
          <w:tcPr>
            <w:tcW w:type="dxa" w:w="3345"/>
            <w:tcW w:w="3345" w:type="dxa"/>
          </w:tcPr>
          <w:p>
            <w:pPr>
              <w:jc w:val="center"/>
            </w:pPr>
            <w:r/>
            <w:r>
              <w:rPr>
                <w:rFonts w:ascii="Cambria" w:hAnsi="Cambria"/>
                <w:b w:val="0"/>
                <w:sz w:val="19"/>
              </w:rPr>
              <w:t>Ensures effective course coverage; balanced faculty workload; improved student learning outcomes.</w:t>
            </w:r>
          </w:p>
        </w:tc>
        <w:tc>
          <w:tcPr>
            <w:tcW w:type="dxa" w:w="2948"/>
            <w:tcW w:w="2948" w:type="dxa"/>
          </w:tcPr>
          <w:p>
            <w:pPr>
              <w:jc w:val="center"/>
            </w:pPr>
            <w:r/>
            <w:r>
              <w:rPr>
                <w:rFonts w:ascii="Cambria" w:hAnsi="Cambria"/>
                <w:b w:val="0"/>
                <w:sz w:val="19"/>
              </w:rPr>
              <w:t>Timetables, workload distribution sheets, course completion reports.</w:t>
            </w:r>
          </w:p>
        </w:tc>
      </w:tr>
      <w:tr>
        <w:tc>
          <w:tcPr>
            <w:tcW w:type="dxa" w:w="2835"/>
            <w:tcW w:w="2835" w:type="dxa"/>
            <w:shd w:val="clear" w:color="auto" w:fill="D9E2EC"/>
          </w:tcPr>
          <w:p>
            <w:pPr>
              <w:jc w:val="left"/>
            </w:pPr>
            <w:r/>
            <w:r>
              <w:rPr>
                <w:rFonts w:ascii="Cambria" w:hAnsi="Cambria"/>
                <w:b w:val="0"/>
                <w:sz w:val="19"/>
              </w:rPr>
              <w:t>Oversees curriculum review and Outcome-Based Education (OBE) implementation</w:t>
            </w:r>
          </w:p>
        </w:tc>
        <w:tc>
          <w:tcPr>
            <w:tcW w:type="dxa" w:w="3345"/>
            <w:tcW w:w="3345" w:type="dxa"/>
            <w:shd w:val="clear" w:color="auto" w:fill="D9E2EC"/>
          </w:tcPr>
          <w:p>
            <w:pPr>
              <w:jc w:val="center"/>
            </w:pPr>
            <w:r/>
            <w:r>
              <w:rPr>
                <w:rFonts w:ascii="Cambria" w:hAnsi="Cambria"/>
                <w:b w:val="0"/>
                <w:sz w:val="19"/>
              </w:rPr>
              <w:t>Updated, industry-relevant curriculum; measurable program outcomes; accreditation readiness.</w:t>
            </w:r>
          </w:p>
        </w:tc>
        <w:tc>
          <w:tcPr>
            <w:tcW w:type="dxa" w:w="2948"/>
            <w:tcW w:w="2948" w:type="dxa"/>
            <w:shd w:val="clear" w:color="auto" w:fill="D9E2EC"/>
          </w:tcPr>
          <w:p>
            <w:pPr>
              <w:jc w:val="center"/>
            </w:pPr>
            <w:r/>
            <w:r>
              <w:rPr>
                <w:rFonts w:ascii="Cambria" w:hAnsi="Cambria"/>
                <w:b w:val="0"/>
                <w:sz w:val="19"/>
              </w:rPr>
              <w:t>Board of Studies minutes, curriculum revision records, CO-PO mapping reports.</w:t>
            </w:r>
          </w:p>
        </w:tc>
      </w:tr>
      <w:tr>
        <w:tc>
          <w:tcPr>
            <w:tcW w:type="dxa" w:w="2835"/>
            <w:tcW w:w="2835" w:type="dxa"/>
          </w:tcPr>
          <w:p>
            <w:pPr>
              <w:jc w:val="left"/>
            </w:pPr>
            <w:r/>
            <w:r>
              <w:rPr>
                <w:rFonts w:ascii="Cambria" w:hAnsi="Cambria"/>
                <w:b w:val="0"/>
                <w:sz w:val="19"/>
              </w:rPr>
              <w:t>Encourages departmental research, publications, and collaborations</w:t>
            </w:r>
          </w:p>
        </w:tc>
        <w:tc>
          <w:tcPr>
            <w:tcW w:type="dxa" w:w="3345"/>
            <w:tcW w:w="3345" w:type="dxa"/>
          </w:tcPr>
          <w:p>
            <w:pPr>
              <w:jc w:val="center"/>
            </w:pPr>
            <w:r/>
            <w:r>
              <w:rPr>
                <w:rFonts w:ascii="Cambria" w:hAnsi="Cambria"/>
                <w:b w:val="0"/>
                <w:sz w:val="19"/>
              </w:rPr>
              <w:t>Increased faculty and student research output; stronger departmental research profile.</w:t>
            </w:r>
          </w:p>
        </w:tc>
        <w:tc>
          <w:tcPr>
            <w:tcW w:type="dxa" w:w="2948"/>
            <w:tcW w:w="2948" w:type="dxa"/>
          </w:tcPr>
          <w:p>
            <w:pPr>
              <w:jc w:val="center"/>
            </w:pPr>
            <w:r/>
            <w:r>
              <w:rPr>
                <w:rFonts w:ascii="Cambria" w:hAnsi="Cambria"/>
                <w:b w:val="0"/>
                <w:sz w:val="19"/>
              </w:rPr>
              <w:t>Research project records, publication lists, conference/seminar proceedings.</w:t>
            </w:r>
          </w:p>
        </w:tc>
      </w:tr>
      <w:tr>
        <w:tc>
          <w:tcPr>
            <w:tcW w:type="dxa" w:w="2835"/>
            <w:tcW w:w="2835" w:type="dxa"/>
            <w:shd w:val="clear" w:color="auto" w:fill="D9E2EC"/>
          </w:tcPr>
          <w:p>
            <w:pPr>
              <w:jc w:val="left"/>
            </w:pPr>
            <w:r/>
            <w:r>
              <w:rPr>
                <w:rFonts w:ascii="Cambria" w:hAnsi="Cambria"/>
                <w:b w:val="0"/>
                <w:sz w:val="19"/>
              </w:rPr>
              <w:t>Manages faculty performance, appraisals, and mentoring</w:t>
            </w:r>
          </w:p>
        </w:tc>
        <w:tc>
          <w:tcPr>
            <w:tcW w:type="dxa" w:w="3345"/>
            <w:tcW w:w="3345" w:type="dxa"/>
            <w:shd w:val="clear" w:color="auto" w:fill="D9E2EC"/>
          </w:tcPr>
          <w:p>
            <w:pPr>
              <w:jc w:val="center"/>
            </w:pPr>
            <w:r/>
            <w:r>
              <w:rPr>
                <w:rFonts w:ascii="Cambria" w:hAnsi="Cambria"/>
                <w:b w:val="0"/>
                <w:sz w:val="19"/>
              </w:rPr>
              <w:t>Faculty development and retention; enhanced teaching and research quality.</w:t>
            </w:r>
          </w:p>
        </w:tc>
        <w:tc>
          <w:tcPr>
            <w:tcW w:type="dxa" w:w="2948"/>
            <w:tcW w:w="2948" w:type="dxa"/>
            <w:shd w:val="clear" w:color="auto" w:fill="D9E2EC"/>
          </w:tcPr>
          <w:p>
            <w:pPr>
              <w:jc w:val="center"/>
            </w:pPr>
            <w:r/>
            <w:r>
              <w:rPr>
                <w:rFonts w:ascii="Cambria" w:hAnsi="Cambria"/>
                <w:b w:val="0"/>
                <w:sz w:val="19"/>
              </w:rPr>
              <w:t>Performance appraisal reports, mentorship logs, promotion recommendations.</w:t>
            </w:r>
          </w:p>
        </w:tc>
      </w:tr>
      <w:tr>
        <w:tc>
          <w:tcPr>
            <w:tcW w:type="dxa" w:w="2835"/>
            <w:tcW w:w="2835" w:type="dxa"/>
          </w:tcPr>
          <w:p>
            <w:pPr>
              <w:jc w:val="left"/>
            </w:pPr>
            <w:r/>
            <w:r>
              <w:rPr>
                <w:rFonts w:ascii="Cambria" w:hAnsi="Cambria"/>
                <w:b w:val="0"/>
                <w:sz w:val="19"/>
              </w:rPr>
              <w:t>Provides student mentoring, counseling, and career guidance</w:t>
            </w:r>
          </w:p>
        </w:tc>
        <w:tc>
          <w:tcPr>
            <w:tcW w:type="dxa" w:w="3345"/>
            <w:tcW w:w="3345" w:type="dxa"/>
          </w:tcPr>
          <w:p>
            <w:pPr>
              <w:jc w:val="center"/>
            </w:pPr>
            <w:r/>
            <w:r>
              <w:rPr>
                <w:rFonts w:ascii="Cambria" w:hAnsi="Cambria"/>
                <w:b w:val="0"/>
                <w:sz w:val="19"/>
              </w:rPr>
              <w:t>Improved student satisfaction, retention, and career readiness.</w:t>
            </w:r>
          </w:p>
        </w:tc>
        <w:tc>
          <w:tcPr>
            <w:tcW w:type="dxa" w:w="2948"/>
            <w:tcW w:w="2948" w:type="dxa"/>
          </w:tcPr>
          <w:p>
            <w:pPr>
              <w:jc w:val="center"/>
            </w:pPr>
            <w:r/>
            <w:r>
              <w:rPr>
                <w:rFonts w:ascii="Cambria" w:hAnsi="Cambria"/>
                <w:b w:val="0"/>
                <w:sz w:val="19"/>
              </w:rPr>
              <w:t>Mentoring records, counseling reports, placement statistics, student feedback.</w:t>
            </w:r>
          </w:p>
        </w:tc>
      </w:tr>
      <w:tr>
        <w:tc>
          <w:tcPr>
            <w:tcW w:type="dxa" w:w="2835"/>
            <w:tcW w:w="2835" w:type="dxa"/>
            <w:shd w:val="clear" w:color="auto" w:fill="D9E2EC"/>
          </w:tcPr>
          <w:p>
            <w:pPr>
              <w:jc w:val="left"/>
            </w:pPr>
            <w:r/>
            <w:r>
              <w:rPr>
                <w:rFonts w:ascii="Cambria" w:hAnsi="Cambria"/>
                <w:b w:val="0"/>
                <w:sz w:val="19"/>
              </w:rPr>
              <w:t>Coordinates departmental examinations and assessments</w:t>
            </w:r>
          </w:p>
        </w:tc>
        <w:tc>
          <w:tcPr>
            <w:tcW w:type="dxa" w:w="3345"/>
            <w:tcW w:w="3345" w:type="dxa"/>
            <w:shd w:val="clear" w:color="auto" w:fill="D9E2EC"/>
          </w:tcPr>
          <w:p>
            <w:pPr>
              <w:jc w:val="center"/>
            </w:pPr>
            <w:r/>
            <w:r>
              <w:rPr>
                <w:rFonts w:ascii="Cambria" w:hAnsi="Cambria"/>
                <w:b w:val="0"/>
                <w:sz w:val="19"/>
              </w:rPr>
              <w:t>Fair, transparent, and timely evaluation of students; smooth examination process.</w:t>
            </w:r>
          </w:p>
        </w:tc>
        <w:tc>
          <w:tcPr>
            <w:tcW w:type="dxa" w:w="2948"/>
            <w:tcW w:w="2948" w:type="dxa"/>
            <w:shd w:val="clear" w:color="auto" w:fill="D9E2EC"/>
          </w:tcPr>
          <w:p>
            <w:pPr>
              <w:jc w:val="center"/>
            </w:pPr>
            <w:r/>
            <w:r>
              <w:rPr>
                <w:rFonts w:ascii="Cambria" w:hAnsi="Cambria"/>
                <w:b w:val="0"/>
                <w:sz w:val="19"/>
              </w:rPr>
              <w:t>Exam timetables, invigilation duty rosters, evaluation reports, result analysis.</w:t>
            </w:r>
          </w:p>
        </w:tc>
      </w:tr>
      <w:tr>
        <w:tc>
          <w:tcPr>
            <w:tcW w:type="dxa" w:w="2835"/>
            <w:tcW w:w="2835" w:type="dxa"/>
          </w:tcPr>
          <w:p>
            <w:pPr>
              <w:jc w:val="left"/>
            </w:pPr>
            <w:r/>
            <w:r>
              <w:rPr>
                <w:rFonts w:ascii="Cambria" w:hAnsi="Cambria"/>
                <w:b w:val="0"/>
                <w:sz w:val="19"/>
              </w:rPr>
              <w:t>Organizes departmental meetings and maintains records</w:t>
            </w:r>
          </w:p>
        </w:tc>
        <w:tc>
          <w:tcPr>
            <w:tcW w:type="dxa" w:w="3345"/>
            <w:tcW w:w="3345" w:type="dxa"/>
          </w:tcPr>
          <w:p>
            <w:pPr>
              <w:jc w:val="center"/>
            </w:pPr>
            <w:r/>
            <w:r>
              <w:rPr>
                <w:rFonts w:ascii="Cambria" w:hAnsi="Cambria"/>
                <w:b w:val="0"/>
                <w:sz w:val="19"/>
              </w:rPr>
              <w:t>Strengthened internal governance; improved communication and coordination.</w:t>
            </w:r>
          </w:p>
        </w:tc>
        <w:tc>
          <w:tcPr>
            <w:tcW w:type="dxa" w:w="2948"/>
            <w:tcW w:w="2948" w:type="dxa"/>
          </w:tcPr>
          <w:p>
            <w:pPr>
              <w:jc w:val="center"/>
            </w:pPr>
            <w:r/>
            <w:r>
              <w:rPr>
                <w:rFonts w:ascii="Cambria" w:hAnsi="Cambria"/>
                <w:b w:val="0"/>
                <w:sz w:val="19"/>
              </w:rPr>
              <w:t>Department meeting minutes, action taken reports, correspondence files.</w:t>
            </w:r>
          </w:p>
        </w:tc>
      </w:tr>
      <w:tr>
        <w:tc>
          <w:tcPr>
            <w:tcW w:type="dxa" w:w="2835"/>
            <w:tcW w:w="2835" w:type="dxa"/>
            <w:shd w:val="clear" w:color="auto" w:fill="D9E2EC"/>
          </w:tcPr>
          <w:p>
            <w:pPr>
              <w:jc w:val="left"/>
            </w:pPr>
            <w:r/>
            <w:r>
              <w:rPr>
                <w:rFonts w:ascii="Cambria" w:hAnsi="Cambria"/>
                <w:b w:val="0"/>
                <w:sz w:val="19"/>
              </w:rPr>
              <w:t>Manages departmental budgets, labs, and infrastructure</w:t>
            </w:r>
          </w:p>
        </w:tc>
        <w:tc>
          <w:tcPr>
            <w:tcW w:type="dxa" w:w="3345"/>
            <w:tcW w:w="3345" w:type="dxa"/>
            <w:shd w:val="clear" w:color="auto" w:fill="D9E2EC"/>
          </w:tcPr>
          <w:p>
            <w:pPr>
              <w:jc w:val="center"/>
            </w:pPr>
            <w:r/>
            <w:r>
              <w:rPr>
                <w:rFonts w:ascii="Cambria" w:hAnsi="Cambria"/>
                <w:b w:val="0"/>
                <w:sz w:val="19"/>
              </w:rPr>
              <w:t>Enhanced teaching–learning facilities; efficient resource utilization.</w:t>
            </w:r>
          </w:p>
        </w:tc>
        <w:tc>
          <w:tcPr>
            <w:tcW w:type="dxa" w:w="2948"/>
            <w:tcW w:w="2948" w:type="dxa"/>
            <w:shd w:val="clear" w:color="auto" w:fill="D9E2EC"/>
          </w:tcPr>
          <w:p>
            <w:pPr>
              <w:jc w:val="center"/>
            </w:pPr>
            <w:r/>
            <w:r>
              <w:rPr>
                <w:rFonts w:ascii="Cambria" w:hAnsi="Cambria"/>
                <w:b w:val="0"/>
                <w:sz w:val="19"/>
              </w:rPr>
              <w:t>Budget proposals, utilization certificates, lab stock registers.</w:t>
            </w:r>
          </w:p>
        </w:tc>
      </w:tr>
      <w:tr>
        <w:tc>
          <w:tcPr>
            <w:tcW w:type="dxa" w:w="2835"/>
            <w:tcW w:w="2835" w:type="dxa"/>
          </w:tcPr>
          <w:p>
            <w:pPr>
              <w:jc w:val="left"/>
            </w:pPr>
            <w:r/>
            <w:r>
              <w:rPr>
                <w:rFonts w:ascii="Cambria" w:hAnsi="Cambria"/>
                <w:b w:val="0"/>
                <w:sz w:val="19"/>
              </w:rPr>
              <w:t>Prepares departmental inputs for accreditation and quality assurance</w:t>
            </w:r>
          </w:p>
        </w:tc>
        <w:tc>
          <w:tcPr>
            <w:tcW w:type="dxa" w:w="3345"/>
            <w:tcW w:w="3345" w:type="dxa"/>
          </w:tcPr>
          <w:p>
            <w:pPr>
              <w:jc w:val="center"/>
            </w:pPr>
            <w:r/>
            <w:r>
              <w:rPr>
                <w:rFonts w:ascii="Cambria" w:hAnsi="Cambria"/>
                <w:b w:val="0"/>
                <w:sz w:val="19"/>
              </w:rPr>
              <w:t>Department contributes to institutional NAAC/NBA/NIRF success; continuous improvement ensured.</w:t>
            </w:r>
          </w:p>
        </w:tc>
        <w:tc>
          <w:tcPr>
            <w:tcW w:type="dxa" w:w="2948"/>
            <w:tcW w:w="2948" w:type="dxa"/>
          </w:tcPr>
          <w:p>
            <w:pPr>
              <w:jc w:val="center"/>
            </w:pPr>
            <w:r/>
            <w:r>
              <w:rPr>
                <w:rFonts w:ascii="Cambria" w:hAnsi="Cambria"/>
                <w:b w:val="0"/>
                <w:sz w:val="19"/>
              </w:rPr>
              <w:t>NAAC/NBA departmental data sheets, IQAC submissions, accreditation reports.</w:t>
            </w:r>
          </w:p>
        </w:tc>
      </w:tr>
    </w:tbl>
    <w:p>
      <w:pPr>
        <w:keepNext/>
        <w:spacing w:before="160" w:after="120"/>
      </w:pPr>
      <w:r>
        <w:rPr>
          <w:rFonts w:ascii="Cambria" w:hAnsi="Cambria"/>
          <w:b/>
          <w:color w:val="1F3A5F"/>
          <w:sz w:val="30"/>
        </w:rPr>
        <w:t>3-Year HoD Progress Tracker</w:t>
      </w:r>
    </w:p>
    <w:tbl>
      <w:tblPr>
        <w:tblW w:type="auto" w:w="0"/>
        <w:tblLayout w:type="fixed"/>
        <w:tblLook w:firstColumn="1" w:firstRow="1" w:lastColumn="0" w:lastRow="0" w:noHBand="0" w:noVBand="1" w:val="04A0"/>
        <w:tblLayout w:type="fixed"/>
      </w:tblPr>
      <w:tblGrid>
        <w:gridCol w:w="1927"/>
        <w:gridCol w:w="2438"/>
        <w:gridCol w:w="2438"/>
        <w:gridCol w:w="2324"/>
      </w:tblGrid>
      <w:tr>
        <w:tc>
          <w:tcPr>
            <w:tcW w:type="dxa" w:w="1928"/>
            <w:shd w:val="clear" w:color="auto" w:fill="1F3A5F"/>
            <w:tcW w:w="1927" w:type="dxa"/>
          </w:tcPr>
          <w:p>
            <w:pPr>
              <w:jc w:val="center"/>
            </w:pPr>
            <w:r/>
            <w:r>
              <w:rPr>
                <w:rFonts w:ascii="Cambria" w:hAnsi="Cambria"/>
                <w:b/>
                <w:color w:val="FFFFFF"/>
                <w:sz w:val="20"/>
              </w:rPr>
              <w:t>Focus Area</w:t>
            </w:r>
          </w:p>
        </w:tc>
        <w:tc>
          <w:tcPr>
            <w:tcW w:type="dxa" w:w="2438"/>
            <w:shd w:val="clear" w:color="auto" w:fill="1F3A5F"/>
            <w:tcW w:w="2438" w:type="dxa"/>
          </w:tcPr>
          <w:p>
            <w:pPr>
              <w:jc w:val="center"/>
            </w:pPr>
            <w:r/>
            <w:r>
              <w:rPr>
                <w:rFonts w:ascii="Cambria" w:hAnsi="Cambria"/>
                <w:b/>
                <w:color w:val="FFFFFF"/>
                <w:sz w:val="20"/>
              </w:rPr>
              <w:t>Year 1 – Foundation</w:t>
            </w:r>
          </w:p>
        </w:tc>
        <w:tc>
          <w:tcPr>
            <w:tcW w:type="dxa" w:w="2438"/>
            <w:shd w:val="clear" w:color="auto" w:fill="1F3A5F"/>
            <w:tcW w:w="2438" w:type="dxa"/>
          </w:tcPr>
          <w:p>
            <w:pPr>
              <w:jc w:val="center"/>
            </w:pPr>
            <w:r/>
            <w:r>
              <w:rPr>
                <w:rFonts w:ascii="Cambria" w:hAnsi="Cambria"/>
                <w:b/>
                <w:color w:val="FFFFFF"/>
                <w:sz w:val="20"/>
              </w:rPr>
              <w:t>Year 2 – Growth &amp; Consolidation</w:t>
            </w:r>
          </w:p>
        </w:tc>
        <w:tc>
          <w:tcPr>
            <w:tcW w:type="dxa" w:w="2324"/>
            <w:shd w:val="clear" w:color="auto" w:fill="1F3A5F"/>
            <w:tcW w:w="2324" w:type="dxa"/>
          </w:tcPr>
          <w:p>
            <w:pPr>
              <w:jc w:val="center"/>
            </w:pPr>
            <w:r/>
            <w:r>
              <w:rPr>
                <w:rFonts w:ascii="Cambria" w:hAnsi="Cambria"/>
                <w:b/>
                <w:color w:val="FFFFFF"/>
                <w:sz w:val="20"/>
              </w:rPr>
              <w:t>Year 3 – Maturity &amp; Impact</w:t>
            </w:r>
          </w:p>
        </w:tc>
      </w:tr>
      <w:tr>
        <w:tc>
          <w:tcPr>
            <w:tcW w:type="dxa" w:w="1928"/>
            <w:tcW w:w="1927" w:type="dxa"/>
          </w:tcPr>
          <w:p>
            <w:pPr>
              <w:jc w:val="left"/>
            </w:pPr>
            <w:r/>
            <w:r>
              <w:rPr>
                <w:rFonts w:ascii="Cambria" w:hAnsi="Cambria"/>
                <w:b w:val="0"/>
                <w:sz w:val="18"/>
              </w:rPr>
              <w:t>Teaching &amp; Curriculum Delivery</w:t>
            </w:r>
          </w:p>
        </w:tc>
        <w:tc>
          <w:tcPr>
            <w:tcW w:type="dxa" w:w="2438"/>
            <w:tcW w:w="2438" w:type="dxa"/>
          </w:tcPr>
          <w:p>
            <w:pPr>
              <w:jc w:val="center"/>
            </w:pPr>
            <w:r/>
            <w:r>
              <w:rPr>
                <w:rFonts w:ascii="Cambria" w:hAnsi="Cambria"/>
                <w:b w:val="0"/>
                <w:sz w:val="18"/>
              </w:rPr>
              <w:t>Teaching schedules streamlined; syllabus coverage ensured.</w:t>
            </w:r>
          </w:p>
        </w:tc>
        <w:tc>
          <w:tcPr>
            <w:tcW w:type="dxa" w:w="2438"/>
            <w:tcW w:w="2438" w:type="dxa"/>
          </w:tcPr>
          <w:p>
            <w:pPr>
              <w:jc w:val="center"/>
            </w:pPr>
            <w:r/>
            <w:r>
              <w:rPr>
                <w:rFonts w:ascii="Cambria" w:hAnsi="Cambria"/>
                <w:b w:val="0"/>
                <w:sz w:val="18"/>
              </w:rPr>
              <w:t>OBE-based teaching fully integrated; faculty trained in pedagogy.</w:t>
            </w:r>
          </w:p>
        </w:tc>
        <w:tc>
          <w:tcPr>
            <w:tcW w:type="dxa" w:w="2324"/>
            <w:tcW w:w="2324" w:type="dxa"/>
          </w:tcPr>
          <w:p>
            <w:pPr>
              <w:jc w:val="center"/>
            </w:pPr>
            <w:r/>
            <w:r>
              <w:rPr>
                <w:rFonts w:ascii="Cambria" w:hAnsi="Cambria"/>
                <w:b w:val="0"/>
                <w:sz w:val="18"/>
              </w:rPr>
              <w:t>High-quality teaching with innovative methods (blended, digital, experiential).</w:t>
            </w:r>
          </w:p>
        </w:tc>
      </w:tr>
      <w:tr>
        <w:tc>
          <w:tcPr>
            <w:tcW w:type="dxa" w:w="1928"/>
            <w:tcW w:w="1927" w:type="dxa"/>
            <w:shd w:val="clear" w:color="auto" w:fill="D9E2EC"/>
          </w:tcPr>
          <w:p>
            <w:pPr>
              <w:jc w:val="left"/>
            </w:pPr>
            <w:r/>
            <w:r>
              <w:rPr>
                <w:rFonts w:ascii="Cambria" w:hAnsi="Cambria"/>
                <w:b w:val="0"/>
                <w:sz w:val="18"/>
              </w:rPr>
              <w:t>Curriculum Development &amp; OBE</w:t>
            </w:r>
          </w:p>
        </w:tc>
        <w:tc>
          <w:tcPr>
            <w:tcW w:type="dxa" w:w="2438"/>
            <w:tcW w:w="2438" w:type="dxa"/>
            <w:shd w:val="clear" w:color="auto" w:fill="D9E2EC"/>
          </w:tcPr>
          <w:p>
            <w:pPr>
              <w:jc w:val="center"/>
            </w:pPr>
            <w:r/>
            <w:r>
              <w:rPr>
                <w:rFonts w:ascii="Cambria" w:hAnsi="Cambria"/>
                <w:b w:val="0"/>
                <w:sz w:val="18"/>
              </w:rPr>
              <w:t>Initial CO–PO mapping started in key courses.</w:t>
            </w:r>
          </w:p>
        </w:tc>
        <w:tc>
          <w:tcPr>
            <w:tcW w:type="dxa" w:w="2438"/>
            <w:tcW w:w="2438" w:type="dxa"/>
            <w:shd w:val="clear" w:color="auto" w:fill="D9E2EC"/>
          </w:tcPr>
          <w:p>
            <w:pPr>
              <w:jc w:val="center"/>
            </w:pPr>
            <w:r/>
            <w:r>
              <w:rPr>
                <w:rFonts w:ascii="Cambria" w:hAnsi="Cambria"/>
                <w:b w:val="0"/>
                <w:sz w:val="18"/>
              </w:rPr>
              <w:t>Full CO–PO–PSO mapping completed across programs; attainment measured.</w:t>
            </w:r>
          </w:p>
        </w:tc>
        <w:tc>
          <w:tcPr>
            <w:tcW w:type="dxa" w:w="2324"/>
            <w:tcW w:w="2324" w:type="dxa"/>
            <w:shd w:val="clear" w:color="auto" w:fill="D9E2EC"/>
          </w:tcPr>
          <w:p>
            <w:pPr>
              <w:jc w:val="center"/>
            </w:pPr>
            <w:r/>
            <w:r>
              <w:rPr>
                <w:rFonts w:ascii="Cambria" w:hAnsi="Cambria"/>
                <w:b w:val="0"/>
                <w:sz w:val="18"/>
              </w:rPr>
              <w:t>Curriculum continuously updated with industry and global benchmarks; attainment data used in accreditation.</w:t>
            </w:r>
          </w:p>
        </w:tc>
      </w:tr>
      <w:tr>
        <w:tc>
          <w:tcPr>
            <w:tcW w:type="dxa" w:w="1928"/>
            <w:tcW w:w="1927" w:type="dxa"/>
          </w:tcPr>
          <w:p>
            <w:pPr>
              <w:jc w:val="left"/>
            </w:pPr>
            <w:r/>
            <w:r>
              <w:rPr>
                <w:rFonts w:ascii="Cambria" w:hAnsi="Cambria"/>
                <w:b w:val="0"/>
                <w:sz w:val="18"/>
              </w:rPr>
              <w:t>Research &amp; Publications</w:t>
            </w:r>
          </w:p>
        </w:tc>
        <w:tc>
          <w:tcPr>
            <w:tcW w:type="dxa" w:w="2438"/>
            <w:tcW w:w="2438" w:type="dxa"/>
          </w:tcPr>
          <w:p>
            <w:pPr>
              <w:jc w:val="center"/>
            </w:pPr>
            <w:r/>
            <w:r>
              <w:rPr>
                <w:rFonts w:ascii="Cambria" w:hAnsi="Cambria"/>
                <w:b w:val="0"/>
                <w:sz w:val="18"/>
              </w:rPr>
              <w:t>Department-level research groups formed; small projects initiated.</w:t>
            </w:r>
          </w:p>
        </w:tc>
        <w:tc>
          <w:tcPr>
            <w:tcW w:type="dxa" w:w="2438"/>
            <w:tcW w:w="2438" w:type="dxa"/>
          </w:tcPr>
          <w:p>
            <w:pPr>
              <w:jc w:val="center"/>
            </w:pPr>
            <w:r/>
            <w:r>
              <w:rPr>
                <w:rFonts w:ascii="Cambria" w:hAnsi="Cambria"/>
                <w:b w:val="0"/>
                <w:sz w:val="18"/>
              </w:rPr>
              <w:t>Increase in faculty publications, student research projects, and departmental seminars.</w:t>
            </w:r>
          </w:p>
        </w:tc>
        <w:tc>
          <w:tcPr>
            <w:tcW w:type="dxa" w:w="2324"/>
            <w:tcW w:w="2324" w:type="dxa"/>
          </w:tcPr>
          <w:p>
            <w:pPr>
              <w:jc w:val="center"/>
            </w:pPr>
            <w:r/>
            <w:r>
              <w:rPr>
                <w:rFonts w:ascii="Cambria" w:hAnsi="Cambria"/>
                <w:b w:val="0"/>
                <w:sz w:val="18"/>
              </w:rPr>
              <w:t>Funded projects, patents, and international collaborations established.</w:t>
            </w:r>
          </w:p>
        </w:tc>
      </w:tr>
      <w:tr>
        <w:tc>
          <w:tcPr>
            <w:tcW w:type="dxa" w:w="1928"/>
            <w:tcW w:w="1927" w:type="dxa"/>
            <w:shd w:val="clear" w:color="auto" w:fill="D9E2EC"/>
          </w:tcPr>
          <w:p>
            <w:pPr>
              <w:jc w:val="left"/>
            </w:pPr>
            <w:r/>
            <w:r>
              <w:rPr>
                <w:rFonts w:ascii="Cambria" w:hAnsi="Cambria"/>
                <w:b w:val="0"/>
                <w:sz w:val="18"/>
              </w:rPr>
              <w:t>Faculty Development &amp; Appraisal</w:t>
            </w:r>
          </w:p>
        </w:tc>
        <w:tc>
          <w:tcPr>
            <w:tcW w:type="dxa" w:w="2438"/>
            <w:tcW w:w="2438" w:type="dxa"/>
            <w:shd w:val="clear" w:color="auto" w:fill="D9E2EC"/>
          </w:tcPr>
          <w:p>
            <w:pPr>
              <w:jc w:val="center"/>
            </w:pPr>
            <w:r/>
            <w:r>
              <w:rPr>
                <w:rFonts w:ascii="Cambria" w:hAnsi="Cambria"/>
                <w:b w:val="0"/>
                <w:sz w:val="18"/>
              </w:rPr>
              <w:t>Basic performance appraisal introduced; mentoring of junior staff.</w:t>
            </w:r>
          </w:p>
        </w:tc>
        <w:tc>
          <w:tcPr>
            <w:tcW w:type="dxa" w:w="2438"/>
            <w:tcW w:w="2438" w:type="dxa"/>
            <w:shd w:val="clear" w:color="auto" w:fill="D9E2EC"/>
          </w:tcPr>
          <w:p>
            <w:pPr>
              <w:jc w:val="center"/>
            </w:pPr>
            <w:r/>
            <w:r>
              <w:rPr>
                <w:rFonts w:ascii="Cambria" w:hAnsi="Cambria"/>
                <w:b w:val="0"/>
                <w:sz w:val="18"/>
              </w:rPr>
              <w:t>Structured appraisal with feedback mechanisms; FDPs institutionalized.</w:t>
            </w:r>
          </w:p>
        </w:tc>
        <w:tc>
          <w:tcPr>
            <w:tcW w:type="dxa" w:w="2324"/>
            <w:tcW w:w="2324" w:type="dxa"/>
            <w:shd w:val="clear" w:color="auto" w:fill="D9E2EC"/>
          </w:tcPr>
          <w:p>
            <w:pPr>
              <w:jc w:val="center"/>
            </w:pPr>
            <w:r/>
            <w:r>
              <w:rPr>
                <w:rFonts w:ascii="Cambria" w:hAnsi="Cambria"/>
                <w:b w:val="0"/>
                <w:sz w:val="18"/>
              </w:rPr>
              <w:t>Faculty achieve excellence in teaching/research; strong succession and leadership pipeline.</w:t>
            </w:r>
          </w:p>
        </w:tc>
      </w:tr>
      <w:tr>
        <w:tc>
          <w:tcPr>
            <w:tcW w:type="dxa" w:w="1928"/>
            <w:tcW w:w="1927" w:type="dxa"/>
          </w:tcPr>
          <w:p>
            <w:pPr>
              <w:jc w:val="left"/>
            </w:pPr>
            <w:r/>
            <w:r>
              <w:rPr>
                <w:rFonts w:ascii="Cambria" w:hAnsi="Cambria"/>
                <w:b w:val="0"/>
                <w:sz w:val="18"/>
              </w:rPr>
              <w:t>Student Mentoring &amp; Career Support</w:t>
            </w:r>
          </w:p>
        </w:tc>
        <w:tc>
          <w:tcPr>
            <w:tcW w:type="dxa" w:w="2438"/>
            <w:tcW w:w="2438" w:type="dxa"/>
          </w:tcPr>
          <w:p>
            <w:pPr>
              <w:jc w:val="center"/>
            </w:pPr>
            <w:r/>
            <w:r>
              <w:rPr>
                <w:rFonts w:ascii="Cambria" w:hAnsi="Cambria"/>
                <w:b w:val="0"/>
                <w:sz w:val="18"/>
              </w:rPr>
              <w:t>Mentoring framework introduced; career counseling sessions held.</w:t>
            </w:r>
          </w:p>
        </w:tc>
        <w:tc>
          <w:tcPr>
            <w:tcW w:type="dxa" w:w="2438"/>
            <w:tcW w:w="2438" w:type="dxa"/>
          </w:tcPr>
          <w:p>
            <w:pPr>
              <w:jc w:val="center"/>
            </w:pPr>
            <w:r/>
            <w:r>
              <w:rPr>
                <w:rFonts w:ascii="Cambria" w:hAnsi="Cambria"/>
                <w:b w:val="0"/>
                <w:sz w:val="18"/>
              </w:rPr>
              <w:t>Structured student mentoring, internship support, alumni engagement initiated.</w:t>
            </w:r>
          </w:p>
        </w:tc>
        <w:tc>
          <w:tcPr>
            <w:tcW w:type="dxa" w:w="2324"/>
            <w:tcW w:w="2324" w:type="dxa"/>
          </w:tcPr>
          <w:p>
            <w:pPr>
              <w:jc w:val="center"/>
            </w:pPr>
            <w:r/>
            <w:r>
              <w:rPr>
                <w:rFonts w:ascii="Cambria" w:hAnsi="Cambria"/>
                <w:b w:val="0"/>
                <w:sz w:val="18"/>
              </w:rPr>
              <w:t>High student satisfaction and placement rates; strong alumni–student mentoring networks.</w:t>
            </w:r>
          </w:p>
        </w:tc>
      </w:tr>
      <w:tr>
        <w:tc>
          <w:tcPr>
            <w:tcW w:type="dxa" w:w="1928"/>
            <w:tcW w:w="1927" w:type="dxa"/>
            <w:shd w:val="clear" w:color="auto" w:fill="D9E2EC"/>
          </w:tcPr>
          <w:p>
            <w:pPr>
              <w:jc w:val="left"/>
            </w:pPr>
            <w:r/>
            <w:r>
              <w:rPr>
                <w:rFonts w:ascii="Cambria" w:hAnsi="Cambria"/>
                <w:b w:val="0"/>
                <w:sz w:val="18"/>
              </w:rPr>
              <w:t>Examinations &amp; Evaluation</w:t>
            </w:r>
          </w:p>
        </w:tc>
        <w:tc>
          <w:tcPr>
            <w:tcW w:type="dxa" w:w="2438"/>
            <w:tcW w:w="2438" w:type="dxa"/>
            <w:shd w:val="clear" w:color="auto" w:fill="D9E2EC"/>
          </w:tcPr>
          <w:p>
            <w:pPr>
              <w:jc w:val="center"/>
            </w:pPr>
            <w:r/>
            <w:r>
              <w:rPr>
                <w:rFonts w:ascii="Cambria" w:hAnsi="Cambria"/>
                <w:b w:val="0"/>
                <w:sz w:val="18"/>
              </w:rPr>
              <w:t>Department coordinates exams smoothly with CoE.</w:t>
            </w:r>
          </w:p>
        </w:tc>
        <w:tc>
          <w:tcPr>
            <w:tcW w:type="dxa" w:w="2438"/>
            <w:tcW w:w="2438" w:type="dxa"/>
            <w:shd w:val="clear" w:color="auto" w:fill="D9E2EC"/>
          </w:tcPr>
          <w:p>
            <w:pPr>
              <w:jc w:val="center"/>
            </w:pPr>
            <w:r/>
            <w:r>
              <w:rPr>
                <w:rFonts w:ascii="Cambria" w:hAnsi="Cambria"/>
                <w:b w:val="0"/>
                <w:sz w:val="18"/>
              </w:rPr>
              <w:t>Digital evaluation practices piloted; internal exam reforms introduced.</w:t>
            </w:r>
          </w:p>
        </w:tc>
        <w:tc>
          <w:tcPr>
            <w:tcW w:type="dxa" w:w="2324"/>
            <w:tcW w:w="2324" w:type="dxa"/>
            <w:shd w:val="clear" w:color="auto" w:fill="D9E2EC"/>
          </w:tcPr>
          <w:p>
            <w:pPr>
              <w:jc w:val="center"/>
            </w:pPr>
            <w:r/>
            <w:r>
              <w:rPr>
                <w:rFonts w:ascii="Cambria" w:hAnsi="Cambria"/>
                <w:b w:val="0"/>
                <w:sz w:val="18"/>
              </w:rPr>
              <w:t>Fully digital assessment system in place; exam outcomes aligned with OBE.</w:t>
            </w:r>
          </w:p>
        </w:tc>
      </w:tr>
      <w:tr>
        <w:tc>
          <w:tcPr>
            <w:tcW w:type="dxa" w:w="1928"/>
            <w:tcW w:w="1927" w:type="dxa"/>
          </w:tcPr>
          <w:p>
            <w:pPr>
              <w:jc w:val="left"/>
            </w:pPr>
            <w:r/>
            <w:r>
              <w:rPr>
                <w:rFonts w:ascii="Cambria" w:hAnsi="Cambria"/>
                <w:b w:val="0"/>
                <w:sz w:val="18"/>
              </w:rPr>
              <w:t>Departmental Governance</w:t>
            </w:r>
          </w:p>
        </w:tc>
        <w:tc>
          <w:tcPr>
            <w:tcW w:type="dxa" w:w="2438"/>
            <w:tcW w:w="2438" w:type="dxa"/>
          </w:tcPr>
          <w:p>
            <w:pPr>
              <w:jc w:val="center"/>
            </w:pPr>
            <w:r/>
            <w:r>
              <w:rPr>
                <w:rFonts w:ascii="Cambria" w:hAnsi="Cambria"/>
                <w:b w:val="0"/>
                <w:sz w:val="18"/>
              </w:rPr>
              <w:t>Regular meetings initiated; records maintained.</w:t>
            </w:r>
          </w:p>
        </w:tc>
        <w:tc>
          <w:tcPr>
            <w:tcW w:type="dxa" w:w="2438"/>
            <w:tcW w:w="2438" w:type="dxa"/>
          </w:tcPr>
          <w:p>
            <w:pPr>
              <w:jc w:val="center"/>
            </w:pPr>
            <w:r/>
            <w:r>
              <w:rPr>
                <w:rFonts w:ascii="Cambria" w:hAnsi="Cambria"/>
                <w:b w:val="0"/>
                <w:sz w:val="18"/>
              </w:rPr>
              <w:t>Governance system institutionalized with action taken reports (ATRs).</w:t>
            </w:r>
          </w:p>
        </w:tc>
        <w:tc>
          <w:tcPr>
            <w:tcW w:type="dxa" w:w="2324"/>
            <w:tcW w:w="2324" w:type="dxa"/>
          </w:tcPr>
          <w:p>
            <w:pPr>
              <w:jc w:val="center"/>
            </w:pPr>
            <w:r/>
            <w:r>
              <w:rPr>
                <w:rFonts w:ascii="Cambria" w:hAnsi="Cambria"/>
                <w:b w:val="0"/>
                <w:sz w:val="18"/>
              </w:rPr>
              <w:t>Transparent and participatory governance culture established.</w:t>
            </w:r>
          </w:p>
        </w:tc>
      </w:tr>
      <w:tr>
        <w:tc>
          <w:tcPr>
            <w:tcW w:type="dxa" w:w="1928"/>
            <w:tcW w:w="1927" w:type="dxa"/>
            <w:shd w:val="clear" w:color="auto" w:fill="D9E2EC"/>
          </w:tcPr>
          <w:p>
            <w:pPr>
              <w:jc w:val="left"/>
            </w:pPr>
            <w:r/>
            <w:r>
              <w:rPr>
                <w:rFonts w:ascii="Cambria" w:hAnsi="Cambria"/>
                <w:b w:val="0"/>
                <w:sz w:val="18"/>
              </w:rPr>
              <w:t>Infrastructure &amp; Resources</w:t>
            </w:r>
          </w:p>
        </w:tc>
        <w:tc>
          <w:tcPr>
            <w:tcW w:type="dxa" w:w="2438"/>
            <w:tcW w:w="2438" w:type="dxa"/>
            <w:shd w:val="clear" w:color="auto" w:fill="D9E2EC"/>
          </w:tcPr>
          <w:p>
            <w:pPr>
              <w:jc w:val="center"/>
            </w:pPr>
            <w:r/>
            <w:r>
              <w:rPr>
                <w:rFonts w:ascii="Cambria" w:hAnsi="Cambria"/>
                <w:b w:val="0"/>
                <w:sz w:val="18"/>
              </w:rPr>
              <w:t>Lab/infrastructure gaps identified; proposals submitted.</w:t>
            </w:r>
          </w:p>
        </w:tc>
        <w:tc>
          <w:tcPr>
            <w:tcW w:type="dxa" w:w="2438"/>
            <w:tcW w:w="2438" w:type="dxa"/>
            <w:shd w:val="clear" w:color="auto" w:fill="D9E2EC"/>
          </w:tcPr>
          <w:p>
            <w:pPr>
              <w:jc w:val="center"/>
            </w:pPr>
            <w:r/>
            <w:r>
              <w:rPr>
                <w:rFonts w:ascii="Cambria" w:hAnsi="Cambria"/>
                <w:b w:val="0"/>
                <w:sz w:val="18"/>
              </w:rPr>
              <w:t>New labs/resources procured through faculty/industry funding.</w:t>
            </w:r>
          </w:p>
        </w:tc>
        <w:tc>
          <w:tcPr>
            <w:tcW w:type="dxa" w:w="2324"/>
            <w:tcW w:w="2324" w:type="dxa"/>
            <w:shd w:val="clear" w:color="auto" w:fill="D9E2EC"/>
          </w:tcPr>
          <w:p>
            <w:pPr>
              <w:jc w:val="center"/>
            </w:pPr>
            <w:r/>
            <w:r>
              <w:rPr>
                <w:rFonts w:ascii="Cambria" w:hAnsi="Cambria"/>
                <w:b w:val="0"/>
                <w:sz w:val="18"/>
              </w:rPr>
              <w:t>State-of-the-art facilities established; industry-supported innovation labs functional.</w:t>
            </w:r>
          </w:p>
        </w:tc>
      </w:tr>
      <w:tr>
        <w:tc>
          <w:tcPr>
            <w:tcW w:type="dxa" w:w="1928"/>
            <w:tcW w:w="1927" w:type="dxa"/>
          </w:tcPr>
          <w:p>
            <w:pPr>
              <w:jc w:val="left"/>
            </w:pPr>
            <w:r/>
            <w:r>
              <w:rPr>
                <w:rFonts w:ascii="Cambria" w:hAnsi="Cambria"/>
                <w:b w:val="0"/>
                <w:sz w:val="18"/>
              </w:rPr>
              <w:t>Accreditation &amp; Quality Assurance</w:t>
            </w:r>
          </w:p>
        </w:tc>
        <w:tc>
          <w:tcPr>
            <w:tcW w:type="dxa" w:w="2438"/>
            <w:tcW w:w="2438" w:type="dxa"/>
          </w:tcPr>
          <w:p>
            <w:pPr>
              <w:jc w:val="center"/>
            </w:pPr>
            <w:r/>
            <w:r>
              <w:rPr>
                <w:rFonts w:ascii="Cambria" w:hAnsi="Cambria"/>
                <w:b w:val="0"/>
                <w:sz w:val="18"/>
              </w:rPr>
              <w:t>Baseline data prepared for NAAC/NBA/NIRF.</w:t>
            </w:r>
          </w:p>
        </w:tc>
        <w:tc>
          <w:tcPr>
            <w:tcW w:type="dxa" w:w="2438"/>
            <w:tcW w:w="2438" w:type="dxa"/>
          </w:tcPr>
          <w:p>
            <w:pPr>
              <w:jc w:val="center"/>
            </w:pPr>
            <w:r/>
            <w:r>
              <w:rPr>
                <w:rFonts w:ascii="Cambria" w:hAnsi="Cambria"/>
                <w:b w:val="0"/>
                <w:sz w:val="18"/>
              </w:rPr>
              <w:t>Departmental audits conducted regularly; continuous improvement visible.</w:t>
            </w:r>
          </w:p>
        </w:tc>
        <w:tc>
          <w:tcPr>
            <w:tcW w:type="dxa" w:w="2324"/>
            <w:tcW w:w="2324" w:type="dxa"/>
          </w:tcPr>
          <w:p>
            <w:pPr>
              <w:jc w:val="center"/>
            </w:pPr>
            <w:r/>
            <w:r>
              <w:rPr>
                <w:rFonts w:ascii="Cambria" w:hAnsi="Cambria"/>
                <w:b w:val="0"/>
                <w:sz w:val="18"/>
              </w:rPr>
              <w:t>Department recognized for best practices in accreditation cycles.</w:t>
            </w:r>
          </w:p>
        </w:tc>
      </w:tr>
    </w:tbl>
    <w:p>
      <w:r>
        <w:br w:type="page"/>
      </w:r>
    </w:p>
    <w:p>
      <w:pPr>
        <w:keepNext/>
        <w:spacing w:before="240" w:after="120"/>
      </w:pPr>
      <w:r>
        <w:rPr>
          <w:rFonts w:ascii="Cambria" w:hAnsi="Cambria"/>
          <w:b/>
          <w:color w:val="1F3A5F"/>
          <w:sz w:val="36"/>
        </w:rPr>
        <w:t>14. Librarian / Director of Library Services</w:t>
      </w:r>
    </w:p>
    <w:p>
      <w:pPr>
        <w:jc w:val="both"/>
      </w:pPr>
      <w:r>
        <w:rPr>
          <w:rFonts w:ascii="Cambria" w:hAnsi="Cambria"/>
          <w:b w:val="0"/>
          <w:i w:val="0"/>
          <w:sz w:val="22"/>
        </w:rPr>
        <w:t>The Librarian, often titled the Director of Library Services or University Librarian, is the senior executive responsible for leading and managing the university's entire library system. This role combines strategic leadership with operational oversight, ensuring that library resources, services, and technologies are effectively aligned with the teaching, learning, and research mission of the institution. Traditionally seen as custodians of books and printed materials, university librarians today occupy a much broader role that has evolved significantly in response to the digital transformation of higher education.</w:t>
      </w:r>
    </w:p>
    <w:p>
      <w:pPr>
        <w:jc w:val="both"/>
      </w:pPr>
      <w:r>
        <w:rPr>
          <w:rFonts w:ascii="Cambria" w:hAnsi="Cambria"/>
          <w:b w:val="0"/>
          <w:i w:val="0"/>
          <w:sz w:val="22"/>
        </w:rPr>
        <w:t>At its core, the position involves the management of knowledge resources, both physical and digital. The librarian oversees the acquisition, cataloguing, classification, and preservation of books, journals, manuscripts, and archives while simultaneously expanding access to electronic resources such as e-books, e-journals, research databases, and open-access repositories. They ensure that collections remain relevant to the academic needs of faculty and students and that resource allocation aligns with curricular and research priorities. The modern university librarian is therefore not only a custodian of knowledge but also a strategist who anticipates future information needs.</w:t>
      </w:r>
    </w:p>
    <w:p>
      <w:pPr>
        <w:jc w:val="both"/>
      </w:pPr>
      <w:r>
        <w:rPr>
          <w:rFonts w:ascii="Cambria" w:hAnsi="Cambria"/>
          <w:b w:val="0"/>
          <w:i w:val="0"/>
          <w:sz w:val="22"/>
        </w:rPr>
        <w:t>A critical responsibility of the librarian is to integrate modern information and communication technologies (ICT) into library operations. This includes implementing digital library platforms, institutional repositories, plagiarism detection tools, citation management software, and advanced search systems powered by artificial intelligence. By enabling remote access to resources, developing mobile applications, and establishing online research guides, the librarian ensures that the university community can access knowledge resources seamlessly across geographical and temporal boundaries. This shift reflects the evolving expectation that libraries function as knowledge hubs rather than static repositories.</w:t>
      </w:r>
    </w:p>
    <w:p>
      <w:pPr>
        <w:jc w:val="both"/>
      </w:pPr>
      <w:r>
        <w:rPr>
          <w:rFonts w:ascii="Cambria" w:hAnsi="Cambria"/>
          <w:b w:val="0"/>
          <w:i w:val="0"/>
          <w:sz w:val="22"/>
        </w:rPr>
        <w:t>In addition to resource management, the librarian provides academic support services to both students and faculty. These include information literacy programs, training workshops on research methodologies, and guidance on referencing, citation, and academic integrity. By offering specialized services such as data management planning, open-access publishing support, and research visibility tools, the librarian directly contributes to enhancing the institution's research output and global ranking performance. The role also extends to supporting accreditation processes by providing evidence of resource adequacy and usage, which are essential components of quality assurance frameworks such as NAAC, NBA, NIRF, QS, and THE.</w:t>
      </w:r>
    </w:p>
    <w:p>
      <w:pPr>
        <w:jc w:val="both"/>
      </w:pPr>
      <w:r>
        <w:rPr>
          <w:rFonts w:ascii="Cambria" w:hAnsi="Cambria"/>
          <w:b w:val="0"/>
          <w:i w:val="0"/>
          <w:sz w:val="22"/>
        </w:rPr>
        <w:t>The librarian also serves as an administrative and managerial leader. They oversee library staff, manage budgets, negotiate with publishers and consortia for cost-effective access to resources, and ensure that library infrastructure—such as reading spaces, research commons, and ICT-enabled study areas—remains modern, inclusive, and student-friendly. Increasingly, librarians are called upon to make strategic decisions about investments in digital infrastructure, balancing the costs of traditional collections with emerging priorities in digital scholarship.</w:t>
      </w:r>
    </w:p>
    <w:p>
      <w:pPr>
        <w:jc w:val="both"/>
      </w:pPr>
      <w:r>
        <w:rPr>
          <w:rFonts w:ascii="Cambria" w:hAnsi="Cambria"/>
          <w:b w:val="0"/>
          <w:i w:val="0"/>
          <w:sz w:val="22"/>
        </w:rPr>
        <w:t>Equally important is the librarian's role in global engagement and collaboration. By forging partnerships with other universities, knowledge consortia, and professional library associations, they facilitate resource sharing, collaborative projects, and benchmarking against global best practices. In doing so, the librarian enhances both the visibility and competitiveness of the university on the international stage.</w:t>
      </w:r>
    </w:p>
    <w:p>
      <w:pPr>
        <w:pStyle w:val="ListBullet"/>
        <w:jc w:val="both"/>
      </w:pPr>
      <w:r>
        <w:rPr>
          <w:rFonts w:ascii="Cambria" w:hAnsi="Cambria"/>
          <w:sz w:val="22"/>
        </w:rPr>
        <w:t>1. Position in the University Structure</w:t>
      </w:r>
    </w:p>
    <w:p>
      <w:pPr>
        <w:pStyle w:val="ListBullet2"/>
        <w:jc w:val="both"/>
      </w:pPr>
      <w:r>
        <w:rPr>
          <w:rFonts w:ascii="Cambria" w:hAnsi="Cambria"/>
          <w:sz w:val="22"/>
        </w:rPr>
        <w:t>The Librarian or Director of Library Services is the senior-most officer responsible for managing the university's knowledge resources.</w:t>
      </w:r>
    </w:p>
    <w:p>
      <w:pPr>
        <w:pStyle w:val="ListBullet2"/>
        <w:jc w:val="both"/>
      </w:pPr>
      <w:r>
        <w:rPr>
          <w:rFonts w:ascii="Cambria" w:hAnsi="Cambria"/>
          <w:sz w:val="22"/>
        </w:rPr>
        <w:t>Reports to the Vice-Chancellor / Pro-Vice-Chancellor (Academics) and works in close collaboration with Deans, HoDs, and the IQAC.</w:t>
      </w:r>
    </w:p>
    <w:p>
      <w:pPr>
        <w:pStyle w:val="ListBullet2"/>
        <w:jc w:val="both"/>
      </w:pPr>
      <w:r>
        <w:rPr>
          <w:rFonts w:ascii="Cambria" w:hAnsi="Cambria"/>
          <w:sz w:val="22"/>
        </w:rPr>
        <w:t>Oversees the university library system, including central and departmental libraries, digital repositories, and research databases.</w:t>
      </w:r>
    </w:p>
    <w:p>
      <w:pPr>
        <w:pStyle w:val="ListBullet"/>
        <w:jc w:val="both"/>
      </w:pPr>
      <w:r>
        <w:rPr>
          <w:rFonts w:ascii="Cambria" w:hAnsi="Cambria"/>
          <w:sz w:val="22"/>
        </w:rPr>
        <w:t>2. Core Responsibilities</w:t>
      </w:r>
    </w:p>
    <w:p>
      <w:pPr>
        <w:pStyle w:val="ListBullet2"/>
        <w:jc w:val="both"/>
      </w:pPr>
      <w:r>
        <w:rPr>
          <w:rFonts w:ascii="Cambria" w:hAnsi="Cambria"/>
          <w:sz w:val="22"/>
        </w:rPr>
        <w:t>Knowledge Resource Management</w:t>
      </w:r>
    </w:p>
    <w:p>
      <w:pPr>
        <w:pStyle w:val="ListBullet"/>
        <w:jc w:val="both"/>
      </w:pPr>
      <w:r>
        <w:rPr>
          <w:rFonts w:ascii="Cambria" w:hAnsi="Cambria"/>
          <w:sz w:val="22"/>
        </w:rPr>
        <w:t>Acquisition, cataloguing, classification, and circulation of books, journals, e-resources, and databases.</w:t>
      </w:r>
    </w:p>
    <w:p>
      <w:pPr>
        <w:pStyle w:val="ListBullet"/>
        <w:jc w:val="both"/>
      </w:pPr>
      <w:r>
        <w:rPr>
          <w:rFonts w:ascii="Cambria" w:hAnsi="Cambria"/>
          <w:sz w:val="22"/>
        </w:rPr>
        <w:t>Ensures alignment of library resources with academic, research, and accreditation requirements.</w:t>
      </w:r>
    </w:p>
    <w:p>
      <w:pPr>
        <w:pStyle w:val="ListBullet2"/>
        <w:jc w:val="both"/>
      </w:pPr>
      <w:r>
        <w:rPr>
          <w:rFonts w:ascii="Cambria" w:hAnsi="Cambria"/>
          <w:sz w:val="22"/>
        </w:rPr>
        <w:t>Digital &amp; E-Resource Management</w:t>
      </w:r>
    </w:p>
    <w:p>
      <w:pPr>
        <w:pStyle w:val="ListBullet"/>
        <w:jc w:val="both"/>
      </w:pPr>
      <w:r>
        <w:rPr>
          <w:rFonts w:ascii="Cambria" w:hAnsi="Cambria"/>
          <w:sz w:val="22"/>
        </w:rPr>
        <w:t>Implements digital libraries, institutional repositories, and open-access systems.</w:t>
      </w:r>
    </w:p>
    <w:p>
      <w:pPr>
        <w:pStyle w:val="ListBullet"/>
        <w:jc w:val="both"/>
      </w:pPr>
      <w:r>
        <w:rPr>
          <w:rFonts w:ascii="Cambria" w:hAnsi="Cambria"/>
          <w:sz w:val="22"/>
        </w:rPr>
        <w:t>Subscribes to e-journals (e.g., Scopus, Web of Science, JSTOR), and facilitates remote access for students and faculty.</w:t>
      </w:r>
    </w:p>
    <w:p>
      <w:pPr>
        <w:pStyle w:val="ListBullet2"/>
        <w:jc w:val="both"/>
      </w:pPr>
      <w:r>
        <w:rPr>
          <w:rFonts w:ascii="Cambria" w:hAnsi="Cambria"/>
          <w:sz w:val="22"/>
        </w:rPr>
        <w:t>Support for Teaching &amp; Research</w:t>
      </w:r>
    </w:p>
    <w:p>
      <w:pPr>
        <w:pStyle w:val="ListBullet"/>
        <w:jc w:val="both"/>
      </w:pPr>
      <w:r>
        <w:rPr>
          <w:rFonts w:ascii="Cambria" w:hAnsi="Cambria"/>
          <w:sz w:val="22"/>
        </w:rPr>
        <w:t>Provides access to research databases, plagiarism detection tools, and citation management systems.</w:t>
      </w:r>
    </w:p>
    <w:p>
      <w:pPr>
        <w:pStyle w:val="ListBullet"/>
        <w:jc w:val="both"/>
      </w:pPr>
      <w:r>
        <w:rPr>
          <w:rFonts w:ascii="Cambria" w:hAnsi="Cambria"/>
          <w:sz w:val="22"/>
        </w:rPr>
        <w:t>Conducts orientation programs and training on information literacy.</w:t>
      </w:r>
    </w:p>
    <w:p>
      <w:pPr>
        <w:pStyle w:val="ListBullet2"/>
        <w:jc w:val="both"/>
      </w:pPr>
      <w:r>
        <w:rPr>
          <w:rFonts w:ascii="Cambria" w:hAnsi="Cambria"/>
          <w:sz w:val="22"/>
        </w:rPr>
        <w:t>Accreditation &amp; Ranking Support</w:t>
      </w:r>
    </w:p>
    <w:p>
      <w:pPr>
        <w:pStyle w:val="ListBullet"/>
        <w:jc w:val="both"/>
      </w:pPr>
      <w:r>
        <w:rPr>
          <w:rFonts w:ascii="Cambria" w:hAnsi="Cambria"/>
          <w:sz w:val="22"/>
        </w:rPr>
        <w:t>Supplies data for NAAC, NBA, NIRF, and QS relating to learning resources.</w:t>
      </w:r>
    </w:p>
    <w:p>
      <w:pPr>
        <w:pStyle w:val="ListBullet"/>
        <w:jc w:val="both"/>
      </w:pPr>
      <w:r>
        <w:rPr>
          <w:rFonts w:ascii="Cambria" w:hAnsi="Cambria"/>
          <w:sz w:val="22"/>
        </w:rPr>
        <w:t>Documents library usage, resource adequacy, and ICT-enabled services.</w:t>
      </w:r>
    </w:p>
    <w:p>
      <w:pPr>
        <w:pStyle w:val="ListBullet2"/>
        <w:jc w:val="both"/>
      </w:pPr>
      <w:r>
        <w:rPr>
          <w:rFonts w:ascii="Cambria" w:hAnsi="Cambria"/>
          <w:sz w:val="22"/>
        </w:rPr>
        <w:t>Library Administration &amp; HR</w:t>
      </w:r>
    </w:p>
    <w:p>
      <w:pPr>
        <w:pStyle w:val="ListBullet"/>
        <w:jc w:val="both"/>
      </w:pPr>
      <w:r>
        <w:rPr>
          <w:rFonts w:ascii="Cambria" w:hAnsi="Cambria"/>
          <w:sz w:val="22"/>
        </w:rPr>
        <w:t>Manages library staff, infrastructure, and finances.</w:t>
      </w:r>
    </w:p>
    <w:p>
      <w:pPr>
        <w:pStyle w:val="ListBullet"/>
        <w:jc w:val="both"/>
      </w:pPr>
      <w:r>
        <w:rPr>
          <w:rFonts w:ascii="Cambria" w:hAnsi="Cambria"/>
          <w:sz w:val="22"/>
        </w:rPr>
        <w:t>Develops policies for acquisition, weeding, and preservation of resources.</w:t>
      </w:r>
    </w:p>
    <w:p>
      <w:pPr>
        <w:pStyle w:val="ListBullet2"/>
        <w:jc w:val="both"/>
      </w:pPr>
      <w:r>
        <w:rPr>
          <w:rFonts w:ascii="Cambria" w:hAnsi="Cambria"/>
          <w:sz w:val="22"/>
        </w:rPr>
        <w:t>Student &amp; Faculty Engagement</w:t>
      </w:r>
    </w:p>
    <w:p>
      <w:pPr>
        <w:pStyle w:val="ListBullet"/>
        <w:jc w:val="both"/>
      </w:pPr>
      <w:r>
        <w:rPr>
          <w:rFonts w:ascii="Cambria" w:hAnsi="Cambria"/>
          <w:sz w:val="22"/>
        </w:rPr>
        <w:t>Provides reference services, study spaces, digital access, and innovative services such as research commons and makerspaces.</w:t>
      </w:r>
    </w:p>
    <w:p>
      <w:pPr>
        <w:pStyle w:val="ListBullet"/>
        <w:jc w:val="both"/>
      </w:pPr>
      <w:r>
        <w:rPr>
          <w:rFonts w:ascii="Cambria" w:hAnsi="Cambria"/>
          <w:sz w:val="22"/>
        </w:rPr>
        <w:t>Organizes workshops on research skills, referencing, and academic writing.</w:t>
      </w:r>
    </w:p>
    <w:p>
      <w:pPr>
        <w:pStyle w:val="ListBullet"/>
        <w:jc w:val="both"/>
      </w:pPr>
      <w:r>
        <w:rPr>
          <w:rFonts w:ascii="Cambria" w:hAnsi="Cambria"/>
          <w:sz w:val="22"/>
        </w:rPr>
        <w:t>3. Strategic Role</w:t>
      </w:r>
    </w:p>
    <w:p>
      <w:pPr>
        <w:pStyle w:val="ListBullet2"/>
        <w:jc w:val="both"/>
      </w:pPr>
      <w:r>
        <w:rPr>
          <w:rFonts w:ascii="Cambria" w:hAnsi="Cambria"/>
          <w:sz w:val="22"/>
        </w:rPr>
        <w:t>Acts as a knowledge enabler by ensuring access to global information networks.</w:t>
      </w:r>
    </w:p>
    <w:p>
      <w:pPr>
        <w:pStyle w:val="ListBullet2"/>
        <w:jc w:val="both"/>
      </w:pPr>
      <w:r>
        <w:rPr>
          <w:rFonts w:ascii="Cambria" w:hAnsi="Cambria"/>
          <w:sz w:val="22"/>
        </w:rPr>
        <w:t>Supports e-learning, blended learning, and digital transformation of the university.</w:t>
      </w:r>
    </w:p>
    <w:p>
      <w:pPr>
        <w:pStyle w:val="ListBullet2"/>
        <w:jc w:val="both"/>
      </w:pPr>
      <w:r>
        <w:rPr>
          <w:rFonts w:ascii="Cambria" w:hAnsi="Cambria"/>
          <w:sz w:val="22"/>
        </w:rPr>
        <w:t>Collaborates with publishers, consortia, and knowledge networks for cost-effective access.</w:t>
      </w:r>
    </w:p>
    <w:p>
      <w:pPr>
        <w:pStyle w:val="ListBullet2"/>
        <w:jc w:val="both"/>
      </w:pPr>
      <w:r>
        <w:rPr>
          <w:rFonts w:ascii="Cambria" w:hAnsi="Cambria"/>
          <w:sz w:val="22"/>
        </w:rPr>
        <w:t>Strengthens the university's reputation by supporting research visibility, citations, and intellectual output management.</w:t>
      </w:r>
    </w:p>
    <w:p>
      <w:pPr>
        <w:pStyle w:val="ListBullet"/>
        <w:jc w:val="both"/>
      </w:pPr>
      <w:r>
        <w:rPr>
          <w:rFonts w:ascii="Cambria" w:hAnsi="Cambria"/>
          <w:sz w:val="22"/>
        </w:rPr>
        <w:t>4. Qualities of an Effective Librarian/Director of Library Services</w:t>
      </w:r>
    </w:p>
    <w:p>
      <w:pPr>
        <w:pStyle w:val="ListBullet2"/>
        <w:jc w:val="both"/>
      </w:pPr>
      <w:r>
        <w:rPr>
          <w:rFonts w:ascii="Cambria" w:hAnsi="Cambria"/>
          <w:sz w:val="22"/>
        </w:rPr>
        <w:t>Expertise in library science, digital resource management, and ICT-enabled systems.</w:t>
      </w:r>
    </w:p>
    <w:p>
      <w:pPr>
        <w:pStyle w:val="ListBullet2"/>
        <w:jc w:val="both"/>
      </w:pPr>
      <w:r>
        <w:rPr>
          <w:rFonts w:ascii="Cambria" w:hAnsi="Cambria"/>
          <w:sz w:val="22"/>
        </w:rPr>
        <w:t>Ability to adapt to emerging trends like AI-based information retrieval, metadata management, and open education resources.</w:t>
      </w:r>
    </w:p>
    <w:p>
      <w:pPr>
        <w:pStyle w:val="ListBullet2"/>
        <w:jc w:val="both"/>
      </w:pPr>
      <w:r>
        <w:rPr>
          <w:rFonts w:ascii="Cambria" w:hAnsi="Cambria"/>
          <w:sz w:val="22"/>
        </w:rPr>
        <w:t>Strong service orientation, organizational skills, and commitment to academic excellence.</w:t>
      </w:r>
    </w:p>
    <w:p>
      <w:pPr>
        <w:pStyle w:val="ListBullet2"/>
        <w:jc w:val="both"/>
      </w:pPr>
      <w:r>
        <w:rPr>
          <w:rFonts w:ascii="Cambria" w:hAnsi="Cambria"/>
          <w:sz w:val="22"/>
        </w:rPr>
        <w:t>Visionary leadership to transform libraries into learning commons and innovation hubs.</w:t>
      </w:r>
    </w:p>
    <w:p>
      <w:pPr>
        <w:keepNext/>
        <w:spacing w:before="160" w:after="120"/>
      </w:pPr>
      <w:r>
        <w:rPr>
          <w:rFonts w:ascii="Cambria" w:hAnsi="Cambria"/>
          <w:b/>
          <w:color w:val="1F3A5F"/>
          <w:sz w:val="30"/>
        </w:rPr>
        <w:t>Librarian / Director of Library Services</w:t>
      </w:r>
    </w:p>
    <w:tbl>
      <w:tblPr>
        <w:tblW w:type="auto" w:w="0"/>
        <w:tblLayout w:type="fixed"/>
        <w:tblLook w:firstColumn="1" w:firstRow="1" w:lastColumn="0" w:lastRow="0" w:noHBand="0" w:noVBand="1" w:val="04A0"/>
        <w:tblLayout w:type="fixed"/>
      </w:tblPr>
      <w:tblGrid>
        <w:gridCol w:w="2835"/>
        <w:gridCol w:w="3345"/>
        <w:gridCol w:w="2948"/>
      </w:tblGrid>
      <w:tr>
        <w:tc>
          <w:tcPr>
            <w:tcW w:type="dxa" w:w="2835"/>
            <w:shd w:val="clear" w:color="auto" w:fill="1F3A5F"/>
            <w:tcW w:w="2835" w:type="dxa"/>
          </w:tcPr>
          <w:p>
            <w:pPr>
              <w:jc w:val="center"/>
            </w:pPr>
            <w:r/>
            <w:r>
              <w:rPr>
                <w:rFonts w:ascii="Cambria" w:hAnsi="Cambria"/>
                <w:b/>
                <w:color w:val="FFFFFF"/>
                <w:sz w:val="22"/>
              </w:rPr>
              <w:t>Key Actions</w:t>
            </w:r>
          </w:p>
        </w:tc>
        <w:tc>
          <w:tcPr>
            <w:tcW w:type="dxa" w:w="3345"/>
            <w:shd w:val="clear" w:color="auto" w:fill="1F3A5F"/>
            <w:tcW w:w="3345" w:type="dxa"/>
          </w:tcPr>
          <w:p>
            <w:pPr>
              <w:jc w:val="center"/>
            </w:pPr>
            <w:r/>
            <w:r>
              <w:rPr>
                <w:rFonts w:ascii="Cambria" w:hAnsi="Cambria"/>
                <w:b/>
                <w:color w:val="FFFFFF"/>
                <w:sz w:val="22"/>
              </w:rPr>
              <w:t>Institutional Impact</w:t>
            </w:r>
          </w:p>
        </w:tc>
        <w:tc>
          <w:tcPr>
            <w:tcW w:type="dxa" w:w="2948"/>
            <w:shd w:val="clear" w:color="auto" w:fill="1F3A5F"/>
            <w:tcW w:w="2948" w:type="dxa"/>
          </w:tcPr>
          <w:p>
            <w:pPr>
              <w:jc w:val="center"/>
            </w:pPr>
            <w:r/>
            <w:r>
              <w:rPr>
                <w:rFonts w:ascii="Cambria" w:hAnsi="Cambria"/>
                <w:b/>
                <w:color w:val="FFFFFF"/>
                <w:sz w:val="22"/>
              </w:rPr>
              <w:t>Evidence / Documentation</w:t>
            </w:r>
          </w:p>
        </w:tc>
      </w:tr>
      <w:tr>
        <w:tc>
          <w:tcPr>
            <w:tcW w:type="dxa" w:w="2835"/>
            <w:tcW w:w="2835" w:type="dxa"/>
          </w:tcPr>
          <w:p>
            <w:pPr>
              <w:jc w:val="left"/>
            </w:pPr>
            <w:r/>
            <w:r>
              <w:rPr>
                <w:rFonts w:ascii="Cambria" w:hAnsi="Cambria"/>
                <w:b w:val="0"/>
                <w:sz w:val="19"/>
              </w:rPr>
              <w:t>Acquires, catalogs, and manages books, journals, and digital resources</w:t>
            </w:r>
          </w:p>
        </w:tc>
        <w:tc>
          <w:tcPr>
            <w:tcW w:type="dxa" w:w="3345"/>
            <w:tcW w:w="3345" w:type="dxa"/>
          </w:tcPr>
          <w:p>
            <w:pPr>
              <w:jc w:val="center"/>
            </w:pPr>
            <w:r/>
            <w:r>
              <w:rPr>
                <w:rFonts w:ascii="Cambria" w:hAnsi="Cambria"/>
                <w:b w:val="0"/>
                <w:sz w:val="19"/>
              </w:rPr>
              <w:t>Ensures adequate and updated learning resources; supports curriculum delivery and research.</w:t>
            </w:r>
          </w:p>
        </w:tc>
        <w:tc>
          <w:tcPr>
            <w:tcW w:type="dxa" w:w="2948"/>
            <w:tcW w:w="2948" w:type="dxa"/>
          </w:tcPr>
          <w:p>
            <w:pPr>
              <w:jc w:val="center"/>
            </w:pPr>
            <w:r/>
            <w:r>
              <w:rPr>
                <w:rFonts w:ascii="Cambria" w:hAnsi="Cambria"/>
                <w:b w:val="0"/>
                <w:sz w:val="19"/>
              </w:rPr>
              <w:t>Library acquisition registers, catalogues, subscription invoices, stock verification reports.</w:t>
            </w:r>
          </w:p>
        </w:tc>
      </w:tr>
      <w:tr>
        <w:tc>
          <w:tcPr>
            <w:tcW w:type="dxa" w:w="2835"/>
            <w:tcW w:w="2835" w:type="dxa"/>
            <w:shd w:val="clear" w:color="auto" w:fill="D9E2EC"/>
          </w:tcPr>
          <w:p>
            <w:pPr>
              <w:jc w:val="left"/>
            </w:pPr>
            <w:r/>
            <w:r>
              <w:rPr>
                <w:rFonts w:ascii="Cambria" w:hAnsi="Cambria"/>
                <w:b w:val="0"/>
                <w:sz w:val="19"/>
              </w:rPr>
              <w:t>Implements digital library systems and e-resource access</w:t>
            </w:r>
          </w:p>
        </w:tc>
        <w:tc>
          <w:tcPr>
            <w:tcW w:type="dxa" w:w="3345"/>
            <w:tcW w:w="3345" w:type="dxa"/>
            <w:shd w:val="clear" w:color="auto" w:fill="D9E2EC"/>
          </w:tcPr>
          <w:p>
            <w:pPr>
              <w:jc w:val="center"/>
            </w:pPr>
            <w:r/>
            <w:r>
              <w:rPr>
                <w:rFonts w:ascii="Cambria" w:hAnsi="Cambria"/>
                <w:b w:val="0"/>
                <w:sz w:val="19"/>
              </w:rPr>
              <w:t>Enhances accessibility to global knowledge; supports online/blended learning.</w:t>
            </w:r>
          </w:p>
        </w:tc>
        <w:tc>
          <w:tcPr>
            <w:tcW w:type="dxa" w:w="2948"/>
            <w:tcW w:w="2948" w:type="dxa"/>
            <w:shd w:val="clear" w:color="auto" w:fill="D9E2EC"/>
          </w:tcPr>
          <w:p>
            <w:pPr>
              <w:jc w:val="center"/>
            </w:pPr>
            <w:r/>
            <w:r>
              <w:rPr>
                <w:rFonts w:ascii="Cambria" w:hAnsi="Cambria"/>
                <w:b w:val="0"/>
                <w:sz w:val="19"/>
              </w:rPr>
              <w:t>Institutional repository records, e-database subscription logs, usage statistics, ICT audit reports.</w:t>
            </w:r>
          </w:p>
        </w:tc>
      </w:tr>
      <w:tr>
        <w:tc>
          <w:tcPr>
            <w:tcW w:type="dxa" w:w="2835"/>
            <w:tcW w:w="2835" w:type="dxa"/>
          </w:tcPr>
          <w:p>
            <w:pPr>
              <w:jc w:val="left"/>
            </w:pPr>
            <w:r/>
            <w:r>
              <w:rPr>
                <w:rFonts w:ascii="Cambria" w:hAnsi="Cambria"/>
                <w:b w:val="0"/>
                <w:sz w:val="19"/>
              </w:rPr>
              <w:t>Provides research support (databases, plagiarism checks, citation tools)</w:t>
            </w:r>
          </w:p>
        </w:tc>
        <w:tc>
          <w:tcPr>
            <w:tcW w:type="dxa" w:w="3345"/>
            <w:tcW w:w="3345" w:type="dxa"/>
          </w:tcPr>
          <w:p>
            <w:pPr>
              <w:jc w:val="center"/>
            </w:pPr>
            <w:r/>
            <w:r>
              <w:rPr>
                <w:rFonts w:ascii="Cambria" w:hAnsi="Cambria"/>
                <w:b w:val="0"/>
                <w:sz w:val="19"/>
              </w:rPr>
              <w:t>Improves research quality, originality, and citation impact.</w:t>
            </w:r>
          </w:p>
        </w:tc>
        <w:tc>
          <w:tcPr>
            <w:tcW w:type="dxa" w:w="2948"/>
            <w:tcW w:w="2948" w:type="dxa"/>
          </w:tcPr>
          <w:p>
            <w:pPr>
              <w:jc w:val="center"/>
            </w:pPr>
            <w:r/>
            <w:r>
              <w:rPr>
                <w:rFonts w:ascii="Cambria" w:hAnsi="Cambria"/>
                <w:b w:val="0"/>
                <w:sz w:val="19"/>
              </w:rPr>
              <w:t>Plagiarism check reports, research guides, citation software usage logs.</w:t>
            </w:r>
          </w:p>
        </w:tc>
      </w:tr>
      <w:tr>
        <w:tc>
          <w:tcPr>
            <w:tcW w:type="dxa" w:w="2835"/>
            <w:tcW w:w="2835" w:type="dxa"/>
            <w:shd w:val="clear" w:color="auto" w:fill="D9E2EC"/>
          </w:tcPr>
          <w:p>
            <w:pPr>
              <w:jc w:val="left"/>
            </w:pPr>
            <w:r/>
            <w:r>
              <w:rPr>
                <w:rFonts w:ascii="Cambria" w:hAnsi="Cambria"/>
                <w:b w:val="0"/>
                <w:sz w:val="19"/>
              </w:rPr>
              <w:t>Conducts information literacy and research skill training</w:t>
            </w:r>
          </w:p>
        </w:tc>
        <w:tc>
          <w:tcPr>
            <w:tcW w:type="dxa" w:w="3345"/>
            <w:tcW w:w="3345" w:type="dxa"/>
            <w:shd w:val="clear" w:color="auto" w:fill="D9E2EC"/>
          </w:tcPr>
          <w:p>
            <w:pPr>
              <w:jc w:val="center"/>
            </w:pPr>
            <w:r/>
            <w:r>
              <w:rPr>
                <w:rFonts w:ascii="Cambria" w:hAnsi="Cambria"/>
                <w:b w:val="0"/>
                <w:sz w:val="19"/>
              </w:rPr>
              <w:t>Empowers students and faculty with independent research and academic writing skills.</w:t>
            </w:r>
          </w:p>
        </w:tc>
        <w:tc>
          <w:tcPr>
            <w:tcW w:type="dxa" w:w="2948"/>
            <w:tcW w:w="2948" w:type="dxa"/>
            <w:shd w:val="clear" w:color="auto" w:fill="D9E2EC"/>
          </w:tcPr>
          <w:p>
            <w:pPr>
              <w:jc w:val="center"/>
            </w:pPr>
            <w:r/>
            <w:r>
              <w:rPr>
                <w:rFonts w:ascii="Cambria" w:hAnsi="Cambria"/>
                <w:b w:val="0"/>
                <w:sz w:val="19"/>
              </w:rPr>
              <w:t>Workshop schedules, training attendance sheets, feedback reports.</w:t>
            </w:r>
          </w:p>
        </w:tc>
      </w:tr>
      <w:tr>
        <w:tc>
          <w:tcPr>
            <w:tcW w:type="dxa" w:w="2835"/>
            <w:tcW w:w="2835" w:type="dxa"/>
          </w:tcPr>
          <w:p>
            <w:pPr>
              <w:jc w:val="left"/>
            </w:pPr>
            <w:r/>
            <w:r>
              <w:rPr>
                <w:rFonts w:ascii="Cambria" w:hAnsi="Cambria"/>
                <w:b w:val="0"/>
                <w:sz w:val="19"/>
              </w:rPr>
              <w:t>Maintains library infrastructure and reading spaces</w:t>
            </w:r>
          </w:p>
        </w:tc>
        <w:tc>
          <w:tcPr>
            <w:tcW w:type="dxa" w:w="3345"/>
            <w:tcW w:w="3345" w:type="dxa"/>
          </w:tcPr>
          <w:p>
            <w:pPr>
              <w:jc w:val="center"/>
            </w:pPr>
            <w:r/>
            <w:r>
              <w:rPr>
                <w:rFonts w:ascii="Cambria" w:hAnsi="Cambria"/>
                <w:b w:val="0"/>
                <w:sz w:val="19"/>
              </w:rPr>
              <w:t>Provides conducive learning environment; supports inclusive access for all learners.</w:t>
            </w:r>
          </w:p>
        </w:tc>
        <w:tc>
          <w:tcPr>
            <w:tcW w:type="dxa" w:w="2948"/>
            <w:tcW w:w="2948" w:type="dxa"/>
          </w:tcPr>
          <w:p>
            <w:pPr>
              <w:jc w:val="center"/>
            </w:pPr>
            <w:r/>
            <w:r>
              <w:rPr>
                <w:rFonts w:ascii="Cambria" w:hAnsi="Cambria"/>
                <w:b w:val="0"/>
                <w:sz w:val="19"/>
              </w:rPr>
              <w:t>Library infrastructure audit, user satisfaction surveys, accessibility compliance reports.</w:t>
            </w:r>
          </w:p>
        </w:tc>
      </w:tr>
      <w:tr>
        <w:tc>
          <w:tcPr>
            <w:tcW w:type="dxa" w:w="2835"/>
            <w:tcW w:w="2835" w:type="dxa"/>
            <w:shd w:val="clear" w:color="auto" w:fill="D9E2EC"/>
          </w:tcPr>
          <w:p>
            <w:pPr>
              <w:jc w:val="left"/>
            </w:pPr>
            <w:r/>
            <w:r>
              <w:rPr>
                <w:rFonts w:ascii="Cambria" w:hAnsi="Cambria"/>
                <w:b w:val="0"/>
                <w:sz w:val="19"/>
              </w:rPr>
              <w:t>Supports accreditation and ranking requirements (NAAC, NBA, NIRF, QS)</w:t>
            </w:r>
          </w:p>
        </w:tc>
        <w:tc>
          <w:tcPr>
            <w:tcW w:type="dxa" w:w="3345"/>
            <w:tcW w:w="3345" w:type="dxa"/>
            <w:shd w:val="clear" w:color="auto" w:fill="D9E2EC"/>
          </w:tcPr>
          <w:p>
            <w:pPr>
              <w:jc w:val="center"/>
            </w:pPr>
            <w:r/>
            <w:r>
              <w:rPr>
                <w:rFonts w:ascii="Cambria" w:hAnsi="Cambria"/>
                <w:b w:val="0"/>
                <w:sz w:val="19"/>
              </w:rPr>
              <w:t>Strengthens institutional score in learning resources and ICT-enabled services.</w:t>
            </w:r>
          </w:p>
        </w:tc>
        <w:tc>
          <w:tcPr>
            <w:tcW w:type="dxa" w:w="2948"/>
            <w:tcW w:w="2948" w:type="dxa"/>
            <w:shd w:val="clear" w:color="auto" w:fill="D9E2EC"/>
          </w:tcPr>
          <w:p>
            <w:pPr>
              <w:jc w:val="center"/>
            </w:pPr>
            <w:r/>
            <w:r>
              <w:rPr>
                <w:rFonts w:ascii="Cambria" w:hAnsi="Cambria"/>
                <w:b w:val="0"/>
                <w:sz w:val="19"/>
              </w:rPr>
              <w:t>NAAC/NBA SSR data sheets, NIRF submissions, IQAC reports.</w:t>
            </w:r>
          </w:p>
        </w:tc>
      </w:tr>
      <w:tr>
        <w:tc>
          <w:tcPr>
            <w:tcW w:type="dxa" w:w="2835"/>
            <w:tcW w:w="2835" w:type="dxa"/>
          </w:tcPr>
          <w:p>
            <w:pPr>
              <w:jc w:val="left"/>
            </w:pPr>
            <w:r/>
            <w:r>
              <w:rPr>
                <w:rFonts w:ascii="Cambria" w:hAnsi="Cambria"/>
                <w:b w:val="0"/>
                <w:sz w:val="19"/>
              </w:rPr>
              <w:t>Preserves and digitizes institutional intellectual output</w:t>
            </w:r>
          </w:p>
        </w:tc>
        <w:tc>
          <w:tcPr>
            <w:tcW w:type="dxa" w:w="3345"/>
            <w:tcW w:w="3345" w:type="dxa"/>
          </w:tcPr>
          <w:p>
            <w:pPr>
              <w:jc w:val="center"/>
            </w:pPr>
            <w:r/>
            <w:r>
              <w:rPr>
                <w:rFonts w:ascii="Cambria" w:hAnsi="Cambria"/>
                <w:b w:val="0"/>
                <w:sz w:val="19"/>
              </w:rPr>
              <w:t>Enhances global visibility of university's research and academic contributions.</w:t>
            </w:r>
          </w:p>
        </w:tc>
        <w:tc>
          <w:tcPr>
            <w:tcW w:type="dxa" w:w="2948"/>
            <w:tcW w:w="2948" w:type="dxa"/>
          </w:tcPr>
          <w:p>
            <w:pPr>
              <w:jc w:val="center"/>
            </w:pPr>
            <w:r/>
            <w:r>
              <w:rPr>
                <w:rFonts w:ascii="Cambria" w:hAnsi="Cambria"/>
                <w:b w:val="0"/>
                <w:sz w:val="19"/>
              </w:rPr>
              <w:t>Institutional repository records, open access archives, metadata logs.</w:t>
            </w:r>
          </w:p>
        </w:tc>
      </w:tr>
      <w:tr>
        <w:tc>
          <w:tcPr>
            <w:tcW w:type="dxa" w:w="2835"/>
            <w:tcW w:w="2835" w:type="dxa"/>
            <w:shd w:val="clear" w:color="auto" w:fill="D9E2EC"/>
          </w:tcPr>
          <w:p>
            <w:pPr>
              <w:jc w:val="left"/>
            </w:pPr>
            <w:r/>
            <w:r>
              <w:rPr>
                <w:rFonts w:ascii="Cambria" w:hAnsi="Cambria"/>
                <w:b w:val="0"/>
                <w:sz w:val="19"/>
              </w:rPr>
              <w:t>Engages with students and faculty through workshops, exhibitions, and services</w:t>
            </w:r>
          </w:p>
        </w:tc>
        <w:tc>
          <w:tcPr>
            <w:tcW w:type="dxa" w:w="3345"/>
            <w:tcW w:w="3345" w:type="dxa"/>
            <w:shd w:val="clear" w:color="auto" w:fill="D9E2EC"/>
          </w:tcPr>
          <w:p>
            <w:pPr>
              <w:jc w:val="center"/>
            </w:pPr>
            <w:r/>
            <w:r>
              <w:rPr>
                <w:rFonts w:ascii="Cambria" w:hAnsi="Cambria"/>
                <w:b w:val="0"/>
                <w:sz w:val="19"/>
              </w:rPr>
              <w:t>Builds academic culture of inquiry and continuous learning.</w:t>
            </w:r>
          </w:p>
        </w:tc>
        <w:tc>
          <w:tcPr>
            <w:tcW w:type="dxa" w:w="2948"/>
            <w:tcW w:w="2948" w:type="dxa"/>
            <w:shd w:val="clear" w:color="auto" w:fill="D9E2EC"/>
          </w:tcPr>
          <w:p>
            <w:pPr>
              <w:jc w:val="center"/>
            </w:pPr>
            <w:r/>
            <w:r>
              <w:rPr>
                <w:rFonts w:ascii="Cambria" w:hAnsi="Cambria"/>
                <w:b w:val="0"/>
                <w:sz w:val="19"/>
              </w:rPr>
              <w:t>Event reports, participation records, newsletters, feedback forms.</w:t>
            </w:r>
          </w:p>
        </w:tc>
      </w:tr>
      <w:tr>
        <w:tc>
          <w:tcPr>
            <w:tcW w:type="dxa" w:w="2835"/>
            <w:tcW w:w="2835" w:type="dxa"/>
          </w:tcPr>
          <w:p>
            <w:pPr>
              <w:jc w:val="left"/>
            </w:pPr>
            <w:r/>
            <w:r>
              <w:rPr>
                <w:rFonts w:ascii="Cambria" w:hAnsi="Cambria"/>
                <w:b w:val="0"/>
                <w:sz w:val="19"/>
              </w:rPr>
              <w:t>Collaborates with consortia and publishers for resource sharing</w:t>
            </w:r>
          </w:p>
        </w:tc>
        <w:tc>
          <w:tcPr>
            <w:tcW w:type="dxa" w:w="3345"/>
            <w:tcW w:w="3345" w:type="dxa"/>
          </w:tcPr>
          <w:p>
            <w:pPr>
              <w:jc w:val="center"/>
            </w:pPr>
            <w:r/>
            <w:r>
              <w:rPr>
                <w:rFonts w:ascii="Cambria" w:hAnsi="Cambria"/>
                <w:b w:val="0"/>
                <w:sz w:val="19"/>
              </w:rPr>
              <w:t>Cost-effective access to premium research databases and journals.</w:t>
            </w:r>
          </w:p>
        </w:tc>
        <w:tc>
          <w:tcPr>
            <w:tcW w:type="dxa" w:w="2948"/>
            <w:tcW w:w="2948" w:type="dxa"/>
          </w:tcPr>
          <w:p>
            <w:pPr>
              <w:jc w:val="center"/>
            </w:pPr>
            <w:r/>
            <w:r>
              <w:rPr>
                <w:rFonts w:ascii="Cambria" w:hAnsi="Cambria"/>
                <w:b w:val="0"/>
                <w:sz w:val="19"/>
              </w:rPr>
              <w:t>MoUs with consortia, license agreements, consortium usage statistics.</w:t>
            </w:r>
          </w:p>
        </w:tc>
      </w:tr>
    </w:tbl>
    <w:p>
      <w:pPr>
        <w:keepNext/>
        <w:spacing w:before="160" w:after="120"/>
      </w:pPr>
      <w:r>
        <w:rPr>
          <w:rFonts w:ascii="Cambria" w:hAnsi="Cambria"/>
          <w:b/>
          <w:color w:val="1F3A5F"/>
          <w:sz w:val="30"/>
        </w:rPr>
        <w:t>3-Year Librarian Progress Tracker</w:t>
      </w:r>
    </w:p>
    <w:tbl>
      <w:tblPr>
        <w:tblW w:type="auto" w:w="0"/>
        <w:tblLayout w:type="fixed"/>
        <w:tblLook w:firstColumn="1" w:firstRow="1" w:lastColumn="0" w:lastRow="0" w:noHBand="0" w:noVBand="1" w:val="04A0"/>
        <w:tblLayout w:type="fixed"/>
      </w:tblPr>
      <w:tblGrid>
        <w:gridCol w:w="1927"/>
        <w:gridCol w:w="2438"/>
        <w:gridCol w:w="2438"/>
        <w:gridCol w:w="2324"/>
      </w:tblGrid>
      <w:tr>
        <w:tc>
          <w:tcPr>
            <w:tcW w:type="dxa" w:w="1928"/>
            <w:shd w:val="clear" w:color="auto" w:fill="1F3A5F"/>
            <w:tcW w:w="1927" w:type="dxa"/>
          </w:tcPr>
          <w:p>
            <w:pPr>
              <w:jc w:val="center"/>
            </w:pPr>
            <w:r/>
            <w:r>
              <w:rPr>
                <w:rFonts w:ascii="Cambria" w:hAnsi="Cambria"/>
                <w:b/>
                <w:color w:val="FFFFFF"/>
                <w:sz w:val="20"/>
              </w:rPr>
              <w:t>Focus Area</w:t>
            </w:r>
          </w:p>
        </w:tc>
        <w:tc>
          <w:tcPr>
            <w:tcW w:type="dxa" w:w="2438"/>
            <w:shd w:val="clear" w:color="auto" w:fill="1F3A5F"/>
            <w:tcW w:w="2438" w:type="dxa"/>
          </w:tcPr>
          <w:p>
            <w:pPr>
              <w:jc w:val="center"/>
            </w:pPr>
            <w:r/>
            <w:r>
              <w:rPr>
                <w:rFonts w:ascii="Cambria" w:hAnsi="Cambria"/>
                <w:b/>
                <w:color w:val="FFFFFF"/>
                <w:sz w:val="20"/>
              </w:rPr>
              <w:t>Year 1 – Foundation</w:t>
            </w:r>
          </w:p>
        </w:tc>
        <w:tc>
          <w:tcPr>
            <w:tcW w:type="dxa" w:w="2438"/>
            <w:shd w:val="clear" w:color="auto" w:fill="1F3A5F"/>
            <w:tcW w:w="2438" w:type="dxa"/>
          </w:tcPr>
          <w:p>
            <w:pPr>
              <w:jc w:val="center"/>
            </w:pPr>
            <w:r/>
            <w:r>
              <w:rPr>
                <w:rFonts w:ascii="Cambria" w:hAnsi="Cambria"/>
                <w:b/>
                <w:color w:val="FFFFFF"/>
                <w:sz w:val="20"/>
              </w:rPr>
              <w:t>Year 2 – Growth &amp; Digitalization</w:t>
            </w:r>
          </w:p>
        </w:tc>
        <w:tc>
          <w:tcPr>
            <w:tcW w:type="dxa" w:w="2324"/>
            <w:shd w:val="clear" w:color="auto" w:fill="1F3A5F"/>
            <w:tcW w:w="2324" w:type="dxa"/>
          </w:tcPr>
          <w:p>
            <w:pPr>
              <w:jc w:val="center"/>
            </w:pPr>
            <w:r/>
            <w:r>
              <w:rPr>
                <w:rFonts w:ascii="Cambria" w:hAnsi="Cambria"/>
                <w:b/>
                <w:color w:val="FFFFFF"/>
                <w:sz w:val="20"/>
              </w:rPr>
              <w:t>Year 3 – Maturity &amp; Global Impact</w:t>
            </w:r>
          </w:p>
        </w:tc>
      </w:tr>
      <w:tr>
        <w:tc>
          <w:tcPr>
            <w:tcW w:type="dxa" w:w="1928"/>
            <w:tcW w:w="1927" w:type="dxa"/>
          </w:tcPr>
          <w:p>
            <w:pPr>
              <w:jc w:val="left"/>
            </w:pPr>
            <w:r/>
            <w:r>
              <w:rPr>
                <w:rFonts w:ascii="Cambria" w:hAnsi="Cambria"/>
                <w:b w:val="0"/>
                <w:sz w:val="18"/>
              </w:rPr>
              <w:t>Knowledge Resource Acquisition</w:t>
            </w:r>
          </w:p>
        </w:tc>
        <w:tc>
          <w:tcPr>
            <w:tcW w:type="dxa" w:w="2438"/>
            <w:tcW w:w="2438" w:type="dxa"/>
          </w:tcPr>
          <w:p>
            <w:pPr>
              <w:jc w:val="center"/>
            </w:pPr>
            <w:r/>
            <w:r>
              <w:rPr>
                <w:rFonts w:ascii="Cambria" w:hAnsi="Cambria"/>
                <w:b w:val="0"/>
                <w:sz w:val="18"/>
              </w:rPr>
              <w:t>Systematic acquisition of books, journals, and print materials aligned with curriculum.</w:t>
            </w:r>
          </w:p>
        </w:tc>
        <w:tc>
          <w:tcPr>
            <w:tcW w:type="dxa" w:w="2438"/>
            <w:tcW w:w="2438" w:type="dxa"/>
          </w:tcPr>
          <w:p>
            <w:pPr>
              <w:jc w:val="center"/>
            </w:pPr>
            <w:r/>
            <w:r>
              <w:rPr>
                <w:rFonts w:ascii="Cambria" w:hAnsi="Cambria"/>
                <w:b w:val="0"/>
                <w:sz w:val="18"/>
              </w:rPr>
              <w:t>Balanced collection of print + digital resources; subscriptions to major e-databases.</w:t>
            </w:r>
          </w:p>
        </w:tc>
        <w:tc>
          <w:tcPr>
            <w:tcW w:type="dxa" w:w="2324"/>
            <w:tcW w:w="2324" w:type="dxa"/>
          </w:tcPr>
          <w:p>
            <w:pPr>
              <w:jc w:val="center"/>
            </w:pPr>
            <w:r/>
            <w:r>
              <w:rPr>
                <w:rFonts w:ascii="Cambria" w:hAnsi="Cambria"/>
                <w:b w:val="0"/>
                <w:sz w:val="18"/>
              </w:rPr>
              <w:t>Collection diversified with international databases; open-access and consortia memberships established.</w:t>
            </w:r>
          </w:p>
        </w:tc>
      </w:tr>
      <w:tr>
        <w:tc>
          <w:tcPr>
            <w:tcW w:type="dxa" w:w="1928"/>
            <w:tcW w:w="1927" w:type="dxa"/>
            <w:shd w:val="clear" w:color="auto" w:fill="D9E2EC"/>
          </w:tcPr>
          <w:p>
            <w:pPr>
              <w:jc w:val="left"/>
            </w:pPr>
            <w:r/>
            <w:r>
              <w:rPr>
                <w:rFonts w:ascii="Cambria" w:hAnsi="Cambria"/>
                <w:b w:val="0"/>
                <w:sz w:val="18"/>
              </w:rPr>
              <w:t>Digital Library &amp; E-Resources</w:t>
            </w:r>
          </w:p>
        </w:tc>
        <w:tc>
          <w:tcPr>
            <w:tcW w:type="dxa" w:w="2438"/>
            <w:tcW w:w="2438" w:type="dxa"/>
            <w:shd w:val="clear" w:color="auto" w:fill="D9E2EC"/>
          </w:tcPr>
          <w:p>
            <w:pPr>
              <w:jc w:val="center"/>
            </w:pPr>
            <w:r/>
            <w:r>
              <w:rPr>
                <w:rFonts w:ascii="Cambria" w:hAnsi="Cambria"/>
                <w:b w:val="0"/>
                <w:sz w:val="18"/>
              </w:rPr>
              <w:t>Basic digital catalogue and OPAC introduced.</w:t>
            </w:r>
          </w:p>
        </w:tc>
        <w:tc>
          <w:tcPr>
            <w:tcW w:type="dxa" w:w="2438"/>
            <w:tcW w:w="2438" w:type="dxa"/>
            <w:shd w:val="clear" w:color="auto" w:fill="D9E2EC"/>
          </w:tcPr>
          <w:p>
            <w:pPr>
              <w:jc w:val="center"/>
            </w:pPr>
            <w:r/>
            <w:r>
              <w:rPr>
                <w:rFonts w:ascii="Cambria" w:hAnsi="Cambria"/>
                <w:b w:val="0"/>
                <w:sz w:val="18"/>
              </w:rPr>
              <w:t>Institutional repository developed; remote e-resource access for students/faculty.</w:t>
            </w:r>
          </w:p>
        </w:tc>
        <w:tc>
          <w:tcPr>
            <w:tcW w:type="dxa" w:w="2324"/>
            <w:tcW w:w="2324" w:type="dxa"/>
            <w:shd w:val="clear" w:color="auto" w:fill="D9E2EC"/>
          </w:tcPr>
          <w:p>
            <w:pPr>
              <w:jc w:val="center"/>
            </w:pPr>
            <w:r/>
            <w:r>
              <w:rPr>
                <w:rFonts w:ascii="Cambria" w:hAnsi="Cambria"/>
                <w:b w:val="0"/>
                <w:sz w:val="18"/>
              </w:rPr>
              <w:t>Fully integrated digital library with AI-driven search, mobile apps, and seamless access.</w:t>
            </w:r>
          </w:p>
        </w:tc>
      </w:tr>
      <w:tr>
        <w:tc>
          <w:tcPr>
            <w:tcW w:type="dxa" w:w="1928"/>
            <w:tcW w:w="1927" w:type="dxa"/>
          </w:tcPr>
          <w:p>
            <w:pPr>
              <w:jc w:val="left"/>
            </w:pPr>
            <w:r/>
            <w:r>
              <w:rPr>
                <w:rFonts w:ascii="Cambria" w:hAnsi="Cambria"/>
                <w:b w:val="0"/>
                <w:sz w:val="18"/>
              </w:rPr>
              <w:t>Research Support Services</w:t>
            </w:r>
          </w:p>
        </w:tc>
        <w:tc>
          <w:tcPr>
            <w:tcW w:type="dxa" w:w="2438"/>
            <w:tcW w:w="2438" w:type="dxa"/>
          </w:tcPr>
          <w:p>
            <w:pPr>
              <w:jc w:val="center"/>
            </w:pPr>
            <w:r/>
            <w:r>
              <w:rPr>
                <w:rFonts w:ascii="Cambria" w:hAnsi="Cambria"/>
                <w:b w:val="0"/>
                <w:sz w:val="18"/>
              </w:rPr>
              <w:t>Orientation on plagiarism policies and reference management.</w:t>
            </w:r>
          </w:p>
        </w:tc>
        <w:tc>
          <w:tcPr>
            <w:tcW w:type="dxa" w:w="2438"/>
            <w:tcW w:w="2438" w:type="dxa"/>
          </w:tcPr>
          <w:p>
            <w:pPr>
              <w:jc w:val="center"/>
            </w:pPr>
            <w:r/>
            <w:r>
              <w:rPr>
                <w:rFonts w:ascii="Cambria" w:hAnsi="Cambria"/>
                <w:b w:val="0"/>
                <w:sz w:val="18"/>
              </w:rPr>
              <w:t>Plagiarism detection and citation tools institutionalized.</w:t>
            </w:r>
          </w:p>
        </w:tc>
        <w:tc>
          <w:tcPr>
            <w:tcW w:type="dxa" w:w="2324"/>
            <w:tcW w:w="2324" w:type="dxa"/>
          </w:tcPr>
          <w:p>
            <w:pPr>
              <w:jc w:val="center"/>
            </w:pPr>
            <w:r/>
            <w:r>
              <w:rPr>
                <w:rFonts w:ascii="Cambria" w:hAnsi="Cambria"/>
                <w:b w:val="0"/>
                <w:sz w:val="18"/>
              </w:rPr>
              <w:t>Research commons established; faculty/student research visibility enhanced globally.</w:t>
            </w:r>
          </w:p>
        </w:tc>
      </w:tr>
      <w:tr>
        <w:tc>
          <w:tcPr>
            <w:tcW w:type="dxa" w:w="1928"/>
            <w:tcW w:w="1927" w:type="dxa"/>
            <w:shd w:val="clear" w:color="auto" w:fill="D9E2EC"/>
          </w:tcPr>
          <w:p>
            <w:pPr>
              <w:jc w:val="left"/>
            </w:pPr>
            <w:r/>
            <w:r>
              <w:rPr>
                <w:rFonts w:ascii="Cambria" w:hAnsi="Cambria"/>
                <w:b w:val="0"/>
                <w:sz w:val="18"/>
              </w:rPr>
              <w:t>Information Literacy &amp; Training</w:t>
            </w:r>
          </w:p>
        </w:tc>
        <w:tc>
          <w:tcPr>
            <w:tcW w:type="dxa" w:w="2438"/>
            <w:tcW w:w="2438" w:type="dxa"/>
            <w:shd w:val="clear" w:color="auto" w:fill="D9E2EC"/>
          </w:tcPr>
          <w:p>
            <w:pPr>
              <w:jc w:val="center"/>
            </w:pPr>
            <w:r/>
            <w:r>
              <w:rPr>
                <w:rFonts w:ascii="Cambria" w:hAnsi="Cambria"/>
                <w:b w:val="0"/>
                <w:sz w:val="18"/>
              </w:rPr>
              <w:t>Introductory workshops for students on library use and research basics.</w:t>
            </w:r>
          </w:p>
        </w:tc>
        <w:tc>
          <w:tcPr>
            <w:tcW w:type="dxa" w:w="2438"/>
            <w:tcW w:w="2438" w:type="dxa"/>
            <w:shd w:val="clear" w:color="auto" w:fill="D9E2EC"/>
          </w:tcPr>
          <w:p>
            <w:pPr>
              <w:jc w:val="center"/>
            </w:pPr>
            <w:r/>
            <w:r>
              <w:rPr>
                <w:rFonts w:ascii="Cambria" w:hAnsi="Cambria"/>
                <w:b w:val="0"/>
                <w:sz w:val="18"/>
              </w:rPr>
              <w:t>Regular training on advanced databases, citation tools, and academic writing.</w:t>
            </w:r>
          </w:p>
        </w:tc>
        <w:tc>
          <w:tcPr>
            <w:tcW w:type="dxa" w:w="2324"/>
            <w:tcW w:w="2324" w:type="dxa"/>
            <w:shd w:val="clear" w:color="auto" w:fill="D9E2EC"/>
          </w:tcPr>
          <w:p>
            <w:pPr>
              <w:jc w:val="center"/>
            </w:pPr>
            <w:r/>
            <w:r>
              <w:rPr>
                <w:rFonts w:ascii="Cambria" w:hAnsi="Cambria"/>
                <w:b w:val="0"/>
                <w:sz w:val="18"/>
              </w:rPr>
              <w:t>Mandatory information literacy integrated into curriculum; library recognized as research training hub.</w:t>
            </w:r>
          </w:p>
        </w:tc>
      </w:tr>
      <w:tr>
        <w:tc>
          <w:tcPr>
            <w:tcW w:type="dxa" w:w="1928"/>
            <w:tcW w:w="1927" w:type="dxa"/>
          </w:tcPr>
          <w:p>
            <w:pPr>
              <w:jc w:val="left"/>
            </w:pPr>
            <w:r/>
            <w:r>
              <w:rPr>
                <w:rFonts w:ascii="Cambria" w:hAnsi="Cambria"/>
                <w:b w:val="0"/>
                <w:sz w:val="18"/>
              </w:rPr>
              <w:t>Library Infrastructure &amp; Access</w:t>
            </w:r>
          </w:p>
        </w:tc>
        <w:tc>
          <w:tcPr>
            <w:tcW w:type="dxa" w:w="2438"/>
            <w:tcW w:w="2438" w:type="dxa"/>
          </w:tcPr>
          <w:p>
            <w:pPr>
              <w:jc w:val="center"/>
            </w:pPr>
            <w:r/>
            <w:r>
              <w:rPr>
                <w:rFonts w:ascii="Cambria" w:hAnsi="Cambria"/>
                <w:b w:val="0"/>
                <w:sz w:val="18"/>
              </w:rPr>
              <w:t>Reading spaces upgraded; baseline accessibility ensured.</w:t>
            </w:r>
          </w:p>
        </w:tc>
        <w:tc>
          <w:tcPr>
            <w:tcW w:type="dxa" w:w="2438"/>
            <w:tcW w:w="2438" w:type="dxa"/>
          </w:tcPr>
          <w:p>
            <w:pPr>
              <w:jc w:val="center"/>
            </w:pPr>
            <w:r/>
            <w:r>
              <w:rPr>
                <w:rFonts w:ascii="Cambria" w:hAnsi="Cambria"/>
                <w:b w:val="0"/>
                <w:sz w:val="18"/>
              </w:rPr>
              <w:t>ICT-enabled study areas, digital kiosks, and extended access hours.</w:t>
            </w:r>
          </w:p>
        </w:tc>
        <w:tc>
          <w:tcPr>
            <w:tcW w:type="dxa" w:w="2324"/>
            <w:tcW w:w="2324" w:type="dxa"/>
          </w:tcPr>
          <w:p>
            <w:pPr>
              <w:jc w:val="center"/>
            </w:pPr>
            <w:r/>
            <w:r>
              <w:rPr>
                <w:rFonts w:ascii="Cambria" w:hAnsi="Cambria"/>
                <w:b w:val="0"/>
                <w:sz w:val="18"/>
              </w:rPr>
              <w:t>Smart library model (RFID, IoT-enabled services); inclusive spaces for all learners.</w:t>
            </w:r>
          </w:p>
        </w:tc>
      </w:tr>
      <w:tr>
        <w:tc>
          <w:tcPr>
            <w:tcW w:type="dxa" w:w="1928"/>
            <w:tcW w:w="1927" w:type="dxa"/>
            <w:shd w:val="clear" w:color="auto" w:fill="D9E2EC"/>
          </w:tcPr>
          <w:p>
            <w:pPr>
              <w:jc w:val="left"/>
            </w:pPr>
            <w:r/>
            <w:r>
              <w:rPr>
                <w:rFonts w:ascii="Cambria" w:hAnsi="Cambria"/>
                <w:b w:val="0"/>
                <w:sz w:val="18"/>
              </w:rPr>
              <w:t>Accreditation &amp; Ranking Support</w:t>
            </w:r>
          </w:p>
        </w:tc>
        <w:tc>
          <w:tcPr>
            <w:tcW w:type="dxa" w:w="2438"/>
            <w:tcW w:w="2438" w:type="dxa"/>
            <w:shd w:val="clear" w:color="auto" w:fill="D9E2EC"/>
          </w:tcPr>
          <w:p>
            <w:pPr>
              <w:jc w:val="center"/>
            </w:pPr>
            <w:r/>
            <w:r>
              <w:rPr>
                <w:rFonts w:ascii="Cambria" w:hAnsi="Cambria"/>
                <w:b w:val="0"/>
                <w:sz w:val="18"/>
              </w:rPr>
              <w:t>Data prepared for NAAC/NBA/NIRF under learning resources criteria.</w:t>
            </w:r>
          </w:p>
        </w:tc>
        <w:tc>
          <w:tcPr>
            <w:tcW w:type="dxa" w:w="2438"/>
            <w:tcW w:w="2438" w:type="dxa"/>
            <w:shd w:val="clear" w:color="auto" w:fill="D9E2EC"/>
          </w:tcPr>
          <w:p>
            <w:pPr>
              <w:jc w:val="center"/>
            </w:pPr>
            <w:r/>
            <w:r>
              <w:rPr>
                <w:rFonts w:ascii="Cambria" w:hAnsi="Cambria"/>
                <w:b w:val="0"/>
                <w:sz w:val="18"/>
              </w:rPr>
              <w:t>Evidence aligned with SSR/AQAR; library practices cited as quality benchmarks.</w:t>
            </w:r>
          </w:p>
        </w:tc>
        <w:tc>
          <w:tcPr>
            <w:tcW w:type="dxa" w:w="2324"/>
            <w:tcW w:w="2324" w:type="dxa"/>
            <w:shd w:val="clear" w:color="auto" w:fill="D9E2EC"/>
          </w:tcPr>
          <w:p>
            <w:pPr>
              <w:jc w:val="center"/>
            </w:pPr>
            <w:r/>
            <w:r>
              <w:rPr>
                <w:rFonts w:ascii="Cambria" w:hAnsi="Cambria"/>
                <w:b w:val="0"/>
                <w:sz w:val="18"/>
              </w:rPr>
              <w:t>Library best practices recognized in accreditation reports; contribution to improved rankings.</w:t>
            </w:r>
          </w:p>
        </w:tc>
      </w:tr>
      <w:tr>
        <w:tc>
          <w:tcPr>
            <w:tcW w:type="dxa" w:w="1928"/>
            <w:tcW w:w="1927" w:type="dxa"/>
          </w:tcPr>
          <w:p>
            <w:pPr>
              <w:jc w:val="left"/>
            </w:pPr>
            <w:r/>
            <w:r>
              <w:rPr>
                <w:rFonts w:ascii="Cambria" w:hAnsi="Cambria"/>
                <w:b w:val="0"/>
                <w:sz w:val="18"/>
              </w:rPr>
              <w:t>Preservation &amp; Digitization</w:t>
            </w:r>
          </w:p>
        </w:tc>
        <w:tc>
          <w:tcPr>
            <w:tcW w:type="dxa" w:w="2438"/>
            <w:tcW w:w="2438" w:type="dxa"/>
          </w:tcPr>
          <w:p>
            <w:pPr>
              <w:jc w:val="center"/>
            </w:pPr>
            <w:r/>
            <w:r>
              <w:rPr>
                <w:rFonts w:ascii="Cambria" w:hAnsi="Cambria"/>
                <w:b w:val="0"/>
                <w:sz w:val="18"/>
              </w:rPr>
              <w:t>Departmental theses and dissertations archived.</w:t>
            </w:r>
          </w:p>
        </w:tc>
        <w:tc>
          <w:tcPr>
            <w:tcW w:type="dxa" w:w="2438"/>
            <w:tcW w:w="2438" w:type="dxa"/>
          </w:tcPr>
          <w:p>
            <w:pPr>
              <w:jc w:val="center"/>
            </w:pPr>
            <w:r/>
            <w:r>
              <w:rPr>
                <w:rFonts w:ascii="Cambria" w:hAnsi="Cambria"/>
                <w:b w:val="0"/>
                <w:sz w:val="18"/>
              </w:rPr>
              <w:t>Institutional repository expanded to include faculty publications and student projects.</w:t>
            </w:r>
          </w:p>
        </w:tc>
        <w:tc>
          <w:tcPr>
            <w:tcW w:type="dxa" w:w="2324"/>
            <w:tcW w:w="2324" w:type="dxa"/>
          </w:tcPr>
          <w:p>
            <w:pPr>
              <w:jc w:val="center"/>
            </w:pPr>
            <w:r/>
            <w:r>
              <w:rPr>
                <w:rFonts w:ascii="Cambria" w:hAnsi="Cambria"/>
                <w:b w:val="0"/>
                <w:sz w:val="18"/>
              </w:rPr>
              <w:t>Full digitization and global open-access archive; increased institutional citations.</w:t>
            </w:r>
          </w:p>
        </w:tc>
      </w:tr>
      <w:tr>
        <w:tc>
          <w:tcPr>
            <w:tcW w:type="dxa" w:w="1928"/>
            <w:tcW w:w="1927" w:type="dxa"/>
            <w:shd w:val="clear" w:color="auto" w:fill="D9E2EC"/>
          </w:tcPr>
          <w:p>
            <w:pPr>
              <w:jc w:val="left"/>
            </w:pPr>
            <w:r/>
            <w:r>
              <w:rPr>
                <w:rFonts w:ascii="Cambria" w:hAnsi="Cambria"/>
                <w:b w:val="0"/>
                <w:sz w:val="18"/>
              </w:rPr>
              <w:t>Community &amp; Engagement</w:t>
            </w:r>
          </w:p>
        </w:tc>
        <w:tc>
          <w:tcPr>
            <w:tcW w:type="dxa" w:w="2438"/>
            <w:tcW w:w="2438" w:type="dxa"/>
            <w:shd w:val="clear" w:color="auto" w:fill="D9E2EC"/>
          </w:tcPr>
          <w:p>
            <w:pPr>
              <w:jc w:val="center"/>
            </w:pPr>
            <w:r/>
            <w:r>
              <w:rPr>
                <w:rFonts w:ascii="Cambria" w:hAnsi="Cambria"/>
                <w:b w:val="0"/>
                <w:sz w:val="18"/>
              </w:rPr>
              <w:t>Organizes book exhibitions and library orientation weeks.</w:t>
            </w:r>
          </w:p>
        </w:tc>
        <w:tc>
          <w:tcPr>
            <w:tcW w:type="dxa" w:w="2438"/>
            <w:tcW w:w="2438" w:type="dxa"/>
            <w:shd w:val="clear" w:color="auto" w:fill="D9E2EC"/>
          </w:tcPr>
          <w:p>
            <w:pPr>
              <w:jc w:val="center"/>
            </w:pPr>
            <w:r/>
            <w:r>
              <w:rPr>
                <w:rFonts w:ascii="Cambria" w:hAnsi="Cambria"/>
                <w:b w:val="0"/>
                <w:sz w:val="18"/>
              </w:rPr>
              <w:t>Faculty–student engagement programs; thematic exhibitions, industry talks.</w:t>
            </w:r>
          </w:p>
        </w:tc>
        <w:tc>
          <w:tcPr>
            <w:tcW w:type="dxa" w:w="2324"/>
            <w:tcW w:w="2324" w:type="dxa"/>
            <w:shd w:val="clear" w:color="auto" w:fill="D9E2EC"/>
          </w:tcPr>
          <w:p>
            <w:pPr>
              <w:jc w:val="center"/>
            </w:pPr>
            <w:r/>
            <w:r>
              <w:rPr>
                <w:rFonts w:ascii="Cambria" w:hAnsi="Cambria"/>
                <w:b w:val="0"/>
                <w:sz w:val="18"/>
              </w:rPr>
              <w:t>International collaborations, webinars, and global library networks established.</w:t>
            </w:r>
          </w:p>
        </w:tc>
      </w:tr>
    </w:tbl>
    <w:p>
      <w:r>
        <w:br w:type="page"/>
      </w:r>
    </w:p>
    <w:p>
      <w:pPr>
        <w:keepNext/>
        <w:spacing w:before="240" w:after="120"/>
      </w:pPr>
      <w:r>
        <w:rPr>
          <w:rFonts w:ascii="Cambria" w:hAnsi="Cambria"/>
          <w:b/>
          <w:color w:val="1F3A5F"/>
          <w:sz w:val="36"/>
        </w:rPr>
        <w:t>15. Public Relations / International Office</w:t>
      </w:r>
    </w:p>
    <w:p>
      <w:pPr>
        <w:jc w:val="both"/>
      </w:pPr>
      <w:r>
        <w:rPr>
          <w:rFonts w:ascii="Cambria" w:hAnsi="Cambria"/>
          <w:b w:val="0"/>
          <w:i w:val="0"/>
          <w:sz w:val="22"/>
        </w:rPr>
        <w:t>A university's Public Relations (PR) Office and International Office are critical administrative units that serve as the outward-facing arms of the institution, managing both its external image and global engagement strategies. While their functions are distinct, they converge on a common goal: advancing the university's reputation, strengthening its competitiveness, and ensuring its relevance in an increasingly globalized higher education landscape. The significance of these offices is reflected in their reporting lines, as the heads of PR and International Offices typically report directly to senior university leadership, such as the President, Rector, or Vice-Chancellor, underscoring their strategic value in institutional governance.</w:t>
      </w:r>
    </w:p>
    <w:p>
      <w:pPr>
        <w:jc w:val="both"/>
      </w:pPr>
      <w:r>
        <w:rPr>
          <w:rFonts w:ascii="Cambria" w:hAnsi="Cambria"/>
          <w:b w:val="0"/>
          <w:i w:val="0"/>
          <w:sz w:val="22"/>
        </w:rPr>
        <w:t>The Public Relations Office is responsible for crafting and safeguarding the university's identity and reputation. It manages all aspects of communications, media relations, and branding, ensuring that the institution projects a consistent and credible image to stakeholders, including students, parents, alumni, government, industry, and the wider community. PR activities include issuing press releases, coordinating with journalists, handling media coverage of events, managing crisis communications, and producing official publications such as newsletters, magazines, and annual reports. In the digital era, the PR Office also oversees the university's online presence across websites and social media platforms, ensuring dynamic engagement with diverse audiences. By shaping narratives about the university's achievements in teaching, research, innovation, and community service, the PR Office helps build institutional prestige and public trust.</w:t>
      </w:r>
    </w:p>
    <w:p>
      <w:pPr>
        <w:jc w:val="both"/>
      </w:pPr>
      <w:r>
        <w:rPr>
          <w:rFonts w:ascii="Cambria" w:hAnsi="Cambria"/>
          <w:b w:val="0"/>
          <w:i w:val="0"/>
          <w:sz w:val="22"/>
        </w:rPr>
        <w:t>The International Office, on the other hand, focuses on building and sustaining the university's global presence. Its core functions include managing international collaborations, coordinating student and faculty exchange programs, facilitating joint research projects, and overseeing recruitment of international students. It plays a vital role in negotiating and implementing Memoranda of Understanding (MoUs) with foreign universities, supporting international accreditation, and positioning the institution in global ranking frameworks such as QS and THE. The International Office also provides support for inbound international students and staff, offering orientation, visa assistance, cultural integration programs, and academic advising. By cultivating global networks and partnerships, the International Office enhances the university's visibility, competitiveness, and attractiveness to international stakeholders.</w:t>
      </w:r>
    </w:p>
    <w:p>
      <w:pPr>
        <w:jc w:val="both"/>
      </w:pPr>
      <w:r>
        <w:rPr>
          <w:rFonts w:ascii="Cambria" w:hAnsi="Cambria"/>
          <w:b w:val="0"/>
          <w:i w:val="0"/>
          <w:sz w:val="22"/>
        </w:rPr>
        <w:t>While these two offices are functionally distinct, their activities are deeply interconnected. For example, international collaborations and exchange programs often require strong branding and media visibility, while PR campaigns highlighting the university's global achievements strengthen international recruitment and partnerships. Together, the PR and International Offices contribute directly to student enrollment growth, faculty mobility, research funding, alumni engagement, and donor relations. They also support accreditation and ranking submissions, which rely not only on academic performance but also on the university's reputation and global footprint.</w:t>
      </w:r>
    </w:p>
    <w:p>
      <w:pPr>
        <w:jc w:val="both"/>
      </w:pPr>
      <w:r>
        <w:rPr>
          <w:rFonts w:ascii="Cambria" w:hAnsi="Cambria"/>
          <w:b w:val="0"/>
          <w:i w:val="0"/>
          <w:sz w:val="22"/>
        </w:rPr>
        <w:t>Strategically, the presence of strong PR and International Offices reflects the university's recognition that academic excellence alone is insufficient to ensure global competitiveness. Universities today must communicate their value, cultivate their image, and build cross-border collaborations to attract resources and talent. In many institutions, the heads of these offices are senior executives who participate in strategic planning committees, ensuring that branding and global engagement are fully integrated into the university's mission.</w:t>
      </w:r>
    </w:p>
    <w:p>
      <w:pPr>
        <w:pStyle w:val="ListBullet"/>
        <w:jc w:val="both"/>
      </w:pPr>
      <w:r>
        <w:rPr>
          <w:rFonts w:ascii="Cambria" w:hAnsi="Cambria"/>
          <w:sz w:val="22"/>
        </w:rPr>
        <w:t>1. Position in the University Structure</w:t>
      </w:r>
    </w:p>
    <w:p>
      <w:pPr>
        <w:pStyle w:val="ListBullet2"/>
        <w:jc w:val="both"/>
      </w:pPr>
      <w:r>
        <w:rPr>
          <w:rFonts w:ascii="Cambria" w:hAnsi="Cambria"/>
          <w:sz w:val="22"/>
        </w:rPr>
        <w:t>The Public Relations (PR) and International Office serves as the communication, branding, and outreach hub of the university.</w:t>
      </w:r>
    </w:p>
    <w:p>
      <w:pPr>
        <w:pStyle w:val="ListBullet2"/>
        <w:jc w:val="both"/>
      </w:pPr>
      <w:r>
        <w:rPr>
          <w:rFonts w:ascii="Cambria" w:hAnsi="Cambria"/>
          <w:sz w:val="22"/>
        </w:rPr>
        <w:t>Reports to the Vice-Chancellor / Pro-Vice-Chancellor (External Relations) and works with Deans, IQAC, Alumni Office, and Placement Cell.</w:t>
      </w:r>
    </w:p>
    <w:p>
      <w:pPr>
        <w:pStyle w:val="ListBullet2"/>
        <w:jc w:val="both"/>
      </w:pPr>
      <w:r>
        <w:rPr>
          <w:rFonts w:ascii="Cambria" w:hAnsi="Cambria"/>
          <w:sz w:val="22"/>
        </w:rPr>
        <w:t>Functions as the link between the university, media, government, alumni, industry, and international partners.</w:t>
      </w:r>
    </w:p>
    <w:p>
      <w:pPr>
        <w:pStyle w:val="ListBullet"/>
        <w:jc w:val="both"/>
      </w:pPr>
      <w:r>
        <w:rPr>
          <w:rFonts w:ascii="Cambria" w:hAnsi="Cambria"/>
          <w:sz w:val="22"/>
        </w:rPr>
        <w:t>2. Core Responsibilities</w:t>
      </w:r>
    </w:p>
    <w:p>
      <w:pPr>
        <w:pStyle w:val="ListBullet2"/>
        <w:jc w:val="both"/>
      </w:pPr>
      <w:r>
        <w:rPr>
          <w:rFonts w:ascii="Cambria" w:hAnsi="Cambria"/>
          <w:sz w:val="22"/>
        </w:rPr>
        <w:t>Branding &amp; Institutional Visibility</w:t>
      </w:r>
    </w:p>
    <w:p>
      <w:pPr>
        <w:pStyle w:val="ListBullet"/>
        <w:jc w:val="both"/>
      </w:pPr>
      <w:r>
        <w:rPr>
          <w:rFonts w:ascii="Cambria" w:hAnsi="Cambria"/>
          <w:sz w:val="22"/>
        </w:rPr>
        <w:t>Develops and implements strategies for branding, reputation management, and stakeholder communication.</w:t>
      </w:r>
    </w:p>
    <w:p>
      <w:pPr>
        <w:pStyle w:val="ListBullet"/>
        <w:jc w:val="both"/>
      </w:pPr>
      <w:r>
        <w:rPr>
          <w:rFonts w:ascii="Cambria" w:hAnsi="Cambria"/>
          <w:sz w:val="22"/>
        </w:rPr>
        <w:t>Ensures consistent messaging across websites, social media, newsletters, and events.</w:t>
      </w:r>
    </w:p>
    <w:p>
      <w:pPr>
        <w:pStyle w:val="ListBullet2"/>
        <w:jc w:val="both"/>
      </w:pPr>
      <w:r>
        <w:rPr>
          <w:rFonts w:ascii="Cambria" w:hAnsi="Cambria"/>
          <w:sz w:val="22"/>
        </w:rPr>
        <w:t>Media Relations</w:t>
      </w:r>
    </w:p>
    <w:p>
      <w:pPr>
        <w:pStyle w:val="ListBullet"/>
        <w:jc w:val="both"/>
      </w:pPr>
      <w:r>
        <w:rPr>
          <w:rFonts w:ascii="Cambria" w:hAnsi="Cambria"/>
          <w:sz w:val="22"/>
        </w:rPr>
        <w:t>Handles press releases, media coverage, and crisis communication.</w:t>
      </w:r>
    </w:p>
    <w:p>
      <w:pPr>
        <w:pStyle w:val="ListBullet"/>
        <w:jc w:val="both"/>
      </w:pPr>
      <w:r>
        <w:rPr>
          <w:rFonts w:ascii="Cambria" w:hAnsi="Cambria"/>
          <w:sz w:val="22"/>
        </w:rPr>
        <w:t>Builds strong relationships with journalists, news agencies, and education media outlets.</w:t>
      </w:r>
    </w:p>
    <w:p>
      <w:pPr>
        <w:pStyle w:val="ListBullet2"/>
        <w:jc w:val="both"/>
      </w:pPr>
      <w:r>
        <w:rPr>
          <w:rFonts w:ascii="Cambria" w:hAnsi="Cambria"/>
          <w:sz w:val="22"/>
        </w:rPr>
        <w:t>International Outreach</w:t>
      </w:r>
    </w:p>
    <w:p>
      <w:pPr>
        <w:pStyle w:val="ListBullet"/>
        <w:jc w:val="both"/>
      </w:pPr>
      <w:r>
        <w:rPr>
          <w:rFonts w:ascii="Cambria" w:hAnsi="Cambria"/>
          <w:sz w:val="22"/>
        </w:rPr>
        <w:t>Promotes student and faculty exchange programs, international collaborations, and joint research initiatives.</w:t>
      </w:r>
    </w:p>
    <w:p>
      <w:pPr>
        <w:pStyle w:val="ListBullet"/>
        <w:jc w:val="both"/>
      </w:pPr>
      <w:r>
        <w:rPr>
          <w:rFonts w:ascii="Cambria" w:hAnsi="Cambria"/>
          <w:sz w:val="22"/>
        </w:rPr>
        <w:t>Facilitates MoUs with foreign universities, academic networks, and global agencies.</w:t>
      </w:r>
    </w:p>
    <w:p>
      <w:pPr>
        <w:pStyle w:val="ListBullet2"/>
        <w:jc w:val="both"/>
      </w:pPr>
      <w:r>
        <w:rPr>
          <w:rFonts w:ascii="Cambria" w:hAnsi="Cambria"/>
          <w:sz w:val="22"/>
        </w:rPr>
        <w:t>Alumni &amp; Community Engagement</w:t>
      </w:r>
    </w:p>
    <w:p>
      <w:pPr>
        <w:pStyle w:val="ListBullet"/>
        <w:jc w:val="both"/>
      </w:pPr>
      <w:r>
        <w:rPr>
          <w:rFonts w:ascii="Cambria" w:hAnsi="Cambria"/>
          <w:sz w:val="22"/>
        </w:rPr>
        <w:t>Coordinates with alumni for fundraising, mentoring, and institutional development.</w:t>
      </w:r>
    </w:p>
    <w:p>
      <w:pPr>
        <w:pStyle w:val="ListBullet"/>
        <w:jc w:val="both"/>
      </w:pPr>
      <w:r>
        <w:rPr>
          <w:rFonts w:ascii="Cambria" w:hAnsi="Cambria"/>
          <w:sz w:val="22"/>
        </w:rPr>
        <w:t>Strengthens university-community relationships through outreach programs.</w:t>
      </w:r>
    </w:p>
    <w:p>
      <w:pPr>
        <w:pStyle w:val="ListBullet2"/>
        <w:jc w:val="both"/>
      </w:pPr>
      <w:r>
        <w:rPr>
          <w:rFonts w:ascii="Cambria" w:hAnsi="Cambria"/>
          <w:sz w:val="22"/>
        </w:rPr>
        <w:t>Event Management</w:t>
      </w:r>
    </w:p>
    <w:p>
      <w:pPr>
        <w:pStyle w:val="ListBullet"/>
        <w:jc w:val="both"/>
      </w:pPr>
      <w:r>
        <w:rPr>
          <w:rFonts w:ascii="Cambria" w:hAnsi="Cambria"/>
          <w:sz w:val="22"/>
        </w:rPr>
        <w:t>Organizes convocations, conferences, cultural festivals, and international delegations.</w:t>
      </w:r>
    </w:p>
    <w:p>
      <w:pPr>
        <w:pStyle w:val="ListBullet"/>
        <w:jc w:val="both"/>
      </w:pPr>
      <w:r>
        <w:rPr>
          <w:rFonts w:ascii="Cambria" w:hAnsi="Cambria"/>
          <w:sz w:val="22"/>
        </w:rPr>
        <w:t>Provides visibility to institutional achievements and milestones.</w:t>
      </w:r>
    </w:p>
    <w:p>
      <w:pPr>
        <w:pStyle w:val="ListBullet2"/>
        <w:jc w:val="both"/>
      </w:pPr>
      <w:r>
        <w:rPr>
          <w:rFonts w:ascii="Cambria" w:hAnsi="Cambria"/>
          <w:sz w:val="22"/>
        </w:rPr>
        <w:t>Support for Rankings &amp; Accreditation</w:t>
      </w:r>
    </w:p>
    <w:p>
      <w:pPr>
        <w:pStyle w:val="ListBullet"/>
        <w:jc w:val="both"/>
      </w:pPr>
      <w:r>
        <w:rPr>
          <w:rFonts w:ascii="Cambria" w:hAnsi="Cambria"/>
          <w:sz w:val="22"/>
        </w:rPr>
        <w:t>Highlights institutional achievements in NIRF, QS, THE, and NAAC/NBA reports.</w:t>
      </w:r>
    </w:p>
    <w:p>
      <w:pPr>
        <w:pStyle w:val="ListBullet"/>
        <w:jc w:val="both"/>
      </w:pPr>
      <w:r>
        <w:rPr>
          <w:rFonts w:ascii="Cambria" w:hAnsi="Cambria"/>
          <w:sz w:val="22"/>
        </w:rPr>
        <w:t>Promotes success stories to improve institutional standing in global education markets.</w:t>
      </w:r>
    </w:p>
    <w:p>
      <w:pPr>
        <w:pStyle w:val="ListBullet"/>
        <w:jc w:val="both"/>
      </w:pPr>
      <w:r>
        <w:rPr>
          <w:rFonts w:ascii="Cambria" w:hAnsi="Cambria"/>
          <w:sz w:val="22"/>
        </w:rPr>
        <w:t>3. Strategic Role</w:t>
      </w:r>
    </w:p>
    <w:p>
      <w:pPr>
        <w:pStyle w:val="ListBullet2"/>
        <w:jc w:val="both"/>
      </w:pPr>
      <w:r>
        <w:rPr>
          <w:rFonts w:ascii="Cambria" w:hAnsi="Cambria"/>
          <w:sz w:val="22"/>
        </w:rPr>
        <w:t>Shapes the university's public image and global brand identity.</w:t>
      </w:r>
    </w:p>
    <w:p>
      <w:pPr>
        <w:pStyle w:val="ListBullet2"/>
        <w:jc w:val="both"/>
      </w:pPr>
      <w:r>
        <w:rPr>
          <w:rFonts w:ascii="Cambria" w:hAnsi="Cambria"/>
          <w:sz w:val="22"/>
        </w:rPr>
        <w:t>Attracts international students, faculty, and collaborations, enhancing competitiveness.</w:t>
      </w:r>
    </w:p>
    <w:p>
      <w:pPr>
        <w:pStyle w:val="ListBullet2"/>
        <w:jc w:val="both"/>
      </w:pPr>
      <w:r>
        <w:rPr>
          <w:rFonts w:ascii="Cambria" w:hAnsi="Cambria"/>
          <w:sz w:val="22"/>
        </w:rPr>
        <w:t>Acts as the face of the university in external engagements, strengthening trust and credibility.</w:t>
      </w:r>
    </w:p>
    <w:p>
      <w:pPr>
        <w:pStyle w:val="ListBullet2"/>
        <w:jc w:val="both"/>
      </w:pPr>
      <w:r>
        <w:rPr>
          <w:rFonts w:ascii="Cambria" w:hAnsi="Cambria"/>
          <w:sz w:val="22"/>
        </w:rPr>
        <w:t>Supports institutional growth through visibility in national and global rankings, media, and partnerships.</w:t>
      </w:r>
    </w:p>
    <w:p>
      <w:pPr>
        <w:pStyle w:val="ListBullet"/>
        <w:jc w:val="both"/>
      </w:pPr>
      <w:r>
        <w:rPr>
          <w:rFonts w:ascii="Cambria" w:hAnsi="Cambria"/>
          <w:sz w:val="22"/>
        </w:rPr>
        <w:t>4. Qualities of Effective PR / International Office Leadership</w:t>
      </w:r>
    </w:p>
    <w:p>
      <w:pPr>
        <w:pStyle w:val="ListBullet2"/>
        <w:jc w:val="both"/>
      </w:pPr>
      <w:r>
        <w:rPr>
          <w:rFonts w:ascii="Cambria" w:hAnsi="Cambria"/>
          <w:sz w:val="22"/>
        </w:rPr>
        <w:t>Strong communication, networking, and diplomacy skills.</w:t>
      </w:r>
    </w:p>
    <w:p>
      <w:pPr>
        <w:pStyle w:val="ListBullet2"/>
        <w:jc w:val="both"/>
      </w:pPr>
      <w:r>
        <w:rPr>
          <w:rFonts w:ascii="Cambria" w:hAnsi="Cambria"/>
          <w:sz w:val="22"/>
        </w:rPr>
        <w:t>Deep understanding of media management, digital marketing, and higher education ecosystems.</w:t>
      </w:r>
    </w:p>
    <w:p>
      <w:pPr>
        <w:pStyle w:val="ListBullet2"/>
        <w:jc w:val="both"/>
      </w:pPr>
      <w:r>
        <w:rPr>
          <w:rFonts w:ascii="Cambria" w:hAnsi="Cambria"/>
          <w:sz w:val="22"/>
        </w:rPr>
        <w:t>Cultural sensitivity and global outlook to engage effectively with international partners.</w:t>
      </w:r>
    </w:p>
    <w:p>
      <w:pPr>
        <w:pStyle w:val="ListBullet2"/>
        <w:jc w:val="both"/>
      </w:pPr>
      <w:r>
        <w:rPr>
          <w:rFonts w:ascii="Cambria" w:hAnsi="Cambria"/>
          <w:sz w:val="22"/>
        </w:rPr>
        <w:t>Strategic foresight to manage reputation, crisis communication, and branding.</w:t>
      </w:r>
    </w:p>
    <w:p>
      <w:pPr>
        <w:keepNext/>
        <w:spacing w:before="160" w:after="120"/>
      </w:pPr>
      <w:r>
        <w:rPr>
          <w:rFonts w:ascii="Cambria" w:hAnsi="Cambria"/>
          <w:b/>
          <w:color w:val="1F3A5F"/>
          <w:sz w:val="30"/>
        </w:rPr>
        <w:t>Public Relations / International Office</w:t>
      </w:r>
    </w:p>
    <w:tbl>
      <w:tblPr>
        <w:tblW w:type="auto" w:w="0"/>
        <w:tblLayout w:type="fixed"/>
        <w:tblLook w:firstColumn="1" w:firstRow="1" w:lastColumn="0" w:lastRow="0" w:noHBand="0" w:noVBand="1" w:val="04A0"/>
        <w:tblLayout w:type="fixed"/>
      </w:tblPr>
      <w:tblGrid>
        <w:gridCol w:w="2835"/>
        <w:gridCol w:w="3345"/>
        <w:gridCol w:w="2948"/>
      </w:tblGrid>
      <w:tr>
        <w:tc>
          <w:tcPr>
            <w:tcW w:type="dxa" w:w="2835"/>
            <w:shd w:val="clear" w:color="auto" w:fill="1F3A5F"/>
            <w:tcW w:w="2835" w:type="dxa"/>
          </w:tcPr>
          <w:p>
            <w:pPr>
              <w:jc w:val="center"/>
            </w:pPr>
            <w:r/>
            <w:r>
              <w:rPr>
                <w:rFonts w:ascii="Cambria" w:hAnsi="Cambria"/>
                <w:b/>
                <w:color w:val="FFFFFF"/>
                <w:sz w:val="22"/>
              </w:rPr>
              <w:t>Key Actions</w:t>
            </w:r>
          </w:p>
        </w:tc>
        <w:tc>
          <w:tcPr>
            <w:tcW w:type="dxa" w:w="3345"/>
            <w:shd w:val="clear" w:color="auto" w:fill="1F3A5F"/>
            <w:tcW w:w="3345" w:type="dxa"/>
          </w:tcPr>
          <w:p>
            <w:pPr>
              <w:jc w:val="center"/>
            </w:pPr>
            <w:r/>
            <w:r>
              <w:rPr>
                <w:rFonts w:ascii="Cambria" w:hAnsi="Cambria"/>
                <w:b/>
                <w:color w:val="FFFFFF"/>
                <w:sz w:val="22"/>
              </w:rPr>
              <w:t>Institutional Impact</w:t>
            </w:r>
          </w:p>
        </w:tc>
        <w:tc>
          <w:tcPr>
            <w:tcW w:type="dxa" w:w="2948"/>
            <w:shd w:val="clear" w:color="auto" w:fill="1F3A5F"/>
            <w:tcW w:w="2948" w:type="dxa"/>
          </w:tcPr>
          <w:p>
            <w:pPr>
              <w:jc w:val="center"/>
            </w:pPr>
            <w:r/>
            <w:r>
              <w:rPr>
                <w:rFonts w:ascii="Cambria" w:hAnsi="Cambria"/>
                <w:b/>
                <w:color w:val="FFFFFF"/>
                <w:sz w:val="22"/>
              </w:rPr>
              <w:t>Evidence / Documentation</w:t>
            </w:r>
          </w:p>
        </w:tc>
      </w:tr>
      <w:tr>
        <w:tc>
          <w:tcPr>
            <w:tcW w:type="dxa" w:w="2835"/>
            <w:tcW w:w="2835" w:type="dxa"/>
          </w:tcPr>
          <w:p>
            <w:pPr>
              <w:jc w:val="left"/>
            </w:pPr>
            <w:r/>
            <w:r>
              <w:rPr>
                <w:rFonts w:ascii="Cambria" w:hAnsi="Cambria"/>
                <w:b w:val="0"/>
                <w:sz w:val="19"/>
              </w:rPr>
              <w:t>Develops branding and communication strategy</w:t>
            </w:r>
          </w:p>
        </w:tc>
        <w:tc>
          <w:tcPr>
            <w:tcW w:type="dxa" w:w="3345"/>
            <w:tcW w:w="3345" w:type="dxa"/>
          </w:tcPr>
          <w:p>
            <w:pPr>
              <w:jc w:val="center"/>
            </w:pPr>
            <w:r/>
            <w:r>
              <w:rPr>
                <w:rFonts w:ascii="Cambria" w:hAnsi="Cambria"/>
                <w:b w:val="0"/>
                <w:sz w:val="19"/>
              </w:rPr>
              <w:t>Builds strong institutional identity; enhances public trust and visibility.</w:t>
            </w:r>
          </w:p>
        </w:tc>
        <w:tc>
          <w:tcPr>
            <w:tcW w:type="dxa" w:w="2948"/>
            <w:tcW w:w="2948" w:type="dxa"/>
          </w:tcPr>
          <w:p>
            <w:pPr>
              <w:jc w:val="center"/>
            </w:pPr>
            <w:r/>
            <w:r>
              <w:rPr>
                <w:rFonts w:ascii="Cambria" w:hAnsi="Cambria"/>
                <w:b w:val="0"/>
                <w:sz w:val="19"/>
              </w:rPr>
              <w:t>Branding guidelines, university brochures, official website, social media analytics.</w:t>
            </w:r>
          </w:p>
        </w:tc>
      </w:tr>
      <w:tr>
        <w:tc>
          <w:tcPr>
            <w:tcW w:type="dxa" w:w="2835"/>
            <w:tcW w:w="2835" w:type="dxa"/>
            <w:shd w:val="clear" w:color="auto" w:fill="D9E2EC"/>
          </w:tcPr>
          <w:p>
            <w:pPr>
              <w:jc w:val="left"/>
            </w:pPr>
            <w:r/>
            <w:r>
              <w:rPr>
                <w:rFonts w:ascii="Cambria" w:hAnsi="Cambria"/>
                <w:b w:val="0"/>
                <w:sz w:val="19"/>
              </w:rPr>
              <w:t>Manages media relations and press communication</w:t>
            </w:r>
          </w:p>
        </w:tc>
        <w:tc>
          <w:tcPr>
            <w:tcW w:type="dxa" w:w="3345"/>
            <w:tcW w:w="3345" w:type="dxa"/>
            <w:shd w:val="clear" w:color="auto" w:fill="D9E2EC"/>
          </w:tcPr>
          <w:p>
            <w:pPr>
              <w:jc w:val="center"/>
            </w:pPr>
            <w:r/>
            <w:r>
              <w:rPr>
                <w:rFonts w:ascii="Cambria" w:hAnsi="Cambria"/>
                <w:b w:val="0"/>
                <w:sz w:val="19"/>
              </w:rPr>
              <w:t>Positive media coverage; effective crisis management; strengthened reputation.</w:t>
            </w:r>
          </w:p>
        </w:tc>
        <w:tc>
          <w:tcPr>
            <w:tcW w:type="dxa" w:w="2948"/>
            <w:tcW w:w="2948" w:type="dxa"/>
            <w:shd w:val="clear" w:color="auto" w:fill="D9E2EC"/>
          </w:tcPr>
          <w:p>
            <w:pPr>
              <w:jc w:val="center"/>
            </w:pPr>
            <w:r/>
            <w:r>
              <w:rPr>
                <w:rFonts w:ascii="Cambria" w:hAnsi="Cambria"/>
                <w:b w:val="0"/>
                <w:sz w:val="19"/>
              </w:rPr>
              <w:t>Press releases, media clippings, coverage reports, crisis communication records.</w:t>
            </w:r>
          </w:p>
        </w:tc>
      </w:tr>
      <w:tr>
        <w:tc>
          <w:tcPr>
            <w:tcW w:type="dxa" w:w="2835"/>
            <w:tcW w:w="2835" w:type="dxa"/>
          </w:tcPr>
          <w:p>
            <w:pPr>
              <w:jc w:val="left"/>
            </w:pPr>
            <w:r/>
            <w:r>
              <w:rPr>
                <w:rFonts w:ascii="Cambria" w:hAnsi="Cambria"/>
                <w:b w:val="0"/>
                <w:sz w:val="19"/>
              </w:rPr>
              <w:t>Promotes international collaborations and MoUs</w:t>
            </w:r>
          </w:p>
        </w:tc>
        <w:tc>
          <w:tcPr>
            <w:tcW w:type="dxa" w:w="3345"/>
            <w:tcW w:w="3345" w:type="dxa"/>
          </w:tcPr>
          <w:p>
            <w:pPr>
              <w:jc w:val="center"/>
            </w:pPr>
            <w:r/>
            <w:r>
              <w:rPr>
                <w:rFonts w:ascii="Cambria" w:hAnsi="Cambria"/>
                <w:b w:val="0"/>
                <w:sz w:val="19"/>
              </w:rPr>
              <w:t>Expands global partnerships; increases opportunities for joint research and exchange.</w:t>
            </w:r>
          </w:p>
        </w:tc>
        <w:tc>
          <w:tcPr>
            <w:tcW w:type="dxa" w:w="2948"/>
            <w:tcW w:w="2948" w:type="dxa"/>
          </w:tcPr>
          <w:p>
            <w:pPr>
              <w:jc w:val="center"/>
            </w:pPr>
            <w:r/>
            <w:r>
              <w:rPr>
                <w:rFonts w:ascii="Cambria" w:hAnsi="Cambria"/>
                <w:b w:val="0"/>
                <w:sz w:val="19"/>
              </w:rPr>
              <w:t>Signed MoUs, international project reports, student/faculty mobility data.</w:t>
            </w:r>
          </w:p>
        </w:tc>
      </w:tr>
      <w:tr>
        <w:tc>
          <w:tcPr>
            <w:tcW w:type="dxa" w:w="2835"/>
            <w:tcW w:w="2835" w:type="dxa"/>
            <w:shd w:val="clear" w:color="auto" w:fill="D9E2EC"/>
          </w:tcPr>
          <w:p>
            <w:pPr>
              <w:jc w:val="left"/>
            </w:pPr>
            <w:r/>
            <w:r>
              <w:rPr>
                <w:rFonts w:ascii="Cambria" w:hAnsi="Cambria"/>
                <w:b w:val="0"/>
                <w:sz w:val="19"/>
              </w:rPr>
              <w:t>Facilitates student and faculty exchange programs</w:t>
            </w:r>
          </w:p>
        </w:tc>
        <w:tc>
          <w:tcPr>
            <w:tcW w:type="dxa" w:w="3345"/>
            <w:tcW w:w="3345" w:type="dxa"/>
            <w:shd w:val="clear" w:color="auto" w:fill="D9E2EC"/>
          </w:tcPr>
          <w:p>
            <w:pPr>
              <w:jc w:val="center"/>
            </w:pPr>
            <w:r/>
            <w:r>
              <w:rPr>
                <w:rFonts w:ascii="Cambria" w:hAnsi="Cambria"/>
                <w:b w:val="0"/>
                <w:sz w:val="19"/>
              </w:rPr>
              <w:t>Enhances global exposure, cross-cultural learning, and institutional competitiveness.</w:t>
            </w:r>
          </w:p>
        </w:tc>
        <w:tc>
          <w:tcPr>
            <w:tcW w:type="dxa" w:w="2948"/>
            <w:tcW w:w="2948" w:type="dxa"/>
            <w:shd w:val="clear" w:color="auto" w:fill="D9E2EC"/>
          </w:tcPr>
          <w:p>
            <w:pPr>
              <w:jc w:val="center"/>
            </w:pPr>
            <w:r/>
            <w:r>
              <w:rPr>
                <w:rFonts w:ascii="Cambria" w:hAnsi="Cambria"/>
                <w:b w:val="0"/>
                <w:sz w:val="19"/>
              </w:rPr>
              <w:t>Exchange program records, student/faculty participation lists, feedback reports.</w:t>
            </w:r>
          </w:p>
        </w:tc>
      </w:tr>
      <w:tr>
        <w:tc>
          <w:tcPr>
            <w:tcW w:type="dxa" w:w="2835"/>
            <w:tcW w:w="2835" w:type="dxa"/>
          </w:tcPr>
          <w:p>
            <w:pPr>
              <w:jc w:val="left"/>
            </w:pPr>
            <w:r/>
            <w:r>
              <w:rPr>
                <w:rFonts w:ascii="Cambria" w:hAnsi="Cambria"/>
                <w:b w:val="0"/>
                <w:sz w:val="19"/>
              </w:rPr>
              <w:t>Coordinates alumni and community engagement</w:t>
            </w:r>
          </w:p>
        </w:tc>
        <w:tc>
          <w:tcPr>
            <w:tcW w:type="dxa" w:w="3345"/>
            <w:tcW w:w="3345" w:type="dxa"/>
          </w:tcPr>
          <w:p>
            <w:pPr>
              <w:jc w:val="center"/>
            </w:pPr>
            <w:r/>
            <w:r>
              <w:rPr>
                <w:rFonts w:ascii="Cambria" w:hAnsi="Cambria"/>
                <w:b w:val="0"/>
                <w:sz w:val="19"/>
              </w:rPr>
              <w:t>Strengthens alumni relations; mobilizes resources and mentorship for students.</w:t>
            </w:r>
          </w:p>
        </w:tc>
        <w:tc>
          <w:tcPr>
            <w:tcW w:type="dxa" w:w="2948"/>
            <w:tcW w:w="2948" w:type="dxa"/>
          </w:tcPr>
          <w:p>
            <w:pPr>
              <w:jc w:val="center"/>
            </w:pPr>
            <w:r/>
            <w:r>
              <w:rPr>
                <w:rFonts w:ascii="Cambria" w:hAnsi="Cambria"/>
                <w:b w:val="0"/>
                <w:sz w:val="19"/>
              </w:rPr>
              <w:t>Alumni event reports, fundraising records, mentorship program logs.</w:t>
            </w:r>
          </w:p>
        </w:tc>
      </w:tr>
      <w:tr>
        <w:tc>
          <w:tcPr>
            <w:tcW w:type="dxa" w:w="2835"/>
            <w:tcW w:w="2835" w:type="dxa"/>
            <w:shd w:val="clear" w:color="auto" w:fill="D9E2EC"/>
          </w:tcPr>
          <w:p>
            <w:pPr>
              <w:jc w:val="left"/>
            </w:pPr>
            <w:r/>
            <w:r>
              <w:rPr>
                <w:rFonts w:ascii="Cambria" w:hAnsi="Cambria"/>
                <w:b w:val="0"/>
                <w:sz w:val="19"/>
              </w:rPr>
              <w:t>Organizes institutional events and delegations</w:t>
            </w:r>
          </w:p>
        </w:tc>
        <w:tc>
          <w:tcPr>
            <w:tcW w:type="dxa" w:w="3345"/>
            <w:tcW w:w="3345" w:type="dxa"/>
            <w:shd w:val="clear" w:color="auto" w:fill="D9E2EC"/>
          </w:tcPr>
          <w:p>
            <w:pPr>
              <w:jc w:val="center"/>
            </w:pPr>
            <w:r/>
            <w:r>
              <w:rPr>
                <w:rFonts w:ascii="Cambria" w:hAnsi="Cambria"/>
                <w:b w:val="0"/>
                <w:sz w:val="19"/>
              </w:rPr>
              <w:t>Boosts university profile; fosters community and international linkages.</w:t>
            </w:r>
          </w:p>
        </w:tc>
        <w:tc>
          <w:tcPr>
            <w:tcW w:type="dxa" w:w="2948"/>
            <w:tcW w:w="2948" w:type="dxa"/>
            <w:shd w:val="clear" w:color="auto" w:fill="D9E2EC"/>
          </w:tcPr>
          <w:p>
            <w:pPr>
              <w:jc w:val="center"/>
            </w:pPr>
            <w:r/>
            <w:r>
              <w:rPr>
                <w:rFonts w:ascii="Cambria" w:hAnsi="Cambria"/>
                <w:b w:val="0"/>
                <w:sz w:val="19"/>
              </w:rPr>
              <w:t>Event calendars, guest participation records, media coverage, photo/video documentation.</w:t>
            </w:r>
          </w:p>
        </w:tc>
      </w:tr>
      <w:tr>
        <w:tc>
          <w:tcPr>
            <w:tcW w:type="dxa" w:w="2835"/>
            <w:tcW w:w="2835" w:type="dxa"/>
          </w:tcPr>
          <w:p>
            <w:pPr>
              <w:jc w:val="left"/>
            </w:pPr>
            <w:r/>
            <w:r>
              <w:rPr>
                <w:rFonts w:ascii="Cambria" w:hAnsi="Cambria"/>
                <w:b w:val="0"/>
                <w:sz w:val="19"/>
              </w:rPr>
              <w:t>Supports accreditation and ranking visibility</w:t>
            </w:r>
          </w:p>
        </w:tc>
        <w:tc>
          <w:tcPr>
            <w:tcW w:type="dxa" w:w="3345"/>
            <w:tcW w:w="3345" w:type="dxa"/>
          </w:tcPr>
          <w:p>
            <w:pPr>
              <w:jc w:val="center"/>
            </w:pPr>
            <w:r/>
            <w:r>
              <w:rPr>
                <w:rFonts w:ascii="Cambria" w:hAnsi="Cambria"/>
                <w:b w:val="0"/>
                <w:sz w:val="19"/>
              </w:rPr>
              <w:t>Improves standing in NAAC, NIRF, QS, and THE frameworks; highlights achievements.</w:t>
            </w:r>
          </w:p>
        </w:tc>
        <w:tc>
          <w:tcPr>
            <w:tcW w:type="dxa" w:w="2948"/>
            <w:tcW w:w="2948" w:type="dxa"/>
          </w:tcPr>
          <w:p>
            <w:pPr>
              <w:jc w:val="center"/>
            </w:pPr>
            <w:r/>
            <w:r>
              <w:rPr>
                <w:rFonts w:ascii="Cambria" w:hAnsi="Cambria"/>
                <w:b w:val="0"/>
                <w:sz w:val="19"/>
              </w:rPr>
              <w:t>Ranking submissions, accreditation reports, promotional material citing achievements.</w:t>
            </w:r>
          </w:p>
        </w:tc>
      </w:tr>
      <w:tr>
        <w:tc>
          <w:tcPr>
            <w:tcW w:type="dxa" w:w="2835"/>
            <w:tcW w:w="2835" w:type="dxa"/>
            <w:shd w:val="clear" w:color="auto" w:fill="D9E2EC"/>
          </w:tcPr>
          <w:p>
            <w:pPr>
              <w:jc w:val="left"/>
            </w:pPr>
            <w:r/>
            <w:r>
              <w:rPr>
                <w:rFonts w:ascii="Cambria" w:hAnsi="Cambria"/>
                <w:b w:val="0"/>
                <w:sz w:val="19"/>
              </w:rPr>
              <w:t>Manages social media and digital outreach</w:t>
            </w:r>
          </w:p>
        </w:tc>
        <w:tc>
          <w:tcPr>
            <w:tcW w:type="dxa" w:w="3345"/>
            <w:tcW w:w="3345" w:type="dxa"/>
            <w:shd w:val="clear" w:color="auto" w:fill="D9E2EC"/>
          </w:tcPr>
          <w:p>
            <w:pPr>
              <w:jc w:val="center"/>
            </w:pPr>
            <w:r/>
            <w:r>
              <w:rPr>
                <w:rFonts w:ascii="Cambria" w:hAnsi="Cambria"/>
                <w:b w:val="0"/>
                <w:sz w:val="19"/>
              </w:rPr>
              <w:t>Increases student engagement; attracts international applicants and collaborators.</w:t>
            </w:r>
          </w:p>
        </w:tc>
        <w:tc>
          <w:tcPr>
            <w:tcW w:type="dxa" w:w="2948"/>
            <w:tcW w:w="2948" w:type="dxa"/>
            <w:shd w:val="clear" w:color="auto" w:fill="D9E2EC"/>
          </w:tcPr>
          <w:p>
            <w:pPr>
              <w:jc w:val="center"/>
            </w:pPr>
            <w:r/>
            <w:r>
              <w:rPr>
                <w:rFonts w:ascii="Cambria" w:hAnsi="Cambria"/>
                <w:b w:val="0"/>
                <w:sz w:val="19"/>
              </w:rPr>
              <w:t>Social media dashboards, web analytics, digital campaign reports.</w:t>
            </w:r>
          </w:p>
        </w:tc>
      </w:tr>
      <w:tr>
        <w:tc>
          <w:tcPr>
            <w:tcW w:type="dxa" w:w="2835"/>
            <w:tcW w:w="2835" w:type="dxa"/>
          </w:tcPr>
          <w:p>
            <w:pPr>
              <w:jc w:val="left"/>
            </w:pPr>
            <w:r/>
            <w:r>
              <w:rPr>
                <w:rFonts w:ascii="Cambria" w:hAnsi="Cambria"/>
                <w:b w:val="0"/>
                <w:sz w:val="19"/>
              </w:rPr>
              <w:t>Handles crisis communication and reputation management</w:t>
            </w:r>
          </w:p>
        </w:tc>
        <w:tc>
          <w:tcPr>
            <w:tcW w:type="dxa" w:w="3345"/>
            <w:tcW w:w="3345" w:type="dxa"/>
          </w:tcPr>
          <w:p>
            <w:pPr>
              <w:jc w:val="center"/>
            </w:pPr>
            <w:r/>
            <w:r>
              <w:rPr>
                <w:rFonts w:ascii="Cambria" w:hAnsi="Cambria"/>
                <w:b w:val="0"/>
                <w:sz w:val="19"/>
              </w:rPr>
              <w:t>Protects institutional credibility during controversies or challenges.</w:t>
            </w:r>
          </w:p>
        </w:tc>
        <w:tc>
          <w:tcPr>
            <w:tcW w:type="dxa" w:w="2948"/>
            <w:tcW w:w="2948" w:type="dxa"/>
          </w:tcPr>
          <w:p>
            <w:pPr>
              <w:jc w:val="center"/>
            </w:pPr>
            <w:r/>
            <w:r>
              <w:rPr>
                <w:rFonts w:ascii="Cambria" w:hAnsi="Cambria"/>
                <w:b w:val="0"/>
                <w:sz w:val="19"/>
              </w:rPr>
              <w:t>Crisis communication plans, official statements, stakeholder feedback.</w:t>
            </w:r>
          </w:p>
        </w:tc>
      </w:tr>
    </w:tbl>
    <w:p>
      <w:pPr>
        <w:keepNext/>
        <w:spacing w:before="160" w:after="120"/>
      </w:pPr>
      <w:r>
        <w:rPr>
          <w:rFonts w:ascii="Cambria" w:hAnsi="Cambria"/>
          <w:b/>
          <w:color w:val="1F3A5F"/>
          <w:sz w:val="30"/>
        </w:rPr>
        <w:t>3-Year PR &amp; International Office Progress Tracker</w:t>
      </w:r>
    </w:p>
    <w:tbl>
      <w:tblPr>
        <w:tblW w:type="auto" w:w="0"/>
        <w:tblLayout w:type="fixed"/>
        <w:tblLook w:firstColumn="1" w:firstRow="1" w:lastColumn="0" w:lastRow="0" w:noHBand="0" w:noVBand="1" w:val="04A0"/>
        <w:tblLayout w:type="fixed"/>
      </w:tblPr>
      <w:tblGrid>
        <w:gridCol w:w="1927"/>
        <w:gridCol w:w="2438"/>
        <w:gridCol w:w="2438"/>
        <w:gridCol w:w="2324"/>
      </w:tblGrid>
      <w:tr>
        <w:tc>
          <w:tcPr>
            <w:tcW w:type="dxa" w:w="1928"/>
            <w:shd w:val="clear" w:color="auto" w:fill="1F3A5F"/>
            <w:tcW w:w="1927" w:type="dxa"/>
          </w:tcPr>
          <w:p>
            <w:pPr>
              <w:jc w:val="center"/>
            </w:pPr>
            <w:r/>
            <w:r>
              <w:rPr>
                <w:rFonts w:ascii="Cambria" w:hAnsi="Cambria"/>
                <w:b/>
                <w:color w:val="FFFFFF"/>
                <w:sz w:val="20"/>
              </w:rPr>
              <w:t>Focus Area</w:t>
            </w:r>
          </w:p>
        </w:tc>
        <w:tc>
          <w:tcPr>
            <w:tcW w:type="dxa" w:w="2438"/>
            <w:shd w:val="clear" w:color="auto" w:fill="1F3A5F"/>
            <w:tcW w:w="2438" w:type="dxa"/>
          </w:tcPr>
          <w:p>
            <w:pPr>
              <w:jc w:val="center"/>
            </w:pPr>
            <w:r/>
            <w:r>
              <w:rPr>
                <w:rFonts w:ascii="Cambria" w:hAnsi="Cambria"/>
                <w:b/>
                <w:color w:val="FFFFFF"/>
                <w:sz w:val="20"/>
              </w:rPr>
              <w:t>Year 1 – Foundation</w:t>
            </w:r>
          </w:p>
        </w:tc>
        <w:tc>
          <w:tcPr>
            <w:tcW w:type="dxa" w:w="2438"/>
            <w:shd w:val="clear" w:color="auto" w:fill="1F3A5F"/>
            <w:tcW w:w="2438" w:type="dxa"/>
          </w:tcPr>
          <w:p>
            <w:pPr>
              <w:jc w:val="center"/>
            </w:pPr>
            <w:r/>
            <w:r>
              <w:rPr>
                <w:rFonts w:ascii="Cambria" w:hAnsi="Cambria"/>
                <w:b/>
                <w:color w:val="FFFFFF"/>
                <w:sz w:val="20"/>
              </w:rPr>
              <w:t>Year 2 – Growth &amp; Consolidation</w:t>
            </w:r>
          </w:p>
        </w:tc>
        <w:tc>
          <w:tcPr>
            <w:tcW w:type="dxa" w:w="2324"/>
            <w:shd w:val="clear" w:color="auto" w:fill="1F3A5F"/>
            <w:tcW w:w="2324" w:type="dxa"/>
          </w:tcPr>
          <w:p>
            <w:pPr>
              <w:jc w:val="center"/>
            </w:pPr>
            <w:r/>
            <w:r>
              <w:rPr>
                <w:rFonts w:ascii="Cambria" w:hAnsi="Cambria"/>
                <w:b/>
                <w:color w:val="FFFFFF"/>
                <w:sz w:val="20"/>
              </w:rPr>
              <w:t>Year 3 – Maturity &amp; Global Recognition</w:t>
            </w:r>
          </w:p>
        </w:tc>
      </w:tr>
      <w:tr>
        <w:tc>
          <w:tcPr>
            <w:tcW w:type="dxa" w:w="1928"/>
            <w:tcW w:w="1927" w:type="dxa"/>
          </w:tcPr>
          <w:p>
            <w:pPr>
              <w:jc w:val="left"/>
            </w:pPr>
            <w:r/>
            <w:r>
              <w:rPr>
                <w:rFonts w:ascii="Cambria" w:hAnsi="Cambria"/>
                <w:b w:val="0"/>
                <w:sz w:val="18"/>
              </w:rPr>
              <w:t>Branding &amp; Visibility</w:t>
            </w:r>
          </w:p>
        </w:tc>
        <w:tc>
          <w:tcPr>
            <w:tcW w:type="dxa" w:w="2438"/>
            <w:tcW w:w="2438" w:type="dxa"/>
          </w:tcPr>
          <w:p>
            <w:pPr>
              <w:jc w:val="center"/>
            </w:pPr>
            <w:r/>
            <w:r>
              <w:rPr>
                <w:rFonts w:ascii="Cambria" w:hAnsi="Cambria"/>
                <w:b w:val="0"/>
                <w:sz w:val="18"/>
              </w:rPr>
              <w:t>Standardized branding guidelines released; university website and social media streamlined.</w:t>
            </w:r>
          </w:p>
        </w:tc>
        <w:tc>
          <w:tcPr>
            <w:tcW w:type="dxa" w:w="2438"/>
            <w:tcW w:w="2438" w:type="dxa"/>
          </w:tcPr>
          <w:p>
            <w:pPr>
              <w:jc w:val="center"/>
            </w:pPr>
            <w:r/>
            <w:r>
              <w:rPr>
                <w:rFonts w:ascii="Cambria" w:hAnsi="Cambria"/>
                <w:b w:val="0"/>
                <w:sz w:val="18"/>
              </w:rPr>
              <w:t>University featured regularly in regional/national media; consistent brand identity across platforms.</w:t>
            </w:r>
          </w:p>
        </w:tc>
        <w:tc>
          <w:tcPr>
            <w:tcW w:type="dxa" w:w="2324"/>
            <w:tcW w:w="2324" w:type="dxa"/>
          </w:tcPr>
          <w:p>
            <w:pPr>
              <w:jc w:val="center"/>
            </w:pPr>
            <w:r/>
            <w:r>
              <w:rPr>
                <w:rFonts w:ascii="Cambria" w:hAnsi="Cambria"/>
                <w:b w:val="0"/>
                <w:sz w:val="18"/>
              </w:rPr>
              <w:t>University recognized as a national leader; brand visibility extended to global education markets.</w:t>
            </w:r>
          </w:p>
        </w:tc>
      </w:tr>
      <w:tr>
        <w:tc>
          <w:tcPr>
            <w:tcW w:type="dxa" w:w="1928"/>
            <w:tcW w:w="1927" w:type="dxa"/>
            <w:shd w:val="clear" w:color="auto" w:fill="D9E2EC"/>
          </w:tcPr>
          <w:p>
            <w:pPr>
              <w:jc w:val="left"/>
            </w:pPr>
            <w:r/>
            <w:r>
              <w:rPr>
                <w:rFonts w:ascii="Cambria" w:hAnsi="Cambria"/>
                <w:b w:val="0"/>
                <w:sz w:val="18"/>
              </w:rPr>
              <w:t>Media Relations</w:t>
            </w:r>
          </w:p>
        </w:tc>
        <w:tc>
          <w:tcPr>
            <w:tcW w:type="dxa" w:w="2438"/>
            <w:tcW w:w="2438" w:type="dxa"/>
            <w:shd w:val="clear" w:color="auto" w:fill="D9E2EC"/>
          </w:tcPr>
          <w:p>
            <w:pPr>
              <w:jc w:val="center"/>
            </w:pPr>
            <w:r/>
            <w:r>
              <w:rPr>
                <w:rFonts w:ascii="Cambria" w:hAnsi="Cambria"/>
                <w:b w:val="0"/>
                <w:sz w:val="18"/>
              </w:rPr>
              <w:t>Establishes media contacts; begins issuing press releases and coverage of key events.</w:t>
            </w:r>
          </w:p>
        </w:tc>
        <w:tc>
          <w:tcPr>
            <w:tcW w:type="dxa" w:w="2438"/>
            <w:tcW w:w="2438" w:type="dxa"/>
            <w:shd w:val="clear" w:color="auto" w:fill="D9E2EC"/>
          </w:tcPr>
          <w:p>
            <w:pPr>
              <w:jc w:val="center"/>
            </w:pPr>
            <w:r/>
            <w:r>
              <w:rPr>
                <w:rFonts w:ascii="Cambria" w:hAnsi="Cambria"/>
                <w:b w:val="0"/>
                <w:sz w:val="18"/>
              </w:rPr>
              <w:t>Builds sustained media presence; positive image in national education press.</w:t>
            </w:r>
          </w:p>
        </w:tc>
        <w:tc>
          <w:tcPr>
            <w:tcW w:type="dxa" w:w="2324"/>
            <w:tcW w:w="2324" w:type="dxa"/>
            <w:shd w:val="clear" w:color="auto" w:fill="D9E2EC"/>
          </w:tcPr>
          <w:p>
            <w:pPr>
              <w:jc w:val="center"/>
            </w:pPr>
            <w:r/>
            <w:r>
              <w:rPr>
                <w:rFonts w:ascii="Cambria" w:hAnsi="Cambria"/>
                <w:b w:val="0"/>
                <w:sz w:val="18"/>
              </w:rPr>
              <w:t>Global media coverage of institutional achievements; reputation established internationally.</w:t>
            </w:r>
          </w:p>
        </w:tc>
      </w:tr>
      <w:tr>
        <w:tc>
          <w:tcPr>
            <w:tcW w:type="dxa" w:w="1928"/>
            <w:tcW w:w="1927" w:type="dxa"/>
          </w:tcPr>
          <w:p>
            <w:pPr>
              <w:jc w:val="left"/>
            </w:pPr>
            <w:r/>
            <w:r>
              <w:rPr>
                <w:rFonts w:ascii="Cambria" w:hAnsi="Cambria"/>
                <w:b w:val="0"/>
                <w:sz w:val="18"/>
              </w:rPr>
              <w:t>International Collaborations</w:t>
            </w:r>
          </w:p>
        </w:tc>
        <w:tc>
          <w:tcPr>
            <w:tcW w:type="dxa" w:w="2438"/>
            <w:tcW w:w="2438" w:type="dxa"/>
          </w:tcPr>
          <w:p>
            <w:pPr>
              <w:jc w:val="center"/>
            </w:pPr>
            <w:r/>
            <w:r>
              <w:rPr>
                <w:rFonts w:ascii="Cambria" w:hAnsi="Cambria"/>
                <w:b w:val="0"/>
                <w:sz w:val="18"/>
              </w:rPr>
              <w:t>Initial MoUs signed with select foreign universities.</w:t>
            </w:r>
          </w:p>
        </w:tc>
        <w:tc>
          <w:tcPr>
            <w:tcW w:type="dxa" w:w="2438"/>
            <w:tcW w:w="2438" w:type="dxa"/>
          </w:tcPr>
          <w:p>
            <w:pPr>
              <w:jc w:val="center"/>
            </w:pPr>
            <w:r/>
            <w:r>
              <w:rPr>
                <w:rFonts w:ascii="Cambria" w:hAnsi="Cambria"/>
                <w:b w:val="0"/>
                <w:sz w:val="18"/>
              </w:rPr>
              <w:t>Active collaborations leading to student/faculty exchanges and joint conferences.</w:t>
            </w:r>
          </w:p>
        </w:tc>
        <w:tc>
          <w:tcPr>
            <w:tcW w:type="dxa" w:w="2324"/>
            <w:tcW w:w="2324" w:type="dxa"/>
          </w:tcPr>
          <w:p>
            <w:pPr>
              <w:jc w:val="center"/>
            </w:pPr>
            <w:r/>
            <w:r>
              <w:rPr>
                <w:rFonts w:ascii="Cambria" w:hAnsi="Cambria"/>
                <w:b w:val="0"/>
                <w:sz w:val="18"/>
              </w:rPr>
              <w:t>Robust global partnerships with research projects, dual degrees, and international funding.</w:t>
            </w:r>
          </w:p>
        </w:tc>
      </w:tr>
      <w:tr>
        <w:tc>
          <w:tcPr>
            <w:tcW w:type="dxa" w:w="1928"/>
            <w:tcW w:w="1927" w:type="dxa"/>
            <w:shd w:val="clear" w:color="auto" w:fill="D9E2EC"/>
          </w:tcPr>
          <w:p>
            <w:pPr>
              <w:jc w:val="left"/>
            </w:pPr>
            <w:r/>
            <w:r>
              <w:rPr>
                <w:rFonts w:ascii="Cambria" w:hAnsi="Cambria"/>
                <w:b w:val="0"/>
                <w:sz w:val="18"/>
              </w:rPr>
              <w:t>Student &amp; Faculty Exchange Programs</w:t>
            </w:r>
          </w:p>
        </w:tc>
        <w:tc>
          <w:tcPr>
            <w:tcW w:type="dxa" w:w="2438"/>
            <w:tcW w:w="2438" w:type="dxa"/>
            <w:shd w:val="clear" w:color="auto" w:fill="D9E2EC"/>
          </w:tcPr>
          <w:p>
            <w:pPr>
              <w:jc w:val="center"/>
            </w:pPr>
            <w:r/>
            <w:r>
              <w:rPr>
                <w:rFonts w:ascii="Cambria" w:hAnsi="Cambria"/>
                <w:b w:val="0"/>
                <w:sz w:val="18"/>
              </w:rPr>
              <w:t>Pilot exchange programs launched with limited partners.</w:t>
            </w:r>
          </w:p>
        </w:tc>
        <w:tc>
          <w:tcPr>
            <w:tcW w:type="dxa" w:w="2438"/>
            <w:tcW w:w="2438" w:type="dxa"/>
            <w:shd w:val="clear" w:color="auto" w:fill="D9E2EC"/>
          </w:tcPr>
          <w:p>
            <w:pPr>
              <w:jc w:val="center"/>
            </w:pPr>
            <w:r/>
            <w:r>
              <w:rPr>
                <w:rFonts w:ascii="Cambria" w:hAnsi="Cambria"/>
                <w:b w:val="0"/>
                <w:sz w:val="18"/>
              </w:rPr>
              <w:t>Expanded participation in regional/global mobility schemes (e.g., Erasmus, Fulbright).</w:t>
            </w:r>
          </w:p>
        </w:tc>
        <w:tc>
          <w:tcPr>
            <w:tcW w:type="dxa" w:w="2324"/>
            <w:tcW w:w="2324" w:type="dxa"/>
            <w:shd w:val="clear" w:color="auto" w:fill="D9E2EC"/>
          </w:tcPr>
          <w:p>
            <w:pPr>
              <w:jc w:val="center"/>
            </w:pPr>
            <w:r/>
            <w:r>
              <w:rPr>
                <w:rFonts w:ascii="Cambria" w:hAnsi="Cambria"/>
                <w:b w:val="0"/>
                <w:sz w:val="18"/>
              </w:rPr>
              <w:t>Large-scale participation; university becomes a preferred destination for inbound international students.</w:t>
            </w:r>
          </w:p>
        </w:tc>
      </w:tr>
      <w:tr>
        <w:tc>
          <w:tcPr>
            <w:tcW w:type="dxa" w:w="1928"/>
            <w:tcW w:w="1927" w:type="dxa"/>
          </w:tcPr>
          <w:p>
            <w:pPr>
              <w:jc w:val="left"/>
            </w:pPr>
            <w:r/>
            <w:r>
              <w:rPr>
                <w:rFonts w:ascii="Cambria" w:hAnsi="Cambria"/>
                <w:b w:val="0"/>
                <w:sz w:val="18"/>
              </w:rPr>
              <w:t>Alumni &amp; Community Engagement</w:t>
            </w:r>
          </w:p>
        </w:tc>
        <w:tc>
          <w:tcPr>
            <w:tcW w:type="dxa" w:w="2438"/>
            <w:tcW w:w="2438" w:type="dxa"/>
          </w:tcPr>
          <w:p>
            <w:pPr>
              <w:jc w:val="center"/>
            </w:pPr>
            <w:r/>
            <w:r>
              <w:rPr>
                <w:rFonts w:ascii="Cambria" w:hAnsi="Cambria"/>
                <w:b w:val="0"/>
                <w:sz w:val="18"/>
              </w:rPr>
              <w:t>Alumni network database created; first alumni meet organized.</w:t>
            </w:r>
          </w:p>
        </w:tc>
        <w:tc>
          <w:tcPr>
            <w:tcW w:type="dxa" w:w="2438"/>
            <w:tcW w:w="2438" w:type="dxa"/>
          </w:tcPr>
          <w:p>
            <w:pPr>
              <w:jc w:val="center"/>
            </w:pPr>
            <w:r/>
            <w:r>
              <w:rPr>
                <w:rFonts w:ascii="Cambria" w:hAnsi="Cambria"/>
                <w:b w:val="0"/>
                <w:sz w:val="18"/>
              </w:rPr>
              <w:t>Alumni contribute to scholarships, internships, and mentorship programs.</w:t>
            </w:r>
          </w:p>
        </w:tc>
        <w:tc>
          <w:tcPr>
            <w:tcW w:type="dxa" w:w="2324"/>
            <w:tcW w:w="2324" w:type="dxa"/>
          </w:tcPr>
          <w:p>
            <w:pPr>
              <w:jc w:val="center"/>
            </w:pPr>
            <w:r/>
            <w:r>
              <w:rPr>
                <w:rFonts w:ascii="Cambria" w:hAnsi="Cambria"/>
                <w:b w:val="0"/>
                <w:sz w:val="18"/>
              </w:rPr>
              <w:t>Strong alumni-driven funding and international mentoring networks institutionalized.</w:t>
            </w:r>
          </w:p>
        </w:tc>
      </w:tr>
      <w:tr>
        <w:tc>
          <w:tcPr>
            <w:tcW w:type="dxa" w:w="1928"/>
            <w:tcW w:w="1927" w:type="dxa"/>
            <w:shd w:val="clear" w:color="auto" w:fill="D9E2EC"/>
          </w:tcPr>
          <w:p>
            <w:pPr>
              <w:jc w:val="left"/>
            </w:pPr>
            <w:r/>
            <w:r>
              <w:rPr>
                <w:rFonts w:ascii="Cambria" w:hAnsi="Cambria"/>
                <w:b w:val="0"/>
                <w:sz w:val="18"/>
              </w:rPr>
              <w:t>Institutional Events &amp; Delegations</w:t>
            </w:r>
          </w:p>
        </w:tc>
        <w:tc>
          <w:tcPr>
            <w:tcW w:type="dxa" w:w="2438"/>
            <w:tcW w:w="2438" w:type="dxa"/>
            <w:shd w:val="clear" w:color="auto" w:fill="D9E2EC"/>
          </w:tcPr>
          <w:p>
            <w:pPr>
              <w:jc w:val="center"/>
            </w:pPr>
            <w:r/>
            <w:r>
              <w:rPr>
                <w:rFonts w:ascii="Cambria" w:hAnsi="Cambria"/>
                <w:b w:val="0"/>
                <w:sz w:val="18"/>
              </w:rPr>
              <w:t>Organizes national-level events and international guest lectures.</w:t>
            </w:r>
          </w:p>
        </w:tc>
        <w:tc>
          <w:tcPr>
            <w:tcW w:type="dxa" w:w="2438"/>
            <w:tcW w:w="2438" w:type="dxa"/>
            <w:shd w:val="clear" w:color="auto" w:fill="D9E2EC"/>
          </w:tcPr>
          <w:p>
            <w:pPr>
              <w:jc w:val="center"/>
            </w:pPr>
            <w:r/>
            <w:r>
              <w:rPr>
                <w:rFonts w:ascii="Cambria" w:hAnsi="Cambria"/>
                <w:b w:val="0"/>
                <w:sz w:val="18"/>
              </w:rPr>
              <w:t>Hosts international delegations and conferences; institutional achievements showcased.</w:t>
            </w:r>
          </w:p>
        </w:tc>
        <w:tc>
          <w:tcPr>
            <w:tcW w:type="dxa" w:w="2324"/>
            <w:tcW w:w="2324" w:type="dxa"/>
            <w:shd w:val="clear" w:color="auto" w:fill="D9E2EC"/>
          </w:tcPr>
          <w:p>
            <w:pPr>
              <w:jc w:val="center"/>
            </w:pPr>
            <w:r/>
            <w:r>
              <w:rPr>
                <w:rFonts w:ascii="Cambria" w:hAnsi="Cambria"/>
                <w:b w:val="0"/>
                <w:sz w:val="18"/>
              </w:rPr>
              <w:t>University organizes flagship global academic and cultural events.</w:t>
            </w:r>
          </w:p>
        </w:tc>
      </w:tr>
      <w:tr>
        <w:tc>
          <w:tcPr>
            <w:tcW w:type="dxa" w:w="1928"/>
            <w:tcW w:w="1927" w:type="dxa"/>
          </w:tcPr>
          <w:p>
            <w:pPr>
              <w:jc w:val="left"/>
            </w:pPr>
            <w:r/>
            <w:r>
              <w:rPr>
                <w:rFonts w:ascii="Cambria" w:hAnsi="Cambria"/>
                <w:b w:val="0"/>
                <w:sz w:val="18"/>
              </w:rPr>
              <w:t>Accreditation &amp; Rankings Support</w:t>
            </w:r>
          </w:p>
        </w:tc>
        <w:tc>
          <w:tcPr>
            <w:tcW w:type="dxa" w:w="2438"/>
            <w:tcW w:w="2438" w:type="dxa"/>
          </w:tcPr>
          <w:p>
            <w:pPr>
              <w:jc w:val="center"/>
            </w:pPr>
            <w:r/>
            <w:r>
              <w:rPr>
                <w:rFonts w:ascii="Cambria" w:hAnsi="Cambria"/>
                <w:b w:val="0"/>
                <w:sz w:val="18"/>
              </w:rPr>
              <w:t>Baseline data provided for NAAC, NIRF, and QS reporting.</w:t>
            </w:r>
          </w:p>
        </w:tc>
        <w:tc>
          <w:tcPr>
            <w:tcW w:type="dxa" w:w="2438"/>
            <w:tcW w:w="2438" w:type="dxa"/>
          </w:tcPr>
          <w:p>
            <w:pPr>
              <w:jc w:val="center"/>
            </w:pPr>
            <w:r/>
            <w:r>
              <w:rPr>
                <w:rFonts w:ascii="Cambria" w:hAnsi="Cambria"/>
                <w:b w:val="0"/>
                <w:sz w:val="18"/>
              </w:rPr>
              <w:t>Institutional achievements promoted through PR campaigns for ranking visibility.</w:t>
            </w:r>
          </w:p>
        </w:tc>
        <w:tc>
          <w:tcPr>
            <w:tcW w:type="dxa" w:w="2324"/>
            <w:tcW w:w="2324" w:type="dxa"/>
          </w:tcPr>
          <w:p>
            <w:pPr>
              <w:jc w:val="center"/>
            </w:pPr>
            <w:r/>
            <w:r>
              <w:rPr>
                <w:rFonts w:ascii="Cambria" w:hAnsi="Cambria"/>
                <w:b w:val="0"/>
                <w:sz w:val="18"/>
              </w:rPr>
              <w:t>Improved QS/THE/NIRF positioning; university recognized in global subject rankings.</w:t>
            </w:r>
          </w:p>
        </w:tc>
      </w:tr>
      <w:tr>
        <w:tc>
          <w:tcPr>
            <w:tcW w:type="dxa" w:w="1928"/>
            <w:tcW w:w="1927" w:type="dxa"/>
            <w:shd w:val="clear" w:color="auto" w:fill="D9E2EC"/>
          </w:tcPr>
          <w:p>
            <w:pPr>
              <w:jc w:val="left"/>
            </w:pPr>
            <w:r/>
            <w:r>
              <w:rPr>
                <w:rFonts w:ascii="Cambria" w:hAnsi="Cambria"/>
                <w:b w:val="0"/>
                <w:sz w:val="18"/>
              </w:rPr>
              <w:t>Digital &amp; Social Media Outreach</w:t>
            </w:r>
          </w:p>
        </w:tc>
        <w:tc>
          <w:tcPr>
            <w:tcW w:type="dxa" w:w="2438"/>
            <w:tcW w:w="2438" w:type="dxa"/>
            <w:shd w:val="clear" w:color="auto" w:fill="D9E2EC"/>
          </w:tcPr>
          <w:p>
            <w:pPr>
              <w:jc w:val="center"/>
            </w:pPr>
            <w:r/>
            <w:r>
              <w:rPr>
                <w:rFonts w:ascii="Cambria" w:hAnsi="Cambria"/>
                <w:b w:val="0"/>
                <w:sz w:val="18"/>
              </w:rPr>
              <w:t>Establishes official social media presence; starts engagement campaigns.</w:t>
            </w:r>
          </w:p>
        </w:tc>
        <w:tc>
          <w:tcPr>
            <w:tcW w:type="dxa" w:w="2438"/>
            <w:tcW w:w="2438" w:type="dxa"/>
            <w:shd w:val="clear" w:color="auto" w:fill="D9E2EC"/>
          </w:tcPr>
          <w:p>
            <w:pPr>
              <w:jc w:val="center"/>
            </w:pPr>
            <w:r/>
            <w:r>
              <w:rPr>
                <w:rFonts w:ascii="Cambria" w:hAnsi="Cambria"/>
                <w:b w:val="0"/>
                <w:sz w:val="18"/>
              </w:rPr>
              <w:t>High student engagement rates; targeted campaigns for international students.</w:t>
            </w:r>
          </w:p>
        </w:tc>
        <w:tc>
          <w:tcPr>
            <w:tcW w:type="dxa" w:w="2324"/>
            <w:tcW w:w="2324" w:type="dxa"/>
            <w:shd w:val="clear" w:color="auto" w:fill="D9E2EC"/>
          </w:tcPr>
          <w:p>
            <w:pPr>
              <w:jc w:val="center"/>
            </w:pPr>
            <w:r/>
            <w:r>
              <w:rPr>
                <w:rFonts w:ascii="Cambria" w:hAnsi="Cambria"/>
                <w:b w:val="0"/>
                <w:sz w:val="18"/>
              </w:rPr>
              <w:t>Global reach campaigns; significant increase in international applications and collaborations.</w:t>
            </w:r>
          </w:p>
        </w:tc>
      </w:tr>
      <w:tr>
        <w:tc>
          <w:tcPr>
            <w:tcW w:type="dxa" w:w="1928"/>
            <w:tcW w:w="1927" w:type="dxa"/>
          </w:tcPr>
          <w:p>
            <w:pPr>
              <w:jc w:val="left"/>
            </w:pPr>
            <w:r/>
            <w:r>
              <w:rPr>
                <w:rFonts w:ascii="Cambria" w:hAnsi="Cambria"/>
                <w:b w:val="0"/>
                <w:sz w:val="18"/>
              </w:rPr>
              <w:t>Reputation &amp; Crisis Management</w:t>
            </w:r>
          </w:p>
        </w:tc>
        <w:tc>
          <w:tcPr>
            <w:tcW w:type="dxa" w:w="2438"/>
            <w:tcW w:w="2438" w:type="dxa"/>
          </w:tcPr>
          <w:p>
            <w:pPr>
              <w:jc w:val="center"/>
            </w:pPr>
            <w:r/>
            <w:r>
              <w:rPr>
                <w:rFonts w:ascii="Cambria" w:hAnsi="Cambria"/>
                <w:b w:val="0"/>
                <w:sz w:val="18"/>
              </w:rPr>
              <w:t>Crisis communication framework developed.</w:t>
            </w:r>
          </w:p>
        </w:tc>
        <w:tc>
          <w:tcPr>
            <w:tcW w:type="dxa" w:w="2438"/>
            <w:tcW w:w="2438" w:type="dxa"/>
          </w:tcPr>
          <w:p>
            <w:pPr>
              <w:jc w:val="center"/>
            </w:pPr>
            <w:r/>
            <w:r>
              <w:rPr>
                <w:rFonts w:ascii="Cambria" w:hAnsi="Cambria"/>
                <w:b w:val="0"/>
                <w:sz w:val="18"/>
              </w:rPr>
              <w:t>Tested and refined through simulations or minor issues; quick response protocols established.</w:t>
            </w:r>
          </w:p>
        </w:tc>
        <w:tc>
          <w:tcPr>
            <w:tcW w:type="dxa" w:w="2324"/>
            <w:tcW w:w="2324" w:type="dxa"/>
          </w:tcPr>
          <w:p>
            <w:pPr>
              <w:jc w:val="center"/>
            </w:pPr>
            <w:r/>
            <w:r>
              <w:rPr>
                <w:rFonts w:ascii="Cambria" w:hAnsi="Cambria"/>
                <w:b w:val="0"/>
                <w:sz w:val="18"/>
              </w:rPr>
              <w:t>Robust reputation management; university recognized for transparency and credibility in crisis handling.</w:t>
            </w:r>
          </w:p>
        </w:tc>
      </w:tr>
    </w:tbl>
    <w:p>
      <w:r>
        <w:br w:type="page"/>
      </w:r>
    </w:p>
    <w:p>
      <w:pPr>
        <w:keepNext/>
        <w:spacing w:before="240" w:after="120"/>
      </w:pPr>
      <w:r>
        <w:rPr>
          <w:rFonts w:ascii="Cambria" w:hAnsi="Cambria"/>
          <w:b/>
          <w:color w:val="1F3A5F"/>
          <w:sz w:val="36"/>
        </w:rPr>
        <w:t>16. References</w:t>
      </w:r>
    </w:p>
    <w:p>
      <w:pPr>
        <w:keepNext/>
        <w:spacing w:before="160" w:after="120"/>
      </w:pPr>
      <w:r>
        <w:rPr>
          <w:rFonts w:ascii="Cambria" w:hAnsi="Cambria"/>
          <w:b/>
          <w:color w:val="1F3A5F"/>
          <w:sz w:val="30"/>
        </w:rPr>
        <w:t>NBA</w:t>
      </w:r>
    </w:p>
    <w:p>
      <w:pPr>
        <w:ind w:left="357" w:hanging="357"/>
        <w:jc w:val="both"/>
      </w:pPr>
      <w:r>
        <w:rPr>
          <w:rFonts w:ascii="Cambria" w:hAnsi="Cambria"/>
          <w:sz w:val="22"/>
        </w:rPr>
        <w:t>1. NBA Accreditation Process for Tier-1 Institutions – Criterion 1: Outcome-Based Curriculum: Vision, Mission, PEOs, Curriculum Structure, CO–PO–PSO Mapping, and Articulation Framework, Kindle Edition, ASIN: B0FPDCG13D</w:t>
        <w:br/>
        <w:t>https://amzn.in/d/4fcc0jE</w:t>
      </w:r>
    </w:p>
    <w:p>
      <w:pPr>
        <w:ind w:left="357" w:hanging="357"/>
        <w:jc w:val="both"/>
      </w:pPr>
      <w:r>
        <w:rPr>
          <w:rFonts w:ascii="Cambria" w:hAnsi="Cambria"/>
          <w:sz w:val="22"/>
        </w:rPr>
        <w:t>2. NBA Accreditation Process for Tier-1 Institutions – Criterion 2: Outcome-Based Teaching–Learning (OBTL): A Framework of Systematic Processes, Evidence-Based Practices, and CQI in OBE, Kindle Edition, ASIN: B0FPG4KFB1</w:t>
        <w:br/>
        <w:t>https://amzn.in/d/g1bchNl</w:t>
      </w:r>
    </w:p>
    <w:p>
      <w:pPr>
        <w:ind w:left="357" w:hanging="357"/>
        <w:jc w:val="both"/>
      </w:pPr>
      <w:r>
        <w:rPr>
          <w:rFonts w:ascii="Cambria" w:hAnsi="Cambria"/>
          <w:sz w:val="22"/>
        </w:rPr>
        <w:t>3. NBA Accreditation Process for Tier-1 Institutions – Criterion 3: Outcome-Based Assessment: Framework for Evaluating COs, POs, and PSOs in Compliance with NBA Accreditation Standards, Kindle Edition, ASIN: B0FQBQ21S1</w:t>
        <w:br/>
        <w:t>https://amzn.in/d/a2nGhnx</w:t>
      </w:r>
    </w:p>
    <w:p>
      <w:pPr>
        <w:ind w:left="357" w:hanging="357"/>
        <w:jc w:val="both"/>
      </w:pPr>
      <w:r>
        <w:rPr>
          <w:rFonts w:ascii="Cambria" w:hAnsi="Cambria"/>
          <w:sz w:val="22"/>
        </w:rPr>
        <w:t>4. NBA Accreditation Process for Tier-1 Institutions – Criterion 4: Students' Performance: Evaluating Enrolment, Academic Success, and Career Outcomes in Higher Education, Kindle Edition, ASIN: B0FR3JHMXS</w:t>
        <w:br/>
        <w:t>https://amzn.in/d/dry9IRW</w:t>
      </w:r>
    </w:p>
    <w:p>
      <w:pPr>
        <w:ind w:left="357" w:hanging="357"/>
        <w:jc w:val="both"/>
      </w:pPr>
      <w:r>
        <w:rPr>
          <w:rFonts w:ascii="Cambria" w:hAnsi="Cambria"/>
          <w:sz w:val="22"/>
        </w:rPr>
        <w:t>5. NBA Accreditation Process for Tier-1 Institutions – Criterion 5: Faculty Information: Evaluating Faculty Strength, Qualifications, and Development in Higher Education Institutions, Kindle Edition, ASIN: B0FR3DBZ3B</w:t>
        <w:br/>
        <w:t>https://amzn.in/d/a1344lj</w:t>
      </w:r>
    </w:p>
    <w:p>
      <w:pPr>
        <w:ind w:left="357" w:hanging="357"/>
        <w:jc w:val="both"/>
      </w:pPr>
      <w:r>
        <w:rPr>
          <w:rFonts w:ascii="Cambria" w:hAnsi="Cambria"/>
          <w:sz w:val="22"/>
        </w:rPr>
        <w:t>6. NBA Accreditation Process for Tier-1 Institutions – Criterion 6: Faculty Contribution: Recognizing Professional Development, Research, and Institutional Growth, Kindle Edition, ASIN: B0FR1JLR73</w:t>
        <w:br/>
        <w:t>https://amzn.in/d/98KXO4k</w:t>
      </w:r>
    </w:p>
    <w:p>
      <w:pPr>
        <w:ind w:left="357" w:hanging="357"/>
        <w:jc w:val="both"/>
      </w:pPr>
      <w:r>
        <w:rPr>
          <w:rFonts w:ascii="Cambria" w:hAnsi="Cambria"/>
          <w:sz w:val="22"/>
        </w:rPr>
        <w:t>7. NBA Accreditation Process for Tier-1 Institutions – Criterion 7: Facilities and Technical Support: A Comprehensive Guide to Facilities, Laboratories, and Technical Support in Accreditation, Kindle Edition, ASIN: B0FQPHYBRC</w:t>
        <w:br/>
        <w:t>https://amzn.in/d/9kAkdLZ</w:t>
      </w:r>
    </w:p>
    <w:p>
      <w:pPr>
        <w:ind w:left="357" w:hanging="357"/>
        <w:jc w:val="both"/>
      </w:pPr>
      <w:r>
        <w:rPr>
          <w:rFonts w:ascii="Cambria" w:hAnsi="Cambria"/>
          <w:sz w:val="22"/>
        </w:rPr>
        <w:t>8. NBA Accreditation Process for Tier-1 Institutions – Criterion 8: Continuous Improvement: Closing the Loop in Outcome-Based Education for Quality Enhancement, Kindle Edition, ASIN: B0FQJ75CNV</w:t>
        <w:br/>
        <w:t>https://amzn.in/d/1Vco5Ye</w:t>
      </w:r>
    </w:p>
    <w:p>
      <w:pPr>
        <w:ind w:left="357" w:hanging="357"/>
        <w:jc w:val="both"/>
      </w:pPr>
      <w:r>
        <w:rPr>
          <w:rFonts w:ascii="Cambria" w:hAnsi="Cambria"/>
          <w:sz w:val="22"/>
        </w:rPr>
        <w:t>9. NBA Accreditation Process for Tier-1 Institutions – Criterion 9: Student Support System and Governance: A Framework for Student Support, Governance, and Institutional Accountability in HEIs, Kindle Edition, ASIN: B0FQJ2KHPC</w:t>
        <w:br/>
        <w:t>https://amzn.in/d/dYBQik0</w:t>
      </w:r>
    </w:p>
    <w:p>
      <w:pPr>
        <w:keepNext/>
        <w:spacing w:before="160" w:after="120"/>
      </w:pPr>
      <w:r>
        <w:rPr>
          <w:rFonts w:ascii="Cambria" w:hAnsi="Cambria"/>
          <w:b/>
          <w:color w:val="1F3A5F"/>
          <w:sz w:val="30"/>
        </w:rPr>
        <w:t>NAAC</w:t>
      </w:r>
    </w:p>
    <w:p>
      <w:pPr>
        <w:ind w:left="357" w:hanging="357"/>
        <w:jc w:val="both"/>
      </w:pPr>
      <w:r>
        <w:rPr>
          <w:rFonts w:ascii="Cambria" w:hAnsi="Cambria"/>
          <w:sz w:val="22"/>
        </w:rPr>
        <w:t>10. Curricular Aspects under NAAC Accreditation – Criterion 1 for Higher Education Institutions: Ensuring Academic Flexibility, Curriculum Enrichment, and Alignment with NEP 2020, Kindle Edition, ASIN: B0FPR342MM</w:t>
        <w:br/>
        <w:t>https://amzn.in/d/0S10khp</w:t>
      </w:r>
    </w:p>
    <w:p>
      <w:pPr>
        <w:ind w:left="357" w:hanging="357"/>
        <w:jc w:val="both"/>
      </w:pPr>
      <w:r>
        <w:rPr>
          <w:rFonts w:ascii="Cambria" w:hAnsi="Cambria"/>
          <w:sz w:val="22"/>
        </w:rPr>
        <w:t>11. Comprehensive Guide for Teaching-Learning and Evaluation under NAAC Accreditation – Criterion 2 for Higher Education Institutions Kindle Edition, ASIN: B0FPRBZ2JH</w:t>
        <w:br/>
        <w:t>https://amzn.in/d/37LtI4z</w:t>
      </w:r>
    </w:p>
    <w:p>
      <w:pPr>
        <w:ind w:left="357" w:hanging="357"/>
        <w:jc w:val="both"/>
      </w:pPr>
      <w:r>
        <w:rPr>
          <w:rFonts w:ascii="Cambria" w:hAnsi="Cambria"/>
          <w:sz w:val="22"/>
        </w:rPr>
        <w:t>12. Comprehensive Guide for Research, Innovations, and Extension under NAAC Accreditation – Criterion 3 for Higher Education Institutions: Quality Assurance in Research, Innovation, and Extension, Kindle Edition, ASIN: B0FR9GFTST</w:t>
        <w:br/>
        <w:t>https://amzn.in/d/06MFYRq</w:t>
      </w:r>
    </w:p>
    <w:p>
      <w:pPr>
        <w:ind w:left="357" w:hanging="357"/>
        <w:jc w:val="both"/>
      </w:pPr>
      <w:r>
        <w:rPr>
          <w:rFonts w:ascii="Cambria" w:hAnsi="Cambria"/>
          <w:sz w:val="22"/>
        </w:rPr>
        <w:t>13. Comprehensive Guide for Infrastructure and Learning Resources under NAAC Accreditation – Criterion 4 for Higher Education Institutions: Sustainable, Inclusive, and Future-Ready Learning Ecosystems, Kindle Edition, ASIN: B0FRFFRDPB</w:t>
        <w:br/>
        <w:t>https://amzn.in/d/5xlUunj</w:t>
      </w:r>
    </w:p>
    <w:p>
      <w:pPr>
        <w:ind w:left="357" w:hanging="357"/>
        <w:jc w:val="both"/>
      </w:pPr>
      <w:r>
        <w:rPr>
          <w:rFonts w:ascii="Cambria" w:hAnsi="Cambria"/>
          <w:sz w:val="22"/>
        </w:rPr>
        <w:t>14. Comprehensive Guide for Student Support and Progression under NAAC Accreditation – Criterion 5 for Higher Education Institutions, Kindle Edition, ASIN: B0FRDZKYNG</w:t>
        <w:br/>
        <w:t>https://amzn.in/d/3zP8hvF</w:t>
      </w:r>
    </w:p>
    <w:p>
      <w:pPr>
        <w:ind w:left="357" w:hanging="357"/>
        <w:jc w:val="both"/>
      </w:pPr>
      <w:r>
        <w:rPr>
          <w:rFonts w:ascii="Cambria" w:hAnsi="Cambria"/>
          <w:sz w:val="22"/>
        </w:rPr>
        <w:t>15. Comprehensive Guide for Governance, Leadership and Management under NAAC Accreditation – Criterion 6 for Higher Education Institutions, Kindle Edition, ASIN: B0FR8KKXS4</w:t>
        <w:br/>
        <w:t>https://amzn.in/d/5dscvoN</w:t>
      </w:r>
    </w:p>
    <w:p>
      <w:pPr>
        <w:ind w:left="357" w:hanging="357"/>
        <w:jc w:val="both"/>
      </w:pPr>
      <w:r>
        <w:rPr>
          <w:rFonts w:ascii="Cambria" w:hAnsi="Cambria"/>
          <w:sz w:val="22"/>
        </w:rPr>
        <w:t>16. Comprehensive Guide for Institutional Values and Best Practices under NAAC Accreditation – Criterion 7 for Higher Education Institutions: Frameworks, Case Studies, and Evidence for Quality Assurance, Kindle Edition, ASIN: B0FR7WJQJ2</w:t>
        <w:br/>
        <w:t>https://amzn.in/d/6gMGSy4</w:t>
      </w:r>
    </w:p>
    <w:p>
      <w:pPr>
        <w:keepNext/>
        <w:spacing w:before="160" w:after="120"/>
      </w:pPr>
      <w:r>
        <w:rPr>
          <w:rFonts w:ascii="Cambria" w:hAnsi="Cambria"/>
          <w:b/>
          <w:color w:val="1F3A5F"/>
          <w:sz w:val="30"/>
        </w:rPr>
        <w:t>QS I-GAUGE</w:t>
      </w:r>
    </w:p>
    <w:p>
      <w:pPr>
        <w:ind w:left="357" w:hanging="357"/>
        <w:jc w:val="both"/>
      </w:pPr>
      <w:r>
        <w:rPr>
          <w:rFonts w:ascii="Cambria" w:hAnsi="Cambria"/>
          <w:sz w:val="22"/>
        </w:rPr>
        <w:t>17. QS I-GAUGE: An Independent Rating Framework for Indian Higher Education, Kindle Edition, ASIN: B0FN4WBGLT</w:t>
        <w:br/>
        <w:t>https://amzn.in/d/2mIYjez</w:t>
      </w:r>
    </w:p>
    <w:p>
      <w:pPr>
        <w:keepNext/>
        <w:spacing w:before="160" w:after="120"/>
      </w:pPr>
      <w:r>
        <w:rPr>
          <w:rFonts w:ascii="Cambria" w:hAnsi="Cambria"/>
          <w:b/>
          <w:color w:val="1F3A5F"/>
          <w:sz w:val="30"/>
        </w:rPr>
        <w:t>NIRF</w:t>
      </w:r>
    </w:p>
    <w:p>
      <w:pPr>
        <w:ind w:left="357" w:hanging="357"/>
        <w:jc w:val="both"/>
      </w:pPr>
      <w:r>
        <w:rPr>
          <w:rFonts w:ascii="Cambria" w:hAnsi="Cambria"/>
          <w:sz w:val="22"/>
        </w:rPr>
        <w:t>18. National Institutional Ranking Framework (NIRF): Transforming Indian Higher Education: A Comprehensive Analysis of Methodology, Parameters, and Impact, Kindle Edition, ASIN: B0FQ5MNVGR</w:t>
        <w:br/>
        <w:t>https://amzn.in/d/hhrZvux</w:t>
      </w:r>
    </w:p>
    <w:p>
      <w:pPr>
        <w:keepNext/>
        <w:spacing w:before="160" w:after="120"/>
      </w:pPr>
      <w:r>
        <w:rPr>
          <w:rFonts w:ascii="Cambria" w:hAnsi="Cambria"/>
          <w:b/>
          <w:color w:val="1F3A5F"/>
          <w:sz w:val="30"/>
        </w:rPr>
        <w:t>NEP2020</w:t>
      </w:r>
    </w:p>
    <w:p>
      <w:pPr>
        <w:ind w:left="357" w:hanging="357"/>
        <w:jc w:val="both"/>
      </w:pPr>
      <w:r>
        <w:rPr>
          <w:rFonts w:ascii="Cambria" w:hAnsi="Cambria"/>
          <w:sz w:val="22"/>
        </w:rPr>
        <w:t>19. National Education Policy 2020: A Transformative Roadmap for Holistic, Inclusive, and Future-Ready Learning in India, Kindle Edition, ASIN: B0F1L321B6</w:t>
        <w:br/>
        <w:t>https://amzn.in/d/eugIo4y</w:t>
      </w:r>
    </w:p>
    <w:p>
      <w:pPr>
        <w:keepNext/>
        <w:spacing w:before="160" w:after="120"/>
      </w:pPr>
      <w:r>
        <w:rPr>
          <w:rFonts w:ascii="Cambria" w:hAnsi="Cambria"/>
          <w:b/>
          <w:color w:val="1F3A5F"/>
          <w:sz w:val="30"/>
        </w:rPr>
        <w:t>IQAC</w:t>
      </w:r>
    </w:p>
    <w:p>
      <w:pPr>
        <w:ind w:left="357" w:hanging="357"/>
        <w:jc w:val="both"/>
      </w:pPr>
      <w:r>
        <w:rPr>
          <w:rFonts w:ascii="Cambria" w:hAnsi="Cambria"/>
          <w:sz w:val="22"/>
        </w:rPr>
        <w:t>20. Internal Quality Assurance Cell (IQAC): A Framework for Sustaining and Enhancing Quality in Higher Education Kindle Edition, ASIN: B0FPLRX4YF</w:t>
        <w:br/>
        <w:t>https://amzn.in/d/8n5aQRb</w:t>
      </w:r>
    </w:p>
    <w:p>
      <w:pPr>
        <w:ind w:left="357" w:hanging="357"/>
        <w:jc w:val="both"/>
      </w:pPr>
      <w:r>
        <w:rPr>
          <w:rFonts w:ascii="Cambria" w:hAnsi="Cambria"/>
          <w:sz w:val="22"/>
        </w:rPr>
        <w:t>21. Systematic and Transparent Feedback Mechanism in Higher Education Institutions: Ensuring Continuous Quality Improvement (CQI) and Strengthening NAAC/NBA Accreditation, Kindle Edition, ASIN: B0FPGJ77RC</w:t>
        <w:br/>
        <w:t>https://amzn.in/d/emeRiJ3</w:t>
      </w:r>
    </w:p>
    <w:p>
      <w:pPr>
        <w:ind w:left="357" w:hanging="357"/>
        <w:jc w:val="both"/>
      </w:pPr>
      <w:r>
        <w:rPr>
          <w:rFonts w:ascii="Cambria" w:hAnsi="Cambria"/>
          <w:sz w:val="22"/>
        </w:rPr>
        <w:t>22. Qualitative Metrics (QlM) and Quantitative Metrics (QnM) in Higher Educational Institutions (HEIs): As Applied in NAAC, NBA, and NIRF Frameworks, Kindle Edition, ASIN: B0F6CR212X</w:t>
        <w:br/>
        <w:t>https://amzn.in/d/gUWl02e</w:t>
      </w:r>
    </w:p>
    <w:p>
      <w:pPr>
        <w:ind w:left="357" w:hanging="357"/>
        <w:jc w:val="both"/>
      </w:pPr>
      <w:r>
        <w:rPr>
          <w:rFonts w:ascii="Cambria" w:hAnsi="Cambria"/>
          <w:sz w:val="22"/>
        </w:rPr>
        <w:t>23. Statutory and Non-Statutory Committees in Higher Educational Institutions (HEIs): Mandatory by regulatory bodies like AICTE, UGC, NAAC, NBA, etc. Kindle Edition, ASIN: B0F7GHJ863</w:t>
        <w:br/>
        <w:t>https://amzn.in/d/gf0LiBn</w:t>
      </w:r>
    </w:p>
    <w:p>
      <w:pPr>
        <w:ind w:left="357" w:hanging="357"/>
        <w:jc w:val="both"/>
      </w:pPr>
      <w:r>
        <w:rPr>
          <w:rFonts w:ascii="Cambria" w:hAnsi="Cambria"/>
          <w:sz w:val="22"/>
        </w:rPr>
        <w:t>24. Empowering Academic Skilling and Mathematical Modelling through Technical Computing Languages in Higher Education Institutions, Kindle Edition, ASIN: B0FC7TNZNG</w:t>
        <w:br/>
        <w:t>https://amzn.in/d/brIlQwZ</w:t>
      </w:r>
    </w:p>
    <w:p>
      <w:pPr>
        <w:ind w:left="357" w:hanging="357"/>
        <w:jc w:val="both"/>
      </w:pPr>
      <w:r>
        <w:rPr>
          <w:rFonts w:ascii="Cambria" w:hAnsi="Cambria"/>
          <w:sz w:val="22"/>
        </w:rPr>
        <w:t>25. Research and Development Transformation in Higher Education Institutions, Kindle Edition, ASIN: B0FB9QFS88</w:t>
        <w:br/>
        <w:t>https://amzn.in/d/1uOQZ0o</w:t>
      </w:r>
    </w:p>
    <w:p>
      <w:pPr>
        <w:ind w:left="357" w:hanging="357"/>
        <w:jc w:val="both"/>
      </w:pPr>
      <w:r>
        <w:rPr>
          <w:rFonts w:ascii="Cambria" w:hAnsi="Cambria"/>
          <w:sz w:val="22"/>
        </w:rPr>
        <w:t>26. Institutional Development Plans in Higher Education: Empowering Institutions for the 21st Century Kindle Edition, ASIN: B0FDBV6D47</w:t>
        <w:br/>
        <w:t>https://amzn.in/d/ckm98I2</w:t>
      </w:r>
    </w:p>
    <w:p>
      <w:pPr>
        <w:ind w:left="357" w:hanging="357"/>
        <w:jc w:val="both"/>
      </w:pPr>
      <w:r>
        <w:rPr>
          <w:rFonts w:ascii="Cambria" w:hAnsi="Cambria"/>
          <w:sz w:val="22"/>
        </w:rPr>
        <w:t>27. Comprehensive Academic System in Higher Education Institutions, Kindle Edition, ASIN: B0FF2HDMSG</w:t>
        <w:br/>
        <w:t>https://amzn.in/d/dbPMaVL</w:t>
      </w:r>
    </w:p>
    <w:p>
      <w:pPr>
        <w:ind w:left="357" w:hanging="357"/>
        <w:jc w:val="both"/>
      </w:pPr>
      <w:r>
        <w:rPr>
          <w:rFonts w:ascii="Cambria" w:hAnsi="Cambria"/>
          <w:sz w:val="22"/>
        </w:rPr>
        <w:t>28. Structured Approaches to Teaching, Learning, and Student Engagement in HEIs, Kindle Edition, ASIN: B0DB8QK1B4</w:t>
        <w:br/>
        <w:t>https://amzn.in/d/7jNZrQo</w:t>
      </w:r>
    </w:p>
    <w:p>
      <w:pPr>
        <w:ind w:left="357" w:hanging="357"/>
        <w:jc w:val="both"/>
      </w:pPr>
      <w:r>
        <w:rPr>
          <w:rFonts w:ascii="Cambria" w:hAnsi="Cambria"/>
          <w:sz w:val="22"/>
        </w:rPr>
        <w:t>29. Admission Process in Indian Higher Education: A Comprehensive Institutional Guide Kindle Edition, ASIN: B0FFNCPP6P</w:t>
        <w:br/>
        <w:t>https://amzn.in/d/0XO6APq</w:t>
      </w:r>
    </w:p>
    <w:p>
      <w:pPr>
        <w:ind w:left="357" w:hanging="357"/>
        <w:jc w:val="both"/>
      </w:pPr>
      <w:r>
        <w:rPr>
          <w:rFonts w:ascii="Cambria" w:hAnsi="Cambria"/>
          <w:sz w:val="22"/>
        </w:rPr>
        <w:t>30. Strategic Implementation of Best Practices in HEIs: Enhancing Quality, Innovation, and Impact, Kindle Edition, ASIN: B0CZP85QK7</w:t>
        <w:br/>
        <w:t>https://amzn.in/d/5uj5Lkb</w:t>
      </w:r>
    </w:p>
    <w:p>
      <w:pPr>
        <w:ind w:left="357" w:hanging="357"/>
        <w:jc w:val="both"/>
      </w:pPr>
      <w:r>
        <w:rPr>
          <w:rFonts w:ascii="Cambria" w:hAnsi="Cambria"/>
          <w:sz w:val="22"/>
        </w:rPr>
        <w:t>31. Outcome-Based Education in Higher Learning: Philosophy, Design, and Impact, Kindle Edition, ASIN: B0FPCB5GHH</w:t>
        <w:br/>
        <w:t>https://amzn.in/d/3oGmnue</w:t>
      </w:r>
    </w:p>
    <w:p>
      <w:pPr>
        <w:ind w:left="357" w:hanging="357"/>
        <w:jc w:val="both"/>
      </w:pPr>
      <w:r>
        <w:rPr>
          <w:rFonts w:ascii="Cambria" w:hAnsi="Cambria"/>
          <w:sz w:val="22"/>
        </w:rPr>
        <w:t>32. Holistic Performance Appraisal and Development: Driving Continuous Quality in Higher Education Institutions, Kindle Edition, ASIN: B0FQN2S8WH</w:t>
        <w:br/>
        <w:t>https://amzn.in/d/bipHsu8</w:t>
      </w:r>
    </w:p>
    <w:p>
      <w:pPr>
        <w:ind w:left="357" w:hanging="357"/>
        <w:jc w:val="both"/>
      </w:pPr>
      <w:r>
        <w:rPr>
          <w:rFonts w:ascii="Cambria" w:hAnsi="Cambria"/>
          <w:sz w:val="22"/>
        </w:rPr>
        <w:t>33. Comprehensive Code of Ethics and Conduct for Students in Higher Education Institutions, Kindle Edition, ASIN: B0FQS7V248</w:t>
        <w:br/>
        <w:t>https://amzn.in/d/6jfKQnI</w:t>
      </w:r>
    </w:p>
    <w:p>
      <w:pPr>
        <w:ind w:left="357" w:hanging="357"/>
        <w:jc w:val="both"/>
      </w:pPr>
      <w:r>
        <w:rPr>
          <w:rFonts w:ascii="Cambria" w:hAnsi="Cambria"/>
          <w:sz w:val="22"/>
        </w:rPr>
        <w:t>34. Industry Internship Program: Structure, Guidelines, and Evaluation Framework: Enhancing Employability and Industry Linkages in HEIs, Kindle Edition, ASIN: B0FQLF8385</w:t>
        <w:br/>
        <w:t>https://amzn.in/d/8scRAIj</w:t>
      </w:r>
    </w:p>
    <w:p>
      <w:pPr>
        <w:ind w:left="357" w:hanging="357"/>
        <w:jc w:val="both"/>
      </w:pPr>
      <w:r>
        <w:rPr>
          <w:rFonts w:ascii="Cambria" w:hAnsi="Cambria"/>
          <w:sz w:val="22"/>
        </w:rPr>
        <w:t>35. Energy Management and Audit in Indian Educational Institutions: A Blueprint for Sustainable Growth: Mapping Institutional Energy Management to NAAC Criteria, SDG Goals, and QS I-GAUGE Standards, Kindle Edition, ASIN: B0FQZNSBJ5</w:t>
        <w:br/>
        <w:t>https://amzn.in/d/eKx5NC9</w:t>
      </w:r>
    </w:p>
    <w:p>
      <w:pPr>
        <w:ind w:left="357" w:hanging="357"/>
        <w:jc w:val="both"/>
      </w:pPr>
      <w:r>
        <w:rPr>
          <w:rFonts w:ascii="Cambria" w:hAnsi="Cambria"/>
          <w:sz w:val="22"/>
        </w:rPr>
        <w:t>36. Financial Operations and Management Policy in Higher Education Institutions: A Comprehensive Framework Linking Finance Policy to NAAC, NBA, NIRF, QS I-GAUGE, and SDGs, Kindle Edition, ASIN: B0FR1P216J</w:t>
        <w:br/>
        <w:t>https://amzn.in/d/8st88zc</w:t>
      </w:r>
    </w:p>
    <w:p>
      <w:pPr>
        <w:ind w:left="357" w:hanging="357"/>
        <w:jc w:val="both"/>
      </w:pPr>
      <w:r>
        <w:rPr>
          <w:rFonts w:ascii="Cambria" w:hAnsi="Cambria"/>
          <w:sz w:val="22"/>
        </w:rPr>
        <w:t>37. Comprehensive Policy Framework for Sustainable Water Management, Conservation, and Auditing in Higher Education Institutions, Kindle Edition, ASIN: B0FR31X1BC</w:t>
        <w:br/>
        <w:t>https://amzn.in/d/3i40Lf1</w:t>
      </w:r>
    </w:p>
    <w:p>
      <w:pPr>
        <w:ind w:left="357" w:hanging="357"/>
        <w:jc w:val="both"/>
      </w:pPr>
      <w:r>
        <w:rPr>
          <w:rFonts w:ascii="Cambria" w:hAnsi="Cambria"/>
          <w:sz w:val="22"/>
        </w:rPr>
        <w:t>38. Comprehensive Framework for Student Grievance, Counselling, Anti-Ragging, and Internal Complaints in HEIs: Mapping Student Support and Protection Mechanisms to NAAC, NBA, NIRF, QS-I-GAUGE, and SDGs, Kindle Edition, ASIN: B0FR58L1G8</w:t>
        <w:br/>
        <w:t>https://amzn.in/d/gXvdCpx</w:t>
      </w:r>
    </w:p>
    <w:p>
      <w:pPr>
        <w:ind w:left="357" w:hanging="357"/>
        <w:jc w:val="both"/>
      </w:pPr>
      <w:r>
        <w:rPr>
          <w:rFonts w:ascii="Cambria" w:hAnsi="Cambria"/>
          <w:sz w:val="22"/>
        </w:rPr>
        <w:t>39. Student Affairs Policy for Higher Education Institutions (HEIs): Aligning Student Development with NAAC, NBA, NIRF, QS I-GAUGE, and SDG Standards, Kindle Edition, ASIN: B0FR4GW6RB</w:t>
        <w:br/>
        <w:t>https://amzn.in/d/2zTHV0B</w:t>
      </w:r>
    </w:p>
    <w:p>
      <w:pPr>
        <w:ind w:left="357" w:hanging="357"/>
        <w:jc w:val="both"/>
      </w:pPr>
      <w:r>
        <w:rPr>
          <w:rFonts w:ascii="Cambria" w:hAnsi="Cambria"/>
          <w:sz w:val="22"/>
        </w:rPr>
        <w:t>40. Extension and Outreach Services in Higher Education: Leadership, Governance, and Community Engagement Strategies, Kindle Edition, ASIN: B0FRLHXR1G</w:t>
        <w:br/>
        <w:t>https://amzn.in/d/9NE2wGs</w:t>
      </w:r>
    </w:p>
    <w:p>
      <w:pPr>
        <w:ind w:left="357" w:hanging="357"/>
        <w:jc w:val="both"/>
      </w:pPr>
      <w:r>
        <w:rPr>
          <w:rFonts w:ascii="Cambria" w:hAnsi="Cambria"/>
          <w:sz w:val="22"/>
        </w:rPr>
        <w:t>41. Central Library: Policies, Procedures, and Best Practices in Higher Education Institutions: Aligning with NAAC, NIRF, NBA, and QS-I Gauge Standards, Kindle Edition, ASIN: B0FRMKX2BX</w:t>
        <w:br/>
        <w:t>https://amzn.in/d/9Qfr8S0</w:t>
      </w:r>
    </w:p>
    <w:p>
      <w:pPr>
        <w:ind w:left="357" w:hanging="357"/>
        <w:jc w:val="both"/>
      </w:pPr>
      <w:r>
        <w:rPr>
          <w:rFonts w:ascii="Cambria" w:hAnsi="Cambria"/>
          <w:sz w:val="22"/>
        </w:rPr>
        <w:t>42. Institutional Policy on Publishing in Higher Education Institutions: Frameworks, Standards, and Best Practices for NAAC, NBA, NIRF, and QS I-GAUGE Compliance, Kindle Edition, ASIN: B0FRRBM6HD</w:t>
        <w:br/>
        <w:t>https://amzn.in/d/0bYPpGu</w:t>
      </w:r>
    </w:p>
    <w:p>
      <w:pPr>
        <w:ind w:left="357" w:hanging="357"/>
        <w:jc w:val="both"/>
      </w:pPr>
      <w:r>
        <w:rPr>
          <w:rFonts w:ascii="Cambria" w:hAnsi="Cambria"/>
          <w:sz w:val="22"/>
        </w:rPr>
        <w:t>43. IT Services in Higher Education Institutions (HEIs): Policies, Registers, and Best Practices: Aligning IT Services in HEIs with NAAC, NBA, NIRF, and QS I-GAUGE Accreditation Frameworks, Kindle Edition, ASIN: B0FRRD3W8C</w:t>
        <w:br/>
        <w:t>https://amzn.in/d/5wXPUFs</w:t>
      </w:r>
    </w:p>
    <w:p>
      <w:pPr>
        <w:ind w:left="357" w:hanging="357"/>
        <w:jc w:val="both"/>
      </w:pPr>
      <w:r>
        <w:rPr>
          <w:rFonts w:ascii="Cambria" w:hAnsi="Cambria"/>
          <w:sz w:val="22"/>
        </w:rPr>
        <w:t>44. Physical Facilities, Maintenance, and Construction in Higher Education Institutions (HEIs): Registers, Audit Frameworks, and Accreditation Evidence for NAAC, NIRF, QS I-GAUGE, and NBA, Kindle Edition, ASIN: B0FRYFGLHC</w:t>
        <w:br/>
        <w:t>https://amzn.in/d/fdm0ipL</w:t>
      </w:r>
    </w:p>
    <w:p>
      <w:pPr>
        <w:ind w:left="357" w:hanging="357"/>
        <w:jc w:val="both"/>
      </w:pPr>
      <w:r>
        <w:rPr>
          <w:rFonts w:ascii="Cambria" w:hAnsi="Cambria"/>
          <w:sz w:val="22"/>
        </w:rPr>
        <w:t>45. Strategic Development Plan for Higher Education Institutions: Aligning with NEP 2020, SDGs, NAAC, NBA, NIRF, and QS I-GAUGE, Kindle Edition, ASIN: B0FSCTT9ZP</w:t>
        <w:br/>
        <w:t>https://amzn.in/d/hGqn55l</w:t>
      </w:r>
    </w:p>
    <w:p>
      <w:pPr>
        <w:ind w:left="357" w:hanging="357"/>
        <w:jc w:val="both"/>
      </w:pPr>
      <w:r>
        <w:rPr>
          <w:rFonts w:ascii="Cambria" w:hAnsi="Cambria"/>
          <w:sz w:val="22"/>
        </w:rPr>
        <w:t>46. Dean of Planning &amp; Development (DoPD): Architect of Institutional Growth in Higher Education: Institutional Planning, Sustainability, and Accreditation Alignment with NAAC, NBA, NIRF, and QS I-GAUGE, Kindle Edition, ASIN: B0FRZZGMF8</w:t>
        <w:br/>
        <w:t>https://amzn.in/d/cbSxKTJ</w:t>
      </w:r>
    </w:p>
    <w:p>
      <w:pPr>
        <w:ind w:left="357" w:hanging="357"/>
        <w:jc w:val="both"/>
      </w:pPr>
      <w:r>
        <w:rPr>
          <w:rFonts w:ascii="Cambria" w:hAnsi="Cambria"/>
          <w:sz w:val="22"/>
        </w:rPr>
        <w:t>47. Dean – IQA and Ranking (DoIQAR): Leadership in Accreditation, Quality Assurance, and Global Benchmarking in Higher Education: Mapping of DoIQAR &amp; Associate Deans to NBA, NAAC, NIRF, and QS I-GAUGE, Kindle Edition, ASIN: B0FS5W7JYP</w:t>
        <w:br/>
        <w:t>https://amzn.in/d/aqwjhkT</w:t>
      </w:r>
    </w:p>
    <w:p>
      <w:pPr>
        <w:ind w:left="357" w:hanging="357"/>
        <w:jc w:val="both"/>
      </w:pPr>
      <w:r>
        <w:rPr>
          <w:rFonts w:ascii="Cambria" w:hAnsi="Cambria"/>
          <w:sz w:val="22"/>
        </w:rPr>
        <w:t>48. Dean – Research &amp; Development (R&amp;D): Leadership in Knowledge Creation and Innovation in Higher Education: Mapping of R&amp;D Leadership to NBA, NAAC, NIRF, and QS I-GAUGE, Kindle Edition, ASIN: B0FS5K7G27</w:t>
        <w:br/>
        <w:t>https://amzn.in/d/9Ffj30s</w:t>
      </w:r>
    </w:p>
    <w:p>
      <w:pPr>
        <w:ind w:left="357" w:hanging="357"/>
        <w:jc w:val="both"/>
      </w:pPr>
      <w:r>
        <w:rPr>
          <w:rFonts w:ascii="Cambria" w:hAnsi="Cambria"/>
          <w:sz w:val="22"/>
        </w:rPr>
        <w:t>49. Dean of Academic Affairs: Custodian of Academic Excellence: The Role of the Dean and Associate Deans in Governance, Quality, and Global Benchmarks, Kindle Edition, ASIN: B0FRY8N2SD</w:t>
        <w:br/>
        <w:t>https://amzn.in/d/6Fh0u3l</w:t>
      </w:r>
    </w:p>
    <w:p>
      <w:pPr>
        <w:ind w:left="357" w:hanging="357"/>
        <w:jc w:val="both"/>
      </w:pPr>
      <w:r>
        <w:rPr>
          <w:rFonts w:ascii="Cambria" w:hAnsi="Cambria"/>
          <w:sz w:val="22"/>
        </w:rPr>
        <w:t>50. Skilling Engineers in Civil and Architecture Disciplines: Advancing Academic Competence in Geometric Modeling for Higher Education Institutions, Kindle Edition, ASIN: B0FSJHSSGL</w:t>
        <w:br/>
        <w:t>https://a.co/d/9t8kspY</w:t>
      </w:r>
    </w:p>
    <w:p>
      <w:pPr>
        <w:ind w:left="357" w:hanging="357"/>
        <w:jc w:val="both"/>
      </w:pPr>
      <w:r>
        <w:rPr>
          <w:rFonts w:ascii="Cambria" w:hAnsi="Cambria"/>
          <w:sz w:val="22"/>
        </w:rPr>
        <w:t>51. Environmental and Green Audits in Higher Education Institutions: Aligning with NEP 2020, SDGs, NAAC, NBA, NIRF, and QS-I-GAUGE, Kindle Edition, ASIN: B0FSX25SNW</w:t>
        <w:br/>
        <w:t>https://amzn.in/d/5ZRbuMt</w:t>
      </w:r>
    </w:p>
    <w:p>
      <w:pPr>
        <w:ind w:left="357" w:hanging="357"/>
        <w:jc w:val="both"/>
      </w:pPr>
      <w:r>
        <w:rPr>
          <w:rFonts w:ascii="Cambria" w:hAnsi="Cambria"/>
          <w:sz w:val="22"/>
        </w:rPr>
        <w:t>52. Head of the Department (HoD) in Higher Education Institutions: Roles and Responsibilities in Academic Activities: Mapping Academic Leadership to NBA, NAAC, NIRF, and QS-I-GAUGE Frameworks, Kindle Edition, ASIN: B0FSZL68RT</w:t>
        <w:br/>
        <w:t>https://amzn.in/d/hdb0Dsf</w:t>
      </w:r>
    </w:p>
    <w:p>
      <w:pPr>
        <w:ind w:left="357" w:hanging="357"/>
        <w:jc w:val="both"/>
      </w:pPr>
      <w:r>
        <w:rPr>
          <w:rFonts w:ascii="Cambria" w:hAnsi="Cambria"/>
          <w:sz w:val="22"/>
        </w:rPr>
        <w:t>53. Head of the Department (HoD) in Higher Education Institutions: Roles and Responsibilities in R&amp;D Activities: Mapping R&amp;D Leadership to NBA, NAAC, NIRF, and QS I-GAUGE Frameworks, Kindle Edition, ASIN: B0FT3HSTPR</w:t>
        <w:br/>
        <w:t>https://amzn.in/d/7R8kSFY</w:t>
      </w:r>
    </w:p>
    <w:p>
      <w:pPr>
        <w:ind w:left="357" w:hanging="357"/>
        <w:jc w:val="both"/>
      </w:pPr>
      <w:r>
        <w:rPr>
          <w:rFonts w:ascii="Cambria" w:hAnsi="Cambria"/>
          <w:sz w:val="22"/>
        </w:rPr>
        <w:t>54. Head of the Department (HoD) in Higher Education Institutions: Roles and Responsibilities in Industry Relations, Placements (IRP), and Consultancy Activities, Kindle Edition, ASIN: B0FT5CG3F7</w:t>
        <w:br/>
        <w:t>https://amzn.in/d/1NcElZa</w:t>
      </w:r>
    </w:p>
    <w:p>
      <w:pPr>
        <w:keepNext/>
        <w:spacing w:before="160" w:after="120"/>
      </w:pPr>
      <w:r>
        <w:rPr>
          <w:rFonts w:ascii="Cambria" w:hAnsi="Cambria"/>
          <w:b/>
          <w:color w:val="1F3A5F"/>
          <w:sz w:val="30"/>
        </w:rPr>
        <w:t>SDGs</w:t>
      </w:r>
    </w:p>
    <w:p>
      <w:pPr>
        <w:ind w:left="357" w:hanging="357"/>
        <w:jc w:val="both"/>
      </w:pPr>
      <w:r>
        <w:rPr>
          <w:rFonts w:ascii="Cambria" w:hAnsi="Cambria"/>
          <w:sz w:val="22"/>
        </w:rPr>
        <w:t>55. SDG-1: No Poverty in Higher Education Institutions: Aligning with NAAC, NIRF, NBA, and QS I-GAUGE Frameworks, Kindle Edition, ASIN: B0FRYTT6B1</w:t>
        <w:br/>
        <w:t>https://amzn.in/d/1oTu188</w:t>
      </w:r>
    </w:p>
    <w:p>
      <w:pPr>
        <w:ind w:left="357" w:hanging="357"/>
        <w:jc w:val="both"/>
      </w:pPr>
      <w:r>
        <w:rPr>
          <w:rFonts w:ascii="Cambria" w:hAnsi="Cambria"/>
          <w:sz w:val="22"/>
        </w:rPr>
        <w:t>56. SDG-2: Zero Hunger in Higher Education Institutions: Aligning with NAAC, NIRF, NBA, and QS I-GAUGE Frameworks, Kindle Edition, ASIN: B0FRYWPQ1N</w:t>
        <w:br/>
        <w:t>https://amzn.in/d/2RlKCrz</w:t>
      </w:r>
    </w:p>
    <w:p>
      <w:pPr>
        <w:ind w:left="357" w:hanging="357"/>
        <w:jc w:val="both"/>
      </w:pPr>
      <w:r>
        <w:rPr>
          <w:rFonts w:ascii="Cambria" w:hAnsi="Cambria"/>
          <w:sz w:val="22"/>
        </w:rPr>
        <w:t>57. SDG-6: Clean Water and Sanitation in Higher Education Institutions: Aligning with NAAC, NIRF, NBA, and QS I-GAUGE Frameworks, Kindle Edition, ASIN: B0FSCB6SDL</w:t>
        <w:br/>
        <w:t>https://amzn.in/d/gX6SiHT</w:t>
      </w:r>
    </w:p>
    <w:p>
      <w:pPr>
        <w:ind w:left="357" w:hanging="357"/>
        <w:jc w:val="both"/>
      </w:pPr>
      <w:r>
        <w:rPr>
          <w:rFonts w:ascii="Cambria" w:hAnsi="Cambria"/>
          <w:sz w:val="22"/>
        </w:rPr>
        <w:t>58. SDG-7: Affordable and Clean Energy in Higher Education Institutions: Aligning with NAAC, NIRF, NBA, and QS I-GAUGE Frameworks, Kindle Edition, ASIN: B0FS9SYXC7</w:t>
        <w:br/>
        <w:t>https://amzn.in/d/bErE7x8</w:t>
      </w:r>
    </w:p>
    <w:p>
      <w:pPr>
        <w:ind w:left="357" w:hanging="357"/>
        <w:jc w:val="both"/>
      </w:pPr>
      <w:r>
        <w:rPr>
          <w:rFonts w:ascii="Cambria" w:hAnsi="Cambria"/>
          <w:sz w:val="22"/>
        </w:rPr>
        <w:t>59. SDG-11: Sustainable Cities and Communities in Higher Education Institutions: Aligning with NAAC, NIRF, NBA, and QS I-GAUGE Frameworks, Kindle Edition, ASIN: B0FS181BL2</w:t>
        <w:br/>
        <w:t>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