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Cambria" w:hAnsi="Cambria"/>
          <w:b/>
          <w:color w:val="C00000"/>
          <w:sz w:val="44"/>
        </w:rPr>
        <w:t>Dean – Student Affairs (DoSA):</w:t>
        <w:br/>
        <w:t>Strategic Framework for Student Support and Progression</w:t>
      </w:r>
    </w:p>
    <w:p>
      <w:pPr>
        <w:spacing w:before="200"/>
        <w:jc w:val="center"/>
      </w:pPr>
      <w:r>
        <w:rPr>
          <w:rFonts w:ascii="Cambria" w:hAnsi="Cambria"/>
          <w:b/>
          <w:sz w:val="28"/>
        </w:rPr>
        <w:t>Mapping of DoSA to NBA, NAAC and QS I-GAUGE</w:t>
      </w:r>
    </w:p>
    <w:p/>
    <w:p/>
    <w:p/>
    <w:p/>
    <w:p>
      <w:pPr>
        <w:jc w:val="center"/>
      </w:pPr>
      <w:r>
        <w:rPr>
          <w:rFonts w:ascii="Cambria" w:hAnsi="Cambria"/>
          <w:b/>
          <w:sz w:val="22"/>
        </w:rPr>
        <w:t>Dr Venkata Rama Krishna Tottempudi</w:t>
        <w:br/>
        <w:t>Professor, Avanthi Institute of Engineering &amp; Technology</w:t>
      </w:r>
    </w:p>
    <w:p>
      <w:pPr>
        <w:spacing w:before="240"/>
        <w:jc w:val="center"/>
      </w:pPr>
      <w:r>
        <w:rPr>
          <w:rFonts w:ascii="Cambria" w:hAnsi="Cambria"/>
          <w:b/>
          <w:sz w:val="22"/>
        </w:rPr>
        <w:t>Sai Saran Tottempudi</w:t>
        <w:br/>
        <w:t>Lecturer, Avanthi Institute of Engineering &amp; Technology</w:t>
      </w:r>
    </w:p>
    <w:p>
      <w:r>
        <w:br w:type="page"/>
      </w:r>
    </w:p>
    <w:p>
      <w:pPr>
        <w:keepNext/>
        <w:spacing w:before="280" w:after="160"/>
      </w:pPr>
      <w:r>
        <w:rPr>
          <w:rFonts w:ascii="Cambria" w:hAnsi="Cambria"/>
          <w:b/>
          <w:color w:val="1F3A5F"/>
          <w:sz w:val="36"/>
        </w:rPr>
        <w:t>ACKNOWLEDGEMENT</w:t>
      </w:r>
    </w:p>
    <w:p>
      <w:pPr>
        <w:jc w:val="both"/>
      </w:pPr>
      <w:r>
        <w:rPr>
          <w:rFonts w:ascii="Cambria" w:hAnsi="Cambria"/>
          <w:b w:val="0"/>
          <w:i w:val="0"/>
          <w:sz w:val="22"/>
        </w:rPr>
        <w:t>The preparation of the document titled "Dean – Student Affairs (DoSA): Strategic Framework for Student Support and Progression" is the result of collaborative efforts aimed at strengthening the institutional mechanisms that ensure holistic student development and welfare. This framework reflects the collective vision, commitment, and dedication of the academic and administrative leadership, faculty members, and student representatives who continuously strive to make the institution a truly student-centric learning environment.</w:t>
      </w:r>
    </w:p>
    <w:p>
      <w:pPr>
        <w:jc w:val="both"/>
      </w:pPr>
      <w:r>
        <w:rPr>
          <w:rFonts w:ascii="Cambria" w:hAnsi="Cambria"/>
          <w:b w:val="0"/>
          <w:i w:val="0"/>
          <w:sz w:val="22"/>
        </w:rPr>
        <w:t>We express our sincere gratitude to the Management and Governing Council for their continuous support, guidance, and encouragement in institutionalizing student-focused governance. Their visionary leadership and emphasis on quality assurance have been instrumental in shaping this framework.</w:t>
      </w:r>
    </w:p>
    <w:p>
      <w:pPr>
        <w:jc w:val="both"/>
      </w:pPr>
      <w:r>
        <w:rPr>
          <w:rFonts w:ascii="Cambria" w:hAnsi="Cambria"/>
          <w:b w:val="0"/>
          <w:i w:val="0"/>
          <w:sz w:val="22"/>
        </w:rPr>
        <w:t>Our special thanks go to the Dean – Student Affairs (DoSA) for providing strategic direction and for integrating all dimensions of student life — welfare, counselling, sports, hostel management, discipline, transport, and co-curricular engagement — into a unified and efficient governance structure. The contributions of all Associate Deans, including those overseeing Students’ Welfare and Counselling, Sports Affairs, Hostels and Canteen Affairs, Transport Affairs, Student Discipline, Women’s Welfare, and Co-/Extracurricular Activities, deserve special mention for their continuous effort in policy development, implementation, and monitoring.</w:t>
      </w:r>
    </w:p>
    <w:p>
      <w:pPr>
        <w:jc w:val="both"/>
      </w:pPr>
      <w:r>
        <w:rPr>
          <w:rFonts w:ascii="Cambria" w:hAnsi="Cambria"/>
          <w:b w:val="0"/>
          <w:i w:val="0"/>
          <w:sz w:val="22"/>
        </w:rPr>
        <w:t>We also acknowledge the valuable inputs from the Internal Quality Assurance Cell (IQAC), which played a crucial role in aligning this document with accreditation frameworks such as NAAC Criterion 5 (Student Support and Progression), NBA Criteria 8–10 (Student Support and Continuous Improvement), and QS I-GAUGE indicators for governance, inclusivity, and student engagement. Their meticulous review and feedback have ensured that this framework not only meets regulatory expectations but also embodies institutional best practices.</w:t>
      </w:r>
    </w:p>
    <w:p>
      <w:pPr>
        <w:spacing w:after="120"/>
        <w:jc w:val="both"/>
      </w:pPr>
      <w:r>
        <w:rPr>
          <w:rFonts w:ascii="Cambria" w:hAnsi="Cambria"/>
          <w:b w:val="0"/>
          <w:i w:val="0"/>
          <w:sz w:val="22"/>
        </w:rPr>
        <w:t xml:space="preserve">My heartfelt thanks to </w:t>
      </w:r>
      <w:r>
        <w:rPr>
          <w:rFonts w:ascii="Cambria" w:hAnsi="Cambria"/>
          <w:b/>
          <w:i w:val="0"/>
          <w:sz w:val="22"/>
        </w:rPr>
        <w:t>Smt. M. Gnaneshwari, Chairperson -AIET,</w:t>
      </w:r>
      <w:r>
        <w:rPr>
          <w:rFonts w:ascii="Cambria" w:hAnsi="Cambria"/>
          <w:b w:val="0"/>
          <w:i w:val="0"/>
          <w:sz w:val="22"/>
        </w:rPr>
        <w:t xml:space="preserve"> for his constant encouragement, and to </w:t>
      </w:r>
      <w:r>
        <w:rPr>
          <w:rFonts w:ascii="Cambria" w:hAnsi="Cambria"/>
          <w:b/>
          <w:i w:val="0"/>
          <w:sz w:val="22"/>
        </w:rPr>
        <w:t>Sri. M. Srinivasa Rao,</w:t>
      </w:r>
      <w:r>
        <w:rPr>
          <w:rFonts w:ascii="Cambria" w:hAnsi="Cambria"/>
          <w:b w:val="0"/>
          <w:i w:val="0"/>
          <w:sz w:val="22"/>
        </w:rPr>
        <w:t xml:space="preserve"> Ex Minister Govt. Of AP, Member of Legislative Assembly, Bheemili., for providing the necessary facilities and support to bring this book to completion.</w:t>
      </w:r>
    </w:p>
    <w:p>
      <w:pPr>
        <w:spacing w:after="120"/>
        <w:jc w:val="both"/>
      </w:pPr>
      <w:r>
        <w:rPr>
          <w:rFonts w:ascii="Cambria" w:hAnsi="Cambria"/>
          <w:b w:val="0"/>
          <w:i w:val="0"/>
          <w:sz w:val="22"/>
        </w:rPr>
        <w:t xml:space="preserve">In addition, I gratefully acknowledge the support of </w:t>
      </w:r>
      <w:r>
        <w:rPr>
          <w:rFonts w:ascii="Cambria" w:hAnsi="Cambria"/>
          <w:b/>
          <w:i w:val="0"/>
          <w:sz w:val="22"/>
        </w:rPr>
        <w:t>Dr. A.Chandra Sekhar and Dr.B.Murali Krishna</w:t>
      </w:r>
      <w:r>
        <w:rPr>
          <w:rFonts w:ascii="Cambria" w:hAnsi="Cambria"/>
          <w:b w:val="0"/>
          <w:i w:val="0"/>
          <w:sz w:val="22"/>
        </w:rPr>
        <w:t>, whose contributions have been invaluable.</w:t>
      </w:r>
    </w:p>
    <w:p>
      <w:pPr>
        <w:spacing w:after="120"/>
        <w:jc w:val="both"/>
      </w:pPr>
      <w:r>
        <w:rPr>
          <w:rFonts w:ascii="Cambria" w:hAnsi="Cambria"/>
          <w:b w:val="0"/>
          <w:i w:val="0"/>
          <w:sz w:val="22"/>
        </w:rPr>
        <w:t xml:space="preserve">Most importantly, I must thank my wife and best friend, </w:t>
      </w:r>
      <w:r>
        <w:rPr>
          <w:rFonts w:ascii="Cambria" w:hAnsi="Cambria"/>
          <w:b/>
          <w:i w:val="0"/>
          <w:sz w:val="22"/>
        </w:rPr>
        <w:t>Sailaja Tottempudi</w:t>
      </w:r>
      <w:r>
        <w:rPr>
          <w:rFonts w:ascii="Cambria" w:hAnsi="Cambria"/>
          <w:b w:val="0"/>
          <w:i w:val="0"/>
          <w:sz w:val="22"/>
        </w:rPr>
        <w:t>, for her unwavering support and strength through every phase of this journey.</w:t>
      </w:r>
    </w:p>
    <w:p>
      <w:pPr>
        <w:jc w:val="both"/>
      </w:pPr>
      <w:r>
        <w:rPr>
          <w:rFonts w:ascii="Cambria" w:hAnsi="Cambria"/>
          <w:b w:val="0"/>
          <w:i w:val="0"/>
          <w:sz w:val="22"/>
        </w:rPr>
        <w:t>Finally, I express my deep gratitude to my family and well-wishers for their continuous encouragement and moral support throughout this endeavor.</w:t>
      </w:r>
    </w:p>
    <w:p>
      <w:pPr>
        <w:jc w:val="both"/>
      </w:pPr>
      <w:r>
        <w:rPr>
          <w:rFonts w:ascii="Cambria" w:hAnsi="Cambria"/>
          <w:b w:val="0"/>
          <w:i w:val="0"/>
          <w:sz w:val="22"/>
        </w:rPr>
        <w:t>This book is a humble contribution toward building a more quality-conscious, outcome-oriented, and institutionally accountable higher education ecosystem in India.</w:t>
      </w:r>
    </w:p>
    <w:p/>
    <w:p>
      <w:r>
        <w:rPr>
          <w:rFonts w:ascii="Cambria" w:hAnsi="Cambria"/>
          <w:b/>
          <w:i w:val="0"/>
          <w:sz w:val="22"/>
        </w:rPr>
        <w:t>Dr. V. Rama Krishna Tottempudi</w:t>
      </w:r>
    </w:p>
    <w:p>
      <w:r>
        <w:rPr>
          <w:rFonts w:ascii="Cambria" w:hAnsi="Cambria"/>
          <w:b/>
          <w:i w:val="0"/>
          <w:sz w:val="22"/>
        </w:rPr>
        <w:t>Sai Saran Tottempudi</w:t>
      </w:r>
    </w:p>
    <w:p>
      <w:r>
        <w:br w:type="page"/>
      </w:r>
    </w:p>
    <w:p>
      <w:pPr>
        <w:keepNext/>
        <w:spacing w:before="280" w:after="160"/>
      </w:pPr>
      <w:r>
        <w:rPr>
          <w:rFonts w:ascii="Cambria" w:hAnsi="Cambria"/>
          <w:b/>
          <w:color w:val="1F3A5F"/>
          <w:sz w:val="36"/>
        </w:rPr>
        <w:t>About Dr. T. V. Rama Krishna</w:t>
      </w:r>
    </w:p>
    <w:p>
      <w:pPr>
        <w:jc w:val="both"/>
      </w:pPr>
      <w:r>
        <w:rPr>
          <w:rFonts w:ascii="Cambria" w:hAnsi="Cambria"/>
          <w:b w:val="0"/>
          <w:i w:val="0"/>
          <w:sz w:val="22"/>
        </w:rPr>
        <w:t>Dr. T. V. Rama Krishna is a distinguished academician, researcher, and administrator with 25 years of teaching experience and a proven record in higher education governance, academic leadership, accreditation, and quality assurance. His contributions extend across teaching, research supervision, institutional development, and academic administration in several reputed universities of Andhra Pradesh and Telangana.</w:t>
      </w:r>
    </w:p>
    <w:p>
      <w:pPr>
        <w:jc w:val="both"/>
      </w:pPr>
      <w:r>
        <w:rPr>
          <w:rFonts w:ascii="Cambria" w:hAnsi="Cambria"/>
          <w:b w:val="0"/>
          <w:i w:val="0"/>
          <w:sz w:val="22"/>
        </w:rPr>
        <w:t>He has successfully guided 5 Ph.D. scholars and continues to serve as a recognized research supervisor at Andhra University, JNTU Ananthapuram, Koneru Lakshmaiah Education Foundation (KLEF) University, and Sri Chandrasekharendra Saraswathi Viswa Mahavidyalaya University. His supervision has fostered high-quality research outcomes in engineering, technology, and applied sciences.</w:t>
      </w:r>
    </w:p>
    <w:p>
      <w:pPr>
        <w:jc w:val="both"/>
      </w:pPr>
      <w:r>
        <w:rPr>
          <w:rFonts w:ascii="Cambria" w:hAnsi="Cambria"/>
          <w:b w:val="0"/>
          <w:i w:val="0"/>
          <w:sz w:val="22"/>
        </w:rPr>
        <w:t>Dr. Rama Krishna is a prolific researcher with an extensive publication record of 97 research papers, including 50 indexed in Scopus and 3 in SCI journals. His research expertise is widely recognized, and his profile can be accessed here: Scopus Author ID – 56397099300.</w:t>
      </w:r>
    </w:p>
    <w:p>
      <w:pPr>
        <w:jc w:val="both"/>
      </w:pPr>
      <w:r>
        <w:rPr>
          <w:rFonts w:ascii="Cambria" w:hAnsi="Cambria"/>
          <w:b w:val="0"/>
          <w:i w:val="0"/>
          <w:sz w:val="22"/>
        </w:rPr>
        <w:t>Dr. T. V. Rama Krishna has held several distinguished academic and administrative positions across reputed institutions in Andhra Pradesh and Telangana. At Sanketika Vidya Parishad Engineering College (SVPEC), he served as the Ratified Principal from Andhra University, where he also took on responsibilities as Dean of Academics, Ratified Professor, and Member Secretary of the Governing Body, a statutory body under UGC. He later contributed as the Ratified Principal from JNTU, Hyderabad at Bharat Institute of Engineering and Technology (BIET), where his primary duties included serving as Dean of Academics and Member Secretary of the Governing Body.</w:t>
      </w:r>
    </w:p>
    <w:p>
      <w:pPr>
        <w:jc w:val="both"/>
      </w:pPr>
      <w:r>
        <w:rPr>
          <w:rFonts w:ascii="Cambria" w:hAnsi="Cambria"/>
          <w:b w:val="0"/>
          <w:i w:val="0"/>
          <w:sz w:val="22"/>
        </w:rPr>
        <w:t>At Sasi Institute of Technology and Engineering (SITE), he functioned as a Ratified Professor from JNTUK, Kakinada, while also serving as Principal and Dean of Academics. His statutory and governance roles at SITE included Governing Body Member, Academic Council Member Secretary, BoS Member, Finance Committee Coordinator, Planning &amp; Development Committee Coordinator, NAAC Coordinator, IQAC Coordinator, and NBA Coordinator, reflecting his extensive expertise in quality assurance and institutional governance.</w:t>
      </w:r>
    </w:p>
    <w:p>
      <w:pPr>
        <w:jc w:val="both"/>
      </w:pPr>
      <w:r>
        <w:rPr>
          <w:rFonts w:ascii="Cambria" w:hAnsi="Cambria"/>
          <w:b w:val="0"/>
          <w:i w:val="0"/>
          <w:sz w:val="22"/>
        </w:rPr>
        <w:t>At Koneru Lakshmaiah College of Engineering (KLCE) / KLEF University, Dr. Rama Krishna contributed as a Ratified Professor, Director of e-Resources, Associate Dean of Academics, and Associate Dean of Library Resources &amp; Technical Services and Certificate Courses. Additionally, he served as Professor In-Charge of Certificate Courses and the Central Library, while also holding statutory roles as Academic Council Member and BoS Member under UGC guidelines.</w:t>
      </w:r>
    </w:p>
    <w:p>
      <w:pPr>
        <w:jc w:val="both"/>
      </w:pPr>
      <w:r>
        <w:rPr>
          <w:rFonts w:ascii="Cambria" w:hAnsi="Cambria"/>
          <w:b w:val="0"/>
          <w:i w:val="0"/>
          <w:sz w:val="22"/>
        </w:rPr>
        <w:t>Earlier in his career, at R.V.R. &amp; J.C. College of Engineering, he was ratified as an Assistant Professor and subsequently promoted to Associate Professor under Acharya Nagarjuna University. During this period, he also served as NBA Criterion 7 In-Charge, focusing on infrastructure, facilities, and sustainability in accreditation processes.</w:t>
      </w:r>
    </w:p>
    <w:p>
      <w:pPr>
        <w:jc w:val="both"/>
      </w:pPr>
      <w:r>
        <w:rPr>
          <w:rFonts w:ascii="Cambria" w:hAnsi="Cambria"/>
          <w:b w:val="0"/>
          <w:i w:val="0"/>
          <w:sz w:val="22"/>
        </w:rPr>
        <w:t>With his 25 years of teaching, 5 awarded Ph.D.s, 97 publications, and extensive administrative contributions, Dr. T. V. Rama Krishna stands as a respected leader in Indian higher education. His blend of research, academic leadership, and quality assurance roles has significantly advanced institutional growth, accreditation readiness, and global academic visibility.</w:t>
      </w:r>
    </w:p>
    <w:p>
      <w:pPr>
        <w:jc w:val="both"/>
      </w:pPr>
      <w:r>
        <w:rPr>
          <w:rFonts w:ascii="Cambria" w:hAnsi="Cambria"/>
          <w:b w:val="0"/>
          <w:i w:val="0"/>
          <w:sz w:val="22"/>
        </w:rPr>
        <w:t>LinkedIn Profile: Dr. Tottempudi Venkata Rama Krishna</w:t>
      </w:r>
    </w:p>
    <w:p>
      <w:r>
        <w:br w:type="page"/>
      </w:r>
    </w:p>
    <w:p>
      <w:pPr>
        <w:keepNext/>
        <w:spacing w:before="280" w:after="160"/>
      </w:pPr>
      <w:r>
        <w:rPr>
          <w:rFonts w:ascii="Cambria" w:hAnsi="Cambria"/>
          <w:b/>
          <w:color w:val="1F3A5F"/>
          <w:sz w:val="36"/>
        </w:rPr>
        <w:t>Abstract</w:t>
      </w:r>
    </w:p>
    <w:p>
      <w:pPr>
        <w:jc w:val="both"/>
      </w:pPr>
      <w:r>
        <w:rPr>
          <w:rFonts w:ascii="Cambria" w:hAnsi="Cambria"/>
          <w:b w:val="0"/>
          <w:i w:val="0"/>
          <w:sz w:val="22"/>
        </w:rPr>
        <w:t>The document titled "Dean – Student Affairs (DoSA): Strategic Framework for Student Support and Progression" presents a comprehensive policy and operational model designed to promote holistic student development, institutional inclusivity, and quality assurance in higher education. It outlines the vision, structure, and governance mechanisms through which the Dean – Student Affairs (DoSA) and associated offices coordinate all non-academic dimensions of student life, ensuring an environment that is equitable, supportive, and conducive to personal as well as academic growth.</w:t>
      </w:r>
    </w:p>
    <w:p>
      <w:pPr>
        <w:jc w:val="both"/>
      </w:pPr>
      <w:r>
        <w:rPr>
          <w:rFonts w:ascii="Cambria" w:hAnsi="Cambria"/>
          <w:b w:val="0"/>
          <w:i w:val="0"/>
          <w:sz w:val="22"/>
        </w:rPr>
        <w:t>The framework emphasizes a student-centric approach, aligning institutional policies and initiatives with the evolving needs of learners and the mandates of national and international quality assurance bodies such as UGC, AICTE, NAAC, NBA, and QS I-GAUGE. It delineates the roles and responsibilities of the Dean – Student Affairs and the Associate Deans responsible for specific domains, including Student Welfare and Counselling, Sports Affairs, Hostels and Canteen Affairs, Transport Affairs, Student Discipline, Women’s Welfare and Gender Equity, and Co-/Extracurricular and Club Activities. Together, these portfolios create a unified structure that integrates welfare, engagement, and discipline into a cohesive student support ecosystem.</w:t>
      </w:r>
    </w:p>
    <w:p>
      <w:pPr>
        <w:jc w:val="both"/>
      </w:pPr>
      <w:r>
        <w:rPr>
          <w:rFonts w:ascii="Cambria" w:hAnsi="Cambria"/>
          <w:b w:val="0"/>
          <w:i w:val="0"/>
          <w:sz w:val="22"/>
        </w:rPr>
        <w:t>The document adopts the Policy → Action → Evidence → Outcome (PAEO) model as the institutional standard for documentation and accountability. This model ensures that every policy is implemented through measurable actions, validated through verifiable evidence, and evaluated based on tangible outcomes. Through this structure, the institution achieves transparency, traceability, and continuous improvement, essential for accreditation readiness and institutional excellence.</w:t>
      </w:r>
    </w:p>
    <w:p>
      <w:pPr>
        <w:jc w:val="both"/>
      </w:pPr>
      <w:r>
        <w:rPr>
          <w:rFonts w:ascii="Cambria" w:hAnsi="Cambria"/>
          <w:b w:val="0"/>
          <w:i w:val="0"/>
          <w:sz w:val="22"/>
        </w:rPr>
        <w:t>Central to the framework is the commitment to student welfare, safety, and empowerment, ensuring access to counselling services, sports facilities, hostels, transportation, grievance redressal mechanisms, and gender-sensitive practices. It also promotes leadership development, co-curricular participation, ethical conduct, and mental health awareness as integral components of holistic education.</w:t>
      </w:r>
    </w:p>
    <w:p>
      <w:pPr>
        <w:jc w:val="both"/>
      </w:pPr>
      <w:r>
        <w:rPr>
          <w:rFonts w:ascii="Cambria" w:hAnsi="Cambria"/>
          <w:b w:val="0"/>
          <w:i w:val="0"/>
          <w:sz w:val="22"/>
        </w:rPr>
        <w:t>Furthermore, the framework aligns with the objectives of Sustainable Development Goals (SDG-3: Good Health and Well-Being, SDG-4: Quality Education, SDG-5: Gender Equality, and SDG-16: Peace, Justice, and Strong Institutions) and the guiding principles of the National Education Policy (NEP) 2020. By embedding these values into governance, the DoSA framework ensures that student support systems are both globally relevant and locally responsive.</w:t>
      </w:r>
    </w:p>
    <w:p>
      <w:pPr>
        <w:jc w:val="both"/>
      </w:pPr>
      <w:r>
        <w:rPr>
          <w:rFonts w:ascii="Cambria" w:hAnsi="Cambria"/>
          <w:b w:val="0"/>
          <w:i w:val="0"/>
          <w:sz w:val="22"/>
        </w:rPr>
        <w:t>The document serves not only as a policy guide but also as an operational blueprint for institutions seeking to strengthen their student affairs governance, streamline documentation for NAAC Criterion 5 (Student Support and Progression), and enhance student satisfaction and retention through evidence-based interventions. It also provides direction for developing transparent grievance mechanisms, wellness initiatives, and participatory student governance models that empower learners as co-creators of their educational experience.</w:t>
      </w:r>
    </w:p>
    <w:p>
      <w:pPr>
        <w:jc w:val="both"/>
      </w:pPr>
      <w:r>
        <w:rPr>
          <w:rFonts w:ascii="Cambria" w:hAnsi="Cambria"/>
          <w:b w:val="0"/>
          <w:i w:val="0"/>
          <w:sz w:val="22"/>
        </w:rPr>
        <w:t>In essence, the Dean – Student Affairs Strategic Framework transforms student support from an administrative function into a core pillar of institutional quality and ethical governance. It positions the DoSA’s office as a central coordinating authority driving the integration of welfare, engagement, and quality systems, thereby nurturing a generation of students who are academically competent, emotionally resilient, socially conscious, and ready to contribute meaningfully to society.</w:t>
      </w:r>
    </w:p>
    <w:p>
      <w:r>
        <w:br w:type="page"/>
      </w:r>
    </w:p>
    <w:p>
      <w:pPr>
        <w:keepNext/>
        <w:spacing w:before="280" w:after="160"/>
      </w:pPr>
      <w:r>
        <w:rPr>
          <w:rFonts w:ascii="Cambria" w:hAnsi="Cambria"/>
          <w:b/>
          <w:color w:val="1F3A5F"/>
          <w:sz w:val="36"/>
        </w:rPr>
        <w:t>Table of Contents</w:t>
      </w:r>
    </w:p>
    <w:tbl>
      <w:tblPr>
        <w:tblW w:type="auto" w:w="0"/>
        <w:tblLayout w:type="fixed"/>
        <w:tblLook w:firstColumn="1" w:firstRow="1" w:lastColumn="0" w:lastRow="0" w:noHBand="0" w:noVBand="1" w:val="04A0"/>
        <w:tblW w:w="9412" w:type="dxa"/>
        <w:tblLayout w:type="fixed"/>
      </w:tblPr>
      <w:tblGrid>
        <w:gridCol w:w="850"/>
        <w:gridCol w:w="7541"/>
        <w:gridCol w:w="1020"/>
      </w:tblGrid>
      <w:tr>
        <w:tc>
          <w:tcPr>
            <w:tcW w:type="dxa" w:w="850"/>
            <w:tcW w:w="850" w:type="dxa"/>
            <w:shd w:val="clear" w:color="auto" w:fill="1F3A5F"/>
          </w:tcPr>
          <w:p>
            <w:pPr>
              <w:jc w:val="center"/>
            </w:pPr>
            <w:r/>
            <w:r>
              <w:rPr>
                <w:rFonts w:ascii="Cambria" w:hAnsi="Cambria"/>
                <w:b/>
                <w:color w:val="FFFFFF"/>
                <w:sz w:val="22"/>
              </w:rPr>
              <w:t>S. No</w:t>
            </w:r>
          </w:p>
        </w:tc>
        <w:tc>
          <w:tcPr>
            <w:tcW w:type="dxa" w:w="7540"/>
            <w:tcW w:w="7541" w:type="dxa"/>
            <w:shd w:val="clear" w:color="auto" w:fill="1F3A5F"/>
          </w:tcPr>
          <w:p>
            <w:pPr>
              <w:jc w:val="center"/>
            </w:pPr>
            <w:r/>
            <w:r>
              <w:rPr>
                <w:rFonts w:ascii="Cambria" w:hAnsi="Cambria"/>
                <w:b/>
                <w:color w:val="FFFFFF"/>
                <w:sz w:val="22"/>
              </w:rPr>
              <w:t>Content</w:t>
            </w:r>
          </w:p>
        </w:tc>
        <w:tc>
          <w:tcPr>
            <w:tcW w:type="dxa" w:w="1020"/>
            <w:tcW w:w="1020" w:type="dxa"/>
            <w:shd w:val="clear" w:color="auto" w:fill="1F3A5F"/>
          </w:tcPr>
          <w:p>
            <w:pPr>
              <w:jc w:val="center"/>
            </w:pPr>
            <w:r/>
            <w:r>
              <w:rPr>
                <w:rFonts w:ascii="Cambria" w:hAnsi="Cambria"/>
                <w:b/>
                <w:color w:val="FFFFFF"/>
                <w:sz w:val="22"/>
              </w:rPr>
              <w:t>Pg. No</w:t>
            </w:r>
          </w:p>
        </w:tc>
      </w:tr>
      <w:tr>
        <w:tc>
          <w:tcPr>
            <w:tcW w:type="dxa" w:w="850"/>
            <w:tcW w:w="850" w:type="dxa"/>
          </w:tcPr>
          <w:p>
            <w:pPr>
              <w:jc w:val="center"/>
            </w:pPr>
            <w:r/>
            <w:r>
              <w:rPr>
                <w:rFonts w:ascii="Cambria" w:hAnsi="Cambria"/>
                <w:b/>
                <w:sz w:val="22"/>
              </w:rPr>
              <w:t>1</w:t>
            </w:r>
          </w:p>
        </w:tc>
        <w:tc>
          <w:tcPr>
            <w:tcW w:type="dxa" w:w="7540"/>
            <w:tcW w:w="7541" w:type="dxa"/>
          </w:tcPr>
          <w:p>
            <w:pPr>
              <w:jc w:val="left"/>
            </w:pPr>
            <w:r/>
            <w:r>
              <w:rPr>
                <w:rFonts w:ascii="Cambria" w:hAnsi="Cambria"/>
                <w:b/>
                <w:sz w:val="22"/>
              </w:rPr>
              <w:t>Introduction</w:t>
            </w:r>
          </w:p>
        </w:tc>
        <w:tc>
          <w:tcPr>
            <w:tcW w:type="dxa" w:w="1020"/>
            <w:tcW w:w="1020" w:type="dxa"/>
          </w:tcPr>
          <w:p>
            <w:pPr>
              <w:jc w:val="center"/>
            </w:pPr>
            <w:r/>
            <w:r>
              <w:rPr>
                <w:rFonts w:ascii="Cambria" w:hAnsi="Cambria"/>
                <w:b w:val="0"/>
                <w:sz w:val="22"/>
              </w:rPr>
              <w:t>01</w:t>
            </w:r>
          </w:p>
        </w:tc>
      </w:tr>
      <w:tr>
        <w:tc>
          <w:tcPr>
            <w:tcW w:type="dxa" w:w="850"/>
            <w:tcW w:w="850" w:type="dxa"/>
          </w:tcPr>
          <w:p>
            <w:pPr>
              <w:jc w:val="center"/>
            </w:pPr>
            <w:r/>
            <w:r>
              <w:rPr>
                <w:rFonts w:ascii="Cambria" w:hAnsi="Cambria"/>
                <w:b/>
                <w:sz w:val="22"/>
              </w:rPr>
              <w:t>2</w:t>
            </w:r>
          </w:p>
        </w:tc>
        <w:tc>
          <w:tcPr>
            <w:tcW w:type="dxa" w:w="7540"/>
            <w:tcW w:w="7541" w:type="dxa"/>
          </w:tcPr>
          <w:p>
            <w:pPr>
              <w:jc w:val="left"/>
            </w:pPr>
            <w:r/>
            <w:r>
              <w:rPr>
                <w:rFonts w:ascii="Cambria" w:hAnsi="Cambria"/>
                <w:b/>
                <w:sz w:val="22"/>
              </w:rPr>
              <w:t>Dean – Student Affairs (DoSA)</w:t>
            </w:r>
          </w:p>
        </w:tc>
        <w:tc>
          <w:tcPr>
            <w:tcW w:type="dxa" w:w="1020"/>
            <w:tcW w:w="1020" w:type="dxa"/>
          </w:tcPr>
          <w:p>
            <w:pPr>
              <w:jc w:val="center"/>
            </w:pPr>
            <w:r/>
            <w:r>
              <w:rPr>
                <w:rFonts w:ascii="Cambria" w:hAnsi="Cambria"/>
                <w:b w:val="0"/>
                <w:sz w:val="22"/>
              </w:rPr>
              <w:t>04</w:t>
            </w:r>
          </w:p>
        </w:tc>
      </w:tr>
      <w:tr>
        <w:tc>
          <w:tcPr>
            <w:tcW w:type="dxa" w:w="850"/>
            <w:tcW w:w="850" w:type="dxa"/>
          </w:tcPr>
          <w:p>
            <w:pPr>
              <w:jc w:val="center"/>
            </w:pPr>
            <w:r/>
            <w:r>
              <w:rPr>
                <w:rFonts w:ascii="Cambria" w:hAnsi="Cambria"/>
                <w:b/>
                <w:sz w:val="22"/>
              </w:rPr>
              <w:t>3</w:t>
            </w:r>
          </w:p>
        </w:tc>
        <w:tc>
          <w:tcPr>
            <w:tcW w:type="dxa" w:w="7540"/>
            <w:tcW w:w="7541" w:type="dxa"/>
          </w:tcPr>
          <w:p>
            <w:pPr>
              <w:jc w:val="left"/>
            </w:pPr>
            <w:r/>
            <w:r>
              <w:rPr>
                <w:rFonts w:ascii="Cambria" w:hAnsi="Cambria"/>
                <w:b/>
                <w:sz w:val="22"/>
              </w:rPr>
              <w:t>Associate Dean – Students’ Welfare, Student Counselling, Grievance and Redressal</w:t>
            </w:r>
          </w:p>
        </w:tc>
        <w:tc>
          <w:tcPr>
            <w:tcW w:type="dxa" w:w="1020"/>
            <w:tcW w:w="1020" w:type="dxa"/>
          </w:tcPr>
          <w:p>
            <w:pPr>
              <w:jc w:val="center"/>
            </w:pPr>
            <w:r/>
            <w:r>
              <w:rPr>
                <w:rFonts w:ascii="Cambria" w:hAnsi="Cambria"/>
                <w:b w:val="0"/>
                <w:sz w:val="22"/>
              </w:rPr>
              <w:t>12</w:t>
            </w:r>
          </w:p>
        </w:tc>
      </w:tr>
      <w:tr>
        <w:tc>
          <w:tcPr>
            <w:tcW w:type="dxa" w:w="850"/>
            <w:tcW w:w="850" w:type="dxa"/>
          </w:tcPr>
          <w:p>
            <w:pPr>
              <w:jc w:val="center"/>
            </w:pPr>
            <w:r/>
            <w:r>
              <w:rPr>
                <w:rFonts w:ascii="Cambria" w:hAnsi="Cambria"/>
                <w:b/>
                <w:sz w:val="22"/>
              </w:rPr>
              <w:t>4</w:t>
            </w:r>
          </w:p>
        </w:tc>
        <w:tc>
          <w:tcPr>
            <w:tcW w:type="dxa" w:w="7540"/>
            <w:tcW w:w="7541" w:type="dxa"/>
          </w:tcPr>
          <w:p>
            <w:pPr>
              <w:jc w:val="left"/>
            </w:pPr>
            <w:r/>
            <w:r>
              <w:rPr>
                <w:rFonts w:ascii="Cambria" w:hAnsi="Cambria"/>
                <w:b/>
                <w:sz w:val="22"/>
              </w:rPr>
              <w:t>Associate Dean – Hostels and Canteen Affairs</w:t>
            </w:r>
          </w:p>
        </w:tc>
        <w:tc>
          <w:tcPr>
            <w:tcW w:type="dxa" w:w="1020"/>
            <w:tcW w:w="1020" w:type="dxa"/>
          </w:tcPr>
          <w:p>
            <w:pPr>
              <w:jc w:val="center"/>
            </w:pPr>
            <w:r/>
            <w:r>
              <w:rPr>
                <w:rFonts w:ascii="Cambria" w:hAnsi="Cambria"/>
                <w:b w:val="0"/>
                <w:sz w:val="22"/>
              </w:rPr>
              <w:t>20</w:t>
            </w:r>
          </w:p>
        </w:tc>
      </w:tr>
      <w:tr>
        <w:tc>
          <w:tcPr>
            <w:tcW w:type="dxa" w:w="850"/>
            <w:tcW w:w="850" w:type="dxa"/>
          </w:tcPr>
          <w:p>
            <w:pPr>
              <w:jc w:val="center"/>
            </w:pPr>
            <w:r/>
            <w:r>
              <w:rPr>
                <w:rFonts w:ascii="Cambria" w:hAnsi="Cambria"/>
                <w:b/>
                <w:sz w:val="22"/>
              </w:rPr>
              <w:t>5</w:t>
            </w:r>
          </w:p>
        </w:tc>
        <w:tc>
          <w:tcPr>
            <w:tcW w:type="dxa" w:w="7540"/>
            <w:tcW w:w="7541" w:type="dxa"/>
          </w:tcPr>
          <w:p>
            <w:pPr>
              <w:jc w:val="left"/>
            </w:pPr>
            <w:r/>
            <w:r>
              <w:rPr>
                <w:rFonts w:ascii="Cambria" w:hAnsi="Cambria"/>
                <w:b/>
                <w:sz w:val="22"/>
              </w:rPr>
              <w:t>Associate Dean – Sports Affairs</w:t>
            </w:r>
          </w:p>
        </w:tc>
        <w:tc>
          <w:tcPr>
            <w:tcW w:type="dxa" w:w="1020"/>
            <w:tcW w:w="1020" w:type="dxa"/>
          </w:tcPr>
          <w:p>
            <w:pPr>
              <w:jc w:val="center"/>
            </w:pPr>
            <w:r/>
            <w:r>
              <w:rPr>
                <w:rFonts w:ascii="Cambria" w:hAnsi="Cambria"/>
                <w:b w:val="0"/>
                <w:sz w:val="22"/>
              </w:rPr>
              <w:t>26</w:t>
            </w:r>
          </w:p>
        </w:tc>
      </w:tr>
      <w:tr>
        <w:tc>
          <w:tcPr>
            <w:tcW w:type="dxa" w:w="850"/>
            <w:tcW w:w="850" w:type="dxa"/>
          </w:tcPr>
          <w:p>
            <w:pPr>
              <w:jc w:val="center"/>
            </w:pPr>
            <w:r/>
            <w:r>
              <w:rPr>
                <w:rFonts w:ascii="Cambria" w:hAnsi="Cambria"/>
                <w:b/>
                <w:sz w:val="22"/>
              </w:rPr>
              <w:t>6</w:t>
            </w:r>
          </w:p>
        </w:tc>
        <w:tc>
          <w:tcPr>
            <w:tcW w:type="dxa" w:w="7540"/>
            <w:tcW w:w="7541" w:type="dxa"/>
          </w:tcPr>
          <w:p>
            <w:pPr>
              <w:jc w:val="left"/>
            </w:pPr>
            <w:r/>
            <w:r>
              <w:rPr>
                <w:rFonts w:ascii="Cambria" w:hAnsi="Cambria"/>
                <w:b/>
                <w:sz w:val="22"/>
              </w:rPr>
              <w:t>Associate Dean – Transport Affairs</w:t>
            </w:r>
          </w:p>
        </w:tc>
        <w:tc>
          <w:tcPr>
            <w:tcW w:type="dxa" w:w="1020"/>
            <w:tcW w:w="1020" w:type="dxa"/>
          </w:tcPr>
          <w:p>
            <w:pPr>
              <w:jc w:val="center"/>
            </w:pPr>
            <w:r/>
            <w:r>
              <w:rPr>
                <w:rFonts w:ascii="Cambria" w:hAnsi="Cambria"/>
                <w:b w:val="0"/>
                <w:sz w:val="22"/>
              </w:rPr>
              <w:t>32</w:t>
            </w:r>
          </w:p>
        </w:tc>
      </w:tr>
      <w:tr>
        <w:tc>
          <w:tcPr>
            <w:tcW w:type="dxa" w:w="850"/>
            <w:tcW w:w="850" w:type="dxa"/>
          </w:tcPr>
          <w:p>
            <w:pPr>
              <w:jc w:val="center"/>
            </w:pPr>
            <w:r/>
            <w:r>
              <w:rPr>
                <w:rFonts w:ascii="Cambria" w:hAnsi="Cambria"/>
                <w:b/>
                <w:sz w:val="22"/>
              </w:rPr>
              <w:t>7</w:t>
            </w:r>
          </w:p>
        </w:tc>
        <w:tc>
          <w:tcPr>
            <w:tcW w:type="dxa" w:w="7540"/>
            <w:tcW w:w="7541" w:type="dxa"/>
          </w:tcPr>
          <w:p>
            <w:pPr>
              <w:jc w:val="left"/>
            </w:pPr>
            <w:r/>
            <w:r>
              <w:rPr>
                <w:rFonts w:ascii="Cambria" w:hAnsi="Cambria"/>
                <w:b/>
                <w:sz w:val="22"/>
              </w:rPr>
              <w:t>Associate Dean – Student Discipline</w:t>
            </w:r>
          </w:p>
        </w:tc>
        <w:tc>
          <w:tcPr>
            <w:tcW w:type="dxa" w:w="1020"/>
            <w:tcW w:w="1020" w:type="dxa"/>
          </w:tcPr>
          <w:p>
            <w:pPr>
              <w:jc w:val="center"/>
            </w:pPr>
            <w:r/>
            <w:r>
              <w:rPr>
                <w:rFonts w:ascii="Cambria" w:hAnsi="Cambria"/>
                <w:b w:val="0"/>
                <w:sz w:val="22"/>
              </w:rPr>
              <w:t>38</w:t>
            </w:r>
          </w:p>
        </w:tc>
      </w:tr>
      <w:tr>
        <w:tc>
          <w:tcPr>
            <w:tcW w:type="dxa" w:w="850"/>
            <w:tcW w:w="850" w:type="dxa"/>
          </w:tcPr>
          <w:p>
            <w:pPr>
              <w:jc w:val="center"/>
            </w:pPr>
            <w:r/>
            <w:r>
              <w:rPr>
                <w:rFonts w:ascii="Cambria" w:hAnsi="Cambria"/>
                <w:b/>
                <w:sz w:val="22"/>
              </w:rPr>
              <w:t>8</w:t>
            </w:r>
          </w:p>
        </w:tc>
        <w:tc>
          <w:tcPr>
            <w:tcW w:type="dxa" w:w="7540"/>
            <w:tcW w:w="7541" w:type="dxa"/>
          </w:tcPr>
          <w:p>
            <w:pPr>
              <w:jc w:val="left"/>
            </w:pPr>
            <w:r/>
            <w:r>
              <w:rPr>
                <w:rFonts w:ascii="Cambria" w:hAnsi="Cambria"/>
                <w:b/>
                <w:sz w:val="22"/>
              </w:rPr>
              <w:t>Associate Dean – Associations, Co-Curricular, Extracurricular, and Club Activities</w:t>
            </w:r>
          </w:p>
        </w:tc>
        <w:tc>
          <w:tcPr>
            <w:tcW w:type="dxa" w:w="1020"/>
            <w:tcW w:w="1020" w:type="dxa"/>
          </w:tcPr>
          <w:p>
            <w:pPr>
              <w:jc w:val="center"/>
            </w:pPr>
            <w:r/>
            <w:r>
              <w:rPr>
                <w:rFonts w:ascii="Cambria" w:hAnsi="Cambria"/>
                <w:b w:val="0"/>
                <w:sz w:val="22"/>
              </w:rPr>
              <w:t>44</w:t>
            </w:r>
          </w:p>
        </w:tc>
      </w:tr>
      <w:tr>
        <w:tc>
          <w:tcPr>
            <w:tcW w:type="dxa" w:w="850"/>
            <w:tcW w:w="850" w:type="dxa"/>
          </w:tcPr>
          <w:p>
            <w:pPr>
              <w:jc w:val="center"/>
            </w:pPr>
            <w:r/>
            <w:r>
              <w:rPr>
                <w:rFonts w:ascii="Cambria" w:hAnsi="Cambria"/>
                <w:b/>
                <w:sz w:val="22"/>
              </w:rPr>
              <w:t>9</w:t>
            </w:r>
          </w:p>
        </w:tc>
        <w:tc>
          <w:tcPr>
            <w:tcW w:type="dxa" w:w="7540"/>
            <w:tcW w:w="7541" w:type="dxa"/>
          </w:tcPr>
          <w:p>
            <w:pPr>
              <w:jc w:val="left"/>
            </w:pPr>
            <w:r/>
            <w:r>
              <w:rPr>
                <w:rFonts w:ascii="Cambria" w:hAnsi="Cambria"/>
                <w:b/>
                <w:sz w:val="22"/>
              </w:rPr>
              <w:t>Associate Dean – Women’s Welfare, Women’s Forum, Grievance and Redressal</w:t>
            </w:r>
          </w:p>
        </w:tc>
        <w:tc>
          <w:tcPr>
            <w:tcW w:type="dxa" w:w="1020"/>
            <w:tcW w:w="1020" w:type="dxa"/>
          </w:tcPr>
          <w:p>
            <w:pPr>
              <w:jc w:val="center"/>
            </w:pPr>
            <w:r/>
            <w:r>
              <w:rPr>
                <w:rFonts w:ascii="Cambria" w:hAnsi="Cambria"/>
                <w:b w:val="0"/>
                <w:sz w:val="22"/>
              </w:rPr>
              <w:t>50</w:t>
            </w:r>
          </w:p>
        </w:tc>
      </w:tr>
      <w:tr>
        <w:tc>
          <w:tcPr>
            <w:tcW w:type="dxa" w:w="850"/>
            <w:tcW w:w="850" w:type="dxa"/>
          </w:tcPr>
          <w:p>
            <w:pPr>
              <w:jc w:val="center"/>
            </w:pPr>
            <w:r/>
            <w:r>
              <w:rPr>
                <w:rFonts w:ascii="Cambria" w:hAnsi="Cambria"/>
                <w:b/>
                <w:sz w:val="22"/>
              </w:rPr>
              <w:t>10</w:t>
            </w:r>
          </w:p>
        </w:tc>
        <w:tc>
          <w:tcPr>
            <w:tcW w:type="dxa" w:w="7540"/>
            <w:tcW w:w="7541" w:type="dxa"/>
          </w:tcPr>
          <w:p>
            <w:pPr>
              <w:jc w:val="left"/>
            </w:pPr>
            <w:r/>
            <w:r>
              <w:rPr>
                <w:rFonts w:ascii="Cambria" w:hAnsi="Cambria"/>
                <w:b/>
                <w:sz w:val="22"/>
              </w:rPr>
              <w:t>References</w:t>
            </w:r>
          </w:p>
        </w:tc>
        <w:tc>
          <w:tcPr>
            <w:tcW w:type="dxa" w:w="1020"/>
            <w:tcW w:w="1020" w:type="dxa"/>
          </w:tcPr>
          <w:p>
            <w:pPr>
              <w:jc w:val="center"/>
            </w:pPr>
            <w:r/>
            <w:r>
              <w:rPr>
                <w:rFonts w:ascii="Cambria" w:hAnsi="Cambria"/>
                <w:b w:val="0"/>
                <w:sz w:val="22"/>
              </w:rPr>
              <w:t>55</w:t>
            </w:r>
          </w:p>
        </w:tc>
      </w:tr>
    </w:tbl>
    <w:p>
      <w:r>
        <w:br w:type="page"/>
      </w:r>
    </w:p>
    <w:p>
      <w:pPr>
        <w:keepNext/>
        <w:spacing w:before="280" w:after="160"/>
      </w:pPr>
      <w:r>
        <w:rPr>
          <w:rFonts w:ascii="Cambria" w:hAnsi="Cambria"/>
          <w:b/>
          <w:color w:val="1F3A5F"/>
          <w:sz w:val="36"/>
        </w:rPr>
        <w:t>1. Introduction</w:t>
      </w:r>
    </w:p>
    <w:p>
      <w:pPr>
        <w:jc w:val="both"/>
      </w:pPr>
      <w:r>
        <w:rPr>
          <w:rFonts w:ascii="Cambria" w:hAnsi="Cambria"/>
          <w:b w:val="0"/>
          <w:i w:val="0"/>
          <w:sz w:val="22"/>
        </w:rPr>
        <w:t>The Dean of Student Affairs (DoSA) serves as one of the most significant pillars in an institution’s academic–administrative structure, embodying the institution’s commitment to holistic student development beyond the confines of formal classroom learning. The role encompasses the stewardship of all non-academic dimensions of campus life, ensuring that students experience a balanced, supportive, and enriching environment that promotes intellectual growth, physical well-being, ethical maturity, and emotional resilience. The DoSA represents the institutional conscience that binds governance, student engagement, welfare, and inclusivity under a unified framework of quality assurance and continuous improvement.</w:t>
      </w:r>
    </w:p>
    <w:p>
      <w:pPr>
        <w:jc w:val="both"/>
      </w:pPr>
      <w:r>
        <w:rPr>
          <w:rFonts w:ascii="Cambria" w:hAnsi="Cambria"/>
          <w:b w:val="0"/>
          <w:i w:val="0"/>
          <w:sz w:val="22"/>
        </w:rPr>
        <w:t>In modern higher education, students are viewed not merely as learners but as partners in the institutional ecosystem. The DoSA’s office functions as the central coordinating authority that integrates student support systems, co-curricular and extracurricular activities, sports, counselling, welfare, discipline, hostel management, transport services, gender equity initiatives, and community outreach. The overarching objective is to cultivate a campus climate that reflects empathy, integrity, and accountability—values essential for producing socially responsible graduates capable of leading change in a globalized world.</w:t>
      </w:r>
    </w:p>
    <w:p>
      <w:pPr>
        <w:jc w:val="both"/>
      </w:pPr>
      <w:r>
        <w:rPr>
          <w:rFonts w:ascii="Cambria" w:hAnsi="Cambria"/>
          <w:b w:val="0"/>
          <w:i w:val="0"/>
          <w:sz w:val="22"/>
        </w:rPr>
        <w:t>The DoSA’s mandate extends across academic and administrative boundaries. It involves creating effective interfaces between students, faculty, administrators, and external stakeholders to ensure that every aspect of student life—be it health, housing, recreation, or ethical conduct—is governed by fairness and inclusivity. The office formulates and enforces policies aligned with statutory and accreditation frameworks such as UGC, AICTE, NAAC, NBA, and QS I-GAUGE, ensuring institutional readiness for audits and evaluations. In doing so, it harmonizes student-centric governance with the benchmarks defined under the National Education Policy (NEP) 2020 and the Sustainable Development Goals (SDGs)—notably SDG-3 (Good Health and Well-Being), SDG-4 (Quality Education), SDG-5 (Gender Equality), and SDG-16 (Peace, Justice, and Strong Institutions).</w:t>
      </w:r>
    </w:p>
    <w:p>
      <w:pPr>
        <w:jc w:val="both"/>
      </w:pPr>
      <w:r>
        <w:rPr>
          <w:rFonts w:ascii="Cambria" w:hAnsi="Cambria"/>
          <w:b w:val="0"/>
          <w:i w:val="0"/>
          <w:sz w:val="22"/>
        </w:rPr>
        <w:t>Under the leadership of the DoSA, a network of Associate Deans manages specialized portfolios—Students’ Welfare and Counselling, Sports, Hostels and Canteen Affairs, Transport, Student Discipline, Associations and Club Activities, and Women’s Welfare. Each Associate Dean oversees the day-to-day operations, policy implementation, and documentation of their respective domains while maintaining alignment with institutional objectives. Collectively, they ensure that student affairs operate as a coordinated system rather than as isolated units, fostering synergy among welfare, engagement, and ethical governance.</w:t>
      </w:r>
    </w:p>
    <w:p>
      <w:pPr>
        <w:jc w:val="both"/>
      </w:pPr>
      <w:r>
        <w:rPr>
          <w:rFonts w:ascii="Cambria" w:hAnsi="Cambria"/>
          <w:b w:val="0"/>
          <w:i w:val="0"/>
          <w:sz w:val="22"/>
        </w:rPr>
        <w:t>The governance model under the DoSA follows a Policy → Action → Evidence → Outcome (PAEO) documentation structure. This model transforms every initiative into a traceable cycle that begins with an approved policy, moves through measurable actions, gathers documentary evidence, and culminates in evaluated outcomes. Such a system not only enhances transparency and accountability but also simplifies accreditation readiness by linking institutional efforts directly to performance indicators. The PAEO framework integrates seamlessly with NAAC Criterion 5 (Student Support and Progression), NBA Criteria 8–10 (Student Support Systems and Continuous Improvement), and multiple QS I-GAUGE parameters including Teaching–Learning, Governance, Diversity, and Social Responsibility.</w:t>
      </w:r>
    </w:p>
    <w:p>
      <w:pPr>
        <w:jc w:val="both"/>
      </w:pPr>
      <w:r>
        <w:rPr>
          <w:rFonts w:ascii="Cambria" w:hAnsi="Cambria"/>
          <w:b w:val="0"/>
          <w:i w:val="0"/>
          <w:sz w:val="22"/>
        </w:rPr>
        <w:t>In practice, the DoSA’s responsibilities can be categorized into four broad dimensions: student welfare, student engagement, ethical and disciplinary governance, and quality assurance.</w:t>
      </w:r>
    </w:p>
    <w:p>
      <w:pPr>
        <w:jc w:val="both"/>
      </w:pPr>
      <w:r>
        <w:rPr>
          <w:rFonts w:ascii="Cambria" w:hAnsi="Cambria"/>
          <w:b w:val="0"/>
          <w:i w:val="0"/>
          <w:sz w:val="22"/>
        </w:rPr>
        <w:t>Student welfare involves designing and implementing schemes for scholarships, financial assistance, healthcare, counselling, and accessibility, ensuring that no student is deprived of opportunities due to socio-economic or psychological constraints.</w:t>
      </w:r>
    </w:p>
    <w:p>
      <w:pPr>
        <w:jc w:val="both"/>
      </w:pPr>
      <w:r>
        <w:rPr>
          <w:rFonts w:ascii="Cambria" w:hAnsi="Cambria"/>
          <w:b w:val="0"/>
          <w:i w:val="0"/>
          <w:sz w:val="22"/>
        </w:rPr>
        <w:t>Student engagement encompasses co-curricular, extracurricular, and club activities that nurture creativity, teamwork, and leadership. It includes organizing festivals, sports meets, debates, hackathons, and community outreach programs that transform students into active contributors to institutional culture.</w:t>
      </w:r>
    </w:p>
    <w:p>
      <w:pPr>
        <w:jc w:val="both"/>
      </w:pPr>
      <w:r>
        <w:rPr>
          <w:rFonts w:ascii="Cambria" w:hAnsi="Cambria"/>
          <w:b w:val="0"/>
          <w:i w:val="0"/>
          <w:sz w:val="22"/>
        </w:rPr>
        <w:t>Ethical governance ensures adherence to codes of conduct, prevention of ragging and harassment, and maintenance of discipline through rehabilitative and preventive measures rather than punitive ones.</w:t>
      </w:r>
    </w:p>
    <w:p>
      <w:pPr>
        <w:jc w:val="both"/>
      </w:pPr>
      <w:r>
        <w:rPr>
          <w:rFonts w:ascii="Cambria" w:hAnsi="Cambria"/>
          <w:b w:val="0"/>
          <w:i w:val="0"/>
          <w:sz w:val="22"/>
        </w:rPr>
        <w:t>Quality assurance and accreditation alignment guarantee that all initiatives are systematically documented, periodically reviewed, and continuously improved through IQAC-driven feedback mechanisms.</w:t>
      </w:r>
    </w:p>
    <w:p>
      <w:pPr>
        <w:jc w:val="both"/>
      </w:pPr>
      <w:r>
        <w:rPr>
          <w:rFonts w:ascii="Cambria" w:hAnsi="Cambria"/>
          <w:b w:val="0"/>
          <w:i w:val="0"/>
          <w:sz w:val="22"/>
        </w:rPr>
        <w:t>The DoSA’s office functions as a policy-driven hub that ensures operational excellence across multiple departments. Policies governing counselling, sports, hostels, canteens, transport, and gender equity are formulated, reviewed, and disseminated under its supervision. Each policy undergoes periodic evaluation for relevance and effectiveness, and its implementation is verified through measurable indicators. This evidence-based approach bridges administrative decision-making with outcome-based education (OBE) principles, ensuring that institutional efforts contribute tangibly to student learning experiences and overall satisfaction.</w:t>
      </w:r>
    </w:p>
    <w:p>
      <w:pPr>
        <w:jc w:val="both"/>
      </w:pPr>
      <w:r>
        <w:rPr>
          <w:rFonts w:ascii="Cambria" w:hAnsi="Cambria"/>
          <w:b w:val="0"/>
          <w:i w:val="0"/>
          <w:sz w:val="22"/>
        </w:rPr>
        <w:t>The organizational structure under the Dean – Student Affairs reinforces decentralization with accountability. Each Associate Dean leads a specialized team of coordinators, wardens, counsellors, and committee members who operationalize policies at the ground level. Monthly coordination meetings chaired by the DoSA facilitate cross-functional dialogue, identify bottlenecks, and ensure consistency across all student-related services. Internal audits and IQAC reviews provide an additional layer of oversight, promoting compliance with institutional, statutory, and accreditation norms.</w:t>
      </w:r>
    </w:p>
    <w:p>
      <w:pPr>
        <w:jc w:val="both"/>
      </w:pPr>
      <w:r>
        <w:rPr>
          <w:rFonts w:ascii="Cambria" w:hAnsi="Cambria"/>
          <w:b w:val="0"/>
          <w:i w:val="0"/>
          <w:sz w:val="22"/>
        </w:rPr>
        <w:t>The Dean – Student Affairs also acts as a bridge between the student body and the administration. By facilitating participatory governance through student councils, feedback mechanisms, and open forums, the DoSA ensures that students have a voice in shaping institutional policies that directly impact their lives. This participatory model not only enhances trust but also aligns with NEP 2020’s emphasis on inclusive and democratic campus governance. The office further collaborates with alumni, industry partners, and community organizations to create mentoring networks, internship pathways, and outreach programs that extend learning beyond the classroom.</w:t>
      </w:r>
    </w:p>
    <w:p>
      <w:pPr>
        <w:jc w:val="both"/>
      </w:pPr>
      <w:r>
        <w:rPr>
          <w:rFonts w:ascii="Cambria" w:hAnsi="Cambria"/>
          <w:b w:val="0"/>
          <w:i w:val="0"/>
          <w:sz w:val="22"/>
        </w:rPr>
        <w:t>Another critical responsibility of the DoSA lies in ensuring institutional preparedness for quality audits and accreditations. All data generated through welfare programs, sports events, hostel operations, counselling sessions, and disciplinary processes are compiled into standardized documentation formats for submission to the Internal Quality Assurance Cell (IQAC). The IQAC, in turn, uses this data to populate reports such as the Annual Quality Assurance Report (AQAR) for NAAC, the Self-Assessment Report (SAR) for NBA, and evidence portfolios for QS I-GAUGE benchmarking. This cyclical integration of documentation and review makes the student affairs division a cornerstone of the institution’s quality assurance ecosystem.</w:t>
      </w:r>
    </w:p>
    <w:p>
      <w:pPr>
        <w:jc w:val="both"/>
      </w:pPr>
      <w:r>
        <w:rPr>
          <w:rFonts w:ascii="Cambria" w:hAnsi="Cambria"/>
          <w:b w:val="0"/>
          <w:i w:val="0"/>
          <w:sz w:val="22"/>
        </w:rPr>
        <w:t>Beyond compliance, the DoSA’s vision is to cultivate an environment that encourages holistic education—balancing intellectual pursuit with emotional intelligence, ethics, and physical well-being. Initiatives such as stress-management workshops, gender sensitization programs, leadership boot camps, and environmental awareness drives foster a culture of empathy, resilience, and civic responsibility among students. These efforts align institutional functioning with the broader educational mission of producing graduates who are not only competent professionals but also conscientious citizens.</w:t>
      </w:r>
    </w:p>
    <w:p>
      <w:pPr>
        <w:jc w:val="both"/>
      </w:pPr>
      <w:r>
        <w:rPr>
          <w:rFonts w:ascii="Cambria" w:hAnsi="Cambria"/>
          <w:b w:val="0"/>
          <w:i w:val="0"/>
          <w:sz w:val="22"/>
        </w:rPr>
        <w:t>In essence, the Dean – Student Affairs (DoSA) functions as the architect of the student experience. Through structured governance, policy integration, and data-driven management, the office transforms student support from an administrative service into a strategic pillar of institutional excellence. Its multidimensional approach ensures that every aspect of student life—from accommodation and counselling to sports, safety, and gender equity—is governed by fairness, quality, and accountability. By aligning institutional practices with national educational reforms and global accreditation standards, the DoSA reaffirms the institution’s dedication to creating an ecosystem where students can thrive intellectually, socially, and ethically.</w:t>
      </w:r>
    </w:p>
    <w:p>
      <w:pPr>
        <w:jc w:val="both"/>
      </w:pPr>
      <w:r>
        <w:rPr>
          <w:rFonts w:ascii="Cambria" w:hAnsi="Cambria"/>
          <w:b w:val="0"/>
          <w:i w:val="0"/>
          <w:sz w:val="22"/>
        </w:rPr>
        <w:t>Ultimately, the DoSA’s role transcends administration; it represents the institution’s moral and developmental compass. It ensures that the campus is not only a place of learning but also a space of belonging, where values of respect, empathy, and integrity form the foundation of community life. Through visionary leadership and evidence-based governance, the office of the Dean – Student Affairs strengthens the institution’s reputation as a student-centric, inclusive, and quality-driven center of higher learning—where education is not confined to classrooms but extends to the shaping of character, identity, and purpose.</w:t>
      </w:r>
    </w:p>
    <w:p>
      <w:r>
        <w:br w:type="page"/>
      </w:r>
    </w:p>
    <w:p>
      <w:pPr>
        <w:keepNext/>
        <w:spacing w:before="280" w:after="160"/>
      </w:pPr>
      <w:r>
        <w:rPr>
          <w:rFonts w:ascii="Cambria" w:hAnsi="Cambria"/>
          <w:b/>
          <w:color w:val="1F3A5F"/>
          <w:sz w:val="36"/>
        </w:rPr>
        <w:t>2. Dean – Student Affairs (DoSA)</w:t>
      </w:r>
    </w:p>
    <w:p>
      <w:pPr>
        <w:jc w:val="both"/>
      </w:pPr>
      <w:r>
        <w:rPr>
          <w:rFonts w:ascii="Cambria" w:hAnsi="Cambria"/>
          <w:b w:val="0"/>
          <w:i w:val="0"/>
          <w:sz w:val="22"/>
        </w:rPr>
        <w:t>The Dean of Student Affairs (DoSA) is a senior academic-administrative officer responsible for managing and enhancing all non-academic dimensions of student life within the institution. The role encompasses a broad range of functions including student welfare, orientation, housing, counselling, co-curricular and extracurricular engagement, sports, discipline, and overall well-being. The DoSA acts as the primary liaison between students and the administration, ensuring that student needs are addressed effectively and that the campus environment remains supportive, inclusive, and conducive to holistic development. In many institutions, similar designations such as Dean of Students or Dean of Students’ Welfare are used to represent this pivotal role. Through leadership, coordination, and policy oversight, the DoSA ensures that every student has access to a safe, equitable, and enriching educational experience that extends beyond academics, aligning with the institution’s mission and national standards of higher education excellence.</w:t>
      </w:r>
    </w:p>
    <w:p>
      <w:pPr>
        <w:keepNext/>
        <w:spacing w:before="200" w:after="120"/>
      </w:pPr>
      <w:r>
        <w:rPr>
          <w:rFonts w:ascii="Cambria" w:hAnsi="Cambria"/>
          <w:b/>
          <w:color w:val="1F3A5F"/>
          <w:sz w:val="30"/>
        </w:rPr>
        <w:t>1. Overview of the Dean – Student Affairs (DoSA)</w:t>
      </w:r>
    </w:p>
    <w:p>
      <w:pPr>
        <w:jc w:val="both"/>
      </w:pPr>
      <w:r>
        <w:rPr>
          <w:rFonts w:ascii="Cambria" w:hAnsi="Cambria"/>
          <w:b w:val="0"/>
          <w:i w:val="0"/>
          <w:sz w:val="22"/>
        </w:rPr>
        <w:t>The Dean – Student Affairs (DoSA) is the apex authority responsible for the overall management, coordination, and continuous enhancement of all student-related services, welfare activities, and development programs within the institution. The DoSA ensures that academic, residential, cultural, recreational, psychological, and ethical dimensions of student life are addressed holistically in alignment with institutional values, accreditation standards, and national education policies.</w:t>
      </w:r>
    </w:p>
    <w:p>
      <w:pPr>
        <w:jc w:val="both"/>
      </w:pPr>
      <w:r>
        <w:rPr>
          <w:rFonts w:ascii="Cambria" w:hAnsi="Cambria"/>
          <w:b/>
          <w:i w:val="0"/>
          <w:sz w:val="22"/>
        </w:rPr>
        <w:t>Core Mandate:</w:t>
      </w:r>
    </w:p>
    <w:p>
      <w:pPr>
        <w:pStyle w:val="ListBullet"/>
        <w:jc w:val="both"/>
      </w:pPr>
      <w:r>
        <w:rPr>
          <w:rFonts w:ascii="Cambria" w:hAnsi="Cambria"/>
          <w:sz w:val="22"/>
        </w:rPr>
        <w:t>To provide visionary leadership in shaping an inclusive, student-centric, and supportive campus environment.</w:t>
      </w:r>
    </w:p>
    <w:p>
      <w:pPr>
        <w:pStyle w:val="ListBullet"/>
        <w:jc w:val="both"/>
      </w:pPr>
      <w:r>
        <w:rPr>
          <w:rFonts w:ascii="Cambria" w:hAnsi="Cambria"/>
          <w:sz w:val="22"/>
        </w:rPr>
        <w:t>To monitor and guide all Associate Deans and their respective functional domains.</w:t>
      </w:r>
    </w:p>
    <w:p>
      <w:pPr>
        <w:pStyle w:val="ListBullet"/>
        <w:jc w:val="both"/>
      </w:pPr>
      <w:r>
        <w:rPr>
          <w:rFonts w:ascii="Cambria" w:hAnsi="Cambria"/>
          <w:sz w:val="22"/>
        </w:rPr>
        <w:t>To align all student welfare and developmental activities with UGC, AICTE, NAAC, NBA, and QS I-GAUGE frameworks.</w:t>
      </w:r>
    </w:p>
    <w:p>
      <w:pPr>
        <w:pStyle w:val="ListBullet"/>
        <w:jc w:val="both"/>
      </w:pPr>
      <w:r>
        <w:rPr>
          <w:rFonts w:ascii="Cambria" w:hAnsi="Cambria"/>
          <w:sz w:val="22"/>
        </w:rPr>
        <w:t>To foster harmony, discipline, and holistic growth through structured governance, coordination, and evidence-based quality assurance.</w:t>
      </w:r>
    </w:p>
    <w:p>
      <w:pPr>
        <w:keepNext/>
        <w:spacing w:before="200" w:after="120"/>
      </w:pPr>
      <w:r>
        <w:rPr>
          <w:rFonts w:ascii="Cambria" w:hAnsi="Cambria"/>
          <w:b/>
          <w:color w:val="1F3A5F"/>
          <w:sz w:val="30"/>
        </w:rPr>
        <w:t>2. Organizational Structure under the Dean – Student Affairs</w:t>
      </w:r>
    </w:p>
    <w:tbl>
      <w:tblPr>
        <w:tblW w:type="auto" w:w="0"/>
        <w:jc w:val="center"/>
        <w:tblLayout w:type="fixed"/>
        <w:tblLook w:firstColumn="1" w:firstRow="1" w:lastColumn="0" w:lastRow="0" w:noHBand="0" w:noVBand="1" w:val="04A0"/>
        <w:tblW w:w="9639" w:type="dxa"/>
        <w:tblLayout w:type="fixed"/>
      </w:tblPr>
      <w:tblGrid>
        <w:gridCol w:w="2835"/>
        <w:gridCol w:w="3685"/>
        <w:gridCol w:w="3118"/>
      </w:tblGrid>
      <w:tr>
        <w:tc>
          <w:tcPr>
            <w:tcW w:type="dxa" w:w="2835"/>
            <w:tcW w:w="2835" w:type="dxa"/>
            <w:shd w:val="clear" w:color="auto" w:fill="1F3A5F"/>
          </w:tcPr>
          <w:p>
            <w:pPr>
              <w:jc w:val="center"/>
            </w:pPr>
            <w:r/>
            <w:r>
              <w:rPr>
                <w:rFonts w:ascii="Cambria" w:hAnsi="Cambria"/>
                <w:b/>
                <w:color w:val="FFFFFF"/>
                <w:sz w:val="22"/>
              </w:rPr>
              <w:t>Position</w:t>
            </w:r>
          </w:p>
        </w:tc>
        <w:tc>
          <w:tcPr>
            <w:tcW w:type="dxa" w:w="3685"/>
            <w:tcW w:w="3685" w:type="dxa"/>
            <w:shd w:val="clear" w:color="auto" w:fill="1F3A5F"/>
          </w:tcPr>
          <w:p>
            <w:pPr>
              <w:jc w:val="center"/>
            </w:pPr>
            <w:r/>
            <w:r>
              <w:rPr>
                <w:rFonts w:ascii="Cambria" w:hAnsi="Cambria"/>
                <w:b/>
                <w:color w:val="FFFFFF"/>
                <w:sz w:val="22"/>
              </w:rPr>
              <w:t>Portfolio / Area of Responsibility</w:t>
            </w:r>
          </w:p>
        </w:tc>
        <w:tc>
          <w:tcPr>
            <w:tcW w:type="dxa" w:w="3118"/>
            <w:tcW w:w="3118" w:type="dxa"/>
            <w:shd w:val="clear" w:color="auto" w:fill="1F3A5F"/>
          </w:tcPr>
          <w:p>
            <w:pPr>
              <w:jc w:val="center"/>
            </w:pPr>
            <w:r/>
            <w:r>
              <w:rPr>
                <w:rFonts w:ascii="Cambria" w:hAnsi="Cambria"/>
                <w:b/>
                <w:color w:val="FFFFFF"/>
                <w:sz w:val="22"/>
              </w:rPr>
              <w:t>Primary Focus</w:t>
            </w:r>
          </w:p>
        </w:tc>
      </w:tr>
      <w:tr>
        <w:tc>
          <w:tcPr>
            <w:tcW w:type="dxa" w:w="2835"/>
            <w:tcW w:w="2835" w:type="dxa"/>
          </w:tcPr>
          <w:p>
            <w:pPr>
              <w:jc w:val="left"/>
            </w:pPr>
            <w:r/>
            <w:r>
              <w:rPr>
                <w:rFonts w:ascii="Cambria" w:hAnsi="Cambria"/>
                <w:b w:val="0"/>
                <w:sz w:val="19"/>
              </w:rPr>
              <w:t>Dean – Student Affairs (DoSA)</w:t>
            </w:r>
          </w:p>
        </w:tc>
        <w:tc>
          <w:tcPr>
            <w:tcW w:type="dxa" w:w="3685"/>
            <w:tcW w:w="3685" w:type="dxa"/>
          </w:tcPr>
          <w:p>
            <w:pPr>
              <w:jc w:val="center"/>
            </w:pPr>
            <w:r/>
            <w:r>
              <w:rPr>
                <w:rFonts w:ascii="Cambria" w:hAnsi="Cambria"/>
                <w:b w:val="0"/>
                <w:sz w:val="19"/>
              </w:rPr>
              <w:t>Overall leadership, policy formulation, coordination of all student-related affairs</w:t>
            </w:r>
          </w:p>
        </w:tc>
        <w:tc>
          <w:tcPr>
            <w:tcW w:type="dxa" w:w="3118"/>
            <w:tcW w:w="3118" w:type="dxa"/>
          </w:tcPr>
          <w:p>
            <w:pPr>
              <w:jc w:val="center"/>
            </w:pPr>
            <w:r/>
            <w:r>
              <w:rPr>
                <w:rFonts w:ascii="Cambria" w:hAnsi="Cambria"/>
                <w:b w:val="0"/>
                <w:sz w:val="19"/>
              </w:rPr>
              <w:t>Student welfare, governance, and institutional compliance</w:t>
            </w:r>
          </w:p>
        </w:tc>
      </w:tr>
      <w:tr>
        <w:tc>
          <w:tcPr>
            <w:tcW w:type="dxa" w:w="2835"/>
            <w:tcW w:w="2835" w:type="dxa"/>
            <w:shd w:val="clear" w:color="auto" w:fill="DCE6F1"/>
          </w:tcPr>
          <w:p>
            <w:pPr>
              <w:jc w:val="left"/>
            </w:pPr>
            <w:r/>
            <w:r>
              <w:rPr>
                <w:rFonts w:ascii="Cambria" w:hAnsi="Cambria"/>
                <w:b w:val="0"/>
                <w:sz w:val="19"/>
              </w:rPr>
              <w:t>Associate Dean – Students’ Welfare, Student Counselling, Grievance and Redressal</w:t>
            </w:r>
          </w:p>
        </w:tc>
        <w:tc>
          <w:tcPr>
            <w:tcW w:type="dxa" w:w="3685"/>
            <w:tcW w:w="3685" w:type="dxa"/>
            <w:shd w:val="clear" w:color="auto" w:fill="DCE6F1"/>
          </w:tcPr>
          <w:p>
            <w:pPr>
              <w:jc w:val="center"/>
            </w:pPr>
            <w:r/>
            <w:r>
              <w:rPr>
                <w:rFonts w:ascii="Cambria" w:hAnsi="Cambria"/>
                <w:b w:val="0"/>
                <w:sz w:val="19"/>
              </w:rPr>
              <w:t>Student well-being, counselling, and conflict resolution</w:t>
            </w:r>
          </w:p>
        </w:tc>
        <w:tc>
          <w:tcPr>
            <w:tcW w:type="dxa" w:w="3118"/>
            <w:tcW w:w="3118" w:type="dxa"/>
            <w:shd w:val="clear" w:color="auto" w:fill="DCE6F1"/>
          </w:tcPr>
          <w:p>
            <w:pPr>
              <w:jc w:val="center"/>
            </w:pPr>
            <w:r/>
            <w:r>
              <w:rPr>
                <w:rFonts w:ascii="Cambria" w:hAnsi="Cambria"/>
                <w:b w:val="0"/>
                <w:sz w:val="19"/>
              </w:rPr>
              <w:t>Psychological wellness, welfare schemes, grievance mechanisms</w:t>
            </w:r>
          </w:p>
        </w:tc>
      </w:tr>
      <w:tr>
        <w:tc>
          <w:tcPr>
            <w:tcW w:type="dxa" w:w="2835"/>
            <w:tcW w:w="2835" w:type="dxa"/>
          </w:tcPr>
          <w:p>
            <w:pPr>
              <w:jc w:val="left"/>
            </w:pPr>
            <w:r/>
            <w:r>
              <w:rPr>
                <w:rFonts w:ascii="Cambria" w:hAnsi="Cambria"/>
                <w:b w:val="0"/>
                <w:sz w:val="19"/>
              </w:rPr>
              <w:t>Associate Dean – Sports Affairs</w:t>
            </w:r>
          </w:p>
        </w:tc>
        <w:tc>
          <w:tcPr>
            <w:tcW w:type="dxa" w:w="3685"/>
            <w:tcW w:w="3685" w:type="dxa"/>
          </w:tcPr>
          <w:p>
            <w:pPr>
              <w:jc w:val="center"/>
            </w:pPr>
            <w:r/>
            <w:r>
              <w:rPr>
                <w:rFonts w:ascii="Cambria" w:hAnsi="Cambria"/>
                <w:b w:val="0"/>
                <w:sz w:val="19"/>
              </w:rPr>
              <w:t>Sports, fitness, and physical education activities</w:t>
            </w:r>
          </w:p>
        </w:tc>
        <w:tc>
          <w:tcPr>
            <w:tcW w:type="dxa" w:w="3118"/>
            <w:tcW w:w="3118" w:type="dxa"/>
          </w:tcPr>
          <w:p>
            <w:pPr>
              <w:jc w:val="center"/>
            </w:pPr>
            <w:r/>
            <w:r>
              <w:rPr>
                <w:rFonts w:ascii="Cambria" w:hAnsi="Cambria"/>
                <w:b w:val="0"/>
                <w:sz w:val="19"/>
              </w:rPr>
              <w:t>Health, discipline, and teamwork through sports</w:t>
            </w:r>
          </w:p>
        </w:tc>
      </w:tr>
      <w:tr>
        <w:tc>
          <w:tcPr>
            <w:tcW w:type="dxa" w:w="2835"/>
            <w:tcW w:w="2835" w:type="dxa"/>
            <w:shd w:val="clear" w:color="auto" w:fill="DCE6F1"/>
          </w:tcPr>
          <w:p>
            <w:pPr>
              <w:jc w:val="left"/>
            </w:pPr>
            <w:r/>
            <w:r>
              <w:rPr>
                <w:rFonts w:ascii="Cambria" w:hAnsi="Cambria"/>
                <w:b w:val="0"/>
                <w:sz w:val="19"/>
              </w:rPr>
              <w:t>Associate Dean – Hostels and Canteen Affairs</w:t>
            </w:r>
          </w:p>
        </w:tc>
        <w:tc>
          <w:tcPr>
            <w:tcW w:type="dxa" w:w="3685"/>
            <w:tcW w:w="3685" w:type="dxa"/>
            <w:shd w:val="clear" w:color="auto" w:fill="DCE6F1"/>
          </w:tcPr>
          <w:p>
            <w:pPr>
              <w:jc w:val="center"/>
            </w:pPr>
            <w:r/>
            <w:r>
              <w:rPr>
                <w:rFonts w:ascii="Cambria" w:hAnsi="Cambria"/>
                <w:b w:val="0"/>
                <w:sz w:val="19"/>
              </w:rPr>
              <w:t>Residential life and dining services</w:t>
            </w:r>
          </w:p>
        </w:tc>
        <w:tc>
          <w:tcPr>
            <w:tcW w:type="dxa" w:w="3118"/>
            <w:tcW w:w="3118" w:type="dxa"/>
            <w:shd w:val="clear" w:color="auto" w:fill="DCE6F1"/>
          </w:tcPr>
          <w:p>
            <w:pPr>
              <w:jc w:val="center"/>
            </w:pPr>
            <w:r/>
            <w:r>
              <w:rPr>
                <w:rFonts w:ascii="Cambria" w:hAnsi="Cambria"/>
                <w:b w:val="0"/>
                <w:sz w:val="19"/>
              </w:rPr>
              <w:t>Hostel management, food quality, safety, hygiene</w:t>
            </w:r>
          </w:p>
        </w:tc>
      </w:tr>
      <w:tr>
        <w:tc>
          <w:tcPr>
            <w:tcW w:type="dxa" w:w="2835"/>
            <w:tcW w:w="2835" w:type="dxa"/>
          </w:tcPr>
          <w:p>
            <w:pPr>
              <w:jc w:val="left"/>
            </w:pPr>
            <w:r/>
            <w:r>
              <w:rPr>
                <w:rFonts w:ascii="Cambria" w:hAnsi="Cambria"/>
                <w:b w:val="0"/>
                <w:sz w:val="19"/>
              </w:rPr>
              <w:t>Associate Dean – Transport Affairs</w:t>
            </w:r>
          </w:p>
        </w:tc>
        <w:tc>
          <w:tcPr>
            <w:tcW w:type="dxa" w:w="3685"/>
            <w:tcW w:w="3685" w:type="dxa"/>
          </w:tcPr>
          <w:p>
            <w:pPr>
              <w:jc w:val="center"/>
            </w:pPr>
            <w:r/>
            <w:r>
              <w:rPr>
                <w:rFonts w:ascii="Cambria" w:hAnsi="Cambria"/>
                <w:b w:val="0"/>
                <w:sz w:val="19"/>
              </w:rPr>
              <w:t>Institutional transport operations</w:t>
            </w:r>
          </w:p>
        </w:tc>
        <w:tc>
          <w:tcPr>
            <w:tcW w:type="dxa" w:w="3118"/>
            <w:tcW w:w="3118" w:type="dxa"/>
          </w:tcPr>
          <w:p>
            <w:pPr>
              <w:jc w:val="center"/>
            </w:pPr>
            <w:r/>
            <w:r>
              <w:rPr>
                <w:rFonts w:ascii="Cambria" w:hAnsi="Cambria"/>
                <w:b w:val="0"/>
                <w:sz w:val="19"/>
              </w:rPr>
              <w:t>Accessibility, safety, and sustainability of transportation</w:t>
            </w:r>
          </w:p>
        </w:tc>
      </w:tr>
      <w:tr>
        <w:tc>
          <w:tcPr>
            <w:tcW w:type="dxa" w:w="2835"/>
            <w:tcW w:w="2835" w:type="dxa"/>
            <w:shd w:val="clear" w:color="auto" w:fill="DCE6F1"/>
          </w:tcPr>
          <w:p>
            <w:pPr>
              <w:jc w:val="left"/>
            </w:pPr>
            <w:r/>
            <w:r>
              <w:rPr>
                <w:rFonts w:ascii="Cambria" w:hAnsi="Cambria"/>
                <w:b w:val="0"/>
                <w:sz w:val="19"/>
              </w:rPr>
              <w:t>Associate Dean – Student Discipline</w:t>
            </w:r>
          </w:p>
        </w:tc>
        <w:tc>
          <w:tcPr>
            <w:tcW w:type="dxa" w:w="3685"/>
            <w:tcW w:w="3685" w:type="dxa"/>
            <w:shd w:val="clear" w:color="auto" w:fill="DCE6F1"/>
          </w:tcPr>
          <w:p>
            <w:pPr>
              <w:jc w:val="center"/>
            </w:pPr>
            <w:r/>
            <w:r>
              <w:rPr>
                <w:rFonts w:ascii="Cambria" w:hAnsi="Cambria"/>
                <w:b w:val="0"/>
                <w:sz w:val="19"/>
              </w:rPr>
              <w:t>Enforcement of conduct and ethics policies</w:t>
            </w:r>
          </w:p>
        </w:tc>
        <w:tc>
          <w:tcPr>
            <w:tcW w:type="dxa" w:w="3118"/>
            <w:tcW w:w="3118" w:type="dxa"/>
            <w:shd w:val="clear" w:color="auto" w:fill="DCE6F1"/>
          </w:tcPr>
          <w:p>
            <w:pPr>
              <w:jc w:val="center"/>
            </w:pPr>
            <w:r/>
            <w:r>
              <w:rPr>
                <w:rFonts w:ascii="Cambria" w:hAnsi="Cambria"/>
                <w:b w:val="0"/>
                <w:sz w:val="19"/>
              </w:rPr>
              <w:t>Campus harmony, discipline, and preventive sensitization</w:t>
            </w:r>
          </w:p>
        </w:tc>
      </w:tr>
      <w:tr>
        <w:tc>
          <w:tcPr>
            <w:tcW w:type="dxa" w:w="2835"/>
            <w:tcW w:w="2835" w:type="dxa"/>
          </w:tcPr>
          <w:p>
            <w:pPr>
              <w:jc w:val="left"/>
            </w:pPr>
            <w:r/>
            <w:r>
              <w:rPr>
                <w:rFonts w:ascii="Cambria" w:hAnsi="Cambria"/>
                <w:b w:val="0"/>
                <w:sz w:val="19"/>
              </w:rPr>
              <w:t>Associate Dean – Associations, Co-Curricular, Extracurricular, and Club Activities</w:t>
            </w:r>
          </w:p>
        </w:tc>
        <w:tc>
          <w:tcPr>
            <w:tcW w:type="dxa" w:w="3685"/>
            <w:tcW w:w="3685" w:type="dxa"/>
          </w:tcPr>
          <w:p>
            <w:pPr>
              <w:jc w:val="center"/>
            </w:pPr>
            <w:r/>
            <w:r>
              <w:rPr>
                <w:rFonts w:ascii="Cambria" w:hAnsi="Cambria"/>
                <w:b w:val="0"/>
                <w:sz w:val="19"/>
              </w:rPr>
              <w:t>Student engagement beyond academics</w:t>
            </w:r>
          </w:p>
        </w:tc>
        <w:tc>
          <w:tcPr>
            <w:tcW w:type="dxa" w:w="3118"/>
            <w:tcW w:w="3118" w:type="dxa"/>
          </w:tcPr>
          <w:p>
            <w:pPr>
              <w:jc w:val="center"/>
            </w:pPr>
            <w:r/>
            <w:r>
              <w:rPr>
                <w:rFonts w:ascii="Cambria" w:hAnsi="Cambria"/>
                <w:b w:val="0"/>
                <w:sz w:val="19"/>
              </w:rPr>
              <w:t>Leadership, creativity, cultural and technical involvement</w:t>
            </w:r>
          </w:p>
        </w:tc>
      </w:tr>
      <w:tr>
        <w:tc>
          <w:tcPr>
            <w:tcW w:type="dxa" w:w="2835"/>
            <w:tcW w:w="2835" w:type="dxa"/>
            <w:shd w:val="clear" w:color="auto" w:fill="DCE6F1"/>
          </w:tcPr>
          <w:p>
            <w:pPr>
              <w:jc w:val="left"/>
            </w:pPr>
            <w:r/>
            <w:r>
              <w:rPr>
                <w:rFonts w:ascii="Cambria" w:hAnsi="Cambria"/>
                <w:b w:val="0"/>
                <w:sz w:val="19"/>
              </w:rPr>
              <w:t>Associate Dean – Women’s Welfare, Women’s Forum, Grievance and Redressal</w:t>
            </w:r>
          </w:p>
        </w:tc>
        <w:tc>
          <w:tcPr>
            <w:tcW w:type="dxa" w:w="3685"/>
            <w:tcW w:w="3685" w:type="dxa"/>
            <w:shd w:val="clear" w:color="auto" w:fill="DCE6F1"/>
          </w:tcPr>
          <w:p>
            <w:pPr>
              <w:jc w:val="center"/>
            </w:pPr>
            <w:r/>
            <w:r>
              <w:rPr>
                <w:rFonts w:ascii="Cambria" w:hAnsi="Cambria"/>
                <w:b w:val="0"/>
                <w:sz w:val="19"/>
              </w:rPr>
              <w:t>Gender equity, safety, and empowerment</w:t>
            </w:r>
          </w:p>
        </w:tc>
        <w:tc>
          <w:tcPr>
            <w:tcW w:type="dxa" w:w="3118"/>
            <w:tcW w:w="3118" w:type="dxa"/>
            <w:shd w:val="clear" w:color="auto" w:fill="DCE6F1"/>
          </w:tcPr>
          <w:p>
            <w:pPr>
              <w:jc w:val="center"/>
            </w:pPr>
            <w:r/>
            <w:r>
              <w:rPr>
                <w:rFonts w:ascii="Cambria" w:hAnsi="Cambria"/>
                <w:b w:val="0"/>
                <w:sz w:val="19"/>
              </w:rPr>
              <w:t>Women’s welfare, ICC, and gender sensitization</w:t>
            </w:r>
          </w:p>
        </w:tc>
      </w:tr>
    </w:tbl>
    <w:p>
      <w:pPr>
        <w:keepNext/>
        <w:spacing w:before="200" w:after="120"/>
      </w:pPr>
      <w:r>
        <w:rPr>
          <w:rFonts w:ascii="Cambria" w:hAnsi="Cambria"/>
          <w:b/>
          <w:color w:val="1F3A5F"/>
          <w:sz w:val="30"/>
        </w:rPr>
        <w:t>3. Collective Vision and Policy Alignment</w:t>
      </w:r>
    </w:p>
    <w:p>
      <w:pPr>
        <w:pStyle w:val="ListBullet"/>
        <w:jc w:val="both"/>
      </w:pPr>
      <w:r>
        <w:rPr>
          <w:rFonts w:ascii="Cambria" w:hAnsi="Cambria"/>
          <w:sz w:val="22"/>
        </w:rPr>
        <w:t>Promote student development through academic, cultural, and emotional support systems.</w:t>
      </w:r>
    </w:p>
    <w:p>
      <w:pPr>
        <w:pStyle w:val="ListBullet"/>
        <w:jc w:val="both"/>
      </w:pPr>
      <w:r>
        <w:rPr>
          <w:rFonts w:ascii="Cambria" w:hAnsi="Cambria"/>
          <w:sz w:val="22"/>
        </w:rPr>
        <w:t>Maintain transparent governance and coordination among all student-facing departments.</w:t>
      </w:r>
    </w:p>
    <w:p>
      <w:pPr>
        <w:pStyle w:val="ListBullet"/>
        <w:jc w:val="both"/>
      </w:pPr>
      <w:r>
        <w:rPr>
          <w:rFonts w:ascii="Cambria" w:hAnsi="Cambria"/>
          <w:sz w:val="22"/>
        </w:rPr>
        <w:t>Align student welfare and developmental programs with SDG-3 (Good Health), SDG-4 (Quality Education), SDG-5 (Gender Equality), and SDG-16 (Peace and Justice).</w:t>
      </w:r>
    </w:p>
    <w:p>
      <w:pPr>
        <w:pStyle w:val="ListBullet"/>
        <w:jc w:val="both"/>
      </w:pPr>
      <w:r>
        <w:rPr>
          <w:rFonts w:ascii="Cambria" w:hAnsi="Cambria"/>
          <w:sz w:val="22"/>
        </w:rPr>
        <w:t>Ensure compliance with UGC regulations, AICTE norms, NEP 2020 guidelines, and national youth policies.</w:t>
      </w:r>
    </w:p>
    <w:p>
      <w:pPr>
        <w:pStyle w:val="ListBullet"/>
        <w:jc w:val="both"/>
      </w:pPr>
      <w:r>
        <w:rPr>
          <w:rFonts w:ascii="Cambria" w:hAnsi="Cambria"/>
          <w:sz w:val="22"/>
        </w:rPr>
        <w:t>Strengthen institutional reputation through excellence in student engagement, welfare governance, and accreditation readiness.</w:t>
      </w:r>
    </w:p>
    <w:p>
      <w:pPr>
        <w:keepNext/>
        <w:spacing w:before="200" w:after="120"/>
      </w:pPr>
      <w:r>
        <w:rPr>
          <w:rFonts w:ascii="Cambria" w:hAnsi="Cambria"/>
          <w:b/>
          <w:color w:val="1F3A5F"/>
          <w:sz w:val="30"/>
        </w:rPr>
        <w:t>4. Roles and Functional Responsibilities</w:t>
      </w:r>
    </w:p>
    <w:p>
      <w:pPr>
        <w:keepNext/>
        <w:spacing w:before="200" w:after="120"/>
      </w:pPr>
      <w:r>
        <w:rPr>
          <w:rFonts w:ascii="Cambria" w:hAnsi="Cambria"/>
          <w:b/>
          <w:color w:val="1F3A5F"/>
          <w:sz w:val="26"/>
        </w:rPr>
        <w:t>A. Dean – Student Affairs (DoSA)</w:t>
      </w:r>
    </w:p>
    <w:p>
      <w:pPr>
        <w:pStyle w:val="ListBullet"/>
        <w:jc w:val="both"/>
      </w:pPr>
      <w:r>
        <w:rPr>
          <w:rFonts w:ascii="Cambria" w:hAnsi="Cambria"/>
          <w:sz w:val="22"/>
        </w:rPr>
        <w:t>Formulate institutional policies related to student affairs, welfare, and conduct.</w:t>
      </w:r>
    </w:p>
    <w:p>
      <w:pPr>
        <w:pStyle w:val="ListBullet"/>
        <w:jc w:val="both"/>
      </w:pPr>
      <w:r>
        <w:rPr>
          <w:rFonts w:ascii="Cambria" w:hAnsi="Cambria"/>
          <w:sz w:val="22"/>
        </w:rPr>
        <w:t>Supervise and evaluate the performance of all Associate Deans and respective departments.</w:t>
      </w:r>
    </w:p>
    <w:p>
      <w:pPr>
        <w:pStyle w:val="ListBullet"/>
        <w:jc w:val="both"/>
      </w:pPr>
      <w:r>
        <w:rPr>
          <w:rFonts w:ascii="Cambria" w:hAnsi="Cambria"/>
          <w:sz w:val="22"/>
        </w:rPr>
        <w:t>Chair all major committees related to student support, discipline, welfare, and engagement.</w:t>
      </w:r>
    </w:p>
    <w:p>
      <w:pPr>
        <w:pStyle w:val="ListBullet"/>
        <w:jc w:val="both"/>
      </w:pPr>
      <w:r>
        <w:rPr>
          <w:rFonts w:ascii="Cambria" w:hAnsi="Cambria"/>
          <w:sz w:val="22"/>
        </w:rPr>
        <w:t>Represent the institution in external bodies, accreditation audits, and policy forums.</w:t>
      </w:r>
    </w:p>
    <w:p>
      <w:pPr>
        <w:pStyle w:val="ListBullet"/>
        <w:jc w:val="both"/>
      </w:pPr>
      <w:r>
        <w:rPr>
          <w:rFonts w:ascii="Cambria" w:hAnsi="Cambria"/>
          <w:sz w:val="22"/>
        </w:rPr>
        <w:t>Approve annual budgets, welfare plans, and student development initiatives.</w:t>
      </w:r>
    </w:p>
    <w:p>
      <w:pPr>
        <w:pStyle w:val="ListBullet"/>
        <w:jc w:val="both"/>
      </w:pPr>
      <w:r>
        <w:rPr>
          <w:rFonts w:ascii="Cambria" w:hAnsi="Cambria"/>
          <w:sz w:val="22"/>
        </w:rPr>
        <w:t>Ensure submission of consolidated reports to IQAC, Academic Council, and Governing Body.</w:t>
      </w:r>
    </w:p>
    <w:p>
      <w:pPr>
        <w:keepNext/>
        <w:spacing w:before="200" w:after="120"/>
      </w:pPr>
      <w:r>
        <w:rPr>
          <w:rFonts w:ascii="Cambria" w:hAnsi="Cambria"/>
          <w:b/>
          <w:color w:val="1F3A5F"/>
          <w:sz w:val="26"/>
        </w:rPr>
        <w:t>B. Associate Dean – Students’ Welfare, Student Counselling, Grievance and Redressal</w:t>
      </w:r>
    </w:p>
    <w:p>
      <w:pPr>
        <w:pStyle w:val="ListBullet"/>
        <w:jc w:val="both"/>
      </w:pPr>
      <w:r>
        <w:rPr>
          <w:rFonts w:ascii="Cambria" w:hAnsi="Cambria"/>
          <w:sz w:val="22"/>
        </w:rPr>
        <w:t>Oversee student welfare schemes, mental health counselling, and grievance redressal mechanisms.</w:t>
      </w:r>
    </w:p>
    <w:p>
      <w:pPr>
        <w:pStyle w:val="ListBullet"/>
        <w:jc w:val="both"/>
      </w:pPr>
      <w:r>
        <w:rPr>
          <w:rFonts w:ascii="Cambria" w:hAnsi="Cambria"/>
          <w:sz w:val="22"/>
        </w:rPr>
        <w:t>Chair the Grievance Redressal Cell and coordinate with Anti-Ragging and Internal Complaints Committees.</w:t>
      </w:r>
    </w:p>
    <w:p>
      <w:pPr>
        <w:pStyle w:val="ListBullet"/>
        <w:jc w:val="both"/>
      </w:pPr>
      <w:r>
        <w:rPr>
          <w:rFonts w:ascii="Cambria" w:hAnsi="Cambria"/>
          <w:sz w:val="22"/>
        </w:rPr>
        <w:t>Prepare welfare reports and integrate data into NAAC/NBA documentation (Criterion 5 and 7).</w:t>
      </w:r>
    </w:p>
    <w:p>
      <w:pPr>
        <w:pStyle w:val="ListBullet"/>
        <w:jc w:val="both"/>
      </w:pPr>
      <w:r>
        <w:rPr>
          <w:rFonts w:ascii="Cambria" w:hAnsi="Cambria"/>
          <w:sz w:val="22"/>
        </w:rPr>
        <w:t>Conduct stress management, personality development, and wellness programs.</w:t>
      </w:r>
    </w:p>
    <w:p>
      <w:pPr>
        <w:keepNext/>
        <w:spacing w:before="200" w:after="120"/>
      </w:pPr>
      <w:r>
        <w:rPr>
          <w:rFonts w:ascii="Cambria" w:hAnsi="Cambria"/>
          <w:b/>
          <w:color w:val="1F3A5F"/>
          <w:sz w:val="26"/>
        </w:rPr>
        <w:t>C. Associate Dean – Sports Affairs</w:t>
      </w:r>
    </w:p>
    <w:p>
      <w:pPr>
        <w:pStyle w:val="ListBullet"/>
        <w:jc w:val="both"/>
      </w:pPr>
      <w:r>
        <w:rPr>
          <w:rFonts w:ascii="Cambria" w:hAnsi="Cambria"/>
          <w:sz w:val="22"/>
        </w:rPr>
        <w:t>Develop and implement the Sports Policy and manage all institutional sports facilities.</w:t>
      </w:r>
    </w:p>
    <w:p>
      <w:pPr>
        <w:pStyle w:val="ListBullet"/>
        <w:jc w:val="both"/>
      </w:pPr>
      <w:r>
        <w:rPr>
          <w:rFonts w:ascii="Cambria" w:hAnsi="Cambria"/>
          <w:sz w:val="22"/>
        </w:rPr>
        <w:t>Promote participation in inter-departmental, inter-college, and national events.</w:t>
      </w:r>
    </w:p>
    <w:p>
      <w:pPr>
        <w:pStyle w:val="ListBullet"/>
        <w:jc w:val="both"/>
      </w:pPr>
      <w:r>
        <w:rPr>
          <w:rFonts w:ascii="Cambria" w:hAnsi="Cambria"/>
          <w:sz w:val="22"/>
        </w:rPr>
        <w:t>Ensure health, fitness, and teamwork initiatives as part of student life.</w:t>
      </w:r>
    </w:p>
    <w:p>
      <w:pPr>
        <w:pStyle w:val="ListBullet"/>
        <w:jc w:val="both"/>
      </w:pPr>
      <w:r>
        <w:rPr>
          <w:rFonts w:ascii="Cambria" w:hAnsi="Cambria"/>
          <w:sz w:val="22"/>
        </w:rPr>
        <w:t>Maintain sports data and reports aligned with NAAC Criterion 5.3 and NBA Criterion 9.</w:t>
      </w:r>
    </w:p>
    <w:p>
      <w:pPr>
        <w:keepNext/>
        <w:spacing w:before="200" w:after="120"/>
      </w:pPr>
      <w:r>
        <w:rPr>
          <w:rFonts w:ascii="Cambria" w:hAnsi="Cambria"/>
          <w:b/>
          <w:color w:val="1F3A5F"/>
          <w:sz w:val="26"/>
        </w:rPr>
        <w:t>D. Associate Dean – Hostels and Canteen Affairs</w:t>
      </w:r>
    </w:p>
    <w:p>
      <w:pPr>
        <w:pStyle w:val="ListBullet"/>
        <w:jc w:val="both"/>
      </w:pPr>
      <w:r>
        <w:rPr>
          <w:rFonts w:ascii="Cambria" w:hAnsi="Cambria"/>
          <w:sz w:val="22"/>
        </w:rPr>
        <w:t>Manage hostel accommodations, safety, sanitation, and canteen operations.</w:t>
      </w:r>
    </w:p>
    <w:p>
      <w:pPr>
        <w:pStyle w:val="ListBullet"/>
        <w:jc w:val="both"/>
      </w:pPr>
      <w:r>
        <w:rPr>
          <w:rFonts w:ascii="Cambria" w:hAnsi="Cambria"/>
          <w:sz w:val="22"/>
        </w:rPr>
        <w:t>Ensure food quality, affordability, and hygiene across all dining facilities.</w:t>
      </w:r>
    </w:p>
    <w:p>
      <w:pPr>
        <w:pStyle w:val="ListBullet"/>
        <w:jc w:val="both"/>
      </w:pPr>
      <w:r>
        <w:rPr>
          <w:rFonts w:ascii="Cambria" w:hAnsi="Cambria"/>
          <w:sz w:val="22"/>
        </w:rPr>
        <w:t>Supervise the Hostel and Canteen Committees and coordinate with estate and maintenance offices.</w:t>
      </w:r>
    </w:p>
    <w:p>
      <w:pPr>
        <w:pStyle w:val="ListBullet"/>
        <w:jc w:val="both"/>
      </w:pPr>
      <w:r>
        <w:rPr>
          <w:rFonts w:ascii="Cambria" w:hAnsi="Cambria"/>
          <w:sz w:val="22"/>
        </w:rPr>
        <w:t>Conduct regular inspections and feedback audits aligned with NAAC Criterion 4.1 and Criterion 7.1.6.</w:t>
      </w:r>
    </w:p>
    <w:p>
      <w:pPr>
        <w:keepNext/>
        <w:spacing w:before="200" w:after="120"/>
      </w:pPr>
      <w:r>
        <w:rPr>
          <w:rFonts w:ascii="Cambria" w:hAnsi="Cambria"/>
          <w:b/>
          <w:color w:val="1F3A5F"/>
          <w:sz w:val="26"/>
        </w:rPr>
        <w:t>E. Associate Dean – Transport Affairs</w:t>
      </w:r>
    </w:p>
    <w:p>
      <w:pPr>
        <w:pStyle w:val="ListBullet"/>
        <w:jc w:val="both"/>
      </w:pPr>
      <w:r>
        <w:rPr>
          <w:rFonts w:ascii="Cambria" w:hAnsi="Cambria"/>
          <w:sz w:val="22"/>
        </w:rPr>
        <w:t>Oversee the transportation system, including routes, schedules, safety, and maintenance.</w:t>
      </w:r>
    </w:p>
    <w:p>
      <w:pPr>
        <w:pStyle w:val="ListBullet"/>
        <w:jc w:val="both"/>
      </w:pPr>
      <w:r>
        <w:rPr>
          <w:rFonts w:ascii="Cambria" w:hAnsi="Cambria"/>
          <w:sz w:val="22"/>
        </w:rPr>
        <w:t>Promote green mobility practices—carpooling, electric vehicles, and route optimization.</w:t>
      </w:r>
    </w:p>
    <w:p>
      <w:pPr>
        <w:pStyle w:val="ListBullet"/>
        <w:jc w:val="both"/>
      </w:pPr>
      <w:r>
        <w:rPr>
          <w:rFonts w:ascii="Cambria" w:hAnsi="Cambria"/>
          <w:sz w:val="22"/>
        </w:rPr>
        <w:t>Ensure compliance with RTO, UGC, and AICTE safety norms.</w:t>
      </w:r>
    </w:p>
    <w:p>
      <w:pPr>
        <w:pStyle w:val="ListBullet"/>
        <w:jc w:val="both"/>
      </w:pPr>
      <w:r>
        <w:rPr>
          <w:rFonts w:ascii="Cambria" w:hAnsi="Cambria"/>
          <w:sz w:val="22"/>
        </w:rPr>
        <w:t>Maintain route logs, safety inspection reports, and fuel utilization records.</w:t>
      </w:r>
    </w:p>
    <w:p>
      <w:pPr>
        <w:keepNext/>
        <w:spacing w:before="200" w:after="120"/>
      </w:pPr>
      <w:r>
        <w:rPr>
          <w:rFonts w:ascii="Cambria" w:hAnsi="Cambria"/>
          <w:b/>
          <w:color w:val="1F3A5F"/>
          <w:sz w:val="26"/>
        </w:rPr>
        <w:t>F. Associate Dean – Student Discipline</w:t>
      </w:r>
    </w:p>
    <w:p>
      <w:pPr>
        <w:pStyle w:val="ListBullet"/>
        <w:jc w:val="both"/>
      </w:pPr>
      <w:r>
        <w:rPr>
          <w:rFonts w:ascii="Cambria" w:hAnsi="Cambria"/>
          <w:sz w:val="22"/>
        </w:rPr>
        <w:t>Formulate, implement, and enforce the Institutional Code of Conduct for Students.</w:t>
      </w:r>
    </w:p>
    <w:p>
      <w:pPr>
        <w:pStyle w:val="ListBullet"/>
        <w:jc w:val="both"/>
      </w:pPr>
      <w:r>
        <w:rPr>
          <w:rFonts w:ascii="Cambria" w:hAnsi="Cambria"/>
          <w:sz w:val="22"/>
        </w:rPr>
        <w:t>Chair the Student Disciplinary Committee and investigate reported misconducts.</w:t>
      </w:r>
    </w:p>
    <w:p>
      <w:pPr>
        <w:pStyle w:val="ListBullet"/>
        <w:jc w:val="both"/>
      </w:pPr>
      <w:r>
        <w:rPr>
          <w:rFonts w:ascii="Cambria" w:hAnsi="Cambria"/>
          <w:sz w:val="22"/>
        </w:rPr>
        <w:t>Ensure compliance with UGC (Prevention and Prohibition of Ragging) Regulations.</w:t>
      </w:r>
    </w:p>
    <w:p>
      <w:pPr>
        <w:pStyle w:val="ListBullet"/>
        <w:jc w:val="both"/>
      </w:pPr>
      <w:r>
        <w:rPr>
          <w:rFonts w:ascii="Cambria" w:hAnsi="Cambria"/>
          <w:sz w:val="22"/>
        </w:rPr>
        <w:t>Conduct ethical awareness and value-based education programs for students.</w:t>
      </w:r>
    </w:p>
    <w:p>
      <w:pPr>
        <w:keepNext/>
        <w:spacing w:before="200" w:after="120"/>
      </w:pPr>
      <w:r>
        <w:rPr>
          <w:rFonts w:ascii="Cambria" w:hAnsi="Cambria"/>
          <w:b/>
          <w:color w:val="1F3A5F"/>
          <w:sz w:val="26"/>
        </w:rPr>
        <w:t>G. Associate Dean – Associations, Co-Curricular, Extracurricular, and Club Activities</w:t>
      </w:r>
    </w:p>
    <w:p>
      <w:pPr>
        <w:pStyle w:val="ListBullet"/>
        <w:jc w:val="both"/>
      </w:pPr>
      <w:r>
        <w:rPr>
          <w:rFonts w:ascii="Cambria" w:hAnsi="Cambria"/>
          <w:sz w:val="22"/>
        </w:rPr>
        <w:t>Oversee academic associations, student clubs, and cultural, literary, and technical activities.</w:t>
      </w:r>
    </w:p>
    <w:p>
      <w:pPr>
        <w:pStyle w:val="ListBullet"/>
        <w:jc w:val="both"/>
      </w:pPr>
      <w:r>
        <w:rPr>
          <w:rFonts w:ascii="Cambria" w:hAnsi="Cambria"/>
          <w:sz w:val="22"/>
        </w:rPr>
        <w:t>Promote student participation in intra- and inter-collegiate events.</w:t>
      </w:r>
    </w:p>
    <w:p>
      <w:pPr>
        <w:pStyle w:val="ListBullet"/>
        <w:jc w:val="both"/>
      </w:pPr>
      <w:r>
        <w:rPr>
          <w:rFonts w:ascii="Cambria" w:hAnsi="Cambria"/>
          <w:sz w:val="22"/>
        </w:rPr>
        <w:t>Maintain comprehensive records for NAAC/NBA evidence under Criterion 5.3.</w:t>
      </w:r>
    </w:p>
    <w:p>
      <w:pPr>
        <w:pStyle w:val="ListBullet"/>
        <w:jc w:val="both"/>
      </w:pPr>
      <w:r>
        <w:rPr>
          <w:rFonts w:ascii="Cambria" w:hAnsi="Cambria"/>
          <w:sz w:val="22"/>
        </w:rPr>
        <w:t>Encourage interdisciplinary engagement, leadership programs, and innovation clubs.</w:t>
      </w:r>
    </w:p>
    <w:p>
      <w:pPr>
        <w:keepNext/>
        <w:spacing w:before="200" w:after="120"/>
      </w:pPr>
      <w:r>
        <w:rPr>
          <w:rFonts w:ascii="Cambria" w:hAnsi="Cambria"/>
          <w:b/>
          <w:color w:val="1F3A5F"/>
          <w:sz w:val="26"/>
        </w:rPr>
        <w:t>H. Associate Dean – Women’s Welfare, Women’s Forum, Grievance and Redressal</w:t>
      </w:r>
    </w:p>
    <w:p>
      <w:pPr>
        <w:pStyle w:val="ListBullet"/>
        <w:jc w:val="both"/>
      </w:pPr>
      <w:r>
        <w:rPr>
          <w:rFonts w:ascii="Cambria" w:hAnsi="Cambria"/>
          <w:sz w:val="22"/>
        </w:rPr>
        <w:t>Coordinate Women’s Forum activities and promote women’s leadership, health, and empowerment.</w:t>
      </w:r>
    </w:p>
    <w:p>
      <w:pPr>
        <w:pStyle w:val="ListBullet"/>
        <w:jc w:val="both"/>
      </w:pPr>
      <w:r>
        <w:rPr>
          <w:rFonts w:ascii="Cambria" w:hAnsi="Cambria"/>
          <w:sz w:val="22"/>
        </w:rPr>
        <w:t>Chair the Internal Complaints Committee (ICC) ensuring compliance with UGC norms.</w:t>
      </w:r>
    </w:p>
    <w:p>
      <w:pPr>
        <w:pStyle w:val="ListBullet"/>
        <w:jc w:val="both"/>
      </w:pPr>
      <w:r>
        <w:rPr>
          <w:rFonts w:ascii="Cambria" w:hAnsi="Cambria"/>
          <w:sz w:val="22"/>
        </w:rPr>
        <w:t>Organize gender sensitization programs and awareness campaigns.</w:t>
      </w:r>
    </w:p>
    <w:p>
      <w:pPr>
        <w:pStyle w:val="ListBullet"/>
        <w:jc w:val="both"/>
      </w:pPr>
      <w:r>
        <w:rPr>
          <w:rFonts w:ascii="Cambria" w:hAnsi="Cambria"/>
          <w:sz w:val="22"/>
        </w:rPr>
        <w:t>Submit periodic gender audit and compliance reports for NAAC Criterion 7.1.2 and 7.1.10.</w:t>
      </w:r>
    </w:p>
    <w:p>
      <w:pPr>
        <w:keepNext/>
        <w:spacing w:before="200" w:after="120"/>
      </w:pPr>
      <w:r>
        <w:rPr>
          <w:rFonts w:ascii="Cambria" w:hAnsi="Cambria"/>
          <w:b/>
          <w:color w:val="1F3A5F"/>
          <w:sz w:val="30"/>
        </w:rPr>
        <w:t>5. Governance and Quality Assurance Framework</w:t>
      </w:r>
    </w:p>
    <w:p>
      <w:pPr>
        <w:pStyle w:val="ListBullet"/>
        <w:jc w:val="both"/>
      </w:pPr>
      <w:r>
        <w:rPr>
          <w:rFonts w:ascii="Cambria" w:hAnsi="Cambria"/>
          <w:sz w:val="22"/>
        </w:rPr>
        <w:t>All Associate Deans report directly to the Dean – Student Affairs.</w:t>
      </w:r>
    </w:p>
    <w:p>
      <w:pPr>
        <w:pStyle w:val="ListBullet"/>
        <w:jc w:val="both"/>
      </w:pPr>
      <w:r>
        <w:rPr>
          <w:rFonts w:ascii="Cambria" w:hAnsi="Cambria"/>
          <w:sz w:val="22"/>
        </w:rPr>
        <w:t>The DoSA submits consolidated reports to the IQAC for inclusion in the Annual Quality Assurance Report (AQAR).</w:t>
      </w:r>
    </w:p>
    <w:p>
      <w:pPr>
        <w:pStyle w:val="ListBullet"/>
        <w:jc w:val="both"/>
      </w:pPr>
      <w:r>
        <w:rPr>
          <w:rFonts w:ascii="Cambria" w:hAnsi="Cambria"/>
          <w:sz w:val="22"/>
        </w:rPr>
        <w:t>Each portfolio maintains documentation under the Policy → Action → Evidence → Outcome (PAEO) structure.</w:t>
      </w:r>
    </w:p>
    <w:p>
      <w:pPr>
        <w:pStyle w:val="ListBullet"/>
        <w:jc w:val="both"/>
      </w:pPr>
      <w:r>
        <w:rPr>
          <w:rFonts w:ascii="Cambria" w:hAnsi="Cambria"/>
          <w:sz w:val="22"/>
        </w:rPr>
        <w:t>Internal reviews and audits are conducted bi-annually to ensure compliance and performance improvement.</w:t>
      </w:r>
    </w:p>
    <w:p>
      <w:pPr>
        <w:pStyle w:val="ListBullet"/>
        <w:jc w:val="both"/>
      </w:pPr>
      <w:r>
        <w:rPr>
          <w:rFonts w:ascii="Cambria" w:hAnsi="Cambria"/>
          <w:sz w:val="22"/>
        </w:rPr>
        <w:t>Coordination meetings are held monthly, chaired by the DoSA, to review departmental progress and student feedback.</w:t>
      </w:r>
    </w:p>
    <w:p>
      <w:pPr>
        <w:keepNext/>
        <w:spacing w:before="200" w:after="120"/>
      </w:pPr>
      <w:r>
        <w:rPr>
          <w:rFonts w:ascii="Cambria" w:hAnsi="Cambria"/>
          <w:b/>
          <w:color w:val="1F3A5F"/>
          <w:sz w:val="30"/>
        </w:rPr>
        <w:t>6. Alignment with Accreditation and Quality Frameworks</w:t>
      </w:r>
    </w:p>
    <w:tbl>
      <w:tblPr>
        <w:tblW w:type="auto" w:w="0"/>
        <w:jc w:val="center"/>
        <w:tblLayout w:type="fixed"/>
        <w:tblLook w:firstColumn="1" w:firstRow="1" w:lastColumn="0" w:lastRow="0" w:noHBand="0" w:noVBand="1" w:val="04A0"/>
        <w:tblW w:w="9639" w:type="dxa"/>
        <w:tblLayout w:type="fixed"/>
      </w:tblPr>
      <w:tblGrid>
        <w:gridCol w:w="1474"/>
        <w:gridCol w:w="5329"/>
        <w:gridCol w:w="2835"/>
      </w:tblGrid>
      <w:tr>
        <w:tc>
          <w:tcPr>
            <w:tcW w:type="dxa" w:w="1474"/>
            <w:tcW w:w="1474" w:type="dxa"/>
            <w:shd w:val="clear" w:color="auto" w:fill="1F3A5F"/>
          </w:tcPr>
          <w:p>
            <w:pPr>
              <w:jc w:val="center"/>
            </w:pPr>
            <w:r/>
            <w:r>
              <w:rPr>
                <w:rFonts w:ascii="Cambria" w:hAnsi="Cambria"/>
                <w:b/>
                <w:color w:val="FFFFFF"/>
                <w:sz w:val="22"/>
              </w:rPr>
              <w:t>Framework</w:t>
            </w:r>
          </w:p>
        </w:tc>
        <w:tc>
          <w:tcPr>
            <w:tcW w:type="dxa" w:w="5329"/>
            <w:tcW w:w="5329" w:type="dxa"/>
            <w:shd w:val="clear" w:color="auto" w:fill="1F3A5F"/>
          </w:tcPr>
          <w:p>
            <w:pPr>
              <w:jc w:val="center"/>
            </w:pPr>
            <w:r/>
            <w:r>
              <w:rPr>
                <w:rFonts w:ascii="Cambria" w:hAnsi="Cambria"/>
                <w:b/>
                <w:color w:val="FFFFFF"/>
                <w:sz w:val="22"/>
              </w:rPr>
              <w:t>Relevant Criteria</w:t>
            </w:r>
          </w:p>
        </w:tc>
        <w:tc>
          <w:tcPr>
            <w:tcW w:type="dxa" w:w="2835"/>
            <w:tcW w:w="2835" w:type="dxa"/>
            <w:shd w:val="clear" w:color="auto" w:fill="1F3A5F"/>
          </w:tcPr>
          <w:p>
            <w:pPr>
              <w:jc w:val="center"/>
            </w:pPr>
            <w:r/>
            <w:r>
              <w:rPr>
                <w:rFonts w:ascii="Cambria" w:hAnsi="Cambria"/>
                <w:b/>
                <w:color w:val="FFFFFF"/>
                <w:sz w:val="22"/>
              </w:rPr>
              <w:t>Governance Contribution</w:t>
            </w:r>
          </w:p>
        </w:tc>
      </w:tr>
      <w:tr>
        <w:tc>
          <w:tcPr>
            <w:tcW w:type="dxa" w:w="1474"/>
            <w:tcW w:w="1474" w:type="dxa"/>
          </w:tcPr>
          <w:p>
            <w:pPr>
              <w:jc w:val="left"/>
            </w:pPr>
            <w:r/>
            <w:r>
              <w:rPr>
                <w:rFonts w:ascii="Cambria" w:hAnsi="Cambria"/>
                <w:b w:val="0"/>
                <w:sz w:val="20"/>
              </w:rPr>
              <w:t>NAAC</w:t>
            </w:r>
          </w:p>
        </w:tc>
        <w:tc>
          <w:tcPr>
            <w:tcW w:type="dxa" w:w="5329"/>
            <w:tcW w:w="5329" w:type="dxa"/>
          </w:tcPr>
          <w:p>
            <w:pPr>
              <w:jc w:val="center"/>
            </w:pPr>
            <w:r/>
            <w:r>
              <w:rPr>
                <w:rFonts w:ascii="Cambria" w:hAnsi="Cambria"/>
                <w:b w:val="0"/>
                <w:sz w:val="20"/>
              </w:rPr>
              <w:t>Criterion 4 (Infrastructure), Criterion 5 (Student Support), Criterion 7 (Institutional Values)</w:t>
            </w:r>
          </w:p>
        </w:tc>
        <w:tc>
          <w:tcPr>
            <w:tcW w:type="dxa" w:w="2835"/>
            <w:tcW w:w="2835" w:type="dxa"/>
          </w:tcPr>
          <w:p>
            <w:pPr>
              <w:jc w:val="center"/>
            </w:pPr>
            <w:r/>
            <w:r>
              <w:rPr>
                <w:rFonts w:ascii="Cambria" w:hAnsi="Cambria"/>
                <w:b w:val="0"/>
                <w:sz w:val="20"/>
              </w:rPr>
              <w:t>Strengthens student welfare, gender equity, and engagement parameters</w:t>
            </w:r>
          </w:p>
        </w:tc>
      </w:tr>
      <w:tr>
        <w:tc>
          <w:tcPr>
            <w:tcW w:type="dxa" w:w="1474"/>
            <w:tcW w:w="1474" w:type="dxa"/>
            <w:shd w:val="clear" w:color="auto" w:fill="DCE6F1"/>
          </w:tcPr>
          <w:p>
            <w:pPr>
              <w:jc w:val="left"/>
            </w:pPr>
            <w:r/>
            <w:r>
              <w:rPr>
                <w:rFonts w:ascii="Cambria" w:hAnsi="Cambria"/>
                <w:b w:val="0"/>
                <w:sz w:val="20"/>
              </w:rPr>
              <w:t>NBA</w:t>
            </w:r>
          </w:p>
        </w:tc>
        <w:tc>
          <w:tcPr>
            <w:tcW w:type="dxa" w:w="5329"/>
            <w:tcW w:w="5329" w:type="dxa"/>
            <w:shd w:val="clear" w:color="auto" w:fill="DCE6F1"/>
          </w:tcPr>
          <w:p>
            <w:pPr>
              <w:jc w:val="center"/>
            </w:pPr>
            <w:r/>
            <w:r>
              <w:rPr>
                <w:rFonts w:ascii="Cambria" w:hAnsi="Cambria"/>
                <w:b w:val="0"/>
                <w:sz w:val="20"/>
              </w:rPr>
              <w:t>Criteria 8–10</w:t>
            </w:r>
          </w:p>
        </w:tc>
        <w:tc>
          <w:tcPr>
            <w:tcW w:type="dxa" w:w="2835"/>
            <w:tcW w:w="2835" w:type="dxa"/>
            <w:shd w:val="clear" w:color="auto" w:fill="DCE6F1"/>
          </w:tcPr>
          <w:p>
            <w:pPr>
              <w:jc w:val="center"/>
            </w:pPr>
            <w:r/>
            <w:r>
              <w:rPr>
                <w:rFonts w:ascii="Cambria" w:hAnsi="Cambria"/>
                <w:b w:val="0"/>
                <w:sz w:val="20"/>
              </w:rPr>
              <w:t>Enhances student support systems, feedback integration, and continuous improvement</w:t>
            </w:r>
          </w:p>
        </w:tc>
      </w:tr>
      <w:tr>
        <w:tc>
          <w:tcPr>
            <w:tcW w:type="dxa" w:w="1474"/>
            <w:tcW w:w="1474" w:type="dxa"/>
          </w:tcPr>
          <w:p>
            <w:pPr>
              <w:jc w:val="left"/>
            </w:pPr>
            <w:r/>
            <w:r>
              <w:rPr>
                <w:rFonts w:ascii="Cambria" w:hAnsi="Cambria"/>
                <w:b w:val="0"/>
                <w:sz w:val="20"/>
              </w:rPr>
              <w:t>QS I-GAUGE</w:t>
            </w:r>
          </w:p>
        </w:tc>
        <w:tc>
          <w:tcPr>
            <w:tcW w:type="dxa" w:w="5329"/>
            <w:tcW w:w="5329" w:type="dxa"/>
          </w:tcPr>
          <w:p>
            <w:pPr>
              <w:jc w:val="center"/>
            </w:pPr>
            <w:r/>
            <w:r>
              <w:rPr>
                <w:rFonts w:ascii="Cambria" w:hAnsi="Cambria"/>
                <w:b w:val="0"/>
                <w:sz w:val="20"/>
              </w:rPr>
              <w:t>Parameters: TL (Teaching-Learning), DA (Diversity &amp; Accessibility), GS (Governance &amp; Structure), SL (Social Responsibility)</w:t>
            </w:r>
          </w:p>
        </w:tc>
        <w:tc>
          <w:tcPr>
            <w:tcW w:type="dxa" w:w="2835"/>
            <w:tcW w:w="2835" w:type="dxa"/>
          </w:tcPr>
          <w:p>
            <w:pPr>
              <w:jc w:val="center"/>
            </w:pPr>
            <w:r/>
            <w:r>
              <w:rPr>
                <w:rFonts w:ascii="Cambria" w:hAnsi="Cambria"/>
                <w:b w:val="0"/>
                <w:sz w:val="20"/>
              </w:rPr>
              <w:t>Promotes holistic student development and inclusive governance practices</w:t>
            </w:r>
          </w:p>
        </w:tc>
      </w:tr>
    </w:tbl>
    <w:p>
      <w:pPr>
        <w:keepNext/>
        <w:spacing w:before="200" w:after="120"/>
      </w:pPr>
      <w:r>
        <w:rPr>
          <w:rFonts w:ascii="Cambria" w:hAnsi="Cambria"/>
          <w:b/>
          <w:color w:val="1F3A5F"/>
          <w:sz w:val="30"/>
        </w:rPr>
        <w:t>7. Expected Outcomes</w:t>
      </w:r>
    </w:p>
    <w:p>
      <w:pPr>
        <w:pStyle w:val="ListBullet"/>
        <w:jc w:val="both"/>
      </w:pPr>
      <w:r>
        <w:rPr>
          <w:rFonts w:ascii="Cambria" w:hAnsi="Cambria"/>
          <w:sz w:val="22"/>
        </w:rPr>
        <w:t>A unified, transparent, and efficient student affairs governance ecosystem.</w:t>
      </w:r>
    </w:p>
    <w:p>
      <w:pPr>
        <w:pStyle w:val="ListBullet"/>
        <w:jc w:val="both"/>
      </w:pPr>
      <w:r>
        <w:rPr>
          <w:rFonts w:ascii="Cambria" w:hAnsi="Cambria"/>
          <w:sz w:val="22"/>
        </w:rPr>
        <w:t>Improved student satisfaction, retention, and engagement across all domains.</w:t>
      </w:r>
    </w:p>
    <w:p>
      <w:pPr>
        <w:pStyle w:val="ListBullet"/>
        <w:jc w:val="both"/>
      </w:pPr>
      <w:r>
        <w:rPr>
          <w:rFonts w:ascii="Cambria" w:hAnsi="Cambria"/>
          <w:sz w:val="22"/>
        </w:rPr>
        <w:t>Strengthened institutional compliance with accreditation frameworks (NAAC, NBA, QS I-GAUGE).</w:t>
      </w:r>
    </w:p>
    <w:p>
      <w:pPr>
        <w:pStyle w:val="ListBullet"/>
        <w:jc w:val="both"/>
      </w:pPr>
      <w:r>
        <w:rPr>
          <w:rFonts w:ascii="Cambria" w:hAnsi="Cambria"/>
          <w:sz w:val="22"/>
        </w:rPr>
        <w:t>Enhanced institutional reputation through proactive student welfare, inclusivity, and quality assurance.</w:t>
      </w:r>
    </w:p>
    <w:p>
      <w:pPr>
        <w:pStyle w:val="ListBullet"/>
        <w:jc w:val="both"/>
      </w:pPr>
      <w:r>
        <w:rPr>
          <w:rFonts w:ascii="Cambria" w:hAnsi="Cambria"/>
          <w:sz w:val="22"/>
        </w:rPr>
        <w:t>Promotion of ethical, healthy, and holistic campus culture supporting academic and personal growth.</w:t>
      </w:r>
    </w:p>
    <w:p>
      <w:pPr>
        <w:keepNext/>
        <w:spacing w:before="200" w:after="120"/>
      </w:pPr>
      <w:r>
        <w:rPr>
          <w:rFonts w:ascii="Cambria" w:hAnsi="Cambria"/>
          <w:b/>
          <w:color w:val="1F3A5F"/>
          <w:sz w:val="30"/>
        </w:rPr>
        <w:t>Policy → Action → Evidence → Outcome (PAEO) Documentation Framework</w:t>
      </w:r>
    </w:p>
    <w:p>
      <w:pPr>
        <w:keepNext/>
        <w:spacing w:before="200" w:after="120"/>
      </w:pPr>
      <w:r>
        <w:rPr>
          <w:rFonts w:ascii="Cambria" w:hAnsi="Cambria"/>
          <w:b/>
          <w:color w:val="1F3A5F"/>
          <w:sz w:val="26"/>
        </w:rPr>
        <w:t>1. Overview</w:t>
      </w:r>
    </w:p>
    <w:p>
      <w:pPr>
        <w:pStyle w:val="ListBullet"/>
        <w:jc w:val="both"/>
      </w:pPr>
      <w:r>
        <w:rPr>
          <w:rFonts w:ascii="Cambria" w:hAnsi="Cambria"/>
          <w:sz w:val="22"/>
        </w:rPr>
        <w:t>The PAEO Framework provides a standardized and traceable documentation model for all portfolios under the Dean – Student Affairs (DoSA).</w:t>
      </w:r>
    </w:p>
    <w:p>
      <w:pPr>
        <w:pStyle w:val="ListBullet"/>
        <w:jc w:val="both"/>
      </w:pPr>
      <w:r>
        <w:rPr>
          <w:rFonts w:ascii="Cambria" w:hAnsi="Cambria"/>
          <w:sz w:val="22"/>
        </w:rPr>
        <w:t>It ensures that every student-related initiative — whether welfare, sports, hostel, grievance, discipline, transport, or gender equity — is policy-driven, action-oriented, evidence-based, and outcome-measurable.</w:t>
      </w:r>
    </w:p>
    <w:p>
      <w:pPr>
        <w:pStyle w:val="ListBullet"/>
        <w:jc w:val="both"/>
      </w:pPr>
      <w:r>
        <w:rPr>
          <w:rFonts w:ascii="Cambria" w:hAnsi="Cambria"/>
          <w:sz w:val="22"/>
        </w:rPr>
        <w:t>This structure supports compliance with NAAC (Criteria 4, 5 &amp; 7), NBA (Criteria 8–10), and QS I-GAUGE (TL, GS, SL, DA) indicators by linking every institutional initiative to tangible outputs and impacts.</w:t>
      </w:r>
    </w:p>
    <w:p>
      <w:pPr>
        <w:keepNext/>
        <w:spacing w:before="200" w:after="120"/>
      </w:pPr>
      <w:r>
        <w:rPr>
          <w:rFonts w:ascii="Cambria" w:hAnsi="Cambria"/>
          <w:b/>
          <w:color w:val="1F3A5F"/>
          <w:sz w:val="26"/>
        </w:rPr>
        <w:t>2. PAEO Framework Structure</w:t>
      </w:r>
    </w:p>
    <w:tbl>
      <w:tblPr>
        <w:tblW w:type="auto" w:w="0"/>
        <w:jc w:val="center"/>
        <w:tblLayout w:type="fixed"/>
        <w:tblLook w:firstColumn="1" w:firstRow="1" w:lastColumn="0" w:lastRow="0" w:noHBand="0" w:noVBand="1" w:val="04A0"/>
        <w:tblW w:w="9639" w:type="dxa"/>
        <w:tblLayout w:type="fixed"/>
      </w:tblPr>
      <w:tblGrid>
        <w:gridCol w:w="1304"/>
        <w:gridCol w:w="3231"/>
        <w:gridCol w:w="5103"/>
      </w:tblGrid>
      <w:tr>
        <w:tc>
          <w:tcPr>
            <w:tcW w:type="dxa" w:w="1304"/>
            <w:tcW w:w="1304" w:type="dxa"/>
            <w:shd w:val="clear" w:color="auto" w:fill="1F3A5F"/>
          </w:tcPr>
          <w:p>
            <w:pPr>
              <w:jc w:val="center"/>
            </w:pPr>
            <w:r/>
            <w:r>
              <w:rPr>
                <w:rFonts w:ascii="Cambria" w:hAnsi="Cambria"/>
                <w:b/>
                <w:color w:val="FFFFFF"/>
                <w:sz w:val="22"/>
              </w:rPr>
              <w:t>Component</w:t>
            </w:r>
          </w:p>
        </w:tc>
        <w:tc>
          <w:tcPr>
            <w:tcW w:type="dxa" w:w="3231"/>
            <w:tcW w:w="3231" w:type="dxa"/>
            <w:shd w:val="clear" w:color="auto" w:fill="1F3A5F"/>
          </w:tcPr>
          <w:p>
            <w:pPr>
              <w:jc w:val="center"/>
            </w:pPr>
            <w:r/>
            <w:r>
              <w:rPr>
                <w:rFonts w:ascii="Cambria" w:hAnsi="Cambria"/>
                <w:b/>
                <w:color w:val="FFFFFF"/>
                <w:sz w:val="22"/>
              </w:rPr>
              <w:t>Definition</w:t>
            </w:r>
          </w:p>
        </w:tc>
        <w:tc>
          <w:tcPr>
            <w:tcW w:type="dxa" w:w="5102"/>
            <w:tcW w:w="5103" w:type="dxa"/>
            <w:shd w:val="clear" w:color="auto" w:fill="1F3A5F"/>
          </w:tcPr>
          <w:p>
            <w:pPr>
              <w:jc w:val="center"/>
            </w:pPr>
            <w:r/>
            <w:r>
              <w:rPr>
                <w:rFonts w:ascii="Cambria" w:hAnsi="Cambria"/>
                <w:b/>
                <w:color w:val="FFFFFF"/>
                <w:sz w:val="22"/>
              </w:rPr>
              <w:t>Documentation Examples</w:t>
            </w:r>
          </w:p>
        </w:tc>
      </w:tr>
      <w:tr>
        <w:tc>
          <w:tcPr>
            <w:tcW w:type="dxa" w:w="1304"/>
            <w:tcW w:w="1304" w:type="dxa"/>
          </w:tcPr>
          <w:p>
            <w:pPr>
              <w:jc w:val="left"/>
            </w:pPr>
            <w:r/>
            <w:r>
              <w:rPr>
                <w:rFonts w:ascii="Cambria" w:hAnsi="Cambria"/>
                <w:b w:val="0"/>
                <w:sz w:val="19"/>
              </w:rPr>
              <w:t>Policy</w:t>
            </w:r>
          </w:p>
        </w:tc>
        <w:tc>
          <w:tcPr>
            <w:tcW w:type="dxa" w:w="3231"/>
            <w:tcW w:w="3231" w:type="dxa"/>
          </w:tcPr>
          <w:p>
            <w:pPr>
              <w:jc w:val="center"/>
            </w:pPr>
            <w:r/>
            <w:r>
              <w:rPr>
                <w:rFonts w:ascii="Cambria" w:hAnsi="Cambria"/>
                <w:b w:val="0"/>
                <w:sz w:val="19"/>
              </w:rPr>
              <w:t>The formally approved institutional or departmental policy, guideline, or mandate governing the specific domain.</w:t>
            </w:r>
          </w:p>
        </w:tc>
        <w:tc>
          <w:tcPr>
            <w:tcW w:type="dxa" w:w="5102"/>
            <w:tcW w:w="5103" w:type="dxa"/>
          </w:tcPr>
          <w:p>
            <w:pPr>
              <w:jc w:val="center"/>
            </w:pPr>
            <w:r/>
            <w:r>
              <w:rPr>
                <w:rFonts w:ascii="Cambria" w:hAnsi="Cambria"/>
                <w:b w:val="0"/>
                <w:sz w:val="19"/>
              </w:rPr>
              <w:t>Student Welfare Policy; Sports Policy; Hostel and Mess Policy; Transport Policy; Code of Conduct Policy; Women’s Welfare &amp; Gender Equity Policy; Grievance Redressal Policy</w:t>
            </w:r>
          </w:p>
        </w:tc>
      </w:tr>
      <w:tr>
        <w:tc>
          <w:tcPr>
            <w:tcW w:type="dxa" w:w="1304"/>
            <w:tcW w:w="1304" w:type="dxa"/>
            <w:shd w:val="clear" w:color="auto" w:fill="DCE6F1"/>
          </w:tcPr>
          <w:p>
            <w:pPr>
              <w:jc w:val="left"/>
            </w:pPr>
            <w:r/>
            <w:r>
              <w:rPr>
                <w:rFonts w:ascii="Cambria" w:hAnsi="Cambria"/>
                <w:b w:val="0"/>
                <w:sz w:val="19"/>
              </w:rPr>
              <w:t>Action</w:t>
            </w:r>
          </w:p>
        </w:tc>
        <w:tc>
          <w:tcPr>
            <w:tcW w:type="dxa" w:w="3231"/>
            <w:tcW w:w="3231" w:type="dxa"/>
            <w:shd w:val="clear" w:color="auto" w:fill="DCE6F1"/>
          </w:tcPr>
          <w:p>
            <w:pPr>
              <w:jc w:val="center"/>
            </w:pPr>
            <w:r/>
            <w:r>
              <w:rPr>
                <w:rFonts w:ascii="Cambria" w:hAnsi="Cambria"/>
                <w:b w:val="0"/>
                <w:sz w:val="19"/>
              </w:rPr>
              <w:t>The specific activities, programs, or interventions carried out to operationalize the policy.</w:t>
            </w:r>
          </w:p>
        </w:tc>
        <w:tc>
          <w:tcPr>
            <w:tcW w:type="dxa" w:w="5102"/>
            <w:tcW w:w="5103" w:type="dxa"/>
            <w:shd w:val="clear" w:color="auto" w:fill="DCE6F1"/>
          </w:tcPr>
          <w:p>
            <w:pPr>
              <w:jc w:val="center"/>
            </w:pPr>
            <w:r/>
            <w:r>
              <w:rPr>
                <w:rFonts w:ascii="Cambria" w:hAnsi="Cambria"/>
                <w:b w:val="0"/>
                <w:sz w:val="19"/>
              </w:rPr>
              <w:t>Orientation sessions; Counselling workshops; Sports tournaments; Hostel inspections; Awareness campaigns (anti-ragging, gender sensitization); Leadership programs; Student feedback drives</w:t>
            </w:r>
          </w:p>
        </w:tc>
      </w:tr>
      <w:tr>
        <w:tc>
          <w:tcPr>
            <w:tcW w:type="dxa" w:w="1304"/>
            <w:tcW w:w="1304" w:type="dxa"/>
          </w:tcPr>
          <w:p>
            <w:pPr>
              <w:jc w:val="left"/>
            </w:pPr>
            <w:r/>
            <w:r>
              <w:rPr>
                <w:rFonts w:ascii="Cambria" w:hAnsi="Cambria"/>
                <w:b w:val="0"/>
                <w:sz w:val="19"/>
              </w:rPr>
              <w:t>Evidence</w:t>
            </w:r>
          </w:p>
        </w:tc>
        <w:tc>
          <w:tcPr>
            <w:tcW w:type="dxa" w:w="3231"/>
            <w:tcW w:w="3231" w:type="dxa"/>
          </w:tcPr>
          <w:p>
            <w:pPr>
              <w:jc w:val="center"/>
            </w:pPr>
            <w:r/>
            <w:r>
              <w:rPr>
                <w:rFonts w:ascii="Cambria" w:hAnsi="Cambria"/>
                <w:b w:val="0"/>
                <w:sz w:val="19"/>
              </w:rPr>
              <w:t>The verifiable data and documents demonstrating that the actions were implemented as per policy.</w:t>
            </w:r>
          </w:p>
        </w:tc>
        <w:tc>
          <w:tcPr>
            <w:tcW w:type="dxa" w:w="5102"/>
            <w:tcW w:w="5103" w:type="dxa"/>
          </w:tcPr>
          <w:p>
            <w:pPr>
              <w:jc w:val="center"/>
            </w:pPr>
            <w:r/>
            <w:r>
              <w:rPr>
                <w:rFonts w:ascii="Cambria" w:hAnsi="Cambria"/>
                <w:b w:val="0"/>
                <w:sz w:val="19"/>
              </w:rPr>
              <w:t>Circulars, notices, minutes of meetings; Attendance registers, photographs; Feedback forms and reports; Financial/budget utilization records; Committee meeting proceedings; Event reports and media coverage</w:t>
            </w:r>
          </w:p>
        </w:tc>
      </w:tr>
      <w:tr>
        <w:tc>
          <w:tcPr>
            <w:tcW w:type="dxa" w:w="1304"/>
            <w:tcW w:w="1304" w:type="dxa"/>
            <w:shd w:val="clear" w:color="auto" w:fill="DCE6F1"/>
          </w:tcPr>
          <w:p>
            <w:pPr>
              <w:jc w:val="left"/>
            </w:pPr>
            <w:r/>
            <w:r>
              <w:rPr>
                <w:rFonts w:ascii="Cambria" w:hAnsi="Cambria"/>
                <w:b w:val="0"/>
                <w:sz w:val="19"/>
              </w:rPr>
              <w:t>Outcome</w:t>
            </w:r>
          </w:p>
        </w:tc>
        <w:tc>
          <w:tcPr>
            <w:tcW w:type="dxa" w:w="3231"/>
            <w:tcW w:w="3231" w:type="dxa"/>
            <w:shd w:val="clear" w:color="auto" w:fill="DCE6F1"/>
          </w:tcPr>
          <w:p>
            <w:pPr>
              <w:jc w:val="center"/>
            </w:pPr>
            <w:r/>
            <w:r>
              <w:rPr>
                <w:rFonts w:ascii="Cambria" w:hAnsi="Cambria"/>
                <w:b w:val="0"/>
                <w:sz w:val="19"/>
              </w:rPr>
              <w:t>The measurable qualitative and quantitative results achieved from the actions undertaken.</w:t>
            </w:r>
          </w:p>
        </w:tc>
        <w:tc>
          <w:tcPr>
            <w:tcW w:type="dxa" w:w="5102"/>
            <w:tcW w:w="5103" w:type="dxa"/>
            <w:shd w:val="clear" w:color="auto" w:fill="DCE6F1"/>
          </w:tcPr>
          <w:p>
            <w:pPr>
              <w:jc w:val="center"/>
            </w:pPr>
            <w:r/>
            <w:r>
              <w:rPr>
                <w:rFonts w:ascii="Cambria" w:hAnsi="Cambria"/>
                <w:b w:val="0"/>
                <w:sz w:val="19"/>
              </w:rPr>
              <w:t>Enhanced student participation &amp; satisfaction; Reduction in grievances; Improved hostel hygiene ratings; Gender equity index improvement; Student retention and wellness data; Increased representation of women leaders; Accreditation and audit commendations</w:t>
            </w:r>
          </w:p>
        </w:tc>
      </w:tr>
    </w:tbl>
    <w:p>
      <w:pPr>
        <w:keepNext/>
        <w:spacing w:before="200" w:after="120"/>
      </w:pPr>
      <w:r>
        <w:rPr>
          <w:rFonts w:ascii="Cambria" w:hAnsi="Cambria"/>
          <w:b/>
          <w:color w:val="1F3A5F"/>
          <w:sz w:val="26"/>
        </w:rPr>
        <w:t>3. PAEO Framework Implementation Flow</w:t>
      </w:r>
    </w:p>
    <w:p>
      <w:r>
        <w:rPr>
          <w:rFonts w:ascii="Cambria" w:hAnsi="Cambria"/>
          <w:b/>
          <w:i w:val="0"/>
          <w:sz w:val="22"/>
        </w:rPr>
        <w:t>POLICY → ACTION → EVIDENCE → OUTCOME</w:t>
      </w:r>
    </w:p>
    <w:p>
      <w:r>
        <w:rPr>
          <w:rFonts w:ascii="Cambria" w:hAnsi="Cambria"/>
          <w:b w:val="0"/>
          <w:i/>
          <w:sz w:val="22"/>
        </w:rPr>
        <w:t>(Define)  (Implement)  (Document)  (Evaluate)</w:t>
      </w:r>
    </w:p>
    <w:p>
      <w:pPr>
        <w:pStyle w:val="ListBullet"/>
        <w:jc w:val="both"/>
      </w:pPr>
      <w:r>
        <w:rPr>
          <w:rFonts w:ascii="Cambria" w:hAnsi="Cambria"/>
          <w:sz w:val="22"/>
        </w:rPr>
        <w:t>Policy: Approved and published by the Dean – Student Affairs (DoSA) and the Governing Council.</w:t>
      </w:r>
    </w:p>
    <w:p>
      <w:pPr>
        <w:pStyle w:val="ListBullet"/>
        <w:jc w:val="both"/>
      </w:pPr>
      <w:r>
        <w:rPr>
          <w:rFonts w:ascii="Cambria" w:hAnsi="Cambria"/>
          <w:sz w:val="22"/>
        </w:rPr>
        <w:t>Action: Implemented through structured programs, events, or committees by respective Associate Deans.</w:t>
      </w:r>
    </w:p>
    <w:p>
      <w:pPr>
        <w:pStyle w:val="ListBullet"/>
        <w:jc w:val="both"/>
      </w:pPr>
      <w:r>
        <w:rPr>
          <w:rFonts w:ascii="Cambria" w:hAnsi="Cambria"/>
          <w:sz w:val="22"/>
        </w:rPr>
        <w:t>Evidence: Captured and stored in digital and physical formats; submitted quarterly to IQAC.</w:t>
      </w:r>
    </w:p>
    <w:p>
      <w:pPr>
        <w:pStyle w:val="ListBullet"/>
        <w:jc w:val="both"/>
      </w:pPr>
      <w:r>
        <w:rPr>
          <w:rFonts w:ascii="Cambria" w:hAnsi="Cambria"/>
          <w:sz w:val="22"/>
        </w:rPr>
        <w:t>Outcome: Evaluated annually through measurable indicators (KPIs) and integrated into NAAC AQAR / NBA SAR reports.</w:t>
      </w:r>
    </w:p>
    <w:p>
      <w:pPr>
        <w:keepNext/>
        <w:spacing w:before="200" w:after="120"/>
      </w:pPr>
      <w:r>
        <w:rPr>
          <w:rFonts w:ascii="Cambria" w:hAnsi="Cambria"/>
          <w:b/>
          <w:color w:val="1F3A5F"/>
          <w:sz w:val="26"/>
        </w:rPr>
        <w:t>4. Portfolio-Wise PAEO Examples</w:t>
      </w:r>
    </w:p>
    <w:p>
      <w:pPr>
        <w:keepNext/>
        <w:spacing w:before="200" w:after="120"/>
      </w:pPr>
      <w:r>
        <w:rPr>
          <w:rFonts w:ascii="Cambria" w:hAnsi="Cambria"/>
          <w:b/>
          <w:color w:val="1F3A5F"/>
          <w:sz w:val="26"/>
        </w:rPr>
        <w:t>A. Associate Dean – Students’ Welfare, Counselling, Grievance &amp; Redressal</w:t>
      </w:r>
    </w:p>
    <w:tbl>
      <w:tblPr>
        <w:tblW w:type="auto" w:w="0"/>
        <w:jc w:val="center"/>
        <w:tblLayout w:type="fixed"/>
        <w:tblLook w:firstColumn="1" w:firstRow="1" w:lastColumn="0" w:lastRow="0" w:noHBand="0" w:noVBand="1" w:val="04A0"/>
        <w:tblW w:w="9639" w:type="dxa"/>
        <w:tblLayout w:type="fixed"/>
      </w:tblPr>
      <w:tblGrid>
        <w:gridCol w:w="1927"/>
        <w:gridCol w:w="2494"/>
        <w:gridCol w:w="2494"/>
        <w:gridCol w:w="2721"/>
      </w:tblGrid>
      <w:tr>
        <w:tc>
          <w:tcPr>
            <w:tcW w:type="dxa" w:w="1928"/>
            <w:tcW w:w="1927" w:type="dxa"/>
            <w:shd w:val="clear" w:color="auto" w:fill="1F3A5F"/>
          </w:tcPr>
          <w:p>
            <w:pPr>
              <w:jc w:val="center"/>
            </w:pPr>
            <w:r/>
            <w:r>
              <w:rPr>
                <w:rFonts w:ascii="Cambria" w:hAnsi="Cambria"/>
                <w:b/>
                <w:color w:val="FFFFFF"/>
                <w:sz w:val="22"/>
              </w:rPr>
              <w:t>Policy</w:t>
            </w:r>
          </w:p>
        </w:tc>
        <w:tc>
          <w:tcPr>
            <w:tcW w:type="dxa" w:w="2494"/>
            <w:tcW w:w="2494" w:type="dxa"/>
            <w:shd w:val="clear" w:color="auto" w:fill="1F3A5F"/>
          </w:tcPr>
          <w:p>
            <w:pPr>
              <w:jc w:val="center"/>
            </w:pPr>
            <w:r/>
            <w:r>
              <w:rPr>
                <w:rFonts w:ascii="Cambria" w:hAnsi="Cambria"/>
                <w:b/>
                <w:color w:val="FFFFFF"/>
                <w:sz w:val="22"/>
              </w:rPr>
              <w:t>Action</w:t>
            </w:r>
          </w:p>
        </w:tc>
        <w:tc>
          <w:tcPr>
            <w:tcW w:type="dxa" w:w="2494"/>
            <w:tcW w:w="2494" w:type="dxa"/>
            <w:shd w:val="clear" w:color="auto" w:fill="1F3A5F"/>
          </w:tcPr>
          <w:p>
            <w:pPr>
              <w:jc w:val="center"/>
            </w:pPr>
            <w:r/>
            <w:r>
              <w:rPr>
                <w:rFonts w:ascii="Cambria" w:hAnsi="Cambria"/>
                <w:b/>
                <w:color w:val="FFFFFF"/>
                <w:sz w:val="22"/>
              </w:rPr>
              <w:t>Evidence</w:t>
            </w:r>
          </w:p>
        </w:tc>
        <w:tc>
          <w:tcPr>
            <w:tcW w:type="dxa" w:w="2721"/>
            <w:tcW w:w="2721" w:type="dxa"/>
            <w:shd w:val="clear" w:color="auto" w:fill="1F3A5F"/>
          </w:tcPr>
          <w:p>
            <w:pPr>
              <w:jc w:val="center"/>
            </w:pPr>
            <w:r/>
            <w:r>
              <w:rPr>
                <w:rFonts w:ascii="Cambria" w:hAnsi="Cambria"/>
                <w:b/>
                <w:color w:val="FFFFFF"/>
                <w:sz w:val="22"/>
              </w:rPr>
              <w:t>Outcome</w:t>
            </w:r>
          </w:p>
        </w:tc>
      </w:tr>
      <w:tr>
        <w:tc>
          <w:tcPr>
            <w:tcW w:type="dxa" w:w="1928"/>
            <w:tcW w:w="1927" w:type="dxa"/>
          </w:tcPr>
          <w:p>
            <w:pPr>
              <w:jc w:val="left"/>
            </w:pPr>
            <w:r/>
            <w:r>
              <w:rPr>
                <w:rFonts w:ascii="Cambria" w:hAnsi="Cambria"/>
                <w:b w:val="0"/>
                <w:sz w:val="18"/>
              </w:rPr>
              <w:t>Student Counselling &amp; Grievance Policy</w:t>
            </w:r>
          </w:p>
        </w:tc>
        <w:tc>
          <w:tcPr>
            <w:tcW w:type="dxa" w:w="2494"/>
            <w:tcW w:w="2494" w:type="dxa"/>
          </w:tcPr>
          <w:p>
            <w:pPr>
              <w:jc w:val="center"/>
            </w:pPr>
            <w:r/>
            <w:r>
              <w:rPr>
                <w:rFonts w:ascii="Cambria" w:hAnsi="Cambria"/>
                <w:b w:val="0"/>
                <w:sz w:val="18"/>
              </w:rPr>
              <w:t>Conduct stress management workshops, counselling sessions, grievance hearings</w:t>
            </w:r>
          </w:p>
        </w:tc>
        <w:tc>
          <w:tcPr>
            <w:tcW w:type="dxa" w:w="2494"/>
            <w:tcW w:w="2494" w:type="dxa"/>
          </w:tcPr>
          <w:p>
            <w:pPr>
              <w:jc w:val="center"/>
            </w:pPr>
            <w:r/>
            <w:r>
              <w:rPr>
                <w:rFonts w:ascii="Cambria" w:hAnsi="Cambria"/>
                <w:b w:val="0"/>
                <w:sz w:val="18"/>
              </w:rPr>
              <w:t>Attendance lists, grievance register, reports</w:t>
            </w:r>
          </w:p>
        </w:tc>
        <w:tc>
          <w:tcPr>
            <w:tcW w:type="dxa" w:w="2721"/>
            <w:tcW w:w="2721" w:type="dxa"/>
          </w:tcPr>
          <w:p>
            <w:pPr>
              <w:jc w:val="center"/>
            </w:pPr>
            <w:r/>
            <w:r>
              <w:rPr>
                <w:rFonts w:ascii="Cambria" w:hAnsi="Cambria"/>
                <w:b w:val="0"/>
                <w:sz w:val="18"/>
              </w:rPr>
              <w:t>Reduced grievances, improved student mental well-being</w:t>
            </w:r>
          </w:p>
        </w:tc>
      </w:tr>
    </w:tbl>
    <w:p>
      <w:pPr>
        <w:keepNext/>
        <w:spacing w:before="200" w:after="120"/>
      </w:pPr>
      <w:r>
        <w:rPr>
          <w:rFonts w:ascii="Cambria" w:hAnsi="Cambria"/>
          <w:b/>
          <w:color w:val="1F3A5F"/>
          <w:sz w:val="26"/>
        </w:rPr>
        <w:t>B. Associate Dean – Sports Affairs</w:t>
      </w:r>
    </w:p>
    <w:tbl>
      <w:tblPr>
        <w:tblW w:type="auto" w:w="0"/>
        <w:jc w:val="center"/>
        <w:tblLayout w:type="fixed"/>
        <w:tblLook w:firstColumn="1" w:firstRow="1" w:lastColumn="0" w:lastRow="0" w:noHBand="0" w:noVBand="1" w:val="04A0"/>
        <w:tblW w:w="9639" w:type="dxa"/>
        <w:tblLayout w:type="fixed"/>
      </w:tblPr>
      <w:tblGrid>
        <w:gridCol w:w="1927"/>
        <w:gridCol w:w="2494"/>
        <w:gridCol w:w="2494"/>
        <w:gridCol w:w="2721"/>
      </w:tblGrid>
      <w:tr>
        <w:tc>
          <w:tcPr>
            <w:tcW w:type="dxa" w:w="1928"/>
            <w:tcW w:w="1927" w:type="dxa"/>
            <w:shd w:val="clear" w:color="auto" w:fill="1F3A5F"/>
          </w:tcPr>
          <w:p>
            <w:pPr>
              <w:jc w:val="center"/>
            </w:pPr>
            <w:r/>
            <w:r>
              <w:rPr>
                <w:rFonts w:ascii="Cambria" w:hAnsi="Cambria"/>
                <w:b/>
                <w:color w:val="FFFFFF"/>
                <w:sz w:val="22"/>
              </w:rPr>
              <w:t>Policy</w:t>
            </w:r>
          </w:p>
        </w:tc>
        <w:tc>
          <w:tcPr>
            <w:tcW w:type="dxa" w:w="2494"/>
            <w:tcW w:w="2494" w:type="dxa"/>
            <w:shd w:val="clear" w:color="auto" w:fill="1F3A5F"/>
          </w:tcPr>
          <w:p>
            <w:pPr>
              <w:jc w:val="center"/>
            </w:pPr>
            <w:r/>
            <w:r>
              <w:rPr>
                <w:rFonts w:ascii="Cambria" w:hAnsi="Cambria"/>
                <w:b/>
                <w:color w:val="FFFFFF"/>
                <w:sz w:val="22"/>
              </w:rPr>
              <w:t>Action</w:t>
            </w:r>
          </w:p>
        </w:tc>
        <w:tc>
          <w:tcPr>
            <w:tcW w:type="dxa" w:w="2494"/>
            <w:tcW w:w="2494" w:type="dxa"/>
            <w:shd w:val="clear" w:color="auto" w:fill="1F3A5F"/>
          </w:tcPr>
          <w:p>
            <w:pPr>
              <w:jc w:val="center"/>
            </w:pPr>
            <w:r/>
            <w:r>
              <w:rPr>
                <w:rFonts w:ascii="Cambria" w:hAnsi="Cambria"/>
                <w:b/>
                <w:color w:val="FFFFFF"/>
                <w:sz w:val="22"/>
              </w:rPr>
              <w:t>Evidence</w:t>
            </w:r>
          </w:p>
        </w:tc>
        <w:tc>
          <w:tcPr>
            <w:tcW w:type="dxa" w:w="2721"/>
            <w:tcW w:w="2721" w:type="dxa"/>
            <w:shd w:val="clear" w:color="auto" w:fill="1F3A5F"/>
          </w:tcPr>
          <w:p>
            <w:pPr>
              <w:jc w:val="center"/>
            </w:pPr>
            <w:r/>
            <w:r>
              <w:rPr>
                <w:rFonts w:ascii="Cambria" w:hAnsi="Cambria"/>
                <w:b/>
                <w:color w:val="FFFFFF"/>
                <w:sz w:val="22"/>
              </w:rPr>
              <w:t>Outcome</w:t>
            </w:r>
          </w:p>
        </w:tc>
      </w:tr>
      <w:tr>
        <w:tc>
          <w:tcPr>
            <w:tcW w:type="dxa" w:w="1928"/>
            <w:tcW w:w="1927" w:type="dxa"/>
          </w:tcPr>
          <w:p>
            <w:pPr>
              <w:jc w:val="left"/>
            </w:pPr>
            <w:r/>
            <w:r>
              <w:rPr>
                <w:rFonts w:ascii="Cambria" w:hAnsi="Cambria"/>
                <w:b w:val="0"/>
                <w:sz w:val="18"/>
              </w:rPr>
              <w:t>Sports &amp; Fitness Policy</w:t>
            </w:r>
          </w:p>
        </w:tc>
        <w:tc>
          <w:tcPr>
            <w:tcW w:type="dxa" w:w="2494"/>
            <w:tcW w:w="2494" w:type="dxa"/>
          </w:tcPr>
          <w:p>
            <w:pPr>
              <w:jc w:val="center"/>
            </w:pPr>
            <w:r/>
            <w:r>
              <w:rPr>
                <w:rFonts w:ascii="Cambria" w:hAnsi="Cambria"/>
                <w:b w:val="0"/>
                <w:sz w:val="18"/>
              </w:rPr>
              <w:t>Conduct inter-college tournaments and fitness drives</w:t>
            </w:r>
          </w:p>
        </w:tc>
        <w:tc>
          <w:tcPr>
            <w:tcW w:type="dxa" w:w="2494"/>
            <w:tcW w:w="2494" w:type="dxa"/>
          </w:tcPr>
          <w:p>
            <w:pPr>
              <w:jc w:val="center"/>
            </w:pPr>
            <w:r/>
            <w:r>
              <w:rPr>
                <w:rFonts w:ascii="Cambria" w:hAnsi="Cambria"/>
                <w:b w:val="0"/>
                <w:sz w:val="18"/>
              </w:rPr>
              <w:t>Tournament reports, photos, participation records</w:t>
            </w:r>
          </w:p>
        </w:tc>
        <w:tc>
          <w:tcPr>
            <w:tcW w:type="dxa" w:w="2721"/>
            <w:tcW w:w="2721" w:type="dxa"/>
          </w:tcPr>
          <w:p>
            <w:pPr>
              <w:jc w:val="center"/>
            </w:pPr>
            <w:r/>
            <w:r>
              <w:rPr>
                <w:rFonts w:ascii="Cambria" w:hAnsi="Cambria"/>
                <w:b w:val="0"/>
                <w:sz w:val="18"/>
              </w:rPr>
              <w:t>Increased student fitness participation and achievements</w:t>
            </w:r>
          </w:p>
        </w:tc>
      </w:tr>
    </w:tbl>
    <w:p>
      <w:pPr>
        <w:keepNext/>
        <w:spacing w:before="200" w:after="120"/>
      </w:pPr>
      <w:r>
        <w:rPr>
          <w:rFonts w:ascii="Cambria" w:hAnsi="Cambria"/>
          <w:b/>
          <w:color w:val="1F3A5F"/>
          <w:sz w:val="26"/>
        </w:rPr>
        <w:t>C. Associate Dean – Hostels &amp; Canteen Affairs</w:t>
      </w:r>
    </w:p>
    <w:tbl>
      <w:tblPr>
        <w:tblW w:type="auto" w:w="0"/>
        <w:jc w:val="center"/>
        <w:tblLayout w:type="fixed"/>
        <w:tblLook w:firstColumn="1" w:firstRow="1" w:lastColumn="0" w:lastRow="0" w:noHBand="0" w:noVBand="1" w:val="04A0"/>
        <w:tblW w:w="9639" w:type="dxa"/>
        <w:tblLayout w:type="fixed"/>
      </w:tblPr>
      <w:tblGrid>
        <w:gridCol w:w="1927"/>
        <w:gridCol w:w="2494"/>
        <w:gridCol w:w="2494"/>
        <w:gridCol w:w="2721"/>
      </w:tblGrid>
      <w:tr>
        <w:tc>
          <w:tcPr>
            <w:tcW w:type="dxa" w:w="1928"/>
            <w:tcW w:w="1927" w:type="dxa"/>
            <w:shd w:val="clear" w:color="auto" w:fill="1F3A5F"/>
          </w:tcPr>
          <w:p>
            <w:pPr>
              <w:jc w:val="center"/>
            </w:pPr>
            <w:r/>
            <w:r>
              <w:rPr>
                <w:rFonts w:ascii="Cambria" w:hAnsi="Cambria"/>
                <w:b/>
                <w:color w:val="FFFFFF"/>
                <w:sz w:val="22"/>
              </w:rPr>
              <w:t>Policy</w:t>
            </w:r>
          </w:p>
        </w:tc>
        <w:tc>
          <w:tcPr>
            <w:tcW w:type="dxa" w:w="2494"/>
            <w:tcW w:w="2494" w:type="dxa"/>
            <w:shd w:val="clear" w:color="auto" w:fill="1F3A5F"/>
          </w:tcPr>
          <w:p>
            <w:pPr>
              <w:jc w:val="center"/>
            </w:pPr>
            <w:r/>
            <w:r>
              <w:rPr>
                <w:rFonts w:ascii="Cambria" w:hAnsi="Cambria"/>
                <w:b/>
                <w:color w:val="FFFFFF"/>
                <w:sz w:val="22"/>
              </w:rPr>
              <w:t>Action</w:t>
            </w:r>
          </w:p>
        </w:tc>
        <w:tc>
          <w:tcPr>
            <w:tcW w:type="dxa" w:w="2494"/>
            <w:tcW w:w="2494" w:type="dxa"/>
            <w:shd w:val="clear" w:color="auto" w:fill="1F3A5F"/>
          </w:tcPr>
          <w:p>
            <w:pPr>
              <w:jc w:val="center"/>
            </w:pPr>
            <w:r/>
            <w:r>
              <w:rPr>
                <w:rFonts w:ascii="Cambria" w:hAnsi="Cambria"/>
                <w:b/>
                <w:color w:val="FFFFFF"/>
                <w:sz w:val="22"/>
              </w:rPr>
              <w:t>Evidence</w:t>
            </w:r>
          </w:p>
        </w:tc>
        <w:tc>
          <w:tcPr>
            <w:tcW w:type="dxa" w:w="2721"/>
            <w:tcW w:w="2721" w:type="dxa"/>
            <w:shd w:val="clear" w:color="auto" w:fill="1F3A5F"/>
          </w:tcPr>
          <w:p>
            <w:pPr>
              <w:jc w:val="center"/>
            </w:pPr>
            <w:r/>
            <w:r>
              <w:rPr>
                <w:rFonts w:ascii="Cambria" w:hAnsi="Cambria"/>
                <w:b/>
                <w:color w:val="FFFFFF"/>
                <w:sz w:val="22"/>
              </w:rPr>
              <w:t>Outcome</w:t>
            </w:r>
          </w:p>
        </w:tc>
      </w:tr>
      <w:tr>
        <w:tc>
          <w:tcPr>
            <w:tcW w:type="dxa" w:w="1928"/>
            <w:tcW w:w="1927" w:type="dxa"/>
          </w:tcPr>
          <w:p>
            <w:pPr>
              <w:jc w:val="left"/>
            </w:pPr>
            <w:r/>
            <w:r>
              <w:rPr>
                <w:rFonts w:ascii="Cambria" w:hAnsi="Cambria"/>
                <w:b w:val="0"/>
                <w:sz w:val="18"/>
              </w:rPr>
              <w:t>Hostel Management &amp; Food Safety Policy</w:t>
            </w:r>
          </w:p>
        </w:tc>
        <w:tc>
          <w:tcPr>
            <w:tcW w:type="dxa" w:w="2494"/>
            <w:tcW w:w="2494" w:type="dxa"/>
          </w:tcPr>
          <w:p>
            <w:pPr>
              <w:jc w:val="center"/>
            </w:pPr>
            <w:r/>
            <w:r>
              <w:rPr>
                <w:rFonts w:ascii="Cambria" w:hAnsi="Cambria"/>
                <w:b w:val="0"/>
                <w:sz w:val="18"/>
              </w:rPr>
              <w:t>Conduct hygiene audits, safety drills, feedback surveys</w:t>
            </w:r>
          </w:p>
        </w:tc>
        <w:tc>
          <w:tcPr>
            <w:tcW w:type="dxa" w:w="2494"/>
            <w:tcW w:w="2494" w:type="dxa"/>
          </w:tcPr>
          <w:p>
            <w:pPr>
              <w:jc w:val="center"/>
            </w:pPr>
            <w:r/>
            <w:r>
              <w:rPr>
                <w:rFonts w:ascii="Cambria" w:hAnsi="Cambria"/>
                <w:b w:val="0"/>
                <w:sz w:val="18"/>
              </w:rPr>
              <w:t>Audit reports, feedback summaries, inspection records</w:t>
            </w:r>
          </w:p>
        </w:tc>
        <w:tc>
          <w:tcPr>
            <w:tcW w:type="dxa" w:w="2721"/>
            <w:tcW w:w="2721" w:type="dxa"/>
          </w:tcPr>
          <w:p>
            <w:pPr>
              <w:jc w:val="center"/>
            </w:pPr>
            <w:r/>
            <w:r>
              <w:rPr>
                <w:rFonts w:ascii="Cambria" w:hAnsi="Cambria"/>
                <w:b w:val="0"/>
                <w:sz w:val="18"/>
              </w:rPr>
              <w:t>Improved hostel sanitation and food quality ratings</w:t>
            </w:r>
          </w:p>
        </w:tc>
      </w:tr>
    </w:tbl>
    <w:p>
      <w:pPr>
        <w:keepNext/>
        <w:spacing w:before="200" w:after="120"/>
      </w:pPr>
      <w:r>
        <w:rPr>
          <w:rFonts w:ascii="Cambria" w:hAnsi="Cambria"/>
          <w:b/>
          <w:color w:val="1F3A5F"/>
          <w:sz w:val="26"/>
        </w:rPr>
        <w:t>D. Associate Dean – Transport Affairs</w:t>
      </w:r>
    </w:p>
    <w:tbl>
      <w:tblPr>
        <w:tblW w:type="auto" w:w="0"/>
        <w:jc w:val="center"/>
        <w:tblLayout w:type="fixed"/>
        <w:tblLook w:firstColumn="1" w:firstRow="1" w:lastColumn="0" w:lastRow="0" w:noHBand="0" w:noVBand="1" w:val="04A0"/>
        <w:tblW w:w="9639" w:type="dxa"/>
        <w:tblLayout w:type="fixed"/>
      </w:tblPr>
      <w:tblGrid>
        <w:gridCol w:w="1927"/>
        <w:gridCol w:w="2494"/>
        <w:gridCol w:w="2494"/>
        <w:gridCol w:w="2721"/>
      </w:tblGrid>
      <w:tr>
        <w:tc>
          <w:tcPr>
            <w:tcW w:type="dxa" w:w="1928"/>
            <w:tcW w:w="1927" w:type="dxa"/>
            <w:shd w:val="clear" w:color="auto" w:fill="1F3A5F"/>
          </w:tcPr>
          <w:p>
            <w:pPr>
              <w:jc w:val="center"/>
            </w:pPr>
            <w:r/>
            <w:r>
              <w:rPr>
                <w:rFonts w:ascii="Cambria" w:hAnsi="Cambria"/>
                <w:b/>
                <w:color w:val="FFFFFF"/>
                <w:sz w:val="22"/>
              </w:rPr>
              <w:t>Policy</w:t>
            </w:r>
          </w:p>
        </w:tc>
        <w:tc>
          <w:tcPr>
            <w:tcW w:type="dxa" w:w="2494"/>
            <w:tcW w:w="2494" w:type="dxa"/>
            <w:shd w:val="clear" w:color="auto" w:fill="1F3A5F"/>
          </w:tcPr>
          <w:p>
            <w:pPr>
              <w:jc w:val="center"/>
            </w:pPr>
            <w:r/>
            <w:r>
              <w:rPr>
                <w:rFonts w:ascii="Cambria" w:hAnsi="Cambria"/>
                <w:b/>
                <w:color w:val="FFFFFF"/>
                <w:sz w:val="22"/>
              </w:rPr>
              <w:t>Action</w:t>
            </w:r>
          </w:p>
        </w:tc>
        <w:tc>
          <w:tcPr>
            <w:tcW w:type="dxa" w:w="2494"/>
            <w:tcW w:w="2494" w:type="dxa"/>
            <w:shd w:val="clear" w:color="auto" w:fill="1F3A5F"/>
          </w:tcPr>
          <w:p>
            <w:pPr>
              <w:jc w:val="center"/>
            </w:pPr>
            <w:r/>
            <w:r>
              <w:rPr>
                <w:rFonts w:ascii="Cambria" w:hAnsi="Cambria"/>
                <w:b/>
                <w:color w:val="FFFFFF"/>
                <w:sz w:val="22"/>
              </w:rPr>
              <w:t>Evidence</w:t>
            </w:r>
          </w:p>
        </w:tc>
        <w:tc>
          <w:tcPr>
            <w:tcW w:type="dxa" w:w="2721"/>
            <w:tcW w:w="2721" w:type="dxa"/>
            <w:shd w:val="clear" w:color="auto" w:fill="1F3A5F"/>
          </w:tcPr>
          <w:p>
            <w:pPr>
              <w:jc w:val="center"/>
            </w:pPr>
            <w:r/>
            <w:r>
              <w:rPr>
                <w:rFonts w:ascii="Cambria" w:hAnsi="Cambria"/>
                <w:b/>
                <w:color w:val="FFFFFF"/>
                <w:sz w:val="22"/>
              </w:rPr>
              <w:t>Outcome</w:t>
            </w:r>
          </w:p>
        </w:tc>
      </w:tr>
      <w:tr>
        <w:tc>
          <w:tcPr>
            <w:tcW w:type="dxa" w:w="1928"/>
            <w:tcW w:w="1927" w:type="dxa"/>
          </w:tcPr>
          <w:p>
            <w:pPr>
              <w:jc w:val="left"/>
            </w:pPr>
            <w:r/>
            <w:r>
              <w:rPr>
                <w:rFonts w:ascii="Cambria" w:hAnsi="Cambria"/>
                <w:b w:val="0"/>
                <w:sz w:val="18"/>
              </w:rPr>
              <w:t>Transport &amp; Safety Policy</w:t>
            </w:r>
          </w:p>
        </w:tc>
        <w:tc>
          <w:tcPr>
            <w:tcW w:type="dxa" w:w="2494"/>
            <w:tcW w:w="2494" w:type="dxa"/>
          </w:tcPr>
          <w:p>
            <w:pPr>
              <w:jc w:val="center"/>
            </w:pPr>
            <w:r/>
            <w:r>
              <w:rPr>
                <w:rFonts w:ascii="Cambria" w:hAnsi="Cambria"/>
                <w:b w:val="0"/>
                <w:sz w:val="18"/>
              </w:rPr>
              <w:t>Route optimization, driver safety training, fuel audits</w:t>
            </w:r>
          </w:p>
        </w:tc>
        <w:tc>
          <w:tcPr>
            <w:tcW w:type="dxa" w:w="2494"/>
            <w:tcW w:w="2494" w:type="dxa"/>
          </w:tcPr>
          <w:p>
            <w:pPr>
              <w:jc w:val="center"/>
            </w:pPr>
            <w:r/>
            <w:r>
              <w:rPr>
                <w:rFonts w:ascii="Cambria" w:hAnsi="Cambria"/>
                <w:b w:val="0"/>
                <w:sz w:val="18"/>
              </w:rPr>
              <w:t>Route logs, safety certificates, compliance records</w:t>
            </w:r>
          </w:p>
        </w:tc>
        <w:tc>
          <w:tcPr>
            <w:tcW w:type="dxa" w:w="2721"/>
            <w:tcW w:w="2721" w:type="dxa"/>
          </w:tcPr>
          <w:p>
            <w:pPr>
              <w:jc w:val="center"/>
            </w:pPr>
            <w:r/>
            <w:r>
              <w:rPr>
                <w:rFonts w:ascii="Cambria" w:hAnsi="Cambria"/>
                <w:b w:val="0"/>
                <w:sz w:val="18"/>
              </w:rPr>
              <w:t>Safer, eco-friendly, and punctual transport operations</w:t>
            </w:r>
          </w:p>
        </w:tc>
      </w:tr>
    </w:tbl>
    <w:p>
      <w:pPr>
        <w:keepNext/>
        <w:spacing w:before="200" w:after="120"/>
      </w:pPr>
      <w:r>
        <w:rPr>
          <w:rFonts w:ascii="Cambria" w:hAnsi="Cambria"/>
          <w:b/>
          <w:color w:val="1F3A5F"/>
          <w:sz w:val="26"/>
        </w:rPr>
        <w:t>E. Associate Dean – Student Discipline</w:t>
      </w:r>
    </w:p>
    <w:tbl>
      <w:tblPr>
        <w:tblW w:type="auto" w:w="0"/>
        <w:jc w:val="center"/>
        <w:tblLayout w:type="fixed"/>
        <w:tblLook w:firstColumn="1" w:firstRow="1" w:lastColumn="0" w:lastRow="0" w:noHBand="0" w:noVBand="1" w:val="04A0"/>
        <w:tblW w:w="9639" w:type="dxa"/>
        <w:tblLayout w:type="fixed"/>
      </w:tblPr>
      <w:tblGrid>
        <w:gridCol w:w="1927"/>
        <w:gridCol w:w="2494"/>
        <w:gridCol w:w="2494"/>
        <w:gridCol w:w="2721"/>
      </w:tblGrid>
      <w:tr>
        <w:tc>
          <w:tcPr>
            <w:tcW w:type="dxa" w:w="1928"/>
            <w:tcW w:w="1927" w:type="dxa"/>
            <w:shd w:val="clear" w:color="auto" w:fill="1F3A5F"/>
          </w:tcPr>
          <w:p>
            <w:pPr>
              <w:jc w:val="center"/>
            </w:pPr>
            <w:r/>
            <w:r>
              <w:rPr>
                <w:rFonts w:ascii="Cambria" w:hAnsi="Cambria"/>
                <w:b/>
                <w:color w:val="FFFFFF"/>
                <w:sz w:val="22"/>
              </w:rPr>
              <w:t>Policy</w:t>
            </w:r>
          </w:p>
        </w:tc>
        <w:tc>
          <w:tcPr>
            <w:tcW w:type="dxa" w:w="2494"/>
            <w:tcW w:w="2494" w:type="dxa"/>
            <w:shd w:val="clear" w:color="auto" w:fill="1F3A5F"/>
          </w:tcPr>
          <w:p>
            <w:pPr>
              <w:jc w:val="center"/>
            </w:pPr>
            <w:r/>
            <w:r>
              <w:rPr>
                <w:rFonts w:ascii="Cambria" w:hAnsi="Cambria"/>
                <w:b/>
                <w:color w:val="FFFFFF"/>
                <w:sz w:val="22"/>
              </w:rPr>
              <w:t>Action</w:t>
            </w:r>
          </w:p>
        </w:tc>
        <w:tc>
          <w:tcPr>
            <w:tcW w:type="dxa" w:w="2494"/>
            <w:tcW w:w="2494" w:type="dxa"/>
            <w:shd w:val="clear" w:color="auto" w:fill="1F3A5F"/>
          </w:tcPr>
          <w:p>
            <w:pPr>
              <w:jc w:val="center"/>
            </w:pPr>
            <w:r/>
            <w:r>
              <w:rPr>
                <w:rFonts w:ascii="Cambria" w:hAnsi="Cambria"/>
                <w:b/>
                <w:color w:val="FFFFFF"/>
                <w:sz w:val="22"/>
              </w:rPr>
              <w:t>Evidence</w:t>
            </w:r>
          </w:p>
        </w:tc>
        <w:tc>
          <w:tcPr>
            <w:tcW w:type="dxa" w:w="2721"/>
            <w:tcW w:w="2721" w:type="dxa"/>
            <w:shd w:val="clear" w:color="auto" w:fill="1F3A5F"/>
          </w:tcPr>
          <w:p>
            <w:pPr>
              <w:jc w:val="center"/>
            </w:pPr>
            <w:r/>
            <w:r>
              <w:rPr>
                <w:rFonts w:ascii="Cambria" w:hAnsi="Cambria"/>
                <w:b/>
                <w:color w:val="FFFFFF"/>
                <w:sz w:val="22"/>
              </w:rPr>
              <w:t>Outcome</w:t>
            </w:r>
          </w:p>
        </w:tc>
      </w:tr>
      <w:tr>
        <w:tc>
          <w:tcPr>
            <w:tcW w:type="dxa" w:w="1928"/>
            <w:tcW w:w="1927" w:type="dxa"/>
          </w:tcPr>
          <w:p>
            <w:pPr>
              <w:jc w:val="left"/>
            </w:pPr>
            <w:r/>
            <w:r>
              <w:rPr>
                <w:rFonts w:ascii="Cambria" w:hAnsi="Cambria"/>
                <w:b w:val="0"/>
                <w:sz w:val="18"/>
              </w:rPr>
              <w:t>Code of Conduct &amp; Discipline Policy</w:t>
            </w:r>
          </w:p>
        </w:tc>
        <w:tc>
          <w:tcPr>
            <w:tcW w:type="dxa" w:w="2494"/>
            <w:tcW w:w="2494" w:type="dxa"/>
          </w:tcPr>
          <w:p>
            <w:pPr>
              <w:jc w:val="center"/>
            </w:pPr>
            <w:r/>
            <w:r>
              <w:rPr>
                <w:rFonts w:ascii="Cambria" w:hAnsi="Cambria"/>
                <w:b w:val="0"/>
                <w:sz w:val="18"/>
              </w:rPr>
              <w:t>Conduct ethical awareness workshops and hearings</w:t>
            </w:r>
          </w:p>
        </w:tc>
        <w:tc>
          <w:tcPr>
            <w:tcW w:type="dxa" w:w="2494"/>
            <w:tcW w:w="2494" w:type="dxa"/>
          </w:tcPr>
          <w:p>
            <w:pPr>
              <w:jc w:val="center"/>
            </w:pPr>
            <w:r/>
            <w:r>
              <w:rPr>
                <w:rFonts w:ascii="Cambria" w:hAnsi="Cambria"/>
                <w:b w:val="0"/>
                <w:sz w:val="18"/>
              </w:rPr>
              <w:t>Disciplinary records, notices, awareness session data</w:t>
            </w:r>
          </w:p>
        </w:tc>
        <w:tc>
          <w:tcPr>
            <w:tcW w:type="dxa" w:w="2721"/>
            <w:tcW w:w="2721" w:type="dxa"/>
          </w:tcPr>
          <w:p>
            <w:pPr>
              <w:jc w:val="center"/>
            </w:pPr>
            <w:r/>
            <w:r>
              <w:rPr>
                <w:rFonts w:ascii="Cambria" w:hAnsi="Cambria"/>
                <w:b w:val="0"/>
                <w:sz w:val="18"/>
              </w:rPr>
              <w:t>Improved campus discipline and ethical awareness</w:t>
            </w:r>
          </w:p>
        </w:tc>
      </w:tr>
    </w:tbl>
    <w:p>
      <w:pPr>
        <w:keepNext/>
        <w:spacing w:before="200" w:after="120"/>
      </w:pPr>
      <w:r>
        <w:rPr>
          <w:rFonts w:ascii="Cambria" w:hAnsi="Cambria"/>
          <w:b/>
          <w:color w:val="1F3A5F"/>
          <w:sz w:val="26"/>
        </w:rPr>
        <w:t>F. Associate Dean – Associations, Co-Curricular, Extracurricular &amp; Club Activities</w:t>
      </w:r>
    </w:p>
    <w:tbl>
      <w:tblPr>
        <w:tblW w:type="auto" w:w="0"/>
        <w:jc w:val="center"/>
        <w:tblLayout w:type="fixed"/>
        <w:tblLook w:firstColumn="1" w:firstRow="1" w:lastColumn="0" w:lastRow="0" w:noHBand="0" w:noVBand="1" w:val="04A0"/>
        <w:tblW w:w="9639" w:type="dxa"/>
        <w:tblLayout w:type="fixed"/>
      </w:tblPr>
      <w:tblGrid>
        <w:gridCol w:w="1927"/>
        <w:gridCol w:w="2494"/>
        <w:gridCol w:w="2494"/>
        <w:gridCol w:w="2721"/>
      </w:tblGrid>
      <w:tr>
        <w:tc>
          <w:tcPr>
            <w:tcW w:type="dxa" w:w="1928"/>
            <w:tcW w:w="1927" w:type="dxa"/>
            <w:shd w:val="clear" w:color="auto" w:fill="1F3A5F"/>
          </w:tcPr>
          <w:p>
            <w:pPr>
              <w:jc w:val="center"/>
            </w:pPr>
            <w:r/>
            <w:r>
              <w:rPr>
                <w:rFonts w:ascii="Cambria" w:hAnsi="Cambria"/>
                <w:b/>
                <w:color w:val="FFFFFF"/>
                <w:sz w:val="22"/>
              </w:rPr>
              <w:t>Policy</w:t>
            </w:r>
          </w:p>
        </w:tc>
        <w:tc>
          <w:tcPr>
            <w:tcW w:type="dxa" w:w="2494"/>
            <w:tcW w:w="2494" w:type="dxa"/>
            <w:shd w:val="clear" w:color="auto" w:fill="1F3A5F"/>
          </w:tcPr>
          <w:p>
            <w:pPr>
              <w:jc w:val="center"/>
            </w:pPr>
            <w:r/>
            <w:r>
              <w:rPr>
                <w:rFonts w:ascii="Cambria" w:hAnsi="Cambria"/>
                <w:b/>
                <w:color w:val="FFFFFF"/>
                <w:sz w:val="22"/>
              </w:rPr>
              <w:t>Action</w:t>
            </w:r>
          </w:p>
        </w:tc>
        <w:tc>
          <w:tcPr>
            <w:tcW w:type="dxa" w:w="2494"/>
            <w:tcW w:w="2494" w:type="dxa"/>
            <w:shd w:val="clear" w:color="auto" w:fill="1F3A5F"/>
          </w:tcPr>
          <w:p>
            <w:pPr>
              <w:jc w:val="center"/>
            </w:pPr>
            <w:r/>
            <w:r>
              <w:rPr>
                <w:rFonts w:ascii="Cambria" w:hAnsi="Cambria"/>
                <w:b/>
                <w:color w:val="FFFFFF"/>
                <w:sz w:val="22"/>
              </w:rPr>
              <w:t>Evidence</w:t>
            </w:r>
          </w:p>
        </w:tc>
        <w:tc>
          <w:tcPr>
            <w:tcW w:type="dxa" w:w="2721"/>
            <w:tcW w:w="2721" w:type="dxa"/>
            <w:shd w:val="clear" w:color="auto" w:fill="1F3A5F"/>
          </w:tcPr>
          <w:p>
            <w:pPr>
              <w:jc w:val="center"/>
            </w:pPr>
            <w:r/>
            <w:r>
              <w:rPr>
                <w:rFonts w:ascii="Cambria" w:hAnsi="Cambria"/>
                <w:b/>
                <w:color w:val="FFFFFF"/>
                <w:sz w:val="22"/>
              </w:rPr>
              <w:t>Outcome</w:t>
            </w:r>
          </w:p>
        </w:tc>
      </w:tr>
      <w:tr>
        <w:tc>
          <w:tcPr>
            <w:tcW w:type="dxa" w:w="1928"/>
            <w:tcW w:w="1927" w:type="dxa"/>
          </w:tcPr>
          <w:p>
            <w:pPr>
              <w:jc w:val="left"/>
            </w:pPr>
            <w:r/>
            <w:r>
              <w:rPr>
                <w:rFonts w:ascii="Cambria" w:hAnsi="Cambria"/>
                <w:b w:val="0"/>
                <w:sz w:val="18"/>
              </w:rPr>
              <w:t>Student Engagement &amp; Club Policy</w:t>
            </w:r>
          </w:p>
        </w:tc>
        <w:tc>
          <w:tcPr>
            <w:tcW w:type="dxa" w:w="2494"/>
            <w:tcW w:w="2494" w:type="dxa"/>
          </w:tcPr>
          <w:p>
            <w:pPr>
              <w:jc w:val="center"/>
            </w:pPr>
            <w:r/>
            <w:r>
              <w:rPr>
                <w:rFonts w:ascii="Cambria" w:hAnsi="Cambria"/>
                <w:b w:val="0"/>
                <w:sz w:val="18"/>
              </w:rPr>
              <w:t>Organize cultural fests, competitions, leadership workshops</w:t>
            </w:r>
          </w:p>
        </w:tc>
        <w:tc>
          <w:tcPr>
            <w:tcW w:type="dxa" w:w="2494"/>
            <w:tcW w:w="2494" w:type="dxa"/>
          </w:tcPr>
          <w:p>
            <w:pPr>
              <w:jc w:val="center"/>
            </w:pPr>
            <w:r/>
            <w:r>
              <w:rPr>
                <w:rFonts w:ascii="Cambria" w:hAnsi="Cambria"/>
                <w:b w:val="0"/>
                <w:sz w:val="18"/>
              </w:rPr>
              <w:t>Event reports, participation data, certificates</w:t>
            </w:r>
          </w:p>
        </w:tc>
        <w:tc>
          <w:tcPr>
            <w:tcW w:type="dxa" w:w="2721"/>
            <w:tcW w:w="2721" w:type="dxa"/>
          </w:tcPr>
          <w:p>
            <w:pPr>
              <w:jc w:val="center"/>
            </w:pPr>
            <w:r/>
            <w:r>
              <w:rPr>
                <w:rFonts w:ascii="Cambria" w:hAnsi="Cambria"/>
                <w:b w:val="0"/>
                <w:sz w:val="18"/>
              </w:rPr>
              <w:t>Enhanced student leadership, creativity, and teamwork</w:t>
            </w:r>
          </w:p>
        </w:tc>
      </w:tr>
    </w:tbl>
    <w:p>
      <w:pPr>
        <w:keepNext/>
        <w:spacing w:before="200" w:after="120"/>
      </w:pPr>
      <w:r>
        <w:rPr>
          <w:rFonts w:ascii="Cambria" w:hAnsi="Cambria"/>
          <w:b/>
          <w:color w:val="1F3A5F"/>
          <w:sz w:val="26"/>
        </w:rPr>
        <w:t>G. Associate Dean – Women’s Welfare, Women’s Forum, Grievance &amp; Redressal</w:t>
      </w:r>
    </w:p>
    <w:tbl>
      <w:tblPr>
        <w:tblW w:type="auto" w:w="0"/>
        <w:jc w:val="center"/>
        <w:tblLayout w:type="fixed"/>
        <w:tblLook w:firstColumn="1" w:firstRow="1" w:lastColumn="0" w:lastRow="0" w:noHBand="0" w:noVBand="1" w:val="04A0"/>
        <w:tblW w:w="9639" w:type="dxa"/>
        <w:tblLayout w:type="fixed"/>
      </w:tblPr>
      <w:tblGrid>
        <w:gridCol w:w="1927"/>
        <w:gridCol w:w="2494"/>
        <w:gridCol w:w="2494"/>
        <w:gridCol w:w="2721"/>
      </w:tblGrid>
      <w:tr>
        <w:tc>
          <w:tcPr>
            <w:tcW w:type="dxa" w:w="1928"/>
            <w:tcW w:w="1927" w:type="dxa"/>
            <w:shd w:val="clear" w:color="auto" w:fill="1F3A5F"/>
          </w:tcPr>
          <w:p>
            <w:pPr>
              <w:jc w:val="center"/>
            </w:pPr>
            <w:r/>
            <w:r>
              <w:rPr>
                <w:rFonts w:ascii="Cambria" w:hAnsi="Cambria"/>
                <w:b/>
                <w:color w:val="FFFFFF"/>
                <w:sz w:val="22"/>
              </w:rPr>
              <w:t>Policy</w:t>
            </w:r>
          </w:p>
        </w:tc>
        <w:tc>
          <w:tcPr>
            <w:tcW w:type="dxa" w:w="2494"/>
            <w:tcW w:w="2494" w:type="dxa"/>
            <w:shd w:val="clear" w:color="auto" w:fill="1F3A5F"/>
          </w:tcPr>
          <w:p>
            <w:pPr>
              <w:jc w:val="center"/>
            </w:pPr>
            <w:r/>
            <w:r>
              <w:rPr>
                <w:rFonts w:ascii="Cambria" w:hAnsi="Cambria"/>
                <w:b/>
                <w:color w:val="FFFFFF"/>
                <w:sz w:val="22"/>
              </w:rPr>
              <w:t>Action</w:t>
            </w:r>
          </w:p>
        </w:tc>
        <w:tc>
          <w:tcPr>
            <w:tcW w:type="dxa" w:w="2494"/>
            <w:tcW w:w="2494" w:type="dxa"/>
            <w:shd w:val="clear" w:color="auto" w:fill="1F3A5F"/>
          </w:tcPr>
          <w:p>
            <w:pPr>
              <w:jc w:val="center"/>
            </w:pPr>
            <w:r/>
            <w:r>
              <w:rPr>
                <w:rFonts w:ascii="Cambria" w:hAnsi="Cambria"/>
                <w:b/>
                <w:color w:val="FFFFFF"/>
                <w:sz w:val="22"/>
              </w:rPr>
              <w:t>Evidence</w:t>
            </w:r>
          </w:p>
        </w:tc>
        <w:tc>
          <w:tcPr>
            <w:tcW w:type="dxa" w:w="2721"/>
            <w:tcW w:w="2721" w:type="dxa"/>
            <w:shd w:val="clear" w:color="auto" w:fill="1F3A5F"/>
          </w:tcPr>
          <w:p>
            <w:pPr>
              <w:jc w:val="center"/>
            </w:pPr>
            <w:r/>
            <w:r>
              <w:rPr>
                <w:rFonts w:ascii="Cambria" w:hAnsi="Cambria"/>
                <w:b/>
                <w:color w:val="FFFFFF"/>
                <w:sz w:val="22"/>
              </w:rPr>
              <w:t>Outcome</w:t>
            </w:r>
          </w:p>
        </w:tc>
      </w:tr>
      <w:tr>
        <w:tc>
          <w:tcPr>
            <w:tcW w:type="dxa" w:w="1928"/>
            <w:tcW w:w="1927" w:type="dxa"/>
          </w:tcPr>
          <w:p>
            <w:pPr>
              <w:jc w:val="left"/>
            </w:pPr>
            <w:r/>
            <w:r>
              <w:rPr>
                <w:rFonts w:ascii="Cambria" w:hAnsi="Cambria"/>
                <w:b w:val="0"/>
                <w:sz w:val="18"/>
              </w:rPr>
              <w:t>Gender Equity &amp; Women’s Safety Policy</w:t>
            </w:r>
          </w:p>
        </w:tc>
        <w:tc>
          <w:tcPr>
            <w:tcW w:type="dxa" w:w="2494"/>
            <w:tcW w:w="2494" w:type="dxa"/>
          </w:tcPr>
          <w:p>
            <w:pPr>
              <w:jc w:val="center"/>
            </w:pPr>
            <w:r/>
            <w:r>
              <w:rPr>
                <w:rFonts w:ascii="Cambria" w:hAnsi="Cambria"/>
                <w:b w:val="0"/>
                <w:sz w:val="18"/>
              </w:rPr>
              <w:t>Conduct gender sensitization, leadership training, ICC reviews</w:t>
            </w:r>
          </w:p>
        </w:tc>
        <w:tc>
          <w:tcPr>
            <w:tcW w:type="dxa" w:w="2494"/>
            <w:tcW w:w="2494" w:type="dxa"/>
          </w:tcPr>
          <w:p>
            <w:pPr>
              <w:jc w:val="center"/>
            </w:pPr>
            <w:r/>
            <w:r>
              <w:rPr>
                <w:rFonts w:ascii="Cambria" w:hAnsi="Cambria"/>
                <w:b w:val="0"/>
                <w:sz w:val="18"/>
              </w:rPr>
              <w:t>ICC reports, awareness session records, minutes</w:t>
            </w:r>
          </w:p>
        </w:tc>
        <w:tc>
          <w:tcPr>
            <w:tcW w:type="dxa" w:w="2721"/>
            <w:tcW w:w="2721" w:type="dxa"/>
          </w:tcPr>
          <w:p>
            <w:pPr>
              <w:jc w:val="center"/>
            </w:pPr>
            <w:r/>
            <w:r>
              <w:rPr>
                <w:rFonts w:ascii="Cambria" w:hAnsi="Cambria"/>
                <w:b w:val="0"/>
                <w:sz w:val="18"/>
              </w:rPr>
              <w:t>Increased safety, empowerment, and gender parity index</w:t>
            </w:r>
          </w:p>
        </w:tc>
      </w:tr>
    </w:tbl>
    <w:p>
      <w:pPr>
        <w:keepNext/>
        <w:spacing w:before="200" w:after="120"/>
      </w:pPr>
      <w:r>
        <w:rPr>
          <w:rFonts w:ascii="Cambria" w:hAnsi="Cambria"/>
          <w:b/>
          <w:color w:val="1F3A5F"/>
          <w:sz w:val="26"/>
        </w:rPr>
        <w:t>5. Documentation and Review Protocol</w:t>
      </w:r>
    </w:p>
    <w:p>
      <w:pPr>
        <w:pStyle w:val="ListBullet"/>
        <w:jc w:val="both"/>
      </w:pPr>
      <w:r>
        <w:rPr>
          <w:rFonts w:ascii="Cambria" w:hAnsi="Cambria"/>
          <w:sz w:val="22"/>
        </w:rPr>
        <w:t>Maintained by: Each Associate Dean’s Office.</w:t>
      </w:r>
    </w:p>
    <w:p>
      <w:pPr>
        <w:pStyle w:val="ListBullet"/>
        <w:jc w:val="both"/>
      </w:pPr>
      <w:r>
        <w:rPr>
          <w:rFonts w:ascii="Cambria" w:hAnsi="Cambria"/>
          <w:sz w:val="22"/>
        </w:rPr>
        <w:t>Reviewed by: Dean – Student Affairs (DoSA) and Internal Quality Assurance Cell (IQAC).</w:t>
      </w:r>
    </w:p>
    <w:p>
      <w:pPr>
        <w:pStyle w:val="ListBullet"/>
        <w:jc w:val="both"/>
      </w:pPr>
      <w:r>
        <w:rPr>
          <w:rFonts w:ascii="Cambria" w:hAnsi="Cambria"/>
          <w:sz w:val="22"/>
        </w:rPr>
        <w:t>Audit Cycle:</w:t>
      </w:r>
    </w:p>
    <w:p>
      <w:pPr>
        <w:pStyle w:val="ListBullet2"/>
        <w:jc w:val="both"/>
      </w:pPr>
      <w:r>
        <w:rPr>
          <w:rFonts w:ascii="Cambria" w:hAnsi="Cambria"/>
          <w:sz w:val="22"/>
        </w:rPr>
        <w:t>Monthly: Internal performance review.</w:t>
      </w:r>
    </w:p>
    <w:p>
      <w:pPr>
        <w:pStyle w:val="ListBullet2"/>
        <w:jc w:val="both"/>
      </w:pPr>
      <w:r>
        <w:rPr>
          <w:rFonts w:ascii="Cambria" w:hAnsi="Cambria"/>
          <w:sz w:val="22"/>
        </w:rPr>
        <w:t>Quarterly: Submission to IQAC for documentation verification.</w:t>
      </w:r>
    </w:p>
    <w:p>
      <w:pPr>
        <w:pStyle w:val="ListBullet2"/>
        <w:jc w:val="both"/>
      </w:pPr>
      <w:r>
        <w:rPr>
          <w:rFonts w:ascii="Cambria" w:hAnsi="Cambria"/>
          <w:sz w:val="22"/>
        </w:rPr>
        <w:t>Annually: Consolidation for NAAC/NBA/QS I-GAUGE reporting.</w:t>
      </w:r>
    </w:p>
    <w:p>
      <w:pPr>
        <w:spacing w:after="120"/>
        <w:ind w:left="720"/>
      </w:pPr>
      <w:r>
        <w:rPr>
          <w:rFonts w:ascii="Cambria" w:hAnsi="Cambria"/>
          <w:b w:val="0"/>
          <w:i w:val="0"/>
          <w:sz w:val="22"/>
        </w:rPr>
        <w:t xml:space="preserve">Format: Digital and physical binders with tabbed sections: </w:t>
      </w:r>
      <w:r>
        <w:rPr>
          <w:rFonts w:ascii="Cambria" w:hAnsi="Cambria"/>
          <w:b w:val="0"/>
          <w:i/>
          <w:sz w:val="22"/>
        </w:rPr>
        <w:t>Policy → Action → Evidence → Outcome</w:t>
      </w:r>
      <w:r>
        <w:rPr>
          <w:rFonts w:ascii="Cambria" w:hAnsi="Cambria"/>
          <w:b w:val="0"/>
          <w:i w:val="0"/>
          <w:sz w:val="22"/>
        </w:rPr>
        <w:t>.</w:t>
      </w:r>
    </w:p>
    <w:p>
      <w:pPr>
        <w:spacing w:after="120"/>
        <w:ind w:left="720"/>
      </w:pPr>
      <w:r>
        <w:rPr>
          <w:rFonts w:ascii="Cambria" w:hAnsi="Cambria"/>
          <w:b w:val="0"/>
          <w:i w:val="0"/>
          <w:sz w:val="22"/>
        </w:rPr>
        <w:t xml:space="preserve">Integration: Data feeds into </w:t>
      </w:r>
      <w:r>
        <w:rPr>
          <w:rFonts w:ascii="Cambria" w:hAnsi="Cambria"/>
          <w:b w:val="0"/>
          <w:i/>
          <w:sz w:val="22"/>
        </w:rPr>
        <w:t>AQAR, SSR, NBA SAR, and QS I-GAUGE self-assessment reports</w:t>
      </w:r>
      <w:r>
        <w:rPr>
          <w:rFonts w:ascii="Cambria" w:hAnsi="Cambria"/>
          <w:b w:val="0"/>
          <w:i w:val="0"/>
          <w:sz w:val="22"/>
        </w:rPr>
        <w:t>.</w:t>
      </w:r>
    </w:p>
    <w:p>
      <w:pPr>
        <w:keepNext/>
        <w:spacing w:before="200" w:after="120"/>
      </w:pPr>
      <w:r>
        <w:rPr>
          <w:rFonts w:ascii="Cambria" w:hAnsi="Cambria"/>
          <w:b/>
          <w:color w:val="1F3A5F"/>
          <w:sz w:val="26"/>
        </w:rPr>
        <w:t>6. Benefits of PAEO Framework</w:t>
      </w:r>
    </w:p>
    <w:p>
      <w:pPr>
        <w:pStyle w:val="ListBullet"/>
        <w:jc w:val="both"/>
      </w:pPr>
      <w:r>
        <w:rPr>
          <w:rFonts w:ascii="Cambria" w:hAnsi="Cambria"/>
          <w:sz w:val="22"/>
        </w:rPr>
        <w:t>Ensures transparency, accountability, and evidence traceability.</w:t>
      </w:r>
    </w:p>
    <w:p>
      <w:pPr>
        <w:pStyle w:val="ListBullet"/>
        <w:jc w:val="both"/>
      </w:pPr>
      <w:r>
        <w:rPr>
          <w:rFonts w:ascii="Cambria" w:hAnsi="Cambria"/>
          <w:sz w:val="22"/>
        </w:rPr>
        <w:t>Enables cross-portfolio consistency in documentation.</w:t>
      </w:r>
    </w:p>
    <w:p>
      <w:pPr>
        <w:pStyle w:val="ListBullet"/>
        <w:jc w:val="both"/>
      </w:pPr>
      <w:r>
        <w:rPr>
          <w:rFonts w:ascii="Cambria" w:hAnsi="Cambria"/>
          <w:sz w:val="22"/>
        </w:rPr>
        <w:t>Strengthens IQAC’s role in monitoring student-centric outcomes.</w:t>
      </w:r>
    </w:p>
    <w:p>
      <w:pPr>
        <w:pStyle w:val="ListBullet"/>
        <w:jc w:val="both"/>
      </w:pPr>
      <w:r>
        <w:rPr>
          <w:rFonts w:ascii="Cambria" w:hAnsi="Cambria"/>
          <w:sz w:val="22"/>
        </w:rPr>
        <w:t>Directly contributes to continuous improvement and accreditation success.</w:t>
      </w:r>
    </w:p>
    <w:p>
      <w:pPr>
        <w:pStyle w:val="ListBullet"/>
        <w:jc w:val="both"/>
      </w:pPr>
      <w:r>
        <w:rPr>
          <w:rFonts w:ascii="Cambria" w:hAnsi="Cambria"/>
          <w:sz w:val="22"/>
        </w:rPr>
        <w:t>Reflects institutional adherence to Outcome-Based Education (OBE) principles and NEP-2020 student development objectives.</w:t>
      </w:r>
    </w:p>
    <w:p>
      <w:pPr>
        <w:keepNext/>
        <w:spacing w:before="200" w:after="120"/>
      </w:pPr>
      <w:r>
        <w:rPr>
          <w:rFonts w:ascii="Cambria" w:hAnsi="Cambria"/>
          <w:b/>
          <w:color w:val="1F3A5F"/>
          <w:sz w:val="30"/>
        </w:rPr>
        <w:t>Policy → Action → Evidence → Outcome – Detailed Phases</w:t>
      </w:r>
    </w:p>
    <w:p>
      <w:pPr>
        <w:keepNext/>
        <w:spacing w:before="200" w:after="120"/>
      </w:pPr>
      <w:r>
        <w:rPr>
          <w:rFonts w:ascii="Cambria" w:hAnsi="Cambria"/>
          <w:b/>
          <w:color w:val="1F3A5F"/>
          <w:sz w:val="26"/>
        </w:rPr>
        <w:t>1. Policy Phase</w:t>
      </w:r>
    </w:p>
    <w:p>
      <w:pPr>
        <w:pStyle w:val="ListBullet"/>
        <w:jc w:val="both"/>
      </w:pPr>
      <w:r>
        <w:rPr>
          <w:rFonts w:ascii="Cambria" w:hAnsi="Cambria"/>
          <w:sz w:val="22"/>
        </w:rPr>
        <w:t>Policy: Approved and published by the Dean – Student Affairs (DoSA) and the Governing Council after review and recommendation by relevant committees (IQAC, Student Welfare Committee, or Institutional Policy Board).</w:t>
      </w:r>
    </w:p>
    <w:p>
      <w:pPr>
        <w:pStyle w:val="ListBullet"/>
        <w:jc w:val="both"/>
      </w:pPr>
      <w:r>
        <w:rPr>
          <w:rFonts w:ascii="Cambria" w:hAnsi="Cambria"/>
          <w:sz w:val="22"/>
        </w:rPr>
        <w:t>Policies define the guiding principles, scope, objectives, and regulatory alignment for each portfolio under Student Affairs.</w:t>
      </w:r>
    </w:p>
    <w:p>
      <w:pPr>
        <w:pStyle w:val="ListBullet"/>
        <w:jc w:val="both"/>
      </w:pPr>
      <w:r>
        <w:rPr>
          <w:rFonts w:ascii="Cambria" w:hAnsi="Cambria"/>
          <w:sz w:val="22"/>
        </w:rPr>
        <w:t>Every policy must be:</w:t>
      </w:r>
    </w:p>
    <w:p>
      <w:pPr>
        <w:pStyle w:val="ListBullet2"/>
        <w:jc w:val="both"/>
      </w:pPr>
      <w:r>
        <w:rPr>
          <w:rFonts w:ascii="Cambria" w:hAnsi="Cambria"/>
          <w:sz w:val="22"/>
        </w:rPr>
        <w:t>Compliant with UGC, AICTE, NEP-2020, and institutional governance norms.</w:t>
      </w:r>
    </w:p>
    <w:p>
      <w:pPr>
        <w:pStyle w:val="ListBullet2"/>
        <w:jc w:val="both"/>
      </w:pPr>
      <w:r>
        <w:rPr>
          <w:rFonts w:ascii="Cambria" w:hAnsi="Cambria"/>
          <w:sz w:val="22"/>
        </w:rPr>
        <w:t>Aligned with accreditation frameworks (NAAC, NBA, QS I-GAUGE).</w:t>
      </w:r>
    </w:p>
    <w:p>
      <w:pPr>
        <w:pStyle w:val="ListBullet2"/>
        <w:jc w:val="both"/>
      </w:pPr>
      <w:r>
        <w:rPr>
          <w:rFonts w:ascii="Cambria" w:hAnsi="Cambria"/>
          <w:sz w:val="22"/>
        </w:rPr>
        <w:t>Reviewed periodically (at least once every two years) for relevance and effectiveness.</w:t>
      </w:r>
    </w:p>
    <w:p>
      <w:pPr>
        <w:pStyle w:val="ListBullet2"/>
        <w:jc w:val="both"/>
      </w:pPr>
      <w:r>
        <w:rPr>
          <w:rFonts w:ascii="Cambria" w:hAnsi="Cambria"/>
          <w:sz w:val="22"/>
        </w:rPr>
        <w:t>Disseminated through the institutional website, student handbook, and circulars for transparency.</w:t>
      </w:r>
    </w:p>
    <w:p>
      <w:pPr>
        <w:pStyle w:val="ListBullet"/>
        <w:jc w:val="both"/>
      </w:pPr>
      <w:r>
        <w:rPr>
          <w:rFonts w:ascii="Cambria" w:hAnsi="Cambria"/>
          <w:sz w:val="22"/>
        </w:rPr>
        <w:t>Examples of core policies under the DoSA framework include:</w:t>
      </w:r>
    </w:p>
    <w:p>
      <w:pPr>
        <w:pStyle w:val="ListBullet2"/>
        <w:jc w:val="both"/>
      </w:pPr>
      <w:r>
        <w:rPr>
          <w:rFonts w:ascii="Cambria" w:hAnsi="Cambria"/>
          <w:i/>
          <w:sz w:val="22"/>
        </w:rPr>
        <w:t>Student Welfare and Counselling Policy</w:t>
      </w:r>
    </w:p>
    <w:p>
      <w:pPr>
        <w:pStyle w:val="ListBullet2"/>
        <w:jc w:val="both"/>
      </w:pPr>
      <w:r>
        <w:rPr>
          <w:rFonts w:ascii="Cambria" w:hAnsi="Cambria"/>
          <w:i/>
          <w:sz w:val="22"/>
        </w:rPr>
        <w:t>Sports and Physical Education Policy</w:t>
      </w:r>
    </w:p>
    <w:p>
      <w:pPr>
        <w:pStyle w:val="ListBullet2"/>
        <w:jc w:val="both"/>
      </w:pPr>
      <w:r>
        <w:rPr>
          <w:rFonts w:ascii="Cambria" w:hAnsi="Cambria"/>
          <w:i/>
          <w:sz w:val="22"/>
        </w:rPr>
        <w:t>Hostel and Canteen Management Policy</w:t>
      </w:r>
    </w:p>
    <w:p>
      <w:pPr>
        <w:pStyle w:val="ListBullet2"/>
        <w:jc w:val="both"/>
      </w:pPr>
      <w:r>
        <w:rPr>
          <w:rFonts w:ascii="Cambria" w:hAnsi="Cambria"/>
          <w:i/>
          <w:sz w:val="22"/>
        </w:rPr>
        <w:t>Transport and Safety Policy</w:t>
      </w:r>
    </w:p>
    <w:p>
      <w:pPr>
        <w:pStyle w:val="ListBullet2"/>
        <w:jc w:val="both"/>
      </w:pPr>
      <w:r>
        <w:rPr>
          <w:rFonts w:ascii="Cambria" w:hAnsi="Cambria"/>
          <w:i/>
          <w:sz w:val="22"/>
        </w:rPr>
        <w:t>Code of Conduct and Student Discipline Policy</w:t>
      </w:r>
    </w:p>
    <w:p>
      <w:pPr>
        <w:pStyle w:val="ListBullet2"/>
        <w:jc w:val="both"/>
      </w:pPr>
      <w:r>
        <w:rPr>
          <w:rFonts w:ascii="Cambria" w:hAnsi="Cambria"/>
          <w:i/>
          <w:sz w:val="22"/>
        </w:rPr>
        <w:t>Women’s Welfare and Gender Equity Policy</w:t>
      </w:r>
    </w:p>
    <w:p>
      <w:pPr>
        <w:pStyle w:val="ListBullet2"/>
        <w:jc w:val="both"/>
      </w:pPr>
      <w:r>
        <w:rPr>
          <w:rFonts w:ascii="Cambria" w:hAnsi="Cambria"/>
          <w:i/>
          <w:sz w:val="22"/>
        </w:rPr>
        <w:t>Student Association and Club Governance Policy</w:t>
      </w:r>
    </w:p>
    <w:p>
      <w:pPr>
        <w:keepNext/>
        <w:spacing w:before="200" w:after="120"/>
      </w:pPr>
      <w:r>
        <w:rPr>
          <w:rFonts w:ascii="Cambria" w:hAnsi="Cambria"/>
          <w:b/>
          <w:color w:val="1F3A5F"/>
          <w:sz w:val="26"/>
        </w:rPr>
        <w:t>2. Action Phase</w:t>
      </w:r>
    </w:p>
    <w:p>
      <w:pPr>
        <w:pStyle w:val="ListBullet"/>
        <w:jc w:val="both"/>
      </w:pPr>
      <w:r>
        <w:rPr>
          <w:rFonts w:ascii="Cambria" w:hAnsi="Cambria"/>
          <w:sz w:val="22"/>
        </w:rPr>
        <w:t>Action: Implementation of approved policies through specific programs, committees, and initiatives.</w:t>
      </w:r>
    </w:p>
    <w:p>
      <w:pPr>
        <w:pStyle w:val="ListBullet"/>
        <w:jc w:val="both"/>
      </w:pPr>
      <w:r>
        <w:rPr>
          <w:rFonts w:ascii="Cambria" w:hAnsi="Cambria"/>
          <w:sz w:val="22"/>
        </w:rPr>
        <w:t>Actions must be planned, time-bound, inclusive, and measurable.</w:t>
      </w:r>
    </w:p>
    <w:p>
      <w:pPr>
        <w:pStyle w:val="ListBullet"/>
        <w:jc w:val="both"/>
      </w:pPr>
      <w:r>
        <w:rPr>
          <w:rFonts w:ascii="Cambria" w:hAnsi="Cambria"/>
          <w:sz w:val="22"/>
        </w:rPr>
        <w:t>Each Associate Dean coordinates activities, assigns responsibilities, and monitors execution.</w:t>
      </w:r>
    </w:p>
    <w:p>
      <w:pPr>
        <w:pStyle w:val="ListBullet"/>
        <w:jc w:val="both"/>
      </w:pPr>
      <w:r>
        <w:rPr>
          <w:rFonts w:ascii="Cambria" w:hAnsi="Cambria"/>
          <w:sz w:val="22"/>
        </w:rPr>
        <w:t>Actions are typically carried out via:</w:t>
      </w:r>
    </w:p>
    <w:p>
      <w:pPr>
        <w:pStyle w:val="ListBullet2"/>
        <w:jc w:val="both"/>
      </w:pPr>
      <w:r>
        <w:rPr>
          <w:rFonts w:ascii="Cambria" w:hAnsi="Cambria"/>
          <w:sz w:val="22"/>
        </w:rPr>
        <w:t>Orientation sessions, workshops, and awareness programs.</w:t>
      </w:r>
    </w:p>
    <w:p>
      <w:pPr>
        <w:pStyle w:val="ListBullet2"/>
        <w:jc w:val="both"/>
      </w:pPr>
      <w:r>
        <w:rPr>
          <w:rFonts w:ascii="Cambria" w:hAnsi="Cambria"/>
          <w:sz w:val="22"/>
        </w:rPr>
        <w:t>Committee meetings, audits, inspections, or surveys.</w:t>
      </w:r>
    </w:p>
    <w:p>
      <w:pPr>
        <w:pStyle w:val="ListBullet2"/>
        <w:jc w:val="both"/>
      </w:pPr>
      <w:r>
        <w:rPr>
          <w:rFonts w:ascii="Cambria" w:hAnsi="Cambria"/>
          <w:sz w:val="22"/>
        </w:rPr>
        <w:t>Annual sports, cultural, and leadership events.</w:t>
      </w:r>
    </w:p>
    <w:p>
      <w:pPr>
        <w:pStyle w:val="ListBullet2"/>
        <w:jc w:val="both"/>
      </w:pPr>
      <w:r>
        <w:rPr>
          <w:rFonts w:ascii="Cambria" w:hAnsi="Cambria"/>
          <w:sz w:val="22"/>
        </w:rPr>
        <w:t>Counselling and grievance sessions.</w:t>
      </w:r>
    </w:p>
    <w:p>
      <w:pPr>
        <w:pStyle w:val="ListBullet2"/>
        <w:jc w:val="both"/>
      </w:pPr>
      <w:r>
        <w:rPr>
          <w:rFonts w:ascii="Cambria" w:hAnsi="Cambria"/>
          <w:sz w:val="22"/>
        </w:rPr>
        <w:t>Periodic safety and wellness drives.</w:t>
      </w:r>
    </w:p>
    <w:p>
      <w:pPr>
        <w:pStyle w:val="ListBullet"/>
        <w:jc w:val="both"/>
      </w:pPr>
      <w:r>
        <w:rPr>
          <w:rFonts w:ascii="Cambria" w:hAnsi="Cambria"/>
          <w:sz w:val="22"/>
        </w:rPr>
        <w:t>All actions should include pre-event planning documentation, execution evidence, and post-activity reports.</w:t>
      </w:r>
    </w:p>
    <w:p>
      <w:pPr>
        <w:keepNext/>
        <w:spacing w:before="200" w:after="120"/>
      </w:pPr>
      <w:r>
        <w:rPr>
          <w:rFonts w:ascii="Cambria" w:hAnsi="Cambria"/>
          <w:b/>
          <w:color w:val="1F3A5F"/>
          <w:sz w:val="26"/>
        </w:rPr>
        <w:t>3. Evidence Phase</w:t>
      </w:r>
    </w:p>
    <w:p>
      <w:pPr>
        <w:pStyle w:val="ListBullet"/>
        <w:jc w:val="both"/>
      </w:pPr>
      <w:r>
        <w:rPr>
          <w:rFonts w:ascii="Cambria" w:hAnsi="Cambria"/>
          <w:sz w:val="22"/>
        </w:rPr>
        <w:t>Evidence: Documentation that substantiates that actions were implemented according to policy.</w:t>
      </w:r>
    </w:p>
    <w:p>
      <w:pPr>
        <w:pStyle w:val="ListBullet"/>
        <w:jc w:val="both"/>
      </w:pPr>
      <w:r>
        <w:rPr>
          <w:rFonts w:ascii="Cambria" w:hAnsi="Cambria"/>
          <w:sz w:val="22"/>
        </w:rPr>
        <w:t>Evidence ensures transparency, audit readiness, and accreditation compliance.</w:t>
      </w:r>
    </w:p>
    <w:p>
      <w:pPr>
        <w:pStyle w:val="ListBullet"/>
        <w:jc w:val="both"/>
      </w:pPr>
      <w:r>
        <w:rPr>
          <w:rFonts w:ascii="Cambria" w:hAnsi="Cambria"/>
          <w:sz w:val="22"/>
        </w:rPr>
        <w:t>It must be properly indexed, dated, and verified by the respective Associate Dean.</w:t>
      </w:r>
    </w:p>
    <w:p>
      <w:pPr>
        <w:pStyle w:val="ListBullet"/>
        <w:jc w:val="both"/>
      </w:pPr>
      <w:r>
        <w:rPr>
          <w:rFonts w:ascii="Cambria" w:hAnsi="Cambria"/>
          <w:sz w:val="22"/>
        </w:rPr>
        <w:t>Evidence may include:</w:t>
      </w:r>
    </w:p>
    <w:p>
      <w:pPr>
        <w:pStyle w:val="ListBullet2"/>
        <w:jc w:val="both"/>
      </w:pPr>
      <w:r>
        <w:rPr>
          <w:rFonts w:ascii="Cambria" w:hAnsi="Cambria"/>
          <w:sz w:val="22"/>
        </w:rPr>
        <w:t>Meeting minutes, circulars, and policy notifications.</w:t>
      </w:r>
    </w:p>
    <w:p>
      <w:pPr>
        <w:pStyle w:val="ListBullet2"/>
        <w:jc w:val="both"/>
      </w:pPr>
      <w:r>
        <w:rPr>
          <w:rFonts w:ascii="Cambria" w:hAnsi="Cambria"/>
          <w:sz w:val="22"/>
        </w:rPr>
        <w:t>Attendance sheets, photographs, and signed reports.</w:t>
      </w:r>
    </w:p>
    <w:p>
      <w:pPr>
        <w:pStyle w:val="ListBullet2"/>
        <w:jc w:val="both"/>
      </w:pPr>
      <w:r>
        <w:rPr>
          <w:rFonts w:ascii="Cambria" w:hAnsi="Cambria"/>
          <w:sz w:val="22"/>
        </w:rPr>
        <w:t>Feedback forms and evaluation summaries.</w:t>
      </w:r>
    </w:p>
    <w:p>
      <w:pPr>
        <w:pStyle w:val="ListBullet2"/>
        <w:jc w:val="both"/>
      </w:pPr>
      <w:r>
        <w:rPr>
          <w:rFonts w:ascii="Cambria" w:hAnsi="Cambria"/>
          <w:sz w:val="22"/>
        </w:rPr>
        <w:t>Financial utilization records and vendor contracts (if applicable).</w:t>
      </w:r>
    </w:p>
    <w:p>
      <w:pPr>
        <w:pStyle w:val="ListBullet2"/>
        <w:jc w:val="both"/>
      </w:pPr>
      <w:r>
        <w:rPr>
          <w:rFonts w:ascii="Cambria" w:hAnsi="Cambria"/>
          <w:sz w:val="22"/>
        </w:rPr>
        <w:t>Registers (grievance, counselling, hostel, sports, etc.).</w:t>
      </w:r>
    </w:p>
    <w:p>
      <w:pPr>
        <w:pStyle w:val="ListBullet"/>
        <w:jc w:val="both"/>
      </w:pPr>
      <w:r>
        <w:rPr>
          <w:rFonts w:ascii="Cambria" w:hAnsi="Cambria"/>
          <w:sz w:val="22"/>
        </w:rPr>
        <w:t>Evidence is reviewed quarterly by the DoSA and uploaded to the IQAC documentation repository.</w:t>
      </w:r>
    </w:p>
    <w:p>
      <w:pPr>
        <w:keepNext/>
        <w:spacing w:before="200" w:after="120"/>
      </w:pPr>
      <w:r>
        <w:rPr>
          <w:rFonts w:ascii="Cambria" w:hAnsi="Cambria"/>
          <w:b/>
          <w:color w:val="1F3A5F"/>
          <w:sz w:val="26"/>
        </w:rPr>
        <w:t>4. Outcome Phase</w:t>
      </w:r>
    </w:p>
    <w:p>
      <w:pPr>
        <w:pStyle w:val="ListBullet"/>
        <w:jc w:val="both"/>
      </w:pPr>
      <w:r>
        <w:rPr>
          <w:rFonts w:ascii="Cambria" w:hAnsi="Cambria"/>
          <w:sz w:val="22"/>
        </w:rPr>
        <w:t>Outcome: Measurable and qualitative results emerging from the implementation of policies and actions.</w:t>
      </w:r>
    </w:p>
    <w:p>
      <w:pPr>
        <w:pStyle w:val="ListBullet"/>
        <w:jc w:val="both"/>
      </w:pPr>
      <w:r>
        <w:rPr>
          <w:rFonts w:ascii="Cambria" w:hAnsi="Cambria"/>
          <w:sz w:val="22"/>
        </w:rPr>
        <w:t>Outcomes demonstrate impact, improvement, and accountability, forming the basis for institutional assessment and continuous enhancement.</w:t>
      </w:r>
    </w:p>
    <w:p>
      <w:pPr>
        <w:pStyle w:val="ListBullet"/>
        <w:jc w:val="both"/>
      </w:pPr>
      <w:r>
        <w:rPr>
          <w:rFonts w:ascii="Cambria" w:hAnsi="Cambria"/>
          <w:sz w:val="22"/>
        </w:rPr>
        <w:t>Outcomes should be aligned with both student-centric goals and institutional KPIs.</w:t>
      </w:r>
    </w:p>
    <w:p>
      <w:pPr>
        <w:pStyle w:val="ListBullet"/>
        <w:jc w:val="both"/>
      </w:pPr>
      <w:r>
        <w:rPr>
          <w:rFonts w:ascii="Cambria" w:hAnsi="Cambria"/>
          <w:sz w:val="22"/>
        </w:rPr>
        <w:t>Examples of measurable outcomes include:</w:t>
      </w:r>
    </w:p>
    <w:p>
      <w:pPr>
        <w:pStyle w:val="ListBullet2"/>
        <w:jc w:val="both"/>
      </w:pPr>
      <w:r>
        <w:rPr>
          <w:rFonts w:ascii="Cambria" w:hAnsi="Cambria"/>
          <w:sz w:val="22"/>
        </w:rPr>
        <w:t>Improvement in student satisfaction and retention rates.</w:t>
      </w:r>
    </w:p>
    <w:p>
      <w:pPr>
        <w:pStyle w:val="ListBullet2"/>
        <w:jc w:val="both"/>
      </w:pPr>
      <w:r>
        <w:rPr>
          <w:rFonts w:ascii="Cambria" w:hAnsi="Cambria"/>
          <w:sz w:val="22"/>
        </w:rPr>
        <w:t>Reduction in grievances and disciplinary cases.</w:t>
      </w:r>
    </w:p>
    <w:p>
      <w:pPr>
        <w:pStyle w:val="ListBullet2"/>
        <w:jc w:val="both"/>
      </w:pPr>
      <w:r>
        <w:rPr>
          <w:rFonts w:ascii="Cambria" w:hAnsi="Cambria"/>
          <w:sz w:val="22"/>
        </w:rPr>
        <w:t>Increase in women’s participation and leadership positions.</w:t>
      </w:r>
    </w:p>
    <w:p>
      <w:pPr>
        <w:pStyle w:val="ListBullet2"/>
        <w:jc w:val="both"/>
      </w:pPr>
      <w:r>
        <w:rPr>
          <w:rFonts w:ascii="Cambria" w:hAnsi="Cambria"/>
          <w:sz w:val="22"/>
        </w:rPr>
        <w:t>Better hostel living standards and food safety compliance.</w:t>
      </w:r>
    </w:p>
    <w:p>
      <w:pPr>
        <w:pStyle w:val="ListBullet2"/>
        <w:jc w:val="both"/>
      </w:pPr>
      <w:r>
        <w:rPr>
          <w:rFonts w:ascii="Cambria" w:hAnsi="Cambria"/>
          <w:sz w:val="22"/>
        </w:rPr>
        <w:t>Enhanced student performance in sports and extracurricular events.</w:t>
      </w:r>
    </w:p>
    <w:p>
      <w:pPr>
        <w:pStyle w:val="ListBullet2"/>
        <w:jc w:val="both"/>
      </w:pPr>
      <w:r>
        <w:rPr>
          <w:rFonts w:ascii="Cambria" w:hAnsi="Cambria"/>
          <w:sz w:val="22"/>
        </w:rPr>
        <w:t>Positive feedback in NAAC/NBA/QS I-GAUGE audits and surveys.</w:t>
      </w:r>
    </w:p>
    <w:p>
      <w:pPr>
        <w:keepNext/>
        <w:spacing w:before="200" w:after="120"/>
      </w:pPr>
      <w:r>
        <w:rPr>
          <w:rFonts w:ascii="Cambria" w:hAnsi="Cambria"/>
          <w:b/>
          <w:color w:val="1F3A5F"/>
          <w:sz w:val="26"/>
        </w:rPr>
        <w:t>5. Review and Reporting</w:t>
      </w:r>
    </w:p>
    <w:p>
      <w:pPr>
        <w:pStyle w:val="ListBullet"/>
        <w:jc w:val="both"/>
      </w:pPr>
      <w:r>
        <w:rPr>
          <w:rFonts w:ascii="Cambria" w:hAnsi="Cambria"/>
          <w:sz w:val="22"/>
        </w:rPr>
        <w:t>Each portfolio must submit a PAEO Summary Report every quarter to the Dean – Student Affairs.</w:t>
      </w:r>
    </w:p>
    <w:p>
      <w:pPr>
        <w:pStyle w:val="ListBullet"/>
        <w:jc w:val="both"/>
      </w:pPr>
      <w:r>
        <w:rPr>
          <w:rFonts w:ascii="Cambria" w:hAnsi="Cambria"/>
          <w:sz w:val="22"/>
        </w:rPr>
        <w:t>The DoSA consolidates these reports and forwards them to the IQAC for inclusion in:</w:t>
      </w:r>
    </w:p>
    <w:p>
      <w:pPr>
        <w:pStyle w:val="ListBullet2"/>
        <w:jc w:val="both"/>
      </w:pPr>
      <w:r>
        <w:rPr>
          <w:rFonts w:ascii="Cambria" w:hAnsi="Cambria"/>
          <w:i/>
          <w:sz w:val="22"/>
        </w:rPr>
        <w:t>Annual Quality Assurance Report (AQAR)</w:t>
      </w:r>
    </w:p>
    <w:p>
      <w:pPr>
        <w:pStyle w:val="ListBullet2"/>
        <w:jc w:val="both"/>
      </w:pPr>
      <w:r>
        <w:rPr>
          <w:rFonts w:ascii="Cambria" w:hAnsi="Cambria"/>
          <w:i/>
          <w:sz w:val="22"/>
        </w:rPr>
        <w:t>NAAC Self-Study Report (SSR)</w:t>
      </w:r>
    </w:p>
    <w:p>
      <w:pPr>
        <w:pStyle w:val="ListBullet2"/>
        <w:jc w:val="both"/>
      </w:pPr>
      <w:r>
        <w:rPr>
          <w:rFonts w:ascii="Cambria" w:hAnsi="Cambria"/>
          <w:i/>
          <w:sz w:val="22"/>
        </w:rPr>
        <w:t>NBA Self-Assessment Report (SAR)</w:t>
      </w:r>
    </w:p>
    <w:p>
      <w:pPr>
        <w:pStyle w:val="ListBullet2"/>
        <w:jc w:val="both"/>
      </w:pPr>
      <w:r>
        <w:rPr>
          <w:rFonts w:ascii="Cambria" w:hAnsi="Cambria"/>
          <w:i/>
          <w:sz w:val="22"/>
        </w:rPr>
        <w:t>QS I-GAUGE Evaluation Framework</w:t>
      </w:r>
    </w:p>
    <w:p>
      <w:pPr>
        <w:pStyle w:val="ListBullet"/>
        <w:jc w:val="both"/>
      </w:pPr>
      <w:r>
        <w:rPr>
          <w:rFonts w:ascii="Cambria" w:hAnsi="Cambria"/>
          <w:sz w:val="22"/>
        </w:rPr>
        <w:t>Annual review meetings are conducted to evaluate progress, identify gaps, and update policies for the next academic cycle.</w:t>
      </w:r>
    </w:p>
    <w:p>
      <w:r>
        <w:br w:type="page"/>
      </w:r>
    </w:p>
    <w:p>
      <w:pPr>
        <w:keepNext/>
        <w:spacing w:before="280" w:after="160"/>
      </w:pPr>
      <w:r>
        <w:rPr>
          <w:rFonts w:ascii="Cambria" w:hAnsi="Cambria"/>
          <w:b/>
          <w:color w:val="1F3A5F"/>
          <w:sz w:val="36"/>
        </w:rPr>
        <w:t>3. Associate Dean – Students’ Welfare, Student Counselling, Grievance and Redressal</w:t>
      </w:r>
    </w:p>
    <w:p>
      <w:pPr>
        <w:jc w:val="both"/>
      </w:pPr>
      <w:r>
        <w:rPr>
          <w:rFonts w:ascii="Cambria" w:hAnsi="Cambria"/>
          <w:b w:val="0"/>
          <w:i w:val="0"/>
          <w:sz w:val="22"/>
        </w:rPr>
        <w:t>The Associate Dean for Students’ Welfare, Student Counselling, and Grievance and Redressal plays a vital leadership role in ensuring the overall well-being of the student community. This position oversees multiple departments and initiatives that collectively focus on student welfare, psychological support, mentoring, and conflict resolution. The primary objective of the role is to cultivate a safe, inclusive, and supportive campus environment where every student feels valued, respected, and heard. By integrating welfare programs, professional counselling services, and grievance redressal mechanisms under a unified framework, the Associate Dean ensures that the institution not only meets regulatory expectations but also promotes a culture of empathy and fairness.</w:t>
      </w:r>
    </w:p>
    <w:p>
      <w:pPr>
        <w:jc w:val="both"/>
      </w:pPr>
      <w:r>
        <w:rPr>
          <w:rFonts w:ascii="Cambria" w:hAnsi="Cambria"/>
          <w:b w:val="0"/>
          <w:i w:val="0"/>
          <w:sz w:val="22"/>
        </w:rPr>
        <w:t>In this capacity, the Associate Dean supervises a range of activities including the management of student welfare schemes, facilitation of scholarships and health programs, organization of awareness campaigns on mental health and ethical conduct, and oversight of critical committees such as the Grievance Redressal Cell, Anti-Ragging Committee, and Internal Complaints Committee (ICC). The role demands continuous engagement with students to identify challenges and implement proactive solutions that strengthen academic, emotional, and social support systems.</w:t>
      </w:r>
    </w:p>
    <w:p>
      <w:pPr>
        <w:jc w:val="both"/>
      </w:pPr>
      <w:r>
        <w:rPr>
          <w:rFonts w:ascii="Cambria" w:hAnsi="Cambria"/>
          <w:b w:val="0"/>
          <w:i w:val="0"/>
          <w:sz w:val="22"/>
        </w:rPr>
        <w:t>Beyond addressing immediate student needs, the Associate Dean contributes strategically to institutional governance by aligning student welfare operations with national and international quality benchmarks such as NAAC (National Assessment and Accreditation Council), NBA (National Board of Accreditation), and QS I-GAUGE frameworks. The position also ensures that all activities follow the Policy → Action → Evidence → Outcome (PAEO) documentation model to maintain transparency, accountability, and accreditation readiness. Through effective coordination with faculty, administrative heads, and student bodies, the Associate Dean builds a robust ecosystem that enhances student satisfaction, retention, and holistic development. Ultimately, this role represents the institution’s commitment to fostering a healthy, just, and empowering educational environment that nurtures both personal growth and academic excellence.</w:t>
      </w:r>
    </w:p>
    <w:p>
      <w:pPr>
        <w:keepNext/>
        <w:spacing w:before="200" w:after="120"/>
      </w:pPr>
      <w:r>
        <w:rPr>
          <w:rFonts w:ascii="Cambria" w:hAnsi="Cambria"/>
          <w:b/>
          <w:color w:val="1F3A5F"/>
          <w:sz w:val="30"/>
        </w:rPr>
        <w:t>1. Purpose</w:t>
      </w:r>
    </w:p>
    <w:p>
      <w:pPr>
        <w:pStyle w:val="ListBullet"/>
        <w:jc w:val="both"/>
      </w:pPr>
      <w:r>
        <w:rPr>
          <w:rFonts w:ascii="Cambria" w:hAnsi="Cambria"/>
          <w:sz w:val="22"/>
        </w:rPr>
        <w:t>Establish a comprehensive framework that promotes student welfare, well-being, and ethical governance within the institution.</w:t>
      </w:r>
    </w:p>
    <w:p>
      <w:pPr>
        <w:pStyle w:val="ListBullet"/>
        <w:jc w:val="both"/>
      </w:pPr>
      <w:r>
        <w:rPr>
          <w:rFonts w:ascii="Cambria" w:hAnsi="Cambria"/>
          <w:sz w:val="22"/>
        </w:rPr>
        <w:t>Ensure effective counselling, mentoring, and grievance redressal mechanisms that uphold fairness, inclusivity, and confidentiality.</w:t>
      </w:r>
    </w:p>
    <w:p>
      <w:pPr>
        <w:pStyle w:val="ListBullet"/>
        <w:jc w:val="both"/>
      </w:pPr>
      <w:r>
        <w:rPr>
          <w:rFonts w:ascii="Cambria" w:hAnsi="Cambria"/>
          <w:sz w:val="22"/>
        </w:rPr>
        <w:t>Align institutional practices with NAAC Criterion 5 (Student Support and Progression), NBA Criterion 8 (First Year Academics), UGC/AICTE regulations, and NEP-2020 principles.</w:t>
      </w:r>
    </w:p>
    <w:p>
      <w:pPr>
        <w:pStyle w:val="ListBullet"/>
        <w:jc w:val="both"/>
      </w:pPr>
      <w:r>
        <w:rPr>
          <w:rFonts w:ascii="Cambria" w:hAnsi="Cambria"/>
          <w:sz w:val="22"/>
        </w:rPr>
        <w:t>Foster a safe, supportive, and empowering campus environment contributing to student satisfaction, retention, and holistic development.</w:t>
      </w:r>
    </w:p>
    <w:p>
      <w:pPr>
        <w:keepNext/>
        <w:spacing w:before="200" w:after="120"/>
      </w:pPr>
      <w:r>
        <w:rPr>
          <w:rFonts w:ascii="Cambria" w:hAnsi="Cambria"/>
          <w:b/>
          <w:color w:val="1F3A5F"/>
          <w:sz w:val="30"/>
        </w:rPr>
        <w:t>2. Scope</w:t>
      </w:r>
    </w:p>
    <w:p>
      <w:pPr>
        <w:pStyle w:val="ListBullet"/>
        <w:jc w:val="both"/>
      </w:pPr>
      <w:r>
        <w:rPr>
          <w:rFonts w:ascii="Cambria" w:hAnsi="Cambria"/>
          <w:sz w:val="22"/>
        </w:rPr>
        <w:t>Applicable to all students, faculty, and administrative staff across all programs and departments.</w:t>
      </w:r>
    </w:p>
    <w:p>
      <w:pPr>
        <w:pStyle w:val="ListBullet"/>
        <w:jc w:val="both"/>
      </w:pPr>
      <w:r>
        <w:rPr>
          <w:rFonts w:ascii="Cambria" w:hAnsi="Cambria"/>
          <w:sz w:val="22"/>
        </w:rPr>
        <w:t>Covers activities and systems related to:</w:t>
      </w:r>
    </w:p>
    <w:p>
      <w:pPr>
        <w:pStyle w:val="ListBullet2"/>
        <w:jc w:val="both"/>
      </w:pPr>
      <w:r>
        <w:rPr>
          <w:rFonts w:ascii="Cambria" w:hAnsi="Cambria"/>
          <w:sz w:val="22"/>
        </w:rPr>
        <w:t>Student Welfare and Engagement.</w:t>
      </w:r>
    </w:p>
    <w:p>
      <w:pPr>
        <w:pStyle w:val="ListBullet2"/>
        <w:jc w:val="both"/>
      </w:pPr>
      <w:r>
        <w:rPr>
          <w:rFonts w:ascii="Cambria" w:hAnsi="Cambria"/>
          <w:sz w:val="22"/>
        </w:rPr>
        <w:t>Counselling and Mentorship Services.</w:t>
      </w:r>
    </w:p>
    <w:p>
      <w:pPr>
        <w:pStyle w:val="ListBullet2"/>
        <w:jc w:val="both"/>
      </w:pPr>
      <w:r>
        <w:rPr>
          <w:rFonts w:ascii="Cambria" w:hAnsi="Cambria"/>
          <w:sz w:val="22"/>
        </w:rPr>
        <w:t>Grievance Redressal and Ethical Conduct.</w:t>
      </w:r>
    </w:p>
    <w:p>
      <w:pPr>
        <w:pStyle w:val="ListBullet2"/>
        <w:jc w:val="both"/>
      </w:pPr>
      <w:r>
        <w:rPr>
          <w:rFonts w:ascii="Cambria" w:hAnsi="Cambria"/>
          <w:sz w:val="22"/>
        </w:rPr>
        <w:t>Anti-Ragging, Gender Equality, and Code of Conduct Committees.</w:t>
      </w:r>
    </w:p>
    <w:p>
      <w:pPr>
        <w:pStyle w:val="ListBullet"/>
        <w:jc w:val="both"/>
      </w:pPr>
      <w:r>
        <w:rPr>
          <w:rFonts w:ascii="Cambria" w:hAnsi="Cambria"/>
          <w:sz w:val="22"/>
        </w:rPr>
        <w:t>The Associate Dean – Students’ Welfare functions as the nodal authority responsible for planning, implementing, monitoring, and documenting all welfare-related initiatives.</w:t>
      </w:r>
    </w:p>
    <w:p>
      <w:pPr>
        <w:keepNext/>
        <w:spacing w:before="200" w:after="120"/>
      </w:pPr>
      <w:r>
        <w:rPr>
          <w:rFonts w:ascii="Cambria" w:hAnsi="Cambria"/>
          <w:b/>
          <w:color w:val="1F3A5F"/>
          <w:sz w:val="30"/>
        </w:rPr>
        <w:t>3. Policy Statement</w:t>
      </w:r>
    </w:p>
    <w:p>
      <w:pPr>
        <w:pStyle w:val="ListBullet"/>
        <w:jc w:val="both"/>
      </w:pPr>
      <w:r>
        <w:rPr>
          <w:rFonts w:ascii="Cambria" w:hAnsi="Cambria"/>
          <w:sz w:val="22"/>
        </w:rPr>
        <w:t>The institution is committed to nurturing a student-centric culture that safeguards the physical, emotional, and psychological well-being of all learners.</w:t>
      </w:r>
    </w:p>
    <w:p>
      <w:pPr>
        <w:pStyle w:val="ListBullet"/>
        <w:jc w:val="both"/>
      </w:pPr>
      <w:r>
        <w:rPr>
          <w:rFonts w:ascii="Cambria" w:hAnsi="Cambria"/>
          <w:sz w:val="22"/>
        </w:rPr>
        <w:t>Welfare, counselling, and grievance systems shall be transparent, inclusive, accountable, and student-friendly.</w:t>
      </w:r>
    </w:p>
    <w:p>
      <w:pPr>
        <w:pStyle w:val="ListBullet"/>
        <w:jc w:val="both"/>
      </w:pPr>
      <w:r>
        <w:rPr>
          <w:rFonts w:ascii="Cambria" w:hAnsi="Cambria"/>
          <w:sz w:val="22"/>
        </w:rPr>
        <w:t>The Associate Dean’s office shall ensure timely intervention, proactive support, and data-driven monitoring of all student welfare mechanisms.</w:t>
      </w:r>
    </w:p>
    <w:p>
      <w:pPr>
        <w:pStyle w:val="ListBullet"/>
        <w:jc w:val="both"/>
      </w:pPr>
      <w:r>
        <w:rPr>
          <w:rFonts w:ascii="Cambria" w:hAnsi="Cambria"/>
          <w:sz w:val="22"/>
        </w:rPr>
        <w:t>The policy ensures alignment with Sustainable Development Goals (SDG-3: Good Health &amp; Well-being, SDG-5: Gender Equality) and continuous quality improvement principles.</w:t>
      </w:r>
    </w:p>
    <w:p>
      <w:pPr>
        <w:keepNext/>
        <w:spacing w:before="200" w:after="120"/>
      </w:pPr>
      <w:r>
        <w:rPr>
          <w:rFonts w:ascii="Cambria" w:hAnsi="Cambria"/>
          <w:b/>
          <w:color w:val="1F3A5F"/>
          <w:sz w:val="30"/>
        </w:rPr>
        <w:t>4. Objectives</w:t>
      </w:r>
    </w:p>
    <w:p>
      <w:pPr>
        <w:pStyle w:val="ListBullet"/>
        <w:jc w:val="both"/>
      </w:pPr>
      <w:r>
        <w:rPr>
          <w:rFonts w:ascii="Cambria" w:hAnsi="Cambria"/>
          <w:sz w:val="22"/>
        </w:rPr>
        <w:t>Implement welfare measures that enhance student development, equity, and inclusion.</w:t>
      </w:r>
    </w:p>
    <w:p>
      <w:pPr>
        <w:pStyle w:val="ListBullet"/>
        <w:jc w:val="both"/>
      </w:pPr>
      <w:r>
        <w:rPr>
          <w:rFonts w:ascii="Cambria" w:hAnsi="Cambria"/>
          <w:sz w:val="22"/>
        </w:rPr>
        <w:t>Offer professional counselling and mentorship services to address academic, emotional, and personal challenges.</w:t>
      </w:r>
    </w:p>
    <w:p>
      <w:pPr>
        <w:pStyle w:val="ListBullet"/>
        <w:jc w:val="both"/>
      </w:pPr>
      <w:r>
        <w:rPr>
          <w:rFonts w:ascii="Cambria" w:hAnsi="Cambria"/>
          <w:sz w:val="22"/>
        </w:rPr>
        <w:t>Establish a robust grievance redressal framework to resolve student complaints promptly and fairly.</w:t>
      </w:r>
    </w:p>
    <w:p>
      <w:pPr>
        <w:pStyle w:val="ListBullet"/>
        <w:jc w:val="both"/>
      </w:pPr>
      <w:r>
        <w:rPr>
          <w:rFonts w:ascii="Cambria" w:hAnsi="Cambria"/>
          <w:sz w:val="22"/>
        </w:rPr>
        <w:t>Ensure institutional compliance with UGC, AICTE, and NAAC/NBA guidelines.</w:t>
      </w:r>
    </w:p>
    <w:p>
      <w:pPr>
        <w:pStyle w:val="ListBullet"/>
        <w:jc w:val="both"/>
      </w:pPr>
      <w:r>
        <w:rPr>
          <w:rFonts w:ascii="Cambria" w:hAnsi="Cambria"/>
          <w:sz w:val="22"/>
        </w:rPr>
        <w:t>Build a campus environment that fosters trust, empathy, and belonging among students.</w:t>
      </w:r>
    </w:p>
    <w:p>
      <w:pPr>
        <w:keepNext/>
        <w:spacing w:before="200" w:after="120"/>
      </w:pPr>
      <w:r>
        <w:rPr>
          <w:rFonts w:ascii="Cambria" w:hAnsi="Cambria"/>
          <w:b/>
          <w:color w:val="1F3A5F"/>
          <w:sz w:val="30"/>
        </w:rPr>
        <w:t>5. Roles and Responsibilities</w:t>
      </w:r>
    </w:p>
    <w:p>
      <w:pPr>
        <w:keepNext/>
        <w:spacing w:before="200" w:after="120"/>
      </w:pPr>
      <w:r>
        <w:rPr>
          <w:rFonts w:ascii="Cambria" w:hAnsi="Cambria"/>
          <w:b/>
          <w:color w:val="1F3A5F"/>
          <w:sz w:val="26"/>
        </w:rPr>
        <w:t>A. Associate Dean – Students’ Welfare</w:t>
      </w:r>
    </w:p>
    <w:p>
      <w:pPr>
        <w:pStyle w:val="ListBullet"/>
        <w:jc w:val="both"/>
      </w:pPr>
      <w:r>
        <w:rPr>
          <w:rFonts w:ascii="Cambria" w:hAnsi="Cambria"/>
          <w:sz w:val="22"/>
        </w:rPr>
        <w:t>Oversee welfare programs, scholarships, financial assistance, and student insurance schemes.</w:t>
      </w:r>
    </w:p>
    <w:p>
      <w:pPr>
        <w:pStyle w:val="ListBullet"/>
        <w:jc w:val="both"/>
      </w:pPr>
      <w:r>
        <w:rPr>
          <w:rFonts w:ascii="Cambria" w:hAnsi="Cambria"/>
          <w:sz w:val="22"/>
        </w:rPr>
        <w:t>Supervise hostel facilities, campus amenities, and medical support systems ensuring safety and accessibility.</w:t>
      </w:r>
    </w:p>
    <w:p>
      <w:pPr>
        <w:pStyle w:val="ListBullet"/>
        <w:jc w:val="both"/>
      </w:pPr>
      <w:r>
        <w:rPr>
          <w:rFonts w:ascii="Cambria" w:hAnsi="Cambria"/>
          <w:sz w:val="22"/>
        </w:rPr>
        <w:t>Organize sports, cultural, and community outreach activities to promote student engagement.</w:t>
      </w:r>
    </w:p>
    <w:p>
      <w:pPr>
        <w:pStyle w:val="ListBullet"/>
        <w:jc w:val="both"/>
      </w:pPr>
      <w:r>
        <w:rPr>
          <w:rFonts w:ascii="Cambria" w:hAnsi="Cambria"/>
          <w:sz w:val="22"/>
        </w:rPr>
        <w:t>Develop well-being programs such as yoga sessions, stress management workshops, and health check-ups.</w:t>
      </w:r>
    </w:p>
    <w:p>
      <w:pPr>
        <w:pStyle w:val="ListBullet"/>
        <w:jc w:val="both"/>
      </w:pPr>
      <w:r>
        <w:rPr>
          <w:rFonts w:ascii="Cambria" w:hAnsi="Cambria"/>
          <w:sz w:val="22"/>
        </w:rPr>
        <w:t>Encourage student participation in governance through councils, associations, and leadership events.</w:t>
      </w:r>
    </w:p>
    <w:p>
      <w:pPr>
        <w:pStyle w:val="ListBullet"/>
        <w:jc w:val="both"/>
      </w:pPr>
      <w:r>
        <w:rPr>
          <w:rFonts w:ascii="Cambria" w:hAnsi="Cambria"/>
          <w:sz w:val="22"/>
        </w:rPr>
        <w:t>Collaborate with national and international organizations for student development partnerships.</w:t>
      </w:r>
    </w:p>
    <w:p>
      <w:pPr>
        <w:pStyle w:val="ListBullet"/>
        <w:jc w:val="both"/>
      </w:pPr>
      <w:r>
        <w:rPr>
          <w:rFonts w:ascii="Cambria" w:hAnsi="Cambria"/>
          <w:sz w:val="22"/>
        </w:rPr>
        <w:t>Maintain welfare documentation aligned with accreditation and audit requirements.</w:t>
      </w:r>
    </w:p>
    <w:p>
      <w:pPr>
        <w:keepNext/>
        <w:spacing w:before="200" w:after="120"/>
      </w:pPr>
      <w:r>
        <w:rPr>
          <w:rFonts w:ascii="Cambria" w:hAnsi="Cambria"/>
          <w:b/>
          <w:color w:val="1F3A5F"/>
          <w:sz w:val="26"/>
        </w:rPr>
        <w:t>B. Student Counselling and Mentorship Cell</w:t>
      </w:r>
    </w:p>
    <w:p>
      <w:pPr>
        <w:pStyle w:val="ListBullet"/>
        <w:jc w:val="both"/>
      </w:pPr>
      <w:r>
        <w:rPr>
          <w:rFonts w:ascii="Cambria" w:hAnsi="Cambria"/>
          <w:sz w:val="22"/>
        </w:rPr>
        <w:t>Establish a professional Counselling Centre supported by qualified counsellors and trained mentors.</w:t>
      </w:r>
    </w:p>
    <w:p>
      <w:pPr>
        <w:pStyle w:val="ListBullet"/>
        <w:jc w:val="both"/>
      </w:pPr>
      <w:r>
        <w:rPr>
          <w:rFonts w:ascii="Cambria" w:hAnsi="Cambria"/>
          <w:sz w:val="22"/>
        </w:rPr>
        <w:t>Provide academic guidance, emotional support, and career counselling to all students.</w:t>
      </w:r>
    </w:p>
    <w:p>
      <w:pPr>
        <w:pStyle w:val="ListBullet"/>
        <w:jc w:val="both"/>
      </w:pPr>
      <w:r>
        <w:rPr>
          <w:rFonts w:ascii="Cambria" w:hAnsi="Cambria"/>
          <w:sz w:val="22"/>
        </w:rPr>
        <w:t>Organize workshops on mental health, peer relationships, and self-management.</w:t>
      </w:r>
    </w:p>
    <w:p>
      <w:pPr>
        <w:pStyle w:val="ListBullet"/>
        <w:jc w:val="both"/>
      </w:pPr>
      <w:r>
        <w:rPr>
          <w:rFonts w:ascii="Cambria" w:hAnsi="Cambria"/>
          <w:sz w:val="22"/>
        </w:rPr>
        <w:t>Develop confidential record-keeping for counselling interactions and outcomes.</w:t>
      </w:r>
    </w:p>
    <w:p>
      <w:pPr>
        <w:pStyle w:val="ListBullet"/>
        <w:jc w:val="both"/>
      </w:pPr>
      <w:r>
        <w:rPr>
          <w:rFonts w:ascii="Cambria" w:hAnsi="Cambria"/>
          <w:sz w:val="22"/>
        </w:rPr>
        <w:t>Create peer-mentorship systems to strengthen student belongingness and reduce isolation.</w:t>
      </w:r>
    </w:p>
    <w:p>
      <w:pPr>
        <w:pStyle w:val="ListBullet"/>
        <w:jc w:val="both"/>
      </w:pPr>
      <w:r>
        <w:rPr>
          <w:rFonts w:ascii="Cambria" w:hAnsi="Cambria"/>
          <w:sz w:val="22"/>
        </w:rPr>
        <w:t>Facilitate referral services to external psychologists or healthcare specialists when required.</w:t>
      </w:r>
    </w:p>
    <w:p>
      <w:pPr>
        <w:pStyle w:val="ListBullet"/>
        <w:jc w:val="both"/>
      </w:pPr>
      <w:r>
        <w:rPr>
          <w:rFonts w:ascii="Cambria" w:hAnsi="Cambria"/>
          <w:sz w:val="22"/>
        </w:rPr>
        <w:t>Evaluate the impact of counselling services through feedback and performance metrics.</w:t>
      </w:r>
    </w:p>
    <w:p>
      <w:pPr>
        <w:keepNext/>
        <w:spacing w:before="200" w:after="120"/>
      </w:pPr>
      <w:r>
        <w:rPr>
          <w:rFonts w:ascii="Cambria" w:hAnsi="Cambria"/>
          <w:b/>
          <w:color w:val="1F3A5F"/>
          <w:sz w:val="26"/>
        </w:rPr>
        <w:t>C. Grievance Redressal and Ethical Governance</w:t>
      </w:r>
    </w:p>
    <w:p>
      <w:pPr>
        <w:pStyle w:val="ListBullet"/>
        <w:jc w:val="both"/>
      </w:pPr>
      <w:r>
        <w:rPr>
          <w:rFonts w:ascii="Cambria" w:hAnsi="Cambria"/>
          <w:sz w:val="22"/>
        </w:rPr>
        <w:t>Act as the Chairperson of the Grievance Redressal Cell (GRC).</w:t>
      </w:r>
    </w:p>
    <w:p>
      <w:pPr>
        <w:pStyle w:val="ListBullet"/>
        <w:jc w:val="both"/>
      </w:pPr>
      <w:r>
        <w:rPr>
          <w:rFonts w:ascii="Cambria" w:hAnsi="Cambria"/>
          <w:sz w:val="22"/>
        </w:rPr>
        <w:t>Supervise functioning of:</w:t>
      </w:r>
    </w:p>
    <w:p>
      <w:pPr>
        <w:pStyle w:val="ListBullet2"/>
        <w:jc w:val="both"/>
      </w:pPr>
      <w:r>
        <w:rPr>
          <w:rFonts w:ascii="Cambria" w:hAnsi="Cambria"/>
          <w:i/>
          <w:sz w:val="22"/>
        </w:rPr>
        <w:t>Anti-Ragging Committee and Squad.</w:t>
      </w:r>
    </w:p>
    <w:p>
      <w:pPr>
        <w:pStyle w:val="ListBullet2"/>
        <w:jc w:val="both"/>
      </w:pPr>
      <w:r>
        <w:rPr>
          <w:rFonts w:ascii="Cambria" w:hAnsi="Cambria"/>
          <w:i/>
          <w:sz w:val="22"/>
        </w:rPr>
        <w:t>Internal Complaints Committee (ICC) for sexual harassment prevention.</w:t>
      </w:r>
    </w:p>
    <w:p>
      <w:pPr>
        <w:pStyle w:val="ListBullet2"/>
        <w:jc w:val="both"/>
      </w:pPr>
      <w:r>
        <w:rPr>
          <w:rFonts w:ascii="Cambria" w:hAnsi="Cambria"/>
          <w:i/>
          <w:sz w:val="22"/>
        </w:rPr>
        <w:t>Disciplinary Committee for student conduct.</w:t>
      </w:r>
    </w:p>
    <w:p>
      <w:pPr>
        <w:pStyle w:val="ListBullet"/>
        <w:jc w:val="both"/>
      </w:pPr>
      <w:r>
        <w:rPr>
          <w:rFonts w:ascii="Cambria" w:hAnsi="Cambria"/>
          <w:sz w:val="22"/>
        </w:rPr>
        <w:t>Ensure the grievance submission, investigation, and resolution process follows statutory timelines.</w:t>
      </w:r>
    </w:p>
    <w:p>
      <w:pPr>
        <w:pStyle w:val="ListBullet"/>
        <w:jc w:val="both"/>
      </w:pPr>
      <w:r>
        <w:rPr>
          <w:rFonts w:ascii="Cambria" w:hAnsi="Cambria"/>
          <w:sz w:val="22"/>
        </w:rPr>
        <w:t>Promote awareness of grievance procedures during orientation and student induction programs.</w:t>
      </w:r>
    </w:p>
    <w:p>
      <w:pPr>
        <w:pStyle w:val="ListBullet"/>
        <w:jc w:val="both"/>
      </w:pPr>
      <w:r>
        <w:rPr>
          <w:rFonts w:ascii="Cambria" w:hAnsi="Cambria"/>
          <w:sz w:val="22"/>
        </w:rPr>
        <w:t>Enforce zero tolerance towards ragging, discrimination, harassment, or unethical practices.</w:t>
      </w:r>
    </w:p>
    <w:p>
      <w:pPr>
        <w:pStyle w:val="ListBullet"/>
        <w:jc w:val="both"/>
      </w:pPr>
      <w:r>
        <w:rPr>
          <w:rFonts w:ascii="Cambria" w:hAnsi="Cambria"/>
          <w:sz w:val="22"/>
        </w:rPr>
        <w:t>Maintain grievance registers, case files, and submit quarterly and annual compliance reports to the IQAC.</w:t>
      </w:r>
    </w:p>
    <w:p>
      <w:pPr>
        <w:keepNext/>
        <w:spacing w:before="200" w:after="120"/>
      </w:pPr>
      <w:r>
        <w:rPr>
          <w:rFonts w:ascii="Cambria" w:hAnsi="Cambria"/>
          <w:b/>
          <w:color w:val="1F3A5F"/>
          <w:sz w:val="26"/>
        </w:rPr>
        <w:t>D. Coordination, Governance, and Documentation</w:t>
      </w:r>
    </w:p>
    <w:p>
      <w:pPr>
        <w:pStyle w:val="ListBullet"/>
        <w:jc w:val="both"/>
      </w:pPr>
      <w:r>
        <w:rPr>
          <w:rFonts w:ascii="Cambria" w:hAnsi="Cambria"/>
          <w:sz w:val="22"/>
        </w:rPr>
        <w:t>Coordinate with Dean (Academics), IQAC, Registrar’s Office, and Student Council for policy integration.</w:t>
      </w:r>
    </w:p>
    <w:p>
      <w:pPr>
        <w:pStyle w:val="ListBullet"/>
        <w:jc w:val="both"/>
      </w:pPr>
      <w:r>
        <w:rPr>
          <w:rFonts w:ascii="Cambria" w:hAnsi="Cambria"/>
          <w:sz w:val="22"/>
        </w:rPr>
        <w:t>Ensure all actions follow the Policy → Action → Evidence → Outcome (PAEO) documentation model.</w:t>
      </w:r>
    </w:p>
    <w:p>
      <w:pPr>
        <w:pStyle w:val="ListBullet"/>
        <w:jc w:val="both"/>
      </w:pPr>
      <w:r>
        <w:rPr>
          <w:rFonts w:ascii="Cambria" w:hAnsi="Cambria"/>
          <w:sz w:val="22"/>
        </w:rPr>
        <w:t>Integrate welfare and grievance data into Annual Quality Assurance Reports (AQAR) and NBA Self-Assessment Reports (SAR).</w:t>
      </w:r>
    </w:p>
    <w:p>
      <w:pPr>
        <w:pStyle w:val="ListBullet"/>
        <w:jc w:val="both"/>
      </w:pPr>
      <w:r>
        <w:rPr>
          <w:rFonts w:ascii="Cambria" w:hAnsi="Cambria"/>
          <w:sz w:val="22"/>
        </w:rPr>
        <w:t>Conduct training and sensitization programs for faculty on handling student-related concerns.</w:t>
      </w:r>
    </w:p>
    <w:p>
      <w:pPr>
        <w:pStyle w:val="ListBullet"/>
        <w:jc w:val="both"/>
      </w:pPr>
      <w:r>
        <w:rPr>
          <w:rFonts w:ascii="Cambria" w:hAnsi="Cambria"/>
          <w:sz w:val="22"/>
        </w:rPr>
        <w:t>Maintain digital repositories of welfare initiatives, grievance resolutions, and counselling outcomes.</w:t>
      </w:r>
    </w:p>
    <w:p>
      <w:pPr>
        <w:keepNext/>
        <w:spacing w:before="200" w:after="120"/>
      </w:pPr>
      <w:r>
        <w:rPr>
          <w:rFonts w:ascii="Cambria" w:hAnsi="Cambria"/>
          <w:b/>
          <w:color w:val="1F3A5F"/>
          <w:sz w:val="30"/>
        </w:rPr>
        <w:t>6. Administrative and Strategic Functions</w:t>
      </w:r>
    </w:p>
    <w:p>
      <w:pPr>
        <w:pStyle w:val="ListBullet"/>
        <w:jc w:val="both"/>
      </w:pPr>
      <w:r>
        <w:rPr>
          <w:rFonts w:ascii="Cambria" w:hAnsi="Cambria"/>
          <w:sz w:val="22"/>
        </w:rPr>
        <w:t>Formulate strategic action plans for continuous student welfare enhancement.</w:t>
      </w:r>
    </w:p>
    <w:p>
      <w:pPr>
        <w:pStyle w:val="ListBullet"/>
        <w:jc w:val="both"/>
      </w:pPr>
      <w:r>
        <w:rPr>
          <w:rFonts w:ascii="Cambria" w:hAnsi="Cambria"/>
          <w:sz w:val="22"/>
        </w:rPr>
        <w:t>Represent the institution in external quality audits, regulatory reviews, and accreditation visits.</w:t>
      </w:r>
    </w:p>
    <w:p>
      <w:pPr>
        <w:pStyle w:val="ListBullet"/>
        <w:jc w:val="both"/>
      </w:pPr>
      <w:r>
        <w:rPr>
          <w:rFonts w:ascii="Cambria" w:hAnsi="Cambria"/>
          <w:sz w:val="22"/>
        </w:rPr>
        <w:t>Monitor and evaluate welfare metrics through monthly and annual reviews.</w:t>
      </w:r>
    </w:p>
    <w:p>
      <w:pPr>
        <w:pStyle w:val="ListBullet"/>
        <w:jc w:val="both"/>
      </w:pPr>
      <w:r>
        <w:rPr>
          <w:rFonts w:ascii="Cambria" w:hAnsi="Cambria"/>
          <w:sz w:val="22"/>
        </w:rPr>
        <w:t>Recommend policy updates based on student feedback and institutional needs.</w:t>
      </w:r>
    </w:p>
    <w:p>
      <w:pPr>
        <w:pStyle w:val="ListBullet"/>
        <w:jc w:val="both"/>
      </w:pPr>
      <w:r>
        <w:rPr>
          <w:rFonts w:ascii="Cambria" w:hAnsi="Cambria"/>
          <w:sz w:val="22"/>
        </w:rPr>
        <w:t>Promote gender equity, inclusivity, and multicultural engagement in all institutional activities.</w:t>
      </w:r>
    </w:p>
    <w:p>
      <w:pPr>
        <w:keepNext/>
        <w:spacing w:before="200" w:after="120"/>
      </w:pPr>
      <w:r>
        <w:rPr>
          <w:rFonts w:ascii="Cambria" w:hAnsi="Cambria"/>
          <w:b/>
          <w:color w:val="1F3A5F"/>
          <w:sz w:val="30"/>
        </w:rPr>
        <w:t>7. Governance Framework</w:t>
      </w:r>
    </w:p>
    <w:p>
      <w:pPr>
        <w:pStyle w:val="ListBullet"/>
        <w:jc w:val="both"/>
      </w:pPr>
      <w:r>
        <w:rPr>
          <w:rFonts w:ascii="Cambria" w:hAnsi="Cambria"/>
          <w:sz w:val="22"/>
        </w:rPr>
        <w:t>The Associate Dean – Students’ Welfare reports to the Dean (Student Affairs) / Principal.</w:t>
      </w:r>
    </w:p>
    <w:p>
      <w:pPr>
        <w:pStyle w:val="ListBullet"/>
        <w:jc w:val="both"/>
      </w:pPr>
      <w:r>
        <w:rPr>
          <w:rFonts w:ascii="Cambria" w:hAnsi="Cambria"/>
          <w:sz w:val="22"/>
        </w:rPr>
        <w:t>Acts as Member Secretary of all welfare and grievance-related committees.</w:t>
      </w:r>
    </w:p>
    <w:p>
      <w:pPr>
        <w:pStyle w:val="ListBullet"/>
        <w:jc w:val="both"/>
      </w:pPr>
      <w:r>
        <w:rPr>
          <w:rFonts w:ascii="Cambria" w:hAnsi="Cambria"/>
          <w:sz w:val="22"/>
        </w:rPr>
        <w:t>The IQAC shall conduct an annual policy review to ensure compliance, accountability, and quality assurance.</w:t>
      </w:r>
    </w:p>
    <w:p>
      <w:pPr>
        <w:pStyle w:val="ListBullet"/>
        <w:jc w:val="both"/>
      </w:pPr>
      <w:r>
        <w:rPr>
          <w:rFonts w:ascii="Cambria" w:hAnsi="Cambria"/>
          <w:sz w:val="22"/>
        </w:rPr>
        <w:t>Student representation in welfare committees shall ensure participatory governance and inclusivity.</w:t>
      </w:r>
    </w:p>
    <w:p>
      <w:pPr>
        <w:keepNext/>
        <w:spacing w:before="200" w:after="120"/>
      </w:pPr>
      <w:r>
        <w:rPr>
          <w:rFonts w:ascii="Cambria" w:hAnsi="Cambria"/>
          <w:b/>
          <w:color w:val="1F3A5F"/>
          <w:sz w:val="30"/>
        </w:rPr>
        <w:t>8. Compliance and Accreditation Alignment</w:t>
      </w:r>
    </w:p>
    <w:p>
      <w:pPr>
        <w:pStyle w:val="ListBullet"/>
        <w:jc w:val="both"/>
      </w:pPr>
      <w:r>
        <w:rPr>
          <w:rFonts w:ascii="Cambria" w:hAnsi="Cambria"/>
          <w:sz w:val="22"/>
        </w:rPr>
        <w:t>This policy adheres to:</w:t>
      </w:r>
    </w:p>
    <w:p>
      <w:pPr>
        <w:pStyle w:val="ListBullet2"/>
        <w:jc w:val="both"/>
      </w:pPr>
      <w:r>
        <w:rPr>
          <w:rFonts w:ascii="Cambria" w:hAnsi="Cambria"/>
          <w:sz w:val="22"/>
        </w:rPr>
        <w:t>UGC (Redressal of Grievances of Students) Regulations, 2023.</w:t>
      </w:r>
    </w:p>
    <w:p>
      <w:pPr>
        <w:pStyle w:val="ListBullet2"/>
        <w:jc w:val="both"/>
      </w:pPr>
      <w:r>
        <w:rPr>
          <w:rFonts w:ascii="Cambria" w:hAnsi="Cambria"/>
          <w:sz w:val="22"/>
        </w:rPr>
        <w:t>AICTE Student Development and Counselling Policy (2022).</w:t>
      </w:r>
    </w:p>
    <w:p>
      <w:pPr>
        <w:pStyle w:val="ListBullet2"/>
        <w:jc w:val="both"/>
      </w:pPr>
      <w:r>
        <w:rPr>
          <w:rFonts w:ascii="Cambria" w:hAnsi="Cambria"/>
          <w:sz w:val="22"/>
        </w:rPr>
        <w:t>NAAC Criterion 5 – Student Support and Progression.</w:t>
      </w:r>
    </w:p>
    <w:p>
      <w:pPr>
        <w:pStyle w:val="ListBullet2"/>
        <w:jc w:val="both"/>
      </w:pPr>
      <w:r>
        <w:rPr>
          <w:rFonts w:ascii="Cambria" w:hAnsi="Cambria"/>
          <w:sz w:val="22"/>
        </w:rPr>
        <w:t>NBA Criterion 8 – First Year Academics and Student Support.</w:t>
      </w:r>
    </w:p>
    <w:p>
      <w:pPr>
        <w:pStyle w:val="ListBullet2"/>
        <w:jc w:val="both"/>
      </w:pPr>
      <w:r>
        <w:rPr>
          <w:rFonts w:ascii="Cambria" w:hAnsi="Cambria"/>
          <w:sz w:val="22"/>
        </w:rPr>
        <w:t>NEP-2020 guidelines on holistic education, mental health, and well-being.</w:t>
      </w:r>
    </w:p>
    <w:p>
      <w:pPr>
        <w:pStyle w:val="ListBullet"/>
        <w:jc w:val="both"/>
      </w:pPr>
      <w:r>
        <w:rPr>
          <w:rFonts w:ascii="Cambria" w:hAnsi="Cambria"/>
          <w:sz w:val="22"/>
        </w:rPr>
        <w:t>The office of the Associate Dean shall prepare compliance documentation and ensure availability of evidence for accreditation visits.</w:t>
      </w:r>
    </w:p>
    <w:p>
      <w:pPr>
        <w:keepNext/>
        <w:spacing w:before="200" w:after="120"/>
      </w:pPr>
      <w:r>
        <w:rPr>
          <w:rFonts w:ascii="Cambria" w:hAnsi="Cambria"/>
          <w:b/>
          <w:color w:val="1F3A5F"/>
          <w:sz w:val="30"/>
        </w:rPr>
        <w:t>9. Monitoring and Evaluation</w:t>
      </w:r>
    </w:p>
    <w:p>
      <w:pPr>
        <w:pStyle w:val="ListBullet"/>
        <w:jc w:val="both"/>
      </w:pPr>
      <w:r>
        <w:rPr>
          <w:rFonts w:ascii="Cambria" w:hAnsi="Cambria"/>
          <w:sz w:val="22"/>
        </w:rPr>
        <w:t>Conduct monthly welfare and grievance review meetings.</w:t>
      </w:r>
    </w:p>
    <w:p>
      <w:pPr>
        <w:pStyle w:val="ListBullet"/>
        <w:jc w:val="both"/>
      </w:pPr>
      <w:r>
        <w:rPr>
          <w:rFonts w:ascii="Cambria" w:hAnsi="Cambria"/>
          <w:sz w:val="22"/>
        </w:rPr>
        <w:t>Collect student satisfaction surveys on welfare, counselling, and support services.</w:t>
      </w:r>
    </w:p>
    <w:p>
      <w:pPr>
        <w:pStyle w:val="ListBullet"/>
        <w:jc w:val="both"/>
      </w:pPr>
      <w:r>
        <w:rPr>
          <w:rFonts w:ascii="Cambria" w:hAnsi="Cambria"/>
          <w:sz w:val="22"/>
        </w:rPr>
        <w:t>Submit annual reports to IQAC, highlighting welfare outcomes and improvement areas.</w:t>
      </w:r>
    </w:p>
    <w:p>
      <w:pPr>
        <w:pStyle w:val="ListBullet"/>
        <w:jc w:val="both"/>
      </w:pPr>
      <w:r>
        <w:rPr>
          <w:rFonts w:ascii="Cambria" w:hAnsi="Cambria"/>
          <w:sz w:val="22"/>
        </w:rPr>
        <w:t>Review policy performance using measurable indicators like student well-being index, counselling utilization rate, and grievance resolution time.</w:t>
      </w:r>
    </w:p>
    <w:p>
      <w:pPr>
        <w:keepNext/>
        <w:spacing w:before="200" w:after="120"/>
      </w:pPr>
      <w:r>
        <w:rPr>
          <w:rFonts w:ascii="Cambria" w:hAnsi="Cambria"/>
          <w:b/>
          <w:color w:val="1F3A5F"/>
          <w:sz w:val="30"/>
        </w:rPr>
        <w:t>10. Expected Outcomes</w:t>
      </w:r>
    </w:p>
    <w:p>
      <w:pPr>
        <w:pStyle w:val="ListBullet"/>
        <w:jc w:val="both"/>
      </w:pPr>
      <w:r>
        <w:rPr>
          <w:rFonts w:ascii="Cambria" w:hAnsi="Cambria"/>
          <w:sz w:val="22"/>
        </w:rPr>
        <w:t>Strengthened student welfare ecosystem ensuring physical and emotional well-being.</w:t>
      </w:r>
    </w:p>
    <w:p>
      <w:pPr>
        <w:pStyle w:val="ListBullet"/>
        <w:jc w:val="both"/>
      </w:pPr>
      <w:r>
        <w:rPr>
          <w:rFonts w:ascii="Cambria" w:hAnsi="Cambria"/>
          <w:sz w:val="22"/>
        </w:rPr>
        <w:t>Effective and timely grievance redressal promoting trust and accountability.</w:t>
      </w:r>
    </w:p>
    <w:p>
      <w:pPr>
        <w:pStyle w:val="ListBullet"/>
        <w:jc w:val="both"/>
      </w:pPr>
      <w:r>
        <w:rPr>
          <w:rFonts w:ascii="Cambria" w:hAnsi="Cambria"/>
          <w:sz w:val="22"/>
        </w:rPr>
        <w:t>Reduced dropout, harassment, or misconduct incidents.</w:t>
      </w:r>
    </w:p>
    <w:p>
      <w:pPr>
        <w:pStyle w:val="ListBullet"/>
        <w:jc w:val="both"/>
      </w:pPr>
      <w:r>
        <w:rPr>
          <w:rFonts w:ascii="Cambria" w:hAnsi="Cambria"/>
          <w:sz w:val="22"/>
        </w:rPr>
        <w:t>Increased student satisfaction, inclusivity, and participation in institutional life.</w:t>
      </w:r>
    </w:p>
    <w:p>
      <w:pPr>
        <w:pStyle w:val="ListBullet"/>
        <w:jc w:val="both"/>
      </w:pPr>
      <w:r>
        <w:rPr>
          <w:rFonts w:ascii="Cambria" w:hAnsi="Cambria"/>
          <w:sz w:val="22"/>
        </w:rPr>
        <w:t>Enhanced institutional performance in NAAC/NBA and QS I-GAUGE parameters related to student welfare.</w:t>
      </w:r>
    </w:p>
    <w:p>
      <w:pPr>
        <w:keepNext/>
        <w:spacing w:before="200" w:after="120"/>
      </w:pPr>
      <w:r>
        <w:rPr>
          <w:rFonts w:ascii="Cambria" w:hAnsi="Cambria"/>
          <w:b/>
          <w:color w:val="1F3A5F"/>
          <w:sz w:val="30"/>
        </w:rPr>
        <w:t>11. Policy Review and Approval</w:t>
      </w:r>
    </w:p>
    <w:p>
      <w:pPr>
        <w:pStyle w:val="ListBullet"/>
        <w:jc w:val="both"/>
      </w:pPr>
      <w:r>
        <w:rPr>
          <w:rFonts w:ascii="Cambria" w:hAnsi="Cambria"/>
          <w:sz w:val="22"/>
        </w:rPr>
        <w:t>The policy shall be reviewed annually or as required by regulatory changes.</w:t>
      </w:r>
    </w:p>
    <w:p>
      <w:pPr>
        <w:pStyle w:val="ListBullet"/>
        <w:jc w:val="both"/>
      </w:pPr>
      <w:r>
        <w:rPr>
          <w:rFonts w:ascii="Cambria" w:hAnsi="Cambria"/>
          <w:sz w:val="22"/>
        </w:rPr>
        <w:t>All amendments must be approved by the Academic Council / Governing Body.</w:t>
      </w:r>
    </w:p>
    <w:p>
      <w:pPr>
        <w:pStyle w:val="ListBullet"/>
        <w:jc w:val="both"/>
      </w:pPr>
      <w:r>
        <w:rPr>
          <w:rFonts w:ascii="Cambria" w:hAnsi="Cambria"/>
          <w:sz w:val="22"/>
        </w:rPr>
        <w:t>A signed and dated version shall be maintained in the Institutional Policy Register and shared with all departments.</w:t>
      </w:r>
    </w:p>
    <w:p>
      <w:pPr>
        <w:keepNext/>
        <w:spacing w:before="200" w:after="120"/>
      </w:pPr>
      <w:r>
        <w:rPr>
          <w:rFonts w:ascii="Cambria" w:hAnsi="Cambria"/>
          <w:b/>
          <w:color w:val="1F3A5F"/>
          <w:sz w:val="30"/>
        </w:rPr>
        <w:t>12. Documentation and Reporting Duties</w:t>
      </w:r>
    </w:p>
    <w:p>
      <w:pPr>
        <w:pStyle w:val="ListBullet"/>
        <w:jc w:val="both"/>
      </w:pPr>
      <w:r>
        <w:rPr>
          <w:rFonts w:ascii="Cambria" w:hAnsi="Cambria"/>
          <w:sz w:val="22"/>
        </w:rPr>
        <w:t>Maintain Comprehensive Registers:</w:t>
      </w:r>
    </w:p>
    <w:p>
      <w:pPr>
        <w:pStyle w:val="ListBullet2"/>
        <w:jc w:val="both"/>
      </w:pPr>
      <w:r>
        <w:rPr>
          <w:rFonts w:ascii="Cambria" w:hAnsi="Cambria"/>
          <w:sz w:val="22"/>
        </w:rPr>
        <w:t>Record all student grievances and resolutions in a structured and traceable format, ensuring confidentiality and accuracy.</w:t>
      </w:r>
    </w:p>
    <w:p>
      <w:pPr>
        <w:pStyle w:val="ListBullet2"/>
        <w:jc w:val="both"/>
      </w:pPr>
      <w:r>
        <w:rPr>
          <w:rFonts w:ascii="Cambria" w:hAnsi="Cambria"/>
          <w:sz w:val="22"/>
        </w:rPr>
        <w:t>Maintain detailed counselling session logs, noting nature of concerns, intervention methods, and measurable outcomes.</w:t>
      </w:r>
    </w:p>
    <w:p>
      <w:pPr>
        <w:pStyle w:val="ListBullet2"/>
        <w:jc w:val="both"/>
      </w:pPr>
      <w:r>
        <w:rPr>
          <w:rFonts w:ascii="Cambria" w:hAnsi="Cambria"/>
          <w:sz w:val="22"/>
        </w:rPr>
        <w:t>Document welfare activities, participation records, and event feedback for evaluation and accreditation purposes.</w:t>
      </w:r>
    </w:p>
    <w:p>
      <w:pPr>
        <w:pStyle w:val="ListBullet2"/>
        <w:jc w:val="both"/>
      </w:pPr>
      <w:r>
        <w:rPr>
          <w:rFonts w:ascii="Cambria" w:hAnsi="Cambria"/>
          <w:sz w:val="22"/>
        </w:rPr>
        <w:t>Preserve digital backups of all reports and registers for audit and accreditation inspections.</w:t>
      </w:r>
    </w:p>
    <w:p>
      <w:pPr>
        <w:pStyle w:val="ListBullet"/>
        <w:jc w:val="both"/>
      </w:pPr>
      <w:r>
        <w:rPr>
          <w:rFonts w:ascii="Cambria" w:hAnsi="Cambria"/>
          <w:sz w:val="22"/>
        </w:rPr>
        <w:t>Periodic Reporting:</w:t>
      </w:r>
    </w:p>
    <w:p>
      <w:pPr>
        <w:pStyle w:val="ListBullet2"/>
        <w:jc w:val="both"/>
      </w:pPr>
      <w:r>
        <w:rPr>
          <w:rFonts w:ascii="Cambria" w:hAnsi="Cambria"/>
          <w:sz w:val="22"/>
        </w:rPr>
        <w:t>Prepare monthly progress summaries highlighting student support initiatives, issues addressed, and outcomes achieved.</w:t>
      </w:r>
    </w:p>
    <w:p>
      <w:pPr>
        <w:pStyle w:val="ListBullet2"/>
        <w:jc w:val="both"/>
      </w:pPr>
      <w:r>
        <w:rPr>
          <w:rFonts w:ascii="Cambria" w:hAnsi="Cambria"/>
          <w:sz w:val="22"/>
        </w:rPr>
        <w:t>Submit quarterly performance reports to the Internal Quality Assurance Cell (IQAC) for review and monitoring.</w:t>
      </w:r>
    </w:p>
    <w:p>
      <w:pPr>
        <w:pStyle w:val="ListBullet2"/>
        <w:jc w:val="both"/>
      </w:pPr>
      <w:r>
        <w:rPr>
          <w:rFonts w:ascii="Cambria" w:hAnsi="Cambria"/>
          <w:sz w:val="22"/>
        </w:rPr>
        <w:t>Compile annual comprehensive reports for submission to NAAC, NBA, and other governing or statutory bodies.</w:t>
      </w:r>
    </w:p>
    <w:p>
      <w:pPr>
        <w:pStyle w:val="ListBullet2"/>
        <w:jc w:val="both"/>
      </w:pPr>
      <w:r>
        <w:rPr>
          <w:rFonts w:ascii="Cambria" w:hAnsi="Cambria"/>
          <w:sz w:val="22"/>
        </w:rPr>
        <w:t>Include data-driven evidence such as student satisfaction trends, grievance resolution timeframes, and counselling utilization statistics.</w:t>
      </w:r>
    </w:p>
    <w:p>
      <w:pPr>
        <w:pStyle w:val="ListBullet"/>
        <w:jc w:val="both"/>
      </w:pPr>
      <w:r>
        <w:rPr>
          <w:rFonts w:ascii="Cambria" w:hAnsi="Cambria"/>
          <w:sz w:val="22"/>
        </w:rPr>
        <w:t>Policy Traceability and Evidence Management:</w:t>
      </w:r>
    </w:p>
    <w:p>
      <w:pPr>
        <w:pStyle w:val="ListBullet2"/>
        <w:jc w:val="both"/>
      </w:pPr>
      <w:r>
        <w:rPr>
          <w:rFonts w:ascii="Cambria" w:hAnsi="Cambria"/>
          <w:sz w:val="22"/>
        </w:rPr>
        <w:t>Ensure every institutional activity follows the Policy → Action → Evidence → Outcome (PAEO) documentation framework.</w:t>
      </w:r>
    </w:p>
    <w:p>
      <w:pPr>
        <w:pStyle w:val="ListBullet2"/>
        <w:jc w:val="both"/>
      </w:pPr>
      <w:r>
        <w:rPr>
          <w:rFonts w:ascii="Cambria" w:hAnsi="Cambria"/>
          <w:sz w:val="22"/>
        </w:rPr>
        <w:t>Tag each welfare or grievance initiative with supporting evidence, including minutes of meetings, attendance, and feedback summaries.</w:t>
      </w:r>
    </w:p>
    <w:p>
      <w:pPr>
        <w:pStyle w:val="ListBullet2"/>
        <w:jc w:val="both"/>
      </w:pPr>
      <w:r>
        <w:rPr>
          <w:rFonts w:ascii="Cambria" w:hAnsi="Cambria"/>
          <w:sz w:val="22"/>
        </w:rPr>
        <w:t>Maintain cross-referenced documentation for easy retrieval during audits, accreditation visits, or stakeholder reviews.</w:t>
      </w:r>
    </w:p>
    <w:p>
      <w:pPr>
        <w:pStyle w:val="ListBullet"/>
        <w:jc w:val="both"/>
      </w:pPr>
      <w:r>
        <w:rPr>
          <w:rFonts w:ascii="Cambria" w:hAnsi="Cambria"/>
          <w:sz w:val="22"/>
        </w:rPr>
        <w:t>Audit and Compliance:</w:t>
      </w:r>
    </w:p>
    <w:p>
      <w:pPr>
        <w:pStyle w:val="ListBullet2"/>
        <w:jc w:val="both"/>
      </w:pPr>
      <w:r>
        <w:rPr>
          <w:rFonts w:ascii="Cambria" w:hAnsi="Cambria"/>
          <w:sz w:val="22"/>
        </w:rPr>
        <w:t>Facilitate periodic internal audits of all welfare, counselling, and grievance mechanisms to assess transparency and effectiveness.</w:t>
      </w:r>
    </w:p>
    <w:p>
      <w:pPr>
        <w:pStyle w:val="ListBullet2"/>
        <w:jc w:val="both"/>
      </w:pPr>
      <w:r>
        <w:rPr>
          <w:rFonts w:ascii="Cambria" w:hAnsi="Cambria"/>
          <w:sz w:val="22"/>
        </w:rPr>
        <w:t>Coordinate compliance reviews to ensure adherence with UGC, AICTE, and institutional norms.</w:t>
      </w:r>
    </w:p>
    <w:p>
      <w:pPr>
        <w:pStyle w:val="ListBullet2"/>
        <w:jc w:val="both"/>
      </w:pPr>
      <w:r>
        <w:rPr>
          <w:rFonts w:ascii="Cambria" w:hAnsi="Cambria"/>
          <w:sz w:val="22"/>
        </w:rPr>
        <w:t>Submit findings and corrective action plans to the IQAC and Governing Council for institutional quality improvement.</w:t>
      </w:r>
    </w:p>
    <w:p>
      <w:pPr>
        <w:pStyle w:val="ListBullet2"/>
        <w:jc w:val="both"/>
      </w:pPr>
      <w:r>
        <w:rPr>
          <w:rFonts w:ascii="Cambria" w:hAnsi="Cambria"/>
          <w:sz w:val="22"/>
        </w:rPr>
        <w:t>Archive corrective action records demonstrating responsiveness and continuous improvement in student welfare operations.</w:t>
      </w:r>
    </w:p>
    <w:p>
      <w:pPr>
        <w:pStyle w:val="ListBullet"/>
        <w:jc w:val="both"/>
      </w:pPr>
      <w:r>
        <w:rPr>
          <w:rFonts w:ascii="Cambria" w:hAnsi="Cambria"/>
          <w:sz w:val="22"/>
        </w:rPr>
        <w:t>Outcome:</w:t>
      </w:r>
    </w:p>
    <w:p>
      <w:pPr>
        <w:pStyle w:val="ListBullet2"/>
        <w:jc w:val="both"/>
      </w:pPr>
      <w:r>
        <w:rPr>
          <w:rFonts w:ascii="Cambria" w:hAnsi="Cambria"/>
          <w:sz w:val="22"/>
        </w:rPr>
        <w:t>Builds a robust institutional evidence base for student support and welfare activities.</w:t>
      </w:r>
    </w:p>
    <w:p>
      <w:pPr>
        <w:pStyle w:val="ListBullet2"/>
        <w:jc w:val="both"/>
      </w:pPr>
      <w:r>
        <w:rPr>
          <w:rFonts w:ascii="Cambria" w:hAnsi="Cambria"/>
          <w:sz w:val="22"/>
        </w:rPr>
        <w:t>Enhances transparency, accountability, and readiness for NAAC/NBA accreditation.</w:t>
      </w:r>
    </w:p>
    <w:p>
      <w:pPr>
        <w:pStyle w:val="ListBullet2"/>
        <w:jc w:val="both"/>
      </w:pPr>
      <w:r>
        <w:rPr>
          <w:rFonts w:ascii="Cambria" w:hAnsi="Cambria"/>
          <w:sz w:val="22"/>
        </w:rPr>
        <w:t>Reinforces a data-driven culture of continuous quality enhancement and regulatory compliance.</w:t>
      </w:r>
    </w:p>
    <w:p>
      <w:pPr>
        <w:keepNext/>
        <w:spacing w:before="200" w:after="120"/>
      </w:pPr>
      <w:r>
        <w:rPr>
          <w:rFonts w:ascii="Cambria" w:hAnsi="Cambria"/>
          <w:b/>
          <w:color w:val="1F3A5F"/>
          <w:sz w:val="30"/>
        </w:rPr>
        <w:t>13. Duties Mapping of Associate Dean – Students’ Welfare, Student Counselling, Grievance and Redressal</w:t>
      </w:r>
    </w:p>
    <w:p>
      <w:r>
        <w:rPr>
          <w:rFonts w:ascii="Cambria" w:hAnsi="Cambria"/>
          <w:b w:val="0"/>
          <w:i/>
          <w:sz w:val="22"/>
        </w:rPr>
        <w:t>(Aligned with NAAC, NBA, and QS I-GAUGE Accreditation Frameworks)</w:t>
      </w:r>
    </w:p>
    <w:p>
      <w:pPr>
        <w:keepNext/>
        <w:spacing w:before="200" w:after="120"/>
      </w:pPr>
      <w:r>
        <w:rPr>
          <w:rFonts w:ascii="Cambria" w:hAnsi="Cambria"/>
          <w:b/>
          <w:color w:val="1F3A5F"/>
          <w:sz w:val="26"/>
        </w:rPr>
        <w:t>A. Mapping with NAAC (National Assessment and Accreditation Council)</w:t>
      </w:r>
    </w:p>
    <w:tbl>
      <w:tblPr>
        <w:tblW w:type="auto" w:w="0"/>
        <w:jc w:val="center"/>
        <w:tblLayout w:type="fixed"/>
        <w:tblLook w:firstColumn="1" w:firstRow="1" w:lastColumn="0" w:lastRow="0" w:noHBand="0" w:noVBand="1" w:val="04A0"/>
        <w:tblW w:w="8505" w:type="dxa"/>
        <w:tblLayout w:type="fixed"/>
      </w:tblPr>
      <w:tblGrid>
        <w:gridCol w:w="1587"/>
        <w:gridCol w:w="2381"/>
        <w:gridCol w:w="2551"/>
        <w:gridCol w:w="1984"/>
      </w:tblGrid>
      <w:tr>
        <w:tc>
          <w:tcPr>
            <w:tcW w:type="dxa" w:w="1587"/>
            <w:tcW w:w="1587" w:type="dxa"/>
            <w:shd w:val="clear" w:color="auto" w:fill="1F3A5F"/>
          </w:tcPr>
          <w:p>
            <w:pPr>
              <w:jc w:val="center"/>
            </w:pPr>
            <w:r/>
            <w:r>
              <w:rPr>
                <w:rFonts w:ascii="Cambria" w:hAnsi="Cambria"/>
                <w:b/>
                <w:color w:val="FFFFFF"/>
                <w:sz w:val="22"/>
              </w:rPr>
              <w:t>NAAC Criterion</w:t>
            </w:r>
          </w:p>
        </w:tc>
        <w:tc>
          <w:tcPr>
            <w:tcW w:type="dxa" w:w="2381"/>
            <w:tcW w:w="2381" w:type="dxa"/>
            <w:shd w:val="clear" w:color="auto" w:fill="1F3A5F"/>
          </w:tcPr>
          <w:p>
            <w:pPr>
              <w:jc w:val="center"/>
            </w:pPr>
            <w:r/>
            <w:r>
              <w:rPr>
                <w:rFonts w:ascii="Cambria" w:hAnsi="Cambria"/>
                <w:b/>
                <w:color w:val="FFFFFF"/>
                <w:sz w:val="22"/>
              </w:rPr>
              <w:t>Key Indicator / Metric</w:t>
            </w:r>
          </w:p>
        </w:tc>
        <w:tc>
          <w:tcPr>
            <w:tcW w:type="dxa" w:w="2551"/>
            <w:tcW w:w="2551" w:type="dxa"/>
            <w:shd w:val="clear" w:color="auto" w:fill="1F3A5F"/>
          </w:tcPr>
          <w:p>
            <w:pPr>
              <w:jc w:val="center"/>
            </w:pPr>
            <w:r/>
            <w:r>
              <w:rPr>
                <w:rFonts w:ascii="Cambria" w:hAnsi="Cambria"/>
                <w:b/>
                <w:color w:val="FFFFFF"/>
                <w:sz w:val="22"/>
              </w:rPr>
              <w:t>Role of Associate Dean</w:t>
            </w:r>
          </w:p>
        </w:tc>
        <w:tc>
          <w:tcPr>
            <w:tcW w:type="dxa" w:w="1984"/>
            <w:tcW w:w="1984" w:type="dxa"/>
            <w:shd w:val="clear" w:color="auto" w:fill="1F3A5F"/>
          </w:tcPr>
          <w:p>
            <w:pPr>
              <w:jc w:val="center"/>
            </w:pPr>
            <w:r/>
            <w:r>
              <w:rPr>
                <w:rFonts w:ascii="Cambria" w:hAnsi="Cambria"/>
                <w:b/>
                <w:color w:val="FFFFFF"/>
                <w:sz w:val="22"/>
              </w:rPr>
              <w:t>Supporting Evidence</w:t>
            </w:r>
          </w:p>
        </w:tc>
      </w:tr>
      <w:tr>
        <w:tc>
          <w:tcPr>
            <w:tcW w:type="dxa" w:w="1587"/>
            <w:tcW w:w="1587" w:type="dxa"/>
          </w:tcPr>
          <w:p>
            <w:pPr>
              <w:jc w:val="left"/>
            </w:pPr>
            <w:r/>
            <w:r>
              <w:rPr>
                <w:rFonts w:ascii="Cambria" w:hAnsi="Cambria"/>
                <w:b w:val="0"/>
                <w:sz w:val="18"/>
              </w:rPr>
              <w:t>Criterion 5: Student Support and Progression</w:t>
            </w:r>
          </w:p>
        </w:tc>
        <w:tc>
          <w:tcPr>
            <w:tcW w:type="dxa" w:w="2381"/>
            <w:tcW w:w="2381" w:type="dxa"/>
          </w:tcPr>
          <w:p>
            <w:pPr>
              <w:jc w:val="center"/>
            </w:pPr>
            <w:r/>
            <w:r>
              <w:rPr>
                <w:rFonts w:ascii="Cambria" w:hAnsi="Cambria"/>
                <w:b w:val="0"/>
                <w:sz w:val="18"/>
              </w:rPr>
              <w:t>5.1.1 – Student support schemes (scholarships, free-ships, etc.) implemented</w:t>
            </w:r>
          </w:p>
        </w:tc>
        <w:tc>
          <w:tcPr>
            <w:tcW w:type="dxa" w:w="2551"/>
            <w:tcW w:w="2551" w:type="dxa"/>
          </w:tcPr>
          <w:p>
            <w:pPr>
              <w:jc w:val="center"/>
            </w:pPr>
            <w:r/>
            <w:r>
              <w:rPr>
                <w:rFonts w:ascii="Cambria" w:hAnsi="Cambria"/>
                <w:b w:val="0"/>
                <w:sz w:val="18"/>
              </w:rPr>
              <w:t>Oversees design, implementation, and monitoring of financial aid and welfare programs.</w:t>
            </w:r>
          </w:p>
        </w:tc>
        <w:tc>
          <w:tcPr>
            <w:tcW w:type="dxa" w:w="1984"/>
            <w:tcW w:w="1984" w:type="dxa"/>
          </w:tcPr>
          <w:p>
            <w:pPr>
              <w:jc w:val="center"/>
            </w:pPr>
            <w:r/>
            <w:r>
              <w:rPr>
                <w:rFonts w:ascii="Cambria" w:hAnsi="Cambria"/>
                <w:b w:val="0"/>
                <w:sz w:val="18"/>
              </w:rPr>
              <w:t>Annual Welfare Reports, Scholarship Registers, Disbursement Records</w:t>
            </w:r>
          </w:p>
        </w:tc>
      </w:tr>
      <w:tr>
        <w:tc>
          <w:tcPr>
            <w:tcW w:type="dxa" w:w="1587"/>
            <w:tcW w:w="1587" w:type="dxa"/>
            <w:shd w:val="clear" w:color="auto" w:fill="DCE6F1"/>
          </w:tcPr>
          <w:p>
            <w:pPr>
              <w:jc w:val="left"/>
            </w:pPr>
            <w:r/>
            <w:r>
              <w:rPr>
                <w:rFonts w:ascii="Cambria" w:hAnsi="Cambria"/>
                <w:b w:val="0"/>
                <w:sz w:val="18"/>
              </w:rPr>
            </w:r>
          </w:p>
        </w:tc>
        <w:tc>
          <w:tcPr>
            <w:tcW w:type="dxa" w:w="2381"/>
            <w:tcW w:w="2381" w:type="dxa"/>
            <w:shd w:val="clear" w:color="auto" w:fill="DCE6F1"/>
          </w:tcPr>
          <w:p>
            <w:pPr>
              <w:jc w:val="center"/>
            </w:pPr>
            <w:r/>
            <w:r>
              <w:rPr>
                <w:rFonts w:ascii="Cambria" w:hAnsi="Cambria"/>
                <w:b w:val="0"/>
                <w:sz w:val="18"/>
              </w:rPr>
              <w:t>5.1.2 – Capacity development and skills enhancement initiatives</w:t>
            </w:r>
          </w:p>
        </w:tc>
        <w:tc>
          <w:tcPr>
            <w:tcW w:type="dxa" w:w="2551"/>
            <w:tcW w:w="2551" w:type="dxa"/>
            <w:shd w:val="clear" w:color="auto" w:fill="DCE6F1"/>
          </w:tcPr>
          <w:p>
            <w:pPr>
              <w:jc w:val="center"/>
            </w:pPr>
            <w:r/>
            <w:r>
              <w:rPr>
                <w:rFonts w:ascii="Cambria" w:hAnsi="Cambria"/>
                <w:b w:val="0"/>
                <w:sz w:val="18"/>
              </w:rPr>
              <w:t>Organizes career guidance, life skills, and emotional intelligence programs.</w:t>
            </w:r>
          </w:p>
        </w:tc>
        <w:tc>
          <w:tcPr>
            <w:tcW w:type="dxa" w:w="1984"/>
            <w:tcW w:w="1984" w:type="dxa"/>
            <w:shd w:val="clear" w:color="auto" w:fill="DCE6F1"/>
          </w:tcPr>
          <w:p>
            <w:pPr>
              <w:jc w:val="center"/>
            </w:pPr>
            <w:r/>
            <w:r>
              <w:rPr>
                <w:rFonts w:ascii="Cambria" w:hAnsi="Cambria"/>
                <w:b w:val="0"/>
                <w:sz w:val="18"/>
              </w:rPr>
              <w:t>Workshop Reports, Feedback Forms, Photographs, Certificates</w:t>
            </w:r>
          </w:p>
        </w:tc>
      </w:tr>
      <w:tr>
        <w:tc>
          <w:tcPr>
            <w:tcW w:type="dxa" w:w="1587"/>
            <w:tcW w:w="1587" w:type="dxa"/>
          </w:tcPr>
          <w:p>
            <w:pPr>
              <w:jc w:val="left"/>
            </w:pPr>
            <w:r/>
            <w:r>
              <w:rPr>
                <w:rFonts w:ascii="Cambria" w:hAnsi="Cambria"/>
                <w:b w:val="0"/>
                <w:sz w:val="18"/>
              </w:rPr>
            </w:r>
          </w:p>
        </w:tc>
        <w:tc>
          <w:tcPr>
            <w:tcW w:type="dxa" w:w="2381"/>
            <w:tcW w:w="2381" w:type="dxa"/>
          </w:tcPr>
          <w:p>
            <w:pPr>
              <w:jc w:val="center"/>
            </w:pPr>
            <w:r/>
            <w:r>
              <w:rPr>
                <w:rFonts w:ascii="Cambria" w:hAnsi="Cambria"/>
                <w:b w:val="0"/>
                <w:sz w:val="18"/>
              </w:rPr>
              <w:t>5.1.3 – Guidance for competitive exams and career counselling</w:t>
            </w:r>
          </w:p>
        </w:tc>
        <w:tc>
          <w:tcPr>
            <w:tcW w:type="dxa" w:w="2551"/>
            <w:tcW w:w="2551" w:type="dxa"/>
          </w:tcPr>
          <w:p>
            <w:pPr>
              <w:jc w:val="center"/>
            </w:pPr>
            <w:r/>
            <w:r>
              <w:rPr>
                <w:rFonts w:ascii="Cambria" w:hAnsi="Cambria"/>
                <w:b w:val="0"/>
                <w:sz w:val="18"/>
              </w:rPr>
              <w:t>Establishes structured counselling and mentoring mechanisms.</w:t>
            </w:r>
          </w:p>
        </w:tc>
        <w:tc>
          <w:tcPr>
            <w:tcW w:type="dxa" w:w="1984"/>
            <w:tcW w:w="1984" w:type="dxa"/>
          </w:tcPr>
          <w:p>
            <w:pPr>
              <w:jc w:val="center"/>
            </w:pPr>
            <w:r/>
            <w:r>
              <w:rPr>
                <w:rFonts w:ascii="Cambria" w:hAnsi="Cambria"/>
                <w:b w:val="0"/>
                <w:sz w:val="18"/>
              </w:rPr>
              <w:t>Counselling Schedules, Attendance Sheets, Student Feedback</w:t>
            </w:r>
          </w:p>
        </w:tc>
      </w:tr>
      <w:tr>
        <w:tc>
          <w:tcPr>
            <w:tcW w:type="dxa" w:w="1587"/>
            <w:tcW w:w="1587" w:type="dxa"/>
            <w:shd w:val="clear" w:color="auto" w:fill="DCE6F1"/>
          </w:tcPr>
          <w:p>
            <w:pPr>
              <w:jc w:val="left"/>
            </w:pPr>
            <w:r/>
            <w:r>
              <w:rPr>
                <w:rFonts w:ascii="Cambria" w:hAnsi="Cambria"/>
                <w:b w:val="0"/>
                <w:sz w:val="18"/>
              </w:rPr>
            </w:r>
          </w:p>
        </w:tc>
        <w:tc>
          <w:tcPr>
            <w:tcW w:type="dxa" w:w="2381"/>
            <w:tcW w:w="2381" w:type="dxa"/>
            <w:shd w:val="clear" w:color="auto" w:fill="DCE6F1"/>
          </w:tcPr>
          <w:p>
            <w:pPr>
              <w:jc w:val="center"/>
            </w:pPr>
            <w:r/>
            <w:r>
              <w:rPr>
                <w:rFonts w:ascii="Cambria" w:hAnsi="Cambria"/>
                <w:b w:val="0"/>
                <w:sz w:val="18"/>
              </w:rPr>
              <w:t>5.1.4 – Grievance redressal mechanism functioning effectively</w:t>
            </w:r>
          </w:p>
        </w:tc>
        <w:tc>
          <w:tcPr>
            <w:tcW w:type="dxa" w:w="2551"/>
            <w:tcW w:w="2551" w:type="dxa"/>
            <w:shd w:val="clear" w:color="auto" w:fill="DCE6F1"/>
          </w:tcPr>
          <w:p>
            <w:pPr>
              <w:jc w:val="center"/>
            </w:pPr>
            <w:r/>
            <w:r>
              <w:rPr>
                <w:rFonts w:ascii="Cambria" w:hAnsi="Cambria"/>
                <w:b w:val="0"/>
                <w:sz w:val="18"/>
              </w:rPr>
              <w:t>Supervises grievance redressal cell and ensures timely resolution of complaints.</w:t>
            </w:r>
          </w:p>
        </w:tc>
        <w:tc>
          <w:tcPr>
            <w:tcW w:type="dxa" w:w="1984"/>
            <w:tcW w:w="1984" w:type="dxa"/>
            <w:shd w:val="clear" w:color="auto" w:fill="DCE6F1"/>
          </w:tcPr>
          <w:p>
            <w:pPr>
              <w:jc w:val="center"/>
            </w:pPr>
            <w:r/>
            <w:r>
              <w:rPr>
                <w:rFonts w:ascii="Cambria" w:hAnsi="Cambria"/>
                <w:b w:val="0"/>
                <w:sz w:val="18"/>
              </w:rPr>
              <w:t>Grievance Register, Resolution Reports, Committee Minutes</w:t>
            </w:r>
          </w:p>
        </w:tc>
      </w:tr>
      <w:tr>
        <w:tc>
          <w:tcPr>
            <w:tcW w:type="dxa" w:w="1587"/>
            <w:tcW w:w="1587" w:type="dxa"/>
          </w:tcPr>
          <w:p>
            <w:pPr>
              <w:jc w:val="left"/>
            </w:pPr>
            <w:r/>
            <w:r>
              <w:rPr>
                <w:rFonts w:ascii="Cambria" w:hAnsi="Cambria"/>
                <w:b w:val="0"/>
                <w:sz w:val="18"/>
              </w:rPr>
              <w:t>Criterion 5.2: Student Progression</w:t>
            </w:r>
          </w:p>
        </w:tc>
        <w:tc>
          <w:tcPr>
            <w:tcW w:type="dxa" w:w="2381"/>
            <w:tcW w:w="2381" w:type="dxa"/>
          </w:tcPr>
          <w:p>
            <w:pPr>
              <w:jc w:val="center"/>
            </w:pPr>
            <w:r/>
            <w:r>
              <w:rPr>
                <w:rFonts w:ascii="Cambria" w:hAnsi="Cambria"/>
                <w:b w:val="0"/>
                <w:sz w:val="18"/>
              </w:rPr>
              <w:t>5.2.1 – Placement and higher education support</w:t>
            </w:r>
          </w:p>
        </w:tc>
        <w:tc>
          <w:tcPr>
            <w:tcW w:type="dxa" w:w="2551"/>
            <w:tcW w:w="2551" w:type="dxa"/>
          </w:tcPr>
          <w:p>
            <w:pPr>
              <w:jc w:val="center"/>
            </w:pPr>
            <w:r/>
            <w:r>
              <w:rPr>
                <w:rFonts w:ascii="Cambria" w:hAnsi="Cambria"/>
                <w:b w:val="0"/>
                <w:sz w:val="18"/>
              </w:rPr>
              <w:t>Coordinates with Placement Cell and mentors students for progression.</w:t>
            </w:r>
          </w:p>
        </w:tc>
        <w:tc>
          <w:tcPr>
            <w:tcW w:type="dxa" w:w="1984"/>
            <w:tcW w:w="1984" w:type="dxa"/>
          </w:tcPr>
          <w:p>
            <w:pPr>
              <w:jc w:val="center"/>
            </w:pPr>
            <w:r/>
            <w:r>
              <w:rPr>
                <w:rFonts w:ascii="Cambria" w:hAnsi="Cambria"/>
                <w:b w:val="0"/>
                <w:sz w:val="18"/>
              </w:rPr>
              <w:t>Placement Reports, Counselling Records</w:t>
            </w:r>
          </w:p>
        </w:tc>
      </w:tr>
      <w:tr>
        <w:tc>
          <w:tcPr>
            <w:tcW w:type="dxa" w:w="1587"/>
            <w:tcW w:w="1587" w:type="dxa"/>
            <w:shd w:val="clear" w:color="auto" w:fill="DCE6F1"/>
          </w:tcPr>
          <w:p>
            <w:pPr>
              <w:jc w:val="left"/>
            </w:pPr>
            <w:r/>
            <w:r>
              <w:rPr>
                <w:rFonts w:ascii="Cambria" w:hAnsi="Cambria"/>
                <w:b w:val="0"/>
                <w:sz w:val="18"/>
              </w:rPr>
              <w:t>Criterion 5.3: Student Participation and Activities</w:t>
            </w:r>
          </w:p>
        </w:tc>
        <w:tc>
          <w:tcPr>
            <w:tcW w:type="dxa" w:w="2381"/>
            <w:tcW w:w="2381" w:type="dxa"/>
            <w:shd w:val="clear" w:color="auto" w:fill="DCE6F1"/>
          </w:tcPr>
          <w:p>
            <w:pPr>
              <w:jc w:val="center"/>
            </w:pPr>
            <w:r/>
            <w:r>
              <w:rPr>
                <w:rFonts w:ascii="Cambria" w:hAnsi="Cambria"/>
                <w:b w:val="0"/>
                <w:sz w:val="18"/>
              </w:rPr>
              <w:t>5.3.3 – Institutional initiatives for engagement in cultural, sports, and community services</w:t>
            </w:r>
          </w:p>
        </w:tc>
        <w:tc>
          <w:tcPr>
            <w:tcW w:type="dxa" w:w="2551"/>
            <w:tcW w:w="2551" w:type="dxa"/>
            <w:shd w:val="clear" w:color="auto" w:fill="DCE6F1"/>
          </w:tcPr>
          <w:p>
            <w:pPr>
              <w:jc w:val="center"/>
            </w:pPr>
            <w:r/>
            <w:r>
              <w:rPr>
                <w:rFonts w:ascii="Cambria" w:hAnsi="Cambria"/>
                <w:b w:val="0"/>
                <w:sz w:val="18"/>
              </w:rPr>
              <w:t>Promotes welfare programs, NSS/NCC, and extension activities.</w:t>
            </w:r>
          </w:p>
        </w:tc>
        <w:tc>
          <w:tcPr>
            <w:tcW w:type="dxa" w:w="1984"/>
            <w:tcW w:w="1984" w:type="dxa"/>
            <w:shd w:val="clear" w:color="auto" w:fill="DCE6F1"/>
          </w:tcPr>
          <w:p>
            <w:pPr>
              <w:jc w:val="center"/>
            </w:pPr>
            <w:r/>
            <w:r>
              <w:rPr>
                <w:rFonts w:ascii="Cambria" w:hAnsi="Cambria"/>
                <w:b w:val="0"/>
                <w:sz w:val="18"/>
              </w:rPr>
              <w:t>Event Calendars, Participation Lists, Activity Reports</w:t>
            </w:r>
          </w:p>
        </w:tc>
      </w:tr>
      <w:tr>
        <w:tc>
          <w:tcPr>
            <w:tcW w:type="dxa" w:w="1587"/>
            <w:tcW w:w="1587" w:type="dxa"/>
          </w:tcPr>
          <w:p>
            <w:pPr>
              <w:jc w:val="left"/>
            </w:pPr>
            <w:r/>
            <w:r>
              <w:rPr>
                <w:rFonts w:ascii="Cambria" w:hAnsi="Cambria"/>
                <w:b w:val="0"/>
                <w:sz w:val="18"/>
              </w:rPr>
              <w:t>Criterion 6: Governance, Leadership, and Management</w:t>
            </w:r>
          </w:p>
        </w:tc>
        <w:tc>
          <w:tcPr>
            <w:tcW w:type="dxa" w:w="2381"/>
            <w:tcW w:w="2381" w:type="dxa"/>
          </w:tcPr>
          <w:p>
            <w:pPr>
              <w:jc w:val="center"/>
            </w:pPr>
            <w:r/>
            <w:r>
              <w:rPr>
                <w:rFonts w:ascii="Cambria" w:hAnsi="Cambria"/>
                <w:b w:val="0"/>
                <w:sz w:val="18"/>
              </w:rPr>
              <w:t>6.5.2 – Internal Quality Assurance Cell (IQAC) contribution</w:t>
            </w:r>
          </w:p>
        </w:tc>
        <w:tc>
          <w:tcPr>
            <w:tcW w:type="dxa" w:w="2551"/>
            <w:tcW w:w="2551" w:type="dxa"/>
          </w:tcPr>
          <w:p>
            <w:pPr>
              <w:jc w:val="center"/>
            </w:pPr>
            <w:r/>
            <w:r>
              <w:rPr>
                <w:rFonts w:ascii="Cambria" w:hAnsi="Cambria"/>
                <w:b w:val="0"/>
                <w:sz w:val="18"/>
              </w:rPr>
              <w:t>Submits periodic welfare, grievance, and counselling reports to IQAC.</w:t>
            </w:r>
          </w:p>
        </w:tc>
        <w:tc>
          <w:tcPr>
            <w:tcW w:type="dxa" w:w="1984"/>
            <w:tcW w:w="1984" w:type="dxa"/>
          </w:tcPr>
          <w:p>
            <w:pPr>
              <w:jc w:val="center"/>
            </w:pPr>
            <w:r/>
            <w:r>
              <w:rPr>
                <w:rFonts w:ascii="Cambria" w:hAnsi="Cambria"/>
                <w:b w:val="0"/>
                <w:sz w:val="18"/>
              </w:rPr>
              <w:t>IQAC Meeting Minutes, Reports Submitted</w:t>
            </w:r>
          </w:p>
        </w:tc>
      </w:tr>
      <w:tr>
        <w:tc>
          <w:tcPr>
            <w:tcW w:type="dxa" w:w="1587"/>
            <w:tcW w:w="1587" w:type="dxa"/>
            <w:shd w:val="clear" w:color="auto" w:fill="DCE6F1"/>
          </w:tcPr>
          <w:p>
            <w:pPr>
              <w:jc w:val="left"/>
            </w:pPr>
            <w:r/>
            <w:r>
              <w:rPr>
                <w:rFonts w:ascii="Cambria" w:hAnsi="Cambria"/>
                <w:b w:val="0"/>
                <w:sz w:val="18"/>
              </w:rPr>
              <w:t>Criterion 7: Institutional Values and Best Practices</w:t>
            </w:r>
          </w:p>
        </w:tc>
        <w:tc>
          <w:tcPr>
            <w:tcW w:type="dxa" w:w="2381"/>
            <w:tcW w:w="2381" w:type="dxa"/>
            <w:shd w:val="clear" w:color="auto" w:fill="DCE6F1"/>
          </w:tcPr>
          <w:p>
            <w:pPr>
              <w:jc w:val="center"/>
            </w:pPr>
            <w:r/>
            <w:r>
              <w:rPr>
                <w:rFonts w:ascii="Cambria" w:hAnsi="Cambria"/>
                <w:b w:val="0"/>
                <w:sz w:val="18"/>
              </w:rPr>
              <w:t>7.1.10 – Code of conduct and ethical governance</w:t>
            </w:r>
          </w:p>
        </w:tc>
        <w:tc>
          <w:tcPr>
            <w:tcW w:type="dxa" w:w="2551"/>
            <w:tcW w:w="2551" w:type="dxa"/>
            <w:shd w:val="clear" w:color="auto" w:fill="DCE6F1"/>
          </w:tcPr>
          <w:p>
            <w:pPr>
              <w:jc w:val="center"/>
            </w:pPr>
            <w:r/>
            <w:r>
              <w:rPr>
                <w:rFonts w:ascii="Cambria" w:hAnsi="Cambria"/>
                <w:b w:val="0"/>
                <w:sz w:val="18"/>
              </w:rPr>
              <w:t>Ensures anti-ragging, gender equity, and ethical behaviour practices.</w:t>
            </w:r>
          </w:p>
        </w:tc>
        <w:tc>
          <w:tcPr>
            <w:tcW w:type="dxa" w:w="1984"/>
            <w:tcW w:w="1984" w:type="dxa"/>
            <w:shd w:val="clear" w:color="auto" w:fill="DCE6F1"/>
          </w:tcPr>
          <w:p>
            <w:pPr>
              <w:jc w:val="center"/>
            </w:pPr>
            <w:r/>
            <w:r>
              <w:rPr>
                <w:rFonts w:ascii="Cambria" w:hAnsi="Cambria"/>
                <w:b w:val="0"/>
                <w:sz w:val="18"/>
              </w:rPr>
              <w:t>ICC and Anti-Ragging Reports, Awareness Campaign Records</w:t>
            </w:r>
          </w:p>
        </w:tc>
      </w:tr>
    </w:tbl>
    <w:p>
      <w:pPr>
        <w:keepNext/>
        <w:spacing w:before="200" w:after="120"/>
      </w:pPr>
      <w:r>
        <w:rPr>
          <w:rFonts w:ascii="Cambria" w:hAnsi="Cambria"/>
          <w:b/>
          <w:color w:val="1F3A5F"/>
          <w:sz w:val="26"/>
        </w:rPr>
        <w:t>B. Mapping with NBA (National Board of Accreditation)</w:t>
      </w:r>
    </w:p>
    <w:tbl>
      <w:tblPr>
        <w:tblW w:type="auto" w:w="0"/>
        <w:jc w:val="center"/>
        <w:tblLayout w:type="fixed"/>
        <w:tblLook w:firstColumn="1" w:firstRow="1" w:lastColumn="0" w:lastRow="0" w:noHBand="0" w:noVBand="1" w:val="04A0"/>
        <w:tblW w:w="8505" w:type="dxa"/>
        <w:tblLayout w:type="fixed"/>
      </w:tblPr>
      <w:tblGrid>
        <w:gridCol w:w="1587"/>
        <w:gridCol w:w="2268"/>
        <w:gridCol w:w="2551"/>
        <w:gridCol w:w="2097"/>
      </w:tblGrid>
      <w:tr>
        <w:tc>
          <w:tcPr>
            <w:tcW w:type="dxa" w:w="1587"/>
            <w:tcW w:w="1587" w:type="dxa"/>
            <w:shd w:val="clear" w:color="auto" w:fill="1F3A5F"/>
          </w:tcPr>
          <w:p>
            <w:pPr>
              <w:jc w:val="center"/>
            </w:pPr>
            <w:r/>
            <w:r>
              <w:rPr>
                <w:rFonts w:ascii="Cambria" w:hAnsi="Cambria"/>
                <w:b/>
                <w:color w:val="FFFFFF"/>
                <w:sz w:val="22"/>
              </w:rPr>
              <w:t>NBA Criterion</w:t>
            </w:r>
          </w:p>
        </w:tc>
        <w:tc>
          <w:tcPr>
            <w:tcW w:type="dxa" w:w="2268"/>
            <w:tcW w:w="2268" w:type="dxa"/>
            <w:shd w:val="clear" w:color="auto" w:fill="1F3A5F"/>
          </w:tcPr>
          <w:p>
            <w:pPr>
              <w:jc w:val="center"/>
            </w:pPr>
            <w:r/>
            <w:r>
              <w:rPr>
                <w:rFonts w:ascii="Cambria" w:hAnsi="Cambria"/>
                <w:b/>
                <w:color w:val="FFFFFF"/>
                <w:sz w:val="22"/>
              </w:rPr>
              <w:t>Parameter / Focus Area</w:t>
            </w:r>
          </w:p>
        </w:tc>
        <w:tc>
          <w:tcPr>
            <w:tcW w:type="dxa" w:w="2551"/>
            <w:tcW w:w="2551" w:type="dxa"/>
            <w:shd w:val="clear" w:color="auto" w:fill="1F3A5F"/>
          </w:tcPr>
          <w:p>
            <w:pPr>
              <w:jc w:val="center"/>
            </w:pPr>
            <w:r/>
            <w:r>
              <w:rPr>
                <w:rFonts w:ascii="Cambria" w:hAnsi="Cambria"/>
                <w:b/>
                <w:color w:val="FFFFFF"/>
                <w:sz w:val="22"/>
              </w:rPr>
              <w:t>Duties of Associate Dean</w:t>
            </w:r>
          </w:p>
        </w:tc>
        <w:tc>
          <w:tcPr>
            <w:tcW w:type="dxa" w:w="2098"/>
            <w:tcW w:w="2097" w:type="dxa"/>
            <w:shd w:val="clear" w:color="auto" w:fill="1F3A5F"/>
          </w:tcPr>
          <w:p>
            <w:pPr>
              <w:jc w:val="center"/>
            </w:pPr>
            <w:r/>
            <w:r>
              <w:rPr>
                <w:rFonts w:ascii="Cambria" w:hAnsi="Cambria"/>
                <w:b/>
                <w:color w:val="FFFFFF"/>
                <w:sz w:val="22"/>
              </w:rPr>
              <w:t>Evidence and Documentation</w:t>
            </w:r>
          </w:p>
        </w:tc>
      </w:tr>
      <w:tr>
        <w:tc>
          <w:tcPr>
            <w:tcW w:type="dxa" w:w="1587"/>
            <w:tcW w:w="1587" w:type="dxa"/>
          </w:tcPr>
          <w:p>
            <w:pPr>
              <w:jc w:val="left"/>
            </w:pPr>
            <w:r/>
            <w:r>
              <w:rPr>
                <w:rFonts w:ascii="Cambria" w:hAnsi="Cambria"/>
                <w:b w:val="0"/>
                <w:sz w:val="18"/>
              </w:rPr>
              <w:t>Criterion 8: First Year Academics (50 Marks)</w:t>
            </w:r>
          </w:p>
        </w:tc>
        <w:tc>
          <w:tcPr>
            <w:tcW w:type="dxa" w:w="2268"/>
            <w:tcW w:w="2268" w:type="dxa"/>
          </w:tcPr>
          <w:p>
            <w:pPr>
              <w:jc w:val="center"/>
            </w:pPr>
            <w:r/>
            <w:r>
              <w:rPr>
                <w:rFonts w:ascii="Cambria" w:hAnsi="Cambria"/>
                <w:b w:val="0"/>
                <w:sz w:val="18"/>
              </w:rPr>
              <w:t>Student admission, induction, and support mechanisms</w:t>
            </w:r>
          </w:p>
        </w:tc>
        <w:tc>
          <w:tcPr>
            <w:tcW w:type="dxa" w:w="2551"/>
            <w:tcW w:w="2551" w:type="dxa"/>
          </w:tcPr>
          <w:p>
            <w:pPr>
              <w:jc w:val="center"/>
            </w:pPr>
            <w:r/>
            <w:r>
              <w:rPr>
                <w:rFonts w:ascii="Cambria" w:hAnsi="Cambria"/>
                <w:b w:val="0"/>
                <w:sz w:val="18"/>
              </w:rPr>
              <w:t>Designs and executes orientation, mentoring, and welfare programs for first-year students.</w:t>
            </w:r>
          </w:p>
        </w:tc>
        <w:tc>
          <w:tcPr>
            <w:tcW w:type="dxa" w:w="2098"/>
            <w:tcW w:w="2097" w:type="dxa"/>
          </w:tcPr>
          <w:p>
            <w:pPr>
              <w:jc w:val="center"/>
            </w:pPr>
            <w:r/>
            <w:r>
              <w:rPr>
                <w:rFonts w:ascii="Cambria" w:hAnsi="Cambria"/>
                <w:b w:val="0"/>
                <w:sz w:val="18"/>
              </w:rPr>
              <w:t>Induction Program Schedule, Mentor-Mentee Logs</w:t>
            </w:r>
          </w:p>
        </w:tc>
      </w:tr>
      <w:tr>
        <w:tc>
          <w:tcPr>
            <w:tcW w:type="dxa" w:w="1587"/>
            <w:tcW w:w="1587" w:type="dxa"/>
            <w:shd w:val="clear" w:color="auto" w:fill="DCE6F1"/>
          </w:tcPr>
          <w:p>
            <w:pPr>
              <w:jc w:val="left"/>
            </w:pPr>
            <w:r/>
            <w:r>
              <w:rPr>
                <w:rFonts w:ascii="Cambria" w:hAnsi="Cambria"/>
                <w:b w:val="0"/>
                <w:sz w:val="18"/>
              </w:rPr>
            </w:r>
          </w:p>
        </w:tc>
        <w:tc>
          <w:tcPr>
            <w:tcW w:type="dxa" w:w="2268"/>
            <w:tcW w:w="2268" w:type="dxa"/>
            <w:shd w:val="clear" w:color="auto" w:fill="DCE6F1"/>
          </w:tcPr>
          <w:p>
            <w:pPr>
              <w:jc w:val="center"/>
            </w:pPr>
            <w:r/>
            <w:r>
              <w:rPr>
                <w:rFonts w:ascii="Cambria" w:hAnsi="Cambria"/>
                <w:b w:val="0"/>
                <w:sz w:val="18"/>
              </w:rPr>
              <w:t>Academic performance monitoring</w:t>
            </w:r>
          </w:p>
        </w:tc>
        <w:tc>
          <w:tcPr>
            <w:tcW w:type="dxa" w:w="2551"/>
            <w:tcW w:w="2551" w:type="dxa"/>
            <w:shd w:val="clear" w:color="auto" w:fill="DCE6F1"/>
          </w:tcPr>
          <w:p>
            <w:pPr>
              <w:jc w:val="center"/>
            </w:pPr>
            <w:r/>
            <w:r>
              <w:rPr>
                <w:rFonts w:ascii="Cambria" w:hAnsi="Cambria"/>
                <w:b w:val="0"/>
                <w:sz w:val="18"/>
              </w:rPr>
              <w:t>Collaborates with departments to support low-performing students through counselling.</w:t>
            </w:r>
          </w:p>
        </w:tc>
        <w:tc>
          <w:tcPr>
            <w:tcW w:type="dxa" w:w="2098"/>
            <w:tcW w:w="2097" w:type="dxa"/>
            <w:shd w:val="clear" w:color="auto" w:fill="DCE6F1"/>
          </w:tcPr>
          <w:p>
            <w:pPr>
              <w:jc w:val="center"/>
            </w:pPr>
            <w:r/>
            <w:r>
              <w:rPr>
                <w:rFonts w:ascii="Cambria" w:hAnsi="Cambria"/>
                <w:b w:val="0"/>
                <w:sz w:val="18"/>
              </w:rPr>
              <w:t>Academic Counselling Reports, Improvement Plans</w:t>
            </w:r>
          </w:p>
        </w:tc>
      </w:tr>
      <w:tr>
        <w:tc>
          <w:tcPr>
            <w:tcW w:type="dxa" w:w="1587"/>
            <w:tcW w:w="1587" w:type="dxa"/>
          </w:tcPr>
          <w:p>
            <w:pPr>
              <w:jc w:val="left"/>
            </w:pPr>
            <w:r/>
            <w:r>
              <w:rPr>
                <w:rFonts w:ascii="Cambria" w:hAnsi="Cambria"/>
                <w:b w:val="0"/>
                <w:sz w:val="18"/>
              </w:rPr>
            </w:r>
          </w:p>
        </w:tc>
        <w:tc>
          <w:tcPr>
            <w:tcW w:type="dxa" w:w="2268"/>
            <w:tcW w:w="2268" w:type="dxa"/>
          </w:tcPr>
          <w:p>
            <w:pPr>
              <w:jc w:val="center"/>
            </w:pPr>
            <w:r/>
            <w:r>
              <w:rPr>
                <w:rFonts w:ascii="Cambria" w:hAnsi="Cambria"/>
                <w:b w:val="0"/>
                <w:sz w:val="18"/>
              </w:rPr>
              <w:t>Student feedback and grievance redressal</w:t>
            </w:r>
          </w:p>
        </w:tc>
        <w:tc>
          <w:tcPr>
            <w:tcW w:type="dxa" w:w="2551"/>
            <w:tcW w:w="2551" w:type="dxa"/>
          </w:tcPr>
          <w:p>
            <w:pPr>
              <w:jc w:val="center"/>
            </w:pPr>
            <w:r/>
            <w:r>
              <w:rPr>
                <w:rFonts w:ascii="Cambria" w:hAnsi="Cambria"/>
                <w:b w:val="0"/>
                <w:sz w:val="18"/>
              </w:rPr>
              <w:t>Ensures structured redressal and feedback systems.</w:t>
            </w:r>
          </w:p>
        </w:tc>
        <w:tc>
          <w:tcPr>
            <w:tcW w:type="dxa" w:w="2098"/>
            <w:tcW w:w="2097" w:type="dxa"/>
          </w:tcPr>
          <w:p>
            <w:pPr>
              <w:jc w:val="center"/>
            </w:pPr>
            <w:r/>
            <w:r>
              <w:rPr>
                <w:rFonts w:ascii="Cambria" w:hAnsi="Cambria"/>
                <w:b w:val="0"/>
                <w:sz w:val="18"/>
              </w:rPr>
              <w:t>Grievance Cell Records, Action Taken Reports</w:t>
            </w:r>
          </w:p>
        </w:tc>
      </w:tr>
      <w:tr>
        <w:tc>
          <w:tcPr>
            <w:tcW w:type="dxa" w:w="1587"/>
            <w:tcW w:w="1587" w:type="dxa"/>
            <w:shd w:val="clear" w:color="auto" w:fill="DCE6F1"/>
          </w:tcPr>
          <w:p>
            <w:pPr>
              <w:jc w:val="left"/>
            </w:pPr>
            <w:r/>
            <w:r>
              <w:rPr>
                <w:rFonts w:ascii="Cambria" w:hAnsi="Cambria"/>
                <w:b w:val="0"/>
                <w:sz w:val="18"/>
              </w:rPr>
              <w:t>Criterion 9: Student Support Systems (50 Marks)</w:t>
            </w:r>
          </w:p>
        </w:tc>
        <w:tc>
          <w:tcPr>
            <w:tcW w:type="dxa" w:w="2268"/>
            <w:tcW w:w="2268" w:type="dxa"/>
            <w:shd w:val="clear" w:color="auto" w:fill="DCE6F1"/>
          </w:tcPr>
          <w:p>
            <w:pPr>
              <w:jc w:val="center"/>
            </w:pPr>
            <w:r/>
            <w:r>
              <w:rPr>
                <w:rFonts w:ascii="Cambria" w:hAnsi="Cambria"/>
                <w:b w:val="0"/>
                <w:sz w:val="18"/>
              </w:rPr>
              <w:t>Student welfare and counselling</w:t>
            </w:r>
          </w:p>
        </w:tc>
        <w:tc>
          <w:tcPr>
            <w:tcW w:type="dxa" w:w="2551"/>
            <w:tcW w:w="2551" w:type="dxa"/>
            <w:shd w:val="clear" w:color="auto" w:fill="DCE6F1"/>
          </w:tcPr>
          <w:p>
            <w:pPr>
              <w:jc w:val="center"/>
            </w:pPr>
            <w:r/>
            <w:r>
              <w:rPr>
                <w:rFonts w:ascii="Cambria" w:hAnsi="Cambria"/>
                <w:b w:val="0"/>
                <w:sz w:val="18"/>
              </w:rPr>
              <w:t>Implements psychological counselling, stress management, and academic mentoring systems.</w:t>
            </w:r>
          </w:p>
        </w:tc>
        <w:tc>
          <w:tcPr>
            <w:tcW w:type="dxa" w:w="2098"/>
            <w:tcW w:w="2097" w:type="dxa"/>
            <w:shd w:val="clear" w:color="auto" w:fill="DCE6F1"/>
          </w:tcPr>
          <w:p>
            <w:pPr>
              <w:jc w:val="center"/>
            </w:pPr>
            <w:r/>
            <w:r>
              <w:rPr>
                <w:rFonts w:ascii="Cambria" w:hAnsi="Cambria"/>
                <w:b w:val="0"/>
                <w:sz w:val="18"/>
              </w:rPr>
              <w:t>Counselling Logs, Event Reports</w:t>
            </w:r>
          </w:p>
        </w:tc>
      </w:tr>
      <w:tr>
        <w:tc>
          <w:tcPr>
            <w:tcW w:type="dxa" w:w="1587"/>
            <w:tcW w:w="1587" w:type="dxa"/>
          </w:tcPr>
          <w:p>
            <w:pPr>
              <w:jc w:val="left"/>
            </w:pPr>
            <w:r/>
            <w:r>
              <w:rPr>
                <w:rFonts w:ascii="Cambria" w:hAnsi="Cambria"/>
                <w:b w:val="0"/>
                <w:sz w:val="18"/>
              </w:rPr>
            </w:r>
          </w:p>
        </w:tc>
        <w:tc>
          <w:tcPr>
            <w:tcW w:type="dxa" w:w="2268"/>
            <w:tcW w:w="2268" w:type="dxa"/>
          </w:tcPr>
          <w:p>
            <w:pPr>
              <w:jc w:val="center"/>
            </w:pPr>
            <w:r/>
            <w:r>
              <w:rPr>
                <w:rFonts w:ascii="Cambria" w:hAnsi="Cambria"/>
                <w:b w:val="0"/>
                <w:sz w:val="18"/>
              </w:rPr>
              <w:t>Student satisfaction surveys</w:t>
            </w:r>
          </w:p>
        </w:tc>
        <w:tc>
          <w:tcPr>
            <w:tcW w:type="dxa" w:w="2551"/>
            <w:tcW w:w="2551" w:type="dxa"/>
          </w:tcPr>
          <w:p>
            <w:pPr>
              <w:jc w:val="center"/>
            </w:pPr>
            <w:r/>
            <w:r>
              <w:rPr>
                <w:rFonts w:ascii="Cambria" w:hAnsi="Cambria"/>
                <w:b w:val="0"/>
                <w:sz w:val="18"/>
              </w:rPr>
              <w:t>Conducts and analyses satisfaction surveys on welfare and support services.</w:t>
            </w:r>
          </w:p>
        </w:tc>
        <w:tc>
          <w:tcPr>
            <w:tcW w:type="dxa" w:w="2098"/>
            <w:tcW w:w="2097" w:type="dxa"/>
          </w:tcPr>
          <w:p>
            <w:pPr>
              <w:jc w:val="center"/>
            </w:pPr>
            <w:r/>
            <w:r>
              <w:rPr>
                <w:rFonts w:ascii="Cambria" w:hAnsi="Cambria"/>
                <w:b w:val="0"/>
                <w:sz w:val="18"/>
              </w:rPr>
              <w:t>Survey Reports, Summary Analysis</w:t>
            </w:r>
          </w:p>
        </w:tc>
      </w:tr>
      <w:tr>
        <w:tc>
          <w:tcPr>
            <w:tcW w:type="dxa" w:w="1587"/>
            <w:tcW w:w="1587" w:type="dxa"/>
            <w:shd w:val="clear" w:color="auto" w:fill="DCE6F1"/>
          </w:tcPr>
          <w:p>
            <w:pPr>
              <w:jc w:val="left"/>
            </w:pPr>
            <w:r/>
            <w:r>
              <w:rPr>
                <w:rFonts w:ascii="Cambria" w:hAnsi="Cambria"/>
                <w:b w:val="0"/>
                <w:sz w:val="18"/>
              </w:rPr>
              <w:t>Criterion 10: Continuous Improvement</w:t>
            </w:r>
          </w:p>
        </w:tc>
        <w:tc>
          <w:tcPr>
            <w:tcW w:type="dxa" w:w="2268"/>
            <w:tcW w:w="2268" w:type="dxa"/>
            <w:shd w:val="clear" w:color="auto" w:fill="DCE6F1"/>
          </w:tcPr>
          <w:p>
            <w:pPr>
              <w:jc w:val="center"/>
            </w:pPr>
            <w:r/>
            <w:r>
              <w:rPr>
                <w:rFonts w:ascii="Cambria" w:hAnsi="Cambria"/>
                <w:b w:val="0"/>
                <w:sz w:val="18"/>
              </w:rPr>
              <w:t>Quality review and internal audits</w:t>
            </w:r>
          </w:p>
        </w:tc>
        <w:tc>
          <w:tcPr>
            <w:tcW w:type="dxa" w:w="2551"/>
            <w:tcW w:w="2551" w:type="dxa"/>
            <w:shd w:val="clear" w:color="auto" w:fill="DCE6F1"/>
          </w:tcPr>
          <w:p>
            <w:pPr>
              <w:jc w:val="center"/>
            </w:pPr>
            <w:r/>
            <w:r>
              <w:rPr>
                <w:rFonts w:ascii="Cambria" w:hAnsi="Cambria"/>
                <w:b w:val="0"/>
                <w:sz w:val="18"/>
              </w:rPr>
              <w:t>Submits welfare and grievance audit data to IQAC for continuous improvement.</w:t>
            </w:r>
          </w:p>
        </w:tc>
        <w:tc>
          <w:tcPr>
            <w:tcW w:type="dxa" w:w="2098"/>
            <w:tcW w:w="2097" w:type="dxa"/>
            <w:shd w:val="clear" w:color="auto" w:fill="DCE6F1"/>
          </w:tcPr>
          <w:p>
            <w:pPr>
              <w:jc w:val="center"/>
            </w:pPr>
            <w:r/>
            <w:r>
              <w:rPr>
                <w:rFonts w:ascii="Cambria" w:hAnsi="Cambria"/>
                <w:b w:val="0"/>
                <w:sz w:val="18"/>
              </w:rPr>
              <w:t>Internal Audit Reports, Corrective Action Plans</w:t>
            </w:r>
          </w:p>
        </w:tc>
      </w:tr>
    </w:tbl>
    <w:p>
      <w:pPr>
        <w:keepNext/>
        <w:spacing w:before="200" w:after="120"/>
      </w:pPr>
      <w:r>
        <w:rPr>
          <w:rFonts w:ascii="Cambria" w:hAnsi="Cambria"/>
          <w:b/>
          <w:color w:val="1F3A5F"/>
          <w:sz w:val="26"/>
        </w:rPr>
        <w:t>C. Mapping with QS I-GAUGE Framework</w:t>
      </w:r>
    </w:p>
    <w:p>
      <w:r>
        <w:rPr>
          <w:rFonts w:ascii="Cambria" w:hAnsi="Cambria"/>
          <w:b w:val="0"/>
          <w:i/>
          <w:sz w:val="22"/>
        </w:rPr>
        <w:t>(QS I-GAUGE – Indian Higher Education Rating System)</w:t>
      </w:r>
    </w:p>
    <w:tbl>
      <w:tblPr>
        <w:tblW w:type="auto" w:w="0"/>
        <w:jc w:val="center"/>
        <w:tblLayout w:type="fixed"/>
        <w:tblLook w:firstColumn="1" w:firstRow="1" w:lastColumn="0" w:lastRow="0" w:noHBand="0" w:noVBand="1" w:val="04A0"/>
        <w:tblW w:w="8505" w:type="dxa"/>
        <w:tblLayout w:type="fixed"/>
      </w:tblPr>
      <w:tblGrid>
        <w:gridCol w:w="1587"/>
        <w:gridCol w:w="2154"/>
        <w:gridCol w:w="2494"/>
        <w:gridCol w:w="2268"/>
      </w:tblGrid>
      <w:tr>
        <w:tc>
          <w:tcPr>
            <w:tcW w:type="dxa" w:w="1587"/>
            <w:tcW w:w="1587" w:type="dxa"/>
            <w:shd w:val="clear" w:color="auto" w:fill="1F3A5F"/>
          </w:tcPr>
          <w:p>
            <w:pPr>
              <w:jc w:val="center"/>
            </w:pPr>
            <w:r/>
            <w:r>
              <w:rPr>
                <w:rFonts w:ascii="Cambria" w:hAnsi="Cambria"/>
                <w:b/>
                <w:color w:val="FFFFFF"/>
                <w:sz w:val="22"/>
              </w:rPr>
              <w:t>QS I-GAUGE Parameter</w:t>
            </w:r>
          </w:p>
        </w:tc>
        <w:tc>
          <w:tcPr>
            <w:tcW w:type="dxa" w:w="2154"/>
            <w:tcW w:w="2154" w:type="dxa"/>
            <w:shd w:val="clear" w:color="auto" w:fill="1F3A5F"/>
          </w:tcPr>
          <w:p>
            <w:pPr>
              <w:jc w:val="center"/>
            </w:pPr>
            <w:r/>
            <w:r>
              <w:rPr>
                <w:rFonts w:ascii="Cambria" w:hAnsi="Cambria"/>
                <w:b/>
                <w:color w:val="FFFFFF"/>
                <w:sz w:val="22"/>
              </w:rPr>
              <w:t>Indicator</w:t>
            </w:r>
          </w:p>
        </w:tc>
        <w:tc>
          <w:tcPr>
            <w:tcW w:type="dxa" w:w="2494"/>
            <w:tcW w:w="2494" w:type="dxa"/>
            <w:shd w:val="clear" w:color="auto" w:fill="1F3A5F"/>
          </w:tcPr>
          <w:p>
            <w:pPr>
              <w:jc w:val="center"/>
            </w:pPr>
            <w:r/>
            <w:r>
              <w:rPr>
                <w:rFonts w:ascii="Cambria" w:hAnsi="Cambria"/>
                <w:b/>
                <w:color w:val="FFFFFF"/>
                <w:sz w:val="22"/>
              </w:rPr>
              <w:t>Responsibilities of Associate Dean</w:t>
            </w:r>
          </w:p>
        </w:tc>
        <w:tc>
          <w:tcPr>
            <w:tcW w:type="dxa" w:w="2268"/>
            <w:tcW w:w="2268" w:type="dxa"/>
            <w:shd w:val="clear" w:color="auto" w:fill="1F3A5F"/>
          </w:tcPr>
          <w:p>
            <w:pPr>
              <w:jc w:val="center"/>
            </w:pPr>
            <w:r/>
            <w:r>
              <w:rPr>
                <w:rFonts w:ascii="Cambria" w:hAnsi="Cambria"/>
                <w:b/>
                <w:color w:val="FFFFFF"/>
                <w:sz w:val="22"/>
              </w:rPr>
              <w:t>Evidence / Proof of Practice</w:t>
            </w:r>
          </w:p>
        </w:tc>
      </w:tr>
      <w:tr>
        <w:tc>
          <w:tcPr>
            <w:tcW w:type="dxa" w:w="1587"/>
            <w:tcW w:w="1587" w:type="dxa"/>
          </w:tcPr>
          <w:p>
            <w:pPr>
              <w:jc w:val="left"/>
            </w:pPr>
            <w:r/>
            <w:r>
              <w:rPr>
                <w:rFonts w:ascii="Cambria" w:hAnsi="Cambria"/>
                <w:b w:val="0"/>
                <w:sz w:val="18"/>
              </w:rPr>
              <w:t>TL – Teaching and Learning</w:t>
            </w:r>
          </w:p>
        </w:tc>
        <w:tc>
          <w:tcPr>
            <w:tcW w:type="dxa" w:w="2154"/>
            <w:tcW w:w="2154" w:type="dxa"/>
          </w:tcPr>
          <w:p>
            <w:pPr>
              <w:jc w:val="center"/>
            </w:pPr>
            <w:r/>
            <w:r>
              <w:rPr>
                <w:rFonts w:ascii="Cambria" w:hAnsi="Cambria"/>
                <w:b w:val="0"/>
                <w:sz w:val="18"/>
              </w:rPr>
              <w:t>Student well-being and support mechanisms</w:t>
            </w:r>
          </w:p>
        </w:tc>
        <w:tc>
          <w:tcPr>
            <w:tcW w:type="dxa" w:w="2494"/>
            <w:tcW w:w="2494" w:type="dxa"/>
          </w:tcPr>
          <w:p>
            <w:pPr>
              <w:jc w:val="center"/>
            </w:pPr>
            <w:r/>
            <w:r>
              <w:rPr>
                <w:rFonts w:ascii="Cambria" w:hAnsi="Cambria"/>
                <w:b w:val="0"/>
                <w:sz w:val="18"/>
              </w:rPr>
              <w:t>Integrates wellness and mentoring services into learning environment.</w:t>
            </w:r>
          </w:p>
        </w:tc>
        <w:tc>
          <w:tcPr>
            <w:tcW w:type="dxa" w:w="2268"/>
            <w:tcW w:w="2268" w:type="dxa"/>
          </w:tcPr>
          <w:p>
            <w:pPr>
              <w:jc w:val="center"/>
            </w:pPr>
            <w:r/>
            <w:r>
              <w:rPr>
                <w:rFonts w:ascii="Cambria" w:hAnsi="Cambria"/>
                <w:b w:val="0"/>
                <w:sz w:val="18"/>
              </w:rPr>
              <w:t>Well-being Frameworks, Counselling Statistics</w:t>
            </w:r>
          </w:p>
        </w:tc>
      </w:tr>
      <w:tr>
        <w:tc>
          <w:tcPr>
            <w:tcW w:type="dxa" w:w="1587"/>
            <w:tcW w:w="1587" w:type="dxa"/>
            <w:shd w:val="clear" w:color="auto" w:fill="DCE6F1"/>
          </w:tcPr>
          <w:p>
            <w:pPr>
              <w:jc w:val="left"/>
            </w:pPr>
            <w:r/>
            <w:r>
              <w:rPr>
                <w:rFonts w:ascii="Cambria" w:hAnsi="Cambria"/>
                <w:b w:val="0"/>
                <w:sz w:val="18"/>
              </w:rPr>
              <w:t>DA – Diversity and Accessibility</w:t>
            </w:r>
          </w:p>
        </w:tc>
        <w:tc>
          <w:tcPr>
            <w:tcW w:type="dxa" w:w="2154"/>
            <w:tcW w:w="2154" w:type="dxa"/>
            <w:shd w:val="clear" w:color="auto" w:fill="DCE6F1"/>
          </w:tcPr>
          <w:p>
            <w:pPr>
              <w:jc w:val="center"/>
            </w:pPr>
            <w:r/>
            <w:r>
              <w:rPr>
                <w:rFonts w:ascii="Cambria" w:hAnsi="Cambria"/>
                <w:b w:val="0"/>
                <w:sz w:val="18"/>
              </w:rPr>
              <w:t>Equal opportunity and inclusion</w:t>
            </w:r>
          </w:p>
        </w:tc>
        <w:tc>
          <w:tcPr>
            <w:tcW w:type="dxa" w:w="2494"/>
            <w:tcW w:w="2494" w:type="dxa"/>
            <w:shd w:val="clear" w:color="auto" w:fill="DCE6F1"/>
          </w:tcPr>
          <w:p>
            <w:pPr>
              <w:jc w:val="center"/>
            </w:pPr>
            <w:r/>
            <w:r>
              <w:rPr>
                <w:rFonts w:ascii="Cambria" w:hAnsi="Cambria"/>
                <w:b w:val="0"/>
                <w:sz w:val="18"/>
              </w:rPr>
              <w:t>Promotes gender equity, inclusivity, and accessibility in welfare programs.</w:t>
            </w:r>
          </w:p>
        </w:tc>
        <w:tc>
          <w:tcPr>
            <w:tcW w:type="dxa" w:w="2268"/>
            <w:tcW w:w="2268" w:type="dxa"/>
            <w:shd w:val="clear" w:color="auto" w:fill="DCE6F1"/>
          </w:tcPr>
          <w:p>
            <w:pPr>
              <w:jc w:val="center"/>
            </w:pPr>
            <w:r/>
            <w:r>
              <w:rPr>
                <w:rFonts w:ascii="Cambria" w:hAnsi="Cambria"/>
                <w:b w:val="0"/>
                <w:sz w:val="18"/>
              </w:rPr>
              <w:t>Gender Sensitization Reports, Inclusion Policy</w:t>
            </w:r>
          </w:p>
        </w:tc>
      </w:tr>
      <w:tr>
        <w:tc>
          <w:tcPr>
            <w:tcW w:type="dxa" w:w="1587"/>
            <w:tcW w:w="1587" w:type="dxa"/>
          </w:tcPr>
          <w:p>
            <w:pPr>
              <w:jc w:val="left"/>
            </w:pPr>
            <w:r/>
            <w:r>
              <w:rPr>
                <w:rFonts w:ascii="Cambria" w:hAnsi="Cambria"/>
                <w:b w:val="0"/>
                <w:sz w:val="18"/>
              </w:rPr>
              <w:t>FC – Faculty and Student Development</w:t>
            </w:r>
          </w:p>
        </w:tc>
        <w:tc>
          <w:tcPr>
            <w:tcW w:type="dxa" w:w="2154"/>
            <w:tcW w:w="2154" w:type="dxa"/>
          </w:tcPr>
          <w:p>
            <w:pPr>
              <w:jc w:val="center"/>
            </w:pPr>
            <w:r/>
            <w:r>
              <w:rPr>
                <w:rFonts w:ascii="Cambria" w:hAnsi="Cambria"/>
                <w:b w:val="0"/>
                <w:sz w:val="18"/>
              </w:rPr>
              <w:t>Student mentoring and engagement</w:t>
            </w:r>
          </w:p>
        </w:tc>
        <w:tc>
          <w:tcPr>
            <w:tcW w:type="dxa" w:w="2494"/>
            <w:tcW w:w="2494" w:type="dxa"/>
          </w:tcPr>
          <w:p>
            <w:pPr>
              <w:jc w:val="center"/>
            </w:pPr>
            <w:r/>
            <w:r>
              <w:rPr>
                <w:rFonts w:ascii="Cambria" w:hAnsi="Cambria"/>
                <w:b w:val="0"/>
                <w:sz w:val="18"/>
              </w:rPr>
              <w:t>Conducts regular mentoring sessions and skill enhancement initiatives.</w:t>
            </w:r>
          </w:p>
        </w:tc>
        <w:tc>
          <w:tcPr>
            <w:tcW w:type="dxa" w:w="2268"/>
            <w:tcW w:w="2268" w:type="dxa"/>
          </w:tcPr>
          <w:p>
            <w:pPr>
              <w:jc w:val="center"/>
            </w:pPr>
            <w:r/>
            <w:r>
              <w:rPr>
                <w:rFonts w:ascii="Cambria" w:hAnsi="Cambria"/>
                <w:b w:val="0"/>
                <w:sz w:val="18"/>
              </w:rPr>
              <w:t>Mentor-Mentee Registers, Program Schedules</w:t>
            </w:r>
          </w:p>
        </w:tc>
      </w:tr>
      <w:tr>
        <w:tc>
          <w:tcPr>
            <w:tcW w:type="dxa" w:w="1587"/>
            <w:tcW w:w="1587" w:type="dxa"/>
            <w:shd w:val="clear" w:color="auto" w:fill="DCE6F1"/>
          </w:tcPr>
          <w:p>
            <w:pPr>
              <w:jc w:val="left"/>
            </w:pPr>
            <w:r/>
            <w:r>
              <w:rPr>
                <w:rFonts w:ascii="Cambria" w:hAnsi="Cambria"/>
                <w:b w:val="0"/>
                <w:sz w:val="18"/>
              </w:rPr>
              <w:t>EP – Employability and Entrepreneurship</w:t>
            </w:r>
          </w:p>
        </w:tc>
        <w:tc>
          <w:tcPr>
            <w:tcW w:type="dxa" w:w="2154"/>
            <w:tcW w:w="2154" w:type="dxa"/>
            <w:shd w:val="clear" w:color="auto" w:fill="DCE6F1"/>
          </w:tcPr>
          <w:p>
            <w:pPr>
              <w:jc w:val="center"/>
            </w:pPr>
            <w:r/>
            <w:r>
              <w:rPr>
                <w:rFonts w:ascii="Cambria" w:hAnsi="Cambria"/>
                <w:b w:val="0"/>
                <w:sz w:val="18"/>
              </w:rPr>
              <w:t>Career counselling and personal development</w:t>
            </w:r>
          </w:p>
        </w:tc>
        <w:tc>
          <w:tcPr>
            <w:tcW w:type="dxa" w:w="2494"/>
            <w:tcW w:w="2494" w:type="dxa"/>
            <w:shd w:val="clear" w:color="auto" w:fill="DCE6F1"/>
          </w:tcPr>
          <w:p>
            <w:pPr>
              <w:jc w:val="center"/>
            </w:pPr>
            <w:r/>
            <w:r>
              <w:rPr>
                <w:rFonts w:ascii="Cambria" w:hAnsi="Cambria"/>
                <w:b w:val="0"/>
                <w:sz w:val="18"/>
              </w:rPr>
              <w:t>Provides guidance through structured counselling and personality development sessions.</w:t>
            </w:r>
          </w:p>
        </w:tc>
        <w:tc>
          <w:tcPr>
            <w:tcW w:type="dxa" w:w="2268"/>
            <w:tcW w:w="2268" w:type="dxa"/>
            <w:shd w:val="clear" w:color="auto" w:fill="DCE6F1"/>
          </w:tcPr>
          <w:p>
            <w:pPr>
              <w:jc w:val="center"/>
            </w:pPr>
            <w:r/>
            <w:r>
              <w:rPr>
                <w:rFonts w:ascii="Cambria" w:hAnsi="Cambria"/>
                <w:b w:val="0"/>
                <w:sz w:val="18"/>
              </w:rPr>
              <w:t>Counselling Records, Student Career Profiles</w:t>
            </w:r>
          </w:p>
        </w:tc>
      </w:tr>
      <w:tr>
        <w:tc>
          <w:tcPr>
            <w:tcW w:type="dxa" w:w="1587"/>
            <w:tcW w:w="1587" w:type="dxa"/>
          </w:tcPr>
          <w:p>
            <w:pPr>
              <w:jc w:val="left"/>
            </w:pPr>
            <w:r/>
            <w:r>
              <w:rPr>
                <w:rFonts w:ascii="Cambria" w:hAnsi="Cambria"/>
                <w:b w:val="0"/>
                <w:sz w:val="18"/>
              </w:rPr>
              <w:t>GS – Governance and Structure</w:t>
            </w:r>
          </w:p>
        </w:tc>
        <w:tc>
          <w:tcPr>
            <w:tcW w:type="dxa" w:w="2154"/>
            <w:tcW w:w="2154" w:type="dxa"/>
          </w:tcPr>
          <w:p>
            <w:pPr>
              <w:jc w:val="center"/>
            </w:pPr>
            <w:r/>
            <w:r>
              <w:rPr>
                <w:rFonts w:ascii="Cambria" w:hAnsi="Cambria"/>
                <w:b w:val="0"/>
                <w:sz w:val="18"/>
              </w:rPr>
              <w:t>Institutional policy framework for student welfare</w:t>
            </w:r>
          </w:p>
        </w:tc>
        <w:tc>
          <w:tcPr>
            <w:tcW w:type="dxa" w:w="2494"/>
            <w:tcW w:w="2494" w:type="dxa"/>
          </w:tcPr>
          <w:p>
            <w:pPr>
              <w:jc w:val="center"/>
            </w:pPr>
            <w:r/>
            <w:r>
              <w:rPr>
                <w:rFonts w:ascii="Cambria" w:hAnsi="Cambria"/>
                <w:b w:val="0"/>
                <w:sz w:val="18"/>
              </w:rPr>
              <w:t>Ensures compliance and documentation of student welfare, grievance, and counselling policies.</w:t>
            </w:r>
          </w:p>
        </w:tc>
        <w:tc>
          <w:tcPr>
            <w:tcW w:type="dxa" w:w="2268"/>
            <w:tcW w:w="2268" w:type="dxa"/>
          </w:tcPr>
          <w:p>
            <w:pPr>
              <w:jc w:val="center"/>
            </w:pPr>
            <w:r/>
            <w:r>
              <w:rPr>
                <w:rFonts w:ascii="Cambria" w:hAnsi="Cambria"/>
                <w:b w:val="0"/>
                <w:sz w:val="18"/>
              </w:rPr>
              <w:t>Institutional Policy Documents, Committee Reports</w:t>
            </w:r>
          </w:p>
        </w:tc>
      </w:tr>
      <w:tr>
        <w:tc>
          <w:tcPr>
            <w:tcW w:type="dxa" w:w="1587"/>
            <w:tcW w:w="1587" w:type="dxa"/>
            <w:shd w:val="clear" w:color="auto" w:fill="DCE6F1"/>
          </w:tcPr>
          <w:p>
            <w:pPr>
              <w:jc w:val="left"/>
            </w:pPr>
            <w:r/>
            <w:r>
              <w:rPr>
                <w:rFonts w:ascii="Cambria" w:hAnsi="Cambria"/>
                <w:b w:val="0"/>
                <w:sz w:val="18"/>
              </w:rPr>
              <w:t>SL – Social Responsibility and Impact</w:t>
            </w:r>
          </w:p>
        </w:tc>
        <w:tc>
          <w:tcPr>
            <w:tcW w:type="dxa" w:w="2154"/>
            <w:tcW w:w="2154" w:type="dxa"/>
            <w:shd w:val="clear" w:color="auto" w:fill="DCE6F1"/>
          </w:tcPr>
          <w:p>
            <w:pPr>
              <w:jc w:val="center"/>
            </w:pPr>
            <w:r/>
            <w:r>
              <w:rPr>
                <w:rFonts w:ascii="Cambria" w:hAnsi="Cambria"/>
                <w:b w:val="0"/>
                <w:sz w:val="18"/>
              </w:rPr>
              <w:t>Student involvement in community service</w:t>
            </w:r>
          </w:p>
        </w:tc>
        <w:tc>
          <w:tcPr>
            <w:tcW w:type="dxa" w:w="2494"/>
            <w:tcW w:w="2494" w:type="dxa"/>
            <w:shd w:val="clear" w:color="auto" w:fill="DCE6F1"/>
          </w:tcPr>
          <w:p>
            <w:pPr>
              <w:jc w:val="center"/>
            </w:pPr>
            <w:r/>
            <w:r>
              <w:rPr>
                <w:rFonts w:ascii="Cambria" w:hAnsi="Cambria"/>
                <w:b w:val="0"/>
                <w:sz w:val="18"/>
              </w:rPr>
              <w:t>Coordinates student participation in NSS, NCC, and social outreach programs.</w:t>
            </w:r>
          </w:p>
        </w:tc>
        <w:tc>
          <w:tcPr>
            <w:tcW w:type="dxa" w:w="2268"/>
            <w:tcW w:w="2268" w:type="dxa"/>
            <w:shd w:val="clear" w:color="auto" w:fill="DCE6F1"/>
          </w:tcPr>
          <w:p>
            <w:pPr>
              <w:jc w:val="center"/>
            </w:pPr>
            <w:r/>
            <w:r>
              <w:rPr>
                <w:rFonts w:ascii="Cambria" w:hAnsi="Cambria"/>
                <w:b w:val="0"/>
                <w:sz w:val="18"/>
              </w:rPr>
              <w:t>Social Impact Reports, Event Documentation</w:t>
            </w:r>
          </w:p>
        </w:tc>
      </w:tr>
      <w:tr>
        <w:tc>
          <w:tcPr>
            <w:tcW w:type="dxa" w:w="1587"/>
            <w:tcW w:w="1587" w:type="dxa"/>
          </w:tcPr>
          <w:p>
            <w:pPr>
              <w:jc w:val="left"/>
            </w:pPr>
            <w:r/>
            <w:r>
              <w:rPr>
                <w:rFonts w:ascii="Cambria" w:hAnsi="Cambria"/>
                <w:b w:val="0"/>
                <w:sz w:val="18"/>
              </w:rPr>
              <w:t>E&amp;F – Environment and Facilities</w:t>
            </w:r>
          </w:p>
        </w:tc>
        <w:tc>
          <w:tcPr>
            <w:tcW w:type="dxa" w:w="2154"/>
            <w:tcW w:w="2154" w:type="dxa"/>
          </w:tcPr>
          <w:p>
            <w:pPr>
              <w:jc w:val="center"/>
            </w:pPr>
            <w:r/>
            <w:r>
              <w:rPr>
                <w:rFonts w:ascii="Cambria" w:hAnsi="Cambria"/>
                <w:b w:val="0"/>
                <w:sz w:val="18"/>
              </w:rPr>
              <w:t>Campus wellness and health support</w:t>
            </w:r>
          </w:p>
        </w:tc>
        <w:tc>
          <w:tcPr>
            <w:tcW w:type="dxa" w:w="2494"/>
            <w:tcW w:w="2494" w:type="dxa"/>
          </w:tcPr>
          <w:p>
            <w:pPr>
              <w:jc w:val="center"/>
            </w:pPr>
            <w:r/>
            <w:r>
              <w:rPr>
                <w:rFonts w:ascii="Cambria" w:hAnsi="Cambria"/>
                <w:b w:val="0"/>
                <w:sz w:val="18"/>
              </w:rPr>
              <w:t>Oversees facilities like health centre, fitness programs, and wellness initiatives.</w:t>
            </w:r>
          </w:p>
        </w:tc>
        <w:tc>
          <w:tcPr>
            <w:tcW w:type="dxa" w:w="2268"/>
            <w:tcW w:w="2268" w:type="dxa"/>
          </w:tcPr>
          <w:p>
            <w:pPr>
              <w:jc w:val="center"/>
            </w:pPr>
            <w:r/>
            <w:r>
              <w:rPr>
                <w:rFonts w:ascii="Cambria" w:hAnsi="Cambria"/>
                <w:b w:val="0"/>
                <w:sz w:val="18"/>
              </w:rPr>
              <w:t>Health Records, Activity Reports</w:t>
            </w:r>
          </w:p>
        </w:tc>
      </w:tr>
    </w:tbl>
    <w:p>
      <w:pPr>
        <w:keepNext/>
        <w:spacing w:before="200" w:after="120"/>
      </w:pPr>
      <w:r>
        <w:rPr>
          <w:rFonts w:ascii="Cambria" w:hAnsi="Cambria"/>
          <w:b/>
          <w:color w:val="1F3A5F"/>
          <w:sz w:val="26"/>
        </w:rPr>
        <w:t>D. Cross-Framework Integration Summary</w:t>
      </w:r>
    </w:p>
    <w:tbl>
      <w:tblPr>
        <w:tblW w:type="auto" w:w="0"/>
        <w:jc w:val="center"/>
        <w:tblLayout w:type="fixed"/>
        <w:tblLook w:firstColumn="1" w:firstRow="1" w:lastColumn="0" w:lastRow="0" w:noHBand="0" w:noVBand="1" w:val="04A0"/>
        <w:tblW w:w="7938" w:type="dxa"/>
        <w:tblLayout w:type="fixed"/>
      </w:tblPr>
      <w:tblGrid>
        <w:gridCol w:w="1814"/>
        <w:gridCol w:w="1360"/>
        <w:gridCol w:w="1247"/>
        <w:gridCol w:w="1304"/>
        <w:gridCol w:w="2211"/>
      </w:tblGrid>
      <w:tr>
        <w:tc>
          <w:tcPr>
            <w:tcW w:type="dxa" w:w="1814"/>
            <w:tcW w:w="1814" w:type="dxa"/>
            <w:shd w:val="clear" w:color="auto" w:fill="1F3A5F"/>
          </w:tcPr>
          <w:p>
            <w:pPr>
              <w:jc w:val="center"/>
            </w:pPr>
            <w:r/>
            <w:r>
              <w:rPr>
                <w:rFonts w:ascii="Cambria" w:hAnsi="Cambria"/>
                <w:b/>
                <w:color w:val="FFFFFF"/>
                <w:sz w:val="22"/>
              </w:rPr>
              <w:t>Functional Area</w:t>
            </w:r>
          </w:p>
        </w:tc>
        <w:tc>
          <w:tcPr>
            <w:tcW w:type="dxa" w:w="1361"/>
            <w:tcW w:w="1360" w:type="dxa"/>
            <w:shd w:val="clear" w:color="auto" w:fill="1F3A5F"/>
          </w:tcPr>
          <w:p>
            <w:pPr>
              <w:jc w:val="center"/>
            </w:pPr>
            <w:r/>
            <w:r>
              <w:rPr>
                <w:rFonts w:ascii="Cambria" w:hAnsi="Cambria"/>
                <w:b/>
                <w:color w:val="FFFFFF"/>
                <w:sz w:val="22"/>
              </w:rPr>
              <w:t>NAAC Linkage</w:t>
            </w:r>
          </w:p>
        </w:tc>
        <w:tc>
          <w:tcPr>
            <w:tcW w:type="dxa" w:w="1247"/>
            <w:tcW w:w="1247" w:type="dxa"/>
            <w:shd w:val="clear" w:color="auto" w:fill="1F3A5F"/>
          </w:tcPr>
          <w:p>
            <w:pPr>
              <w:jc w:val="center"/>
            </w:pPr>
            <w:r/>
            <w:r>
              <w:rPr>
                <w:rFonts w:ascii="Cambria" w:hAnsi="Cambria"/>
                <w:b/>
                <w:color w:val="FFFFFF"/>
                <w:sz w:val="22"/>
              </w:rPr>
              <w:t>NBA Linkage</w:t>
            </w:r>
          </w:p>
        </w:tc>
        <w:tc>
          <w:tcPr>
            <w:tcW w:type="dxa" w:w="1304"/>
            <w:tcW w:w="1304" w:type="dxa"/>
            <w:shd w:val="clear" w:color="auto" w:fill="1F3A5F"/>
          </w:tcPr>
          <w:p>
            <w:pPr>
              <w:jc w:val="center"/>
            </w:pPr>
            <w:r/>
            <w:r>
              <w:rPr>
                <w:rFonts w:ascii="Cambria" w:hAnsi="Cambria"/>
                <w:b/>
                <w:color w:val="FFFFFF"/>
                <w:sz w:val="22"/>
              </w:rPr>
              <w:t>QS I-GAUGE Linkage</w:t>
            </w:r>
          </w:p>
        </w:tc>
        <w:tc>
          <w:tcPr>
            <w:tcW w:type="dxa" w:w="2211"/>
            <w:tcW w:w="2211" w:type="dxa"/>
            <w:shd w:val="clear" w:color="auto" w:fill="1F3A5F"/>
          </w:tcPr>
          <w:p>
            <w:pPr>
              <w:jc w:val="center"/>
            </w:pPr>
            <w:r/>
            <w:r>
              <w:rPr>
                <w:rFonts w:ascii="Cambria" w:hAnsi="Cambria"/>
                <w:b/>
                <w:color w:val="FFFFFF"/>
                <w:sz w:val="22"/>
              </w:rPr>
              <w:t>Key Evidence Required</w:t>
            </w:r>
          </w:p>
        </w:tc>
      </w:tr>
      <w:tr>
        <w:tc>
          <w:tcPr>
            <w:tcW w:type="dxa" w:w="1814"/>
            <w:tcW w:w="1814" w:type="dxa"/>
          </w:tcPr>
          <w:p>
            <w:pPr>
              <w:jc w:val="left"/>
            </w:pPr>
            <w:r/>
            <w:r>
              <w:rPr>
                <w:rFonts w:ascii="Cambria" w:hAnsi="Cambria"/>
                <w:b w:val="0"/>
                <w:sz w:val="18"/>
              </w:rPr>
              <w:t>Student Welfare</w:t>
            </w:r>
          </w:p>
        </w:tc>
        <w:tc>
          <w:tcPr>
            <w:tcW w:type="dxa" w:w="1361"/>
            <w:tcW w:w="1360" w:type="dxa"/>
          </w:tcPr>
          <w:p>
            <w:pPr>
              <w:jc w:val="center"/>
            </w:pPr>
            <w:r/>
            <w:r>
              <w:rPr>
                <w:rFonts w:ascii="Cambria" w:hAnsi="Cambria"/>
                <w:b w:val="0"/>
                <w:sz w:val="18"/>
              </w:rPr>
              <w:t>5.1.1, 5.1.2</w:t>
            </w:r>
          </w:p>
        </w:tc>
        <w:tc>
          <w:tcPr>
            <w:tcW w:type="dxa" w:w="1247"/>
            <w:tcW w:w="1247" w:type="dxa"/>
          </w:tcPr>
          <w:p>
            <w:pPr>
              <w:jc w:val="center"/>
            </w:pPr>
            <w:r/>
            <w:r>
              <w:rPr>
                <w:rFonts w:ascii="Cambria" w:hAnsi="Cambria"/>
                <w:b w:val="0"/>
                <w:sz w:val="18"/>
              </w:rPr>
              <w:t>Criterion 9</w:t>
            </w:r>
          </w:p>
        </w:tc>
        <w:tc>
          <w:tcPr>
            <w:tcW w:type="dxa" w:w="1304"/>
            <w:tcW w:w="1304" w:type="dxa"/>
          </w:tcPr>
          <w:p>
            <w:pPr>
              <w:jc w:val="center"/>
            </w:pPr>
            <w:r/>
            <w:r>
              <w:rPr>
                <w:rFonts w:ascii="Cambria" w:hAnsi="Cambria"/>
                <w:b w:val="0"/>
                <w:sz w:val="18"/>
              </w:rPr>
              <w:t>TL, DA, E&amp;F</w:t>
            </w:r>
          </w:p>
        </w:tc>
        <w:tc>
          <w:tcPr>
            <w:tcW w:type="dxa" w:w="2211"/>
            <w:tcW w:w="2211" w:type="dxa"/>
          </w:tcPr>
          <w:p>
            <w:pPr>
              <w:jc w:val="center"/>
            </w:pPr>
            <w:r/>
            <w:r>
              <w:rPr>
                <w:rFonts w:ascii="Cambria" w:hAnsi="Cambria"/>
                <w:b w:val="0"/>
                <w:sz w:val="18"/>
              </w:rPr>
              <w:t>Welfare Reports, Event Records</w:t>
            </w:r>
          </w:p>
        </w:tc>
      </w:tr>
      <w:tr>
        <w:tc>
          <w:tcPr>
            <w:tcW w:type="dxa" w:w="1814"/>
            <w:tcW w:w="1814" w:type="dxa"/>
            <w:shd w:val="clear" w:color="auto" w:fill="DCE6F1"/>
          </w:tcPr>
          <w:p>
            <w:pPr>
              <w:jc w:val="left"/>
            </w:pPr>
            <w:r/>
            <w:r>
              <w:rPr>
                <w:rFonts w:ascii="Cambria" w:hAnsi="Cambria"/>
                <w:b w:val="0"/>
                <w:sz w:val="18"/>
              </w:rPr>
              <w:t>Counselling &amp; Mentorship</w:t>
            </w:r>
          </w:p>
        </w:tc>
        <w:tc>
          <w:tcPr>
            <w:tcW w:type="dxa" w:w="1361"/>
            <w:tcW w:w="1360" w:type="dxa"/>
            <w:shd w:val="clear" w:color="auto" w:fill="DCE6F1"/>
          </w:tcPr>
          <w:p>
            <w:pPr>
              <w:jc w:val="center"/>
            </w:pPr>
            <w:r/>
            <w:r>
              <w:rPr>
                <w:rFonts w:ascii="Cambria" w:hAnsi="Cambria"/>
                <w:b w:val="0"/>
                <w:sz w:val="18"/>
              </w:rPr>
              <w:t>5.1.3</w:t>
            </w:r>
          </w:p>
        </w:tc>
        <w:tc>
          <w:tcPr>
            <w:tcW w:type="dxa" w:w="1247"/>
            <w:tcW w:w="1247" w:type="dxa"/>
            <w:shd w:val="clear" w:color="auto" w:fill="DCE6F1"/>
          </w:tcPr>
          <w:p>
            <w:pPr>
              <w:jc w:val="center"/>
            </w:pPr>
            <w:r/>
            <w:r>
              <w:rPr>
                <w:rFonts w:ascii="Cambria" w:hAnsi="Cambria"/>
                <w:b w:val="0"/>
                <w:sz w:val="18"/>
              </w:rPr>
              <w:t>Criterion 8, 9</w:t>
            </w:r>
          </w:p>
        </w:tc>
        <w:tc>
          <w:tcPr>
            <w:tcW w:type="dxa" w:w="1304"/>
            <w:tcW w:w="1304" w:type="dxa"/>
            <w:shd w:val="clear" w:color="auto" w:fill="DCE6F1"/>
          </w:tcPr>
          <w:p>
            <w:pPr>
              <w:jc w:val="center"/>
            </w:pPr>
            <w:r/>
            <w:r>
              <w:rPr>
                <w:rFonts w:ascii="Cambria" w:hAnsi="Cambria"/>
                <w:b w:val="0"/>
                <w:sz w:val="18"/>
              </w:rPr>
              <w:t>FC, EP</w:t>
            </w:r>
          </w:p>
        </w:tc>
        <w:tc>
          <w:tcPr>
            <w:tcW w:type="dxa" w:w="2211"/>
            <w:tcW w:w="2211" w:type="dxa"/>
            <w:shd w:val="clear" w:color="auto" w:fill="DCE6F1"/>
          </w:tcPr>
          <w:p>
            <w:pPr>
              <w:jc w:val="center"/>
            </w:pPr>
            <w:r/>
            <w:r>
              <w:rPr>
                <w:rFonts w:ascii="Cambria" w:hAnsi="Cambria"/>
                <w:b w:val="0"/>
                <w:sz w:val="18"/>
              </w:rPr>
              <w:t>Counselling Logs, Feedback Data</w:t>
            </w:r>
          </w:p>
        </w:tc>
      </w:tr>
      <w:tr>
        <w:tc>
          <w:tcPr>
            <w:tcW w:type="dxa" w:w="1814"/>
            <w:tcW w:w="1814" w:type="dxa"/>
          </w:tcPr>
          <w:p>
            <w:pPr>
              <w:jc w:val="left"/>
            </w:pPr>
            <w:r/>
            <w:r>
              <w:rPr>
                <w:rFonts w:ascii="Cambria" w:hAnsi="Cambria"/>
                <w:b w:val="0"/>
                <w:sz w:val="18"/>
              </w:rPr>
              <w:t>Grievance Redressal</w:t>
            </w:r>
          </w:p>
        </w:tc>
        <w:tc>
          <w:tcPr>
            <w:tcW w:type="dxa" w:w="1361"/>
            <w:tcW w:w="1360" w:type="dxa"/>
          </w:tcPr>
          <w:p>
            <w:pPr>
              <w:jc w:val="center"/>
            </w:pPr>
            <w:r/>
            <w:r>
              <w:rPr>
                <w:rFonts w:ascii="Cambria" w:hAnsi="Cambria"/>
                <w:b w:val="0"/>
                <w:sz w:val="18"/>
              </w:rPr>
              <w:t>5.1.4, 6.5.2</w:t>
            </w:r>
          </w:p>
        </w:tc>
        <w:tc>
          <w:tcPr>
            <w:tcW w:type="dxa" w:w="1247"/>
            <w:tcW w:w="1247" w:type="dxa"/>
          </w:tcPr>
          <w:p>
            <w:pPr>
              <w:jc w:val="center"/>
            </w:pPr>
            <w:r/>
            <w:r>
              <w:rPr>
                <w:rFonts w:ascii="Cambria" w:hAnsi="Cambria"/>
                <w:b w:val="0"/>
                <w:sz w:val="18"/>
              </w:rPr>
              <w:t>Criterion 8</w:t>
            </w:r>
          </w:p>
        </w:tc>
        <w:tc>
          <w:tcPr>
            <w:tcW w:type="dxa" w:w="1304"/>
            <w:tcW w:w="1304" w:type="dxa"/>
          </w:tcPr>
          <w:p>
            <w:pPr>
              <w:jc w:val="center"/>
            </w:pPr>
            <w:r/>
            <w:r>
              <w:rPr>
                <w:rFonts w:ascii="Cambria" w:hAnsi="Cambria"/>
                <w:b w:val="0"/>
                <w:sz w:val="18"/>
              </w:rPr>
              <w:t>GS</w:t>
            </w:r>
          </w:p>
        </w:tc>
        <w:tc>
          <w:tcPr>
            <w:tcW w:type="dxa" w:w="2211"/>
            <w:tcW w:w="2211" w:type="dxa"/>
          </w:tcPr>
          <w:p>
            <w:pPr>
              <w:jc w:val="center"/>
            </w:pPr>
            <w:r/>
            <w:r>
              <w:rPr>
                <w:rFonts w:ascii="Cambria" w:hAnsi="Cambria"/>
                <w:b w:val="0"/>
                <w:sz w:val="18"/>
              </w:rPr>
              <w:t>Grievance Register, Action Reports</w:t>
            </w:r>
          </w:p>
        </w:tc>
      </w:tr>
      <w:tr>
        <w:tc>
          <w:tcPr>
            <w:tcW w:type="dxa" w:w="1814"/>
            <w:tcW w:w="1814" w:type="dxa"/>
            <w:shd w:val="clear" w:color="auto" w:fill="DCE6F1"/>
          </w:tcPr>
          <w:p>
            <w:pPr>
              <w:jc w:val="left"/>
            </w:pPr>
            <w:r/>
            <w:r>
              <w:rPr>
                <w:rFonts w:ascii="Cambria" w:hAnsi="Cambria"/>
                <w:b w:val="0"/>
                <w:sz w:val="18"/>
              </w:rPr>
              <w:t>Student Engagement</w:t>
            </w:r>
          </w:p>
        </w:tc>
        <w:tc>
          <w:tcPr>
            <w:tcW w:type="dxa" w:w="1361"/>
            <w:tcW w:w="1360" w:type="dxa"/>
            <w:shd w:val="clear" w:color="auto" w:fill="DCE6F1"/>
          </w:tcPr>
          <w:p>
            <w:pPr>
              <w:jc w:val="center"/>
            </w:pPr>
            <w:r/>
            <w:r>
              <w:rPr>
                <w:rFonts w:ascii="Cambria" w:hAnsi="Cambria"/>
                <w:b w:val="0"/>
                <w:sz w:val="18"/>
              </w:rPr>
              <w:t>5.3.3</w:t>
            </w:r>
          </w:p>
        </w:tc>
        <w:tc>
          <w:tcPr>
            <w:tcW w:type="dxa" w:w="1247"/>
            <w:tcW w:w="1247" w:type="dxa"/>
            <w:shd w:val="clear" w:color="auto" w:fill="DCE6F1"/>
          </w:tcPr>
          <w:p>
            <w:pPr>
              <w:jc w:val="center"/>
            </w:pPr>
            <w:r/>
            <w:r>
              <w:rPr>
                <w:rFonts w:ascii="Cambria" w:hAnsi="Cambria"/>
                <w:b w:val="0"/>
                <w:sz w:val="18"/>
              </w:rPr>
              <w:t>Criterion 9</w:t>
            </w:r>
          </w:p>
        </w:tc>
        <w:tc>
          <w:tcPr>
            <w:tcW w:type="dxa" w:w="1304"/>
            <w:tcW w:w="1304" w:type="dxa"/>
            <w:shd w:val="clear" w:color="auto" w:fill="DCE6F1"/>
          </w:tcPr>
          <w:p>
            <w:pPr>
              <w:jc w:val="center"/>
            </w:pPr>
            <w:r/>
            <w:r>
              <w:rPr>
                <w:rFonts w:ascii="Cambria" w:hAnsi="Cambria"/>
                <w:b w:val="0"/>
                <w:sz w:val="18"/>
              </w:rPr>
              <w:t>SL, TL</w:t>
            </w:r>
          </w:p>
        </w:tc>
        <w:tc>
          <w:tcPr>
            <w:tcW w:type="dxa" w:w="2211"/>
            <w:tcW w:w="2211" w:type="dxa"/>
            <w:shd w:val="clear" w:color="auto" w:fill="DCE6F1"/>
          </w:tcPr>
          <w:p>
            <w:pPr>
              <w:jc w:val="center"/>
            </w:pPr>
            <w:r/>
            <w:r>
              <w:rPr>
                <w:rFonts w:ascii="Cambria" w:hAnsi="Cambria"/>
                <w:b w:val="0"/>
                <w:sz w:val="18"/>
              </w:rPr>
              <w:t>Participation Lists, Certificates</w:t>
            </w:r>
          </w:p>
        </w:tc>
      </w:tr>
      <w:tr>
        <w:tc>
          <w:tcPr>
            <w:tcW w:type="dxa" w:w="1814"/>
            <w:tcW w:w="1814" w:type="dxa"/>
          </w:tcPr>
          <w:p>
            <w:pPr>
              <w:jc w:val="left"/>
            </w:pPr>
            <w:r/>
            <w:r>
              <w:rPr>
                <w:rFonts w:ascii="Cambria" w:hAnsi="Cambria"/>
                <w:b w:val="0"/>
                <w:sz w:val="18"/>
              </w:rPr>
              <w:t>Gender &amp; Ethical Governance</w:t>
            </w:r>
          </w:p>
        </w:tc>
        <w:tc>
          <w:tcPr>
            <w:tcW w:type="dxa" w:w="1361"/>
            <w:tcW w:w="1360" w:type="dxa"/>
          </w:tcPr>
          <w:p>
            <w:pPr>
              <w:jc w:val="center"/>
            </w:pPr>
            <w:r/>
            <w:r>
              <w:rPr>
                <w:rFonts w:ascii="Cambria" w:hAnsi="Cambria"/>
                <w:b w:val="0"/>
                <w:sz w:val="18"/>
              </w:rPr>
              <w:t>7.1.10</w:t>
            </w:r>
          </w:p>
        </w:tc>
        <w:tc>
          <w:tcPr>
            <w:tcW w:type="dxa" w:w="1247"/>
            <w:tcW w:w="1247" w:type="dxa"/>
          </w:tcPr>
          <w:p>
            <w:pPr>
              <w:jc w:val="center"/>
            </w:pPr>
            <w:r/>
            <w:r>
              <w:rPr>
                <w:rFonts w:ascii="Cambria" w:hAnsi="Cambria"/>
                <w:b w:val="0"/>
                <w:sz w:val="18"/>
              </w:rPr>
              <w:t>Criterion 10</w:t>
            </w:r>
          </w:p>
        </w:tc>
        <w:tc>
          <w:tcPr>
            <w:tcW w:type="dxa" w:w="1304"/>
            <w:tcW w:w="1304" w:type="dxa"/>
          </w:tcPr>
          <w:p>
            <w:pPr>
              <w:jc w:val="center"/>
            </w:pPr>
            <w:r/>
            <w:r>
              <w:rPr>
                <w:rFonts w:ascii="Cambria" w:hAnsi="Cambria"/>
                <w:b w:val="0"/>
                <w:sz w:val="18"/>
              </w:rPr>
              <w:t>DA, GS</w:t>
            </w:r>
          </w:p>
        </w:tc>
        <w:tc>
          <w:tcPr>
            <w:tcW w:type="dxa" w:w="2211"/>
            <w:tcW w:w="2211" w:type="dxa"/>
          </w:tcPr>
          <w:p>
            <w:pPr>
              <w:jc w:val="center"/>
            </w:pPr>
            <w:r/>
            <w:r>
              <w:rPr>
                <w:rFonts w:ascii="Cambria" w:hAnsi="Cambria"/>
                <w:b w:val="0"/>
                <w:sz w:val="18"/>
              </w:rPr>
              <w:t>ICC Reports, Awareness Programs</w:t>
            </w:r>
          </w:p>
        </w:tc>
      </w:tr>
      <w:tr>
        <w:tc>
          <w:tcPr>
            <w:tcW w:type="dxa" w:w="1814"/>
            <w:tcW w:w="1814" w:type="dxa"/>
            <w:shd w:val="clear" w:color="auto" w:fill="DCE6F1"/>
          </w:tcPr>
          <w:p>
            <w:pPr>
              <w:jc w:val="left"/>
            </w:pPr>
            <w:r/>
            <w:r>
              <w:rPr>
                <w:rFonts w:ascii="Cambria" w:hAnsi="Cambria"/>
                <w:b w:val="0"/>
                <w:sz w:val="18"/>
              </w:rPr>
              <w:t>Quality &amp; Audit</w:t>
            </w:r>
          </w:p>
        </w:tc>
        <w:tc>
          <w:tcPr>
            <w:tcW w:type="dxa" w:w="1361"/>
            <w:tcW w:w="1360" w:type="dxa"/>
            <w:shd w:val="clear" w:color="auto" w:fill="DCE6F1"/>
          </w:tcPr>
          <w:p>
            <w:pPr>
              <w:jc w:val="center"/>
            </w:pPr>
            <w:r/>
            <w:r>
              <w:rPr>
                <w:rFonts w:ascii="Cambria" w:hAnsi="Cambria"/>
                <w:b w:val="0"/>
                <w:sz w:val="18"/>
              </w:rPr>
              <w:t>6.5.2</w:t>
            </w:r>
          </w:p>
        </w:tc>
        <w:tc>
          <w:tcPr>
            <w:tcW w:type="dxa" w:w="1247"/>
            <w:tcW w:w="1247" w:type="dxa"/>
            <w:shd w:val="clear" w:color="auto" w:fill="DCE6F1"/>
          </w:tcPr>
          <w:p>
            <w:pPr>
              <w:jc w:val="center"/>
            </w:pPr>
            <w:r/>
            <w:r>
              <w:rPr>
                <w:rFonts w:ascii="Cambria" w:hAnsi="Cambria"/>
                <w:b w:val="0"/>
                <w:sz w:val="18"/>
              </w:rPr>
              <w:t>Criterion 10</w:t>
            </w:r>
          </w:p>
        </w:tc>
        <w:tc>
          <w:tcPr>
            <w:tcW w:type="dxa" w:w="1304"/>
            <w:tcW w:w="1304" w:type="dxa"/>
            <w:shd w:val="clear" w:color="auto" w:fill="DCE6F1"/>
          </w:tcPr>
          <w:p>
            <w:pPr>
              <w:jc w:val="center"/>
            </w:pPr>
            <w:r/>
            <w:r>
              <w:rPr>
                <w:rFonts w:ascii="Cambria" w:hAnsi="Cambria"/>
                <w:b w:val="0"/>
                <w:sz w:val="18"/>
              </w:rPr>
              <w:t>GS</w:t>
            </w:r>
          </w:p>
        </w:tc>
        <w:tc>
          <w:tcPr>
            <w:tcW w:type="dxa" w:w="2211"/>
            <w:tcW w:w="2211" w:type="dxa"/>
            <w:shd w:val="clear" w:color="auto" w:fill="DCE6F1"/>
          </w:tcPr>
          <w:p>
            <w:pPr>
              <w:jc w:val="center"/>
            </w:pPr>
            <w:r/>
            <w:r>
              <w:rPr>
                <w:rFonts w:ascii="Cambria" w:hAnsi="Cambria"/>
                <w:b w:val="0"/>
                <w:sz w:val="18"/>
              </w:rPr>
              <w:t>IQAC Reports, Audit Evidence</w:t>
            </w:r>
          </w:p>
        </w:tc>
      </w:tr>
    </w:tbl>
    <w:p>
      <w:pPr>
        <w:keepNext/>
        <w:spacing w:before="200" w:after="120"/>
      </w:pPr>
      <w:r>
        <w:rPr>
          <w:rFonts w:ascii="Cambria" w:hAnsi="Cambria"/>
          <w:b/>
          <w:color w:val="1F3A5F"/>
          <w:sz w:val="26"/>
        </w:rPr>
        <w:t>E. Expected Accreditation Impact</w:t>
      </w:r>
    </w:p>
    <w:p>
      <w:pPr>
        <w:pStyle w:val="ListBullet"/>
        <w:jc w:val="both"/>
      </w:pPr>
      <w:r>
        <w:rPr>
          <w:rFonts w:ascii="Cambria" w:hAnsi="Cambria"/>
          <w:sz w:val="22"/>
        </w:rPr>
        <w:t>Enhances NAAC scores under Criterion 5 (Student Support) and Criterion 7 (Values and Ethics).</w:t>
      </w:r>
    </w:p>
    <w:p>
      <w:pPr>
        <w:pStyle w:val="ListBullet"/>
        <w:jc w:val="both"/>
      </w:pPr>
      <w:r>
        <w:rPr>
          <w:rFonts w:ascii="Cambria" w:hAnsi="Cambria"/>
          <w:sz w:val="22"/>
        </w:rPr>
        <w:t>Strengthens NBA documentation for Criteria 8–10 by integrating measurable welfare outcomes.</w:t>
      </w:r>
    </w:p>
    <w:p>
      <w:pPr>
        <w:pStyle w:val="ListBullet"/>
        <w:jc w:val="both"/>
      </w:pPr>
      <w:r>
        <w:rPr>
          <w:rFonts w:ascii="Cambria" w:hAnsi="Cambria"/>
          <w:sz w:val="22"/>
        </w:rPr>
        <w:t>Improves QS I-GAUGE performance in Governance, Teaching-Learning, and Diversity categories.</w:t>
      </w:r>
    </w:p>
    <w:p>
      <w:pPr>
        <w:pStyle w:val="ListBullet"/>
        <w:jc w:val="both"/>
      </w:pPr>
      <w:r>
        <w:rPr>
          <w:rFonts w:ascii="Cambria" w:hAnsi="Cambria"/>
          <w:sz w:val="22"/>
        </w:rPr>
        <w:t>Demonstrates institutional commitment to student well-being, inclusivity, and continuous improvement through evidence-based governance.</w:t>
      </w:r>
    </w:p>
    <w:p>
      <w:r>
        <w:br w:type="page"/>
      </w:r>
    </w:p>
    <w:p>
      <w:pPr>
        <w:keepNext/>
        <w:spacing w:before="280" w:after="160"/>
      </w:pPr>
      <w:r>
        <w:rPr>
          <w:rFonts w:ascii="Cambria" w:hAnsi="Cambria"/>
          <w:b/>
          <w:color w:val="1F3A5F"/>
          <w:sz w:val="36"/>
        </w:rPr>
        <w:t>4. Associate Dean – Hostels and Canteen Affairs</w:t>
      </w:r>
    </w:p>
    <w:p>
      <w:pPr>
        <w:jc w:val="both"/>
      </w:pPr>
      <w:r>
        <w:rPr>
          <w:rFonts w:ascii="Cambria" w:hAnsi="Cambria"/>
          <w:b w:val="0"/>
          <w:i w:val="0"/>
          <w:sz w:val="22"/>
        </w:rPr>
        <w:t>The Associate Dean – Hostels and Canteen Affairs is responsible for ensuring the smooth, efficient, and student-centric management of all hostel and dining facilities within the institution. This position plays a key role in maintaining a safe, hygienic, and inclusive residential environment, while also overseeing the quality, affordability, and nutritional standards of the campus canteen services. The Associate Dean acts as a bridge between students, hostel wardens, administrative units, and service providers to ensure that accommodation and food services meet institutional policies and student expectations.</w:t>
      </w:r>
    </w:p>
    <w:p>
      <w:pPr>
        <w:jc w:val="both"/>
      </w:pPr>
      <w:r>
        <w:rPr>
          <w:rFonts w:ascii="Cambria" w:hAnsi="Cambria"/>
          <w:b w:val="0"/>
          <w:i w:val="0"/>
          <w:sz w:val="22"/>
        </w:rPr>
        <w:t>In this capacity, the Associate Dean oversees the allocation and maintenance of hostel facilities, ensuring that all residential operations function in compliance with institutional and statutory guidelines. This includes supervision of infrastructure upkeep, sanitation, security arrangements, water and electricity management, and coordination with maintenance departments for timely repairs. The role also encompasses the formulation and enforcement of hostel policies, managing student discipline within hostels, and promoting a respectful and safe living atmosphere. The Associate Dean works closely with the Hostel Committee to address grievances, conduct inspections, and review feedback from residents to continuously improve the quality of hostel life.</w:t>
      </w:r>
    </w:p>
    <w:p>
      <w:pPr>
        <w:jc w:val="both"/>
      </w:pPr>
      <w:r>
        <w:rPr>
          <w:rFonts w:ascii="Cambria" w:hAnsi="Cambria"/>
          <w:b w:val="0"/>
          <w:i w:val="0"/>
          <w:sz w:val="22"/>
        </w:rPr>
        <w:t>With regard to canteen management, the Associate Dean ensures the provision of healthy, hygienic, and affordable food options for students, faculty, and staff. This involves monitoring vendor contracts, food quality, pricing, and adherence to safety standards. Regular inspections, feedback collection, and menu reviews are carried out to ensure continuous improvement and satisfaction. The role emphasizes collaboration with nutrition experts and food safety officers to maintain compliance with FSSAI (Food Safety and Standards Authority of India) regulations and institutional dietary guidelines.</w:t>
      </w:r>
    </w:p>
    <w:p>
      <w:pPr>
        <w:jc w:val="both"/>
      </w:pPr>
      <w:r>
        <w:rPr>
          <w:rFonts w:ascii="Cambria" w:hAnsi="Cambria"/>
          <w:b w:val="0"/>
          <w:i w:val="0"/>
          <w:sz w:val="22"/>
        </w:rPr>
        <w:t>Additionally, the Associate Dean coordinates with committees responsible for welfare and health, ensuring that hostel and canteen services align with broader student well-being initiatives and Sustainable Development Goals such as SDG-3 (Good Health and Well-being) and SDG-12 (Responsible Consumption and Production). The position also requires meticulous documentation and reporting of operations, maintenance logs, complaint registers, and audit reports, following the Policy → Action → Evidence → Outcome (PAEO) model for NAAC, NBA, and QS I-GAUGE accreditation compliance.</w:t>
      </w:r>
    </w:p>
    <w:p>
      <w:pPr>
        <w:jc w:val="both"/>
      </w:pPr>
      <w:r>
        <w:rPr>
          <w:rFonts w:ascii="Cambria" w:hAnsi="Cambria"/>
          <w:b w:val="0"/>
          <w:i w:val="0"/>
          <w:sz w:val="22"/>
        </w:rPr>
        <w:t>Overall, the Associate Dean – Hostels and Canteen Affairs ensures that residential and dining services are managed with integrity, efficiency, and empathy. By fostering a comfortable and healthy campus environment, this role significantly contributes to enhancing student satisfaction, retention, and holistic development, while reinforcing the institution’s commitment to quality assurance and sustainable campus living.</w:t>
      </w:r>
    </w:p>
    <w:p>
      <w:pPr>
        <w:keepNext/>
        <w:spacing w:before="200" w:after="120"/>
      </w:pPr>
      <w:r>
        <w:rPr>
          <w:rFonts w:ascii="Cambria" w:hAnsi="Cambria"/>
          <w:b/>
          <w:color w:val="1F3A5F"/>
          <w:sz w:val="30"/>
        </w:rPr>
        <w:t>1. Designation and Overview</w:t>
      </w:r>
    </w:p>
    <w:p>
      <w:pPr>
        <w:jc w:val="both"/>
      </w:pPr>
      <w:r>
        <w:rPr>
          <w:rFonts w:ascii="Cambria" w:hAnsi="Cambria"/>
          <w:b w:val="0"/>
          <w:i w:val="0"/>
          <w:sz w:val="22"/>
        </w:rPr>
        <w:t>The Associate Dean – Hostels and Canteen Affairs is a senior academic-administrative officer responsible for overseeing the efficient and student-friendly management of all hostel and dining (canteen/mess) facilities within the institution. The role ensures that residential and food services maintain safety, hygiene, affordability, inclusivity, and sustainability while aligning with the overall student welfare and institutional quality framework.</w:t>
      </w:r>
    </w:p>
    <w:p>
      <w:pPr>
        <w:jc w:val="both"/>
      </w:pPr>
      <w:r>
        <w:rPr>
          <w:rFonts w:ascii="Cambria" w:hAnsi="Cambria"/>
          <w:b/>
          <w:i w:val="0"/>
          <w:sz w:val="22"/>
        </w:rPr>
        <w:t>Purpose:</w:t>
      </w:r>
    </w:p>
    <w:p>
      <w:pPr>
        <w:pStyle w:val="ListBullet"/>
        <w:jc w:val="both"/>
      </w:pPr>
      <w:r>
        <w:rPr>
          <w:rFonts w:ascii="Cambria" w:hAnsi="Cambria"/>
          <w:sz w:val="22"/>
        </w:rPr>
        <w:t>To provide leadership in maintaining and improving the hostel infrastructure, dining quality, and student living experience.</w:t>
      </w:r>
    </w:p>
    <w:p>
      <w:pPr>
        <w:pStyle w:val="ListBullet"/>
        <w:jc w:val="both"/>
      </w:pPr>
      <w:r>
        <w:rPr>
          <w:rFonts w:ascii="Cambria" w:hAnsi="Cambria"/>
          <w:sz w:val="22"/>
        </w:rPr>
        <w:t>To ensure compliance with UGC, AICTE, NAAC, NBA, and QS I-GAUGE standards related to student welfare and infrastructure.</w:t>
      </w:r>
    </w:p>
    <w:p>
      <w:pPr>
        <w:pStyle w:val="ListBullet"/>
        <w:jc w:val="both"/>
      </w:pPr>
      <w:r>
        <w:rPr>
          <w:rFonts w:ascii="Cambria" w:hAnsi="Cambria"/>
          <w:sz w:val="22"/>
        </w:rPr>
        <w:t>To promote safe, healthy, and eco-friendly living conditions in line with SDG-3 (Good Health and Well-being) and SDG-12 (Responsible Consumption and Production).</w:t>
      </w:r>
    </w:p>
    <w:p>
      <w:pPr>
        <w:pStyle w:val="ListBullet"/>
        <w:jc w:val="both"/>
      </w:pPr>
      <w:r>
        <w:rPr>
          <w:rFonts w:ascii="Cambria" w:hAnsi="Cambria"/>
          <w:sz w:val="22"/>
        </w:rPr>
        <w:t>To foster a harmonious, inclusive, and disciplined hostel environment that enhances student satisfaction and institutional reputation.</w:t>
      </w:r>
    </w:p>
    <w:p>
      <w:pPr>
        <w:keepNext/>
        <w:spacing w:before="200" w:after="120"/>
      </w:pPr>
      <w:r>
        <w:rPr>
          <w:rFonts w:ascii="Cambria" w:hAnsi="Cambria"/>
          <w:b/>
          <w:color w:val="1F3A5F"/>
          <w:sz w:val="30"/>
        </w:rPr>
        <w:t>2. Core Functions</w:t>
      </w:r>
    </w:p>
    <w:p>
      <w:pPr>
        <w:pStyle w:val="ListBullet"/>
        <w:jc w:val="both"/>
      </w:pPr>
      <w:r>
        <w:rPr>
          <w:rFonts w:ascii="Cambria" w:hAnsi="Cambria"/>
          <w:sz w:val="22"/>
        </w:rPr>
        <w:t>Oversee the operation, maintenance, and management of hostels and canteen facilities.</w:t>
      </w:r>
    </w:p>
    <w:p>
      <w:pPr>
        <w:pStyle w:val="ListBullet"/>
        <w:jc w:val="both"/>
      </w:pPr>
      <w:r>
        <w:rPr>
          <w:rFonts w:ascii="Cambria" w:hAnsi="Cambria"/>
          <w:sz w:val="22"/>
        </w:rPr>
        <w:t>Ensure quality, hygiene, and safety standards in food and accommodation services.</w:t>
      </w:r>
    </w:p>
    <w:p>
      <w:pPr>
        <w:pStyle w:val="ListBullet"/>
        <w:jc w:val="both"/>
      </w:pPr>
      <w:r>
        <w:rPr>
          <w:rFonts w:ascii="Cambria" w:hAnsi="Cambria"/>
          <w:sz w:val="22"/>
        </w:rPr>
        <w:t>Implement student welfare and grievance mechanisms for hostel and canteen residents.</w:t>
      </w:r>
    </w:p>
    <w:p>
      <w:pPr>
        <w:pStyle w:val="ListBullet"/>
        <w:jc w:val="both"/>
      </w:pPr>
      <w:r>
        <w:rPr>
          <w:rFonts w:ascii="Cambria" w:hAnsi="Cambria"/>
          <w:sz w:val="22"/>
        </w:rPr>
        <w:t>Coordinate with wardens, staff, and service providers to maintain smooth operations.</w:t>
      </w:r>
    </w:p>
    <w:p>
      <w:pPr>
        <w:pStyle w:val="ListBullet"/>
        <w:jc w:val="both"/>
      </w:pPr>
      <w:r>
        <w:rPr>
          <w:rFonts w:ascii="Cambria" w:hAnsi="Cambria"/>
          <w:sz w:val="22"/>
        </w:rPr>
        <w:t>Integrate hostel and canteen affairs into the institution’s IQAC and quality assurance systems.</w:t>
      </w:r>
    </w:p>
    <w:p>
      <w:pPr>
        <w:keepNext/>
        <w:spacing w:before="200" w:after="120"/>
      </w:pPr>
      <w:r>
        <w:rPr>
          <w:rFonts w:ascii="Cambria" w:hAnsi="Cambria"/>
          <w:b/>
          <w:color w:val="1F3A5F"/>
          <w:sz w:val="30"/>
        </w:rPr>
        <w:t>3. Key Duties and Responsibilities</w:t>
      </w:r>
    </w:p>
    <w:p>
      <w:pPr>
        <w:keepNext/>
        <w:spacing w:before="200" w:after="120"/>
      </w:pPr>
      <w:r>
        <w:rPr>
          <w:rFonts w:ascii="Cambria" w:hAnsi="Cambria"/>
          <w:b/>
          <w:color w:val="1F3A5F"/>
          <w:sz w:val="26"/>
        </w:rPr>
        <w:t>A. Hostel Administration</w:t>
      </w:r>
    </w:p>
    <w:p>
      <w:pPr>
        <w:pStyle w:val="ListBullet"/>
        <w:jc w:val="both"/>
      </w:pPr>
      <w:r>
        <w:rPr>
          <w:rFonts w:ascii="Cambria" w:hAnsi="Cambria"/>
          <w:sz w:val="22"/>
        </w:rPr>
        <w:t>Supervise all hostels and ensure efficient management through resident wardens and hostel committees.</w:t>
      </w:r>
    </w:p>
    <w:p>
      <w:pPr>
        <w:pStyle w:val="ListBullet"/>
        <w:jc w:val="both"/>
      </w:pPr>
      <w:r>
        <w:rPr>
          <w:rFonts w:ascii="Cambria" w:hAnsi="Cambria"/>
          <w:sz w:val="22"/>
        </w:rPr>
        <w:t>Formulate and implement hostel policies covering admission, accommodation, discipline, safety, and welfare.</w:t>
      </w:r>
    </w:p>
    <w:p>
      <w:pPr>
        <w:pStyle w:val="ListBullet"/>
        <w:jc w:val="both"/>
      </w:pPr>
      <w:r>
        <w:rPr>
          <w:rFonts w:ascii="Cambria" w:hAnsi="Cambria"/>
          <w:sz w:val="22"/>
        </w:rPr>
        <w:t>Monitor infrastructure maintenance, cleanliness, and sanitation of all hostel premises.</w:t>
      </w:r>
    </w:p>
    <w:p>
      <w:pPr>
        <w:pStyle w:val="ListBullet"/>
        <w:jc w:val="both"/>
      </w:pPr>
      <w:r>
        <w:rPr>
          <w:rFonts w:ascii="Cambria" w:hAnsi="Cambria"/>
          <w:sz w:val="22"/>
        </w:rPr>
        <w:t>Oversee security arrangements, fire safety compliance, and emergency preparedness.</w:t>
      </w:r>
    </w:p>
    <w:p>
      <w:pPr>
        <w:pStyle w:val="ListBullet"/>
        <w:jc w:val="both"/>
      </w:pPr>
      <w:r>
        <w:rPr>
          <w:rFonts w:ascii="Cambria" w:hAnsi="Cambria"/>
          <w:sz w:val="22"/>
        </w:rPr>
        <w:t>Ensure regular water, electricity, and waste management systems are functional and sustainable.</w:t>
      </w:r>
    </w:p>
    <w:p>
      <w:pPr>
        <w:pStyle w:val="ListBullet"/>
        <w:jc w:val="both"/>
      </w:pPr>
      <w:r>
        <w:rPr>
          <w:rFonts w:ascii="Cambria" w:hAnsi="Cambria"/>
          <w:sz w:val="22"/>
        </w:rPr>
        <w:t>Conduct hostel inspections, feedback sessions, and review meetings to assess living standards.</w:t>
      </w:r>
    </w:p>
    <w:p>
      <w:pPr>
        <w:pStyle w:val="ListBullet"/>
        <w:jc w:val="both"/>
      </w:pPr>
      <w:r>
        <w:rPr>
          <w:rFonts w:ascii="Cambria" w:hAnsi="Cambria"/>
          <w:sz w:val="22"/>
        </w:rPr>
        <w:t>Facilitate allocation of rooms, manage occupancy records, and ensure equitable distribution of facilities.</w:t>
      </w:r>
    </w:p>
    <w:p>
      <w:pPr>
        <w:pStyle w:val="ListBullet"/>
        <w:jc w:val="both"/>
      </w:pPr>
      <w:r>
        <w:rPr>
          <w:rFonts w:ascii="Cambria" w:hAnsi="Cambria"/>
          <w:sz w:val="22"/>
        </w:rPr>
        <w:t>Handle student grievances related to accommodation, maintenance, or interpersonal issues through a structured redressal mechanism.</w:t>
      </w:r>
    </w:p>
    <w:p>
      <w:pPr>
        <w:keepNext/>
        <w:spacing w:before="200" w:after="120"/>
      </w:pPr>
      <w:r>
        <w:rPr>
          <w:rFonts w:ascii="Cambria" w:hAnsi="Cambria"/>
          <w:b/>
          <w:color w:val="1F3A5F"/>
          <w:sz w:val="26"/>
        </w:rPr>
        <w:t>B. Canteen and Mess Management</w:t>
      </w:r>
    </w:p>
    <w:p>
      <w:pPr>
        <w:pStyle w:val="ListBullet"/>
        <w:jc w:val="both"/>
      </w:pPr>
      <w:r>
        <w:rPr>
          <w:rFonts w:ascii="Cambria" w:hAnsi="Cambria"/>
          <w:sz w:val="22"/>
        </w:rPr>
        <w:t>Oversee all institutional canteen and mess operations ensuring affordable, nutritious, and hygienic meals.</w:t>
      </w:r>
    </w:p>
    <w:p>
      <w:pPr>
        <w:pStyle w:val="ListBullet"/>
        <w:jc w:val="both"/>
      </w:pPr>
      <w:r>
        <w:rPr>
          <w:rFonts w:ascii="Cambria" w:hAnsi="Cambria"/>
          <w:sz w:val="22"/>
        </w:rPr>
        <w:t>Approve vendor contracts, rate lists, and menu plans in consultation with the Canteen Committee.</w:t>
      </w:r>
    </w:p>
    <w:p>
      <w:pPr>
        <w:pStyle w:val="ListBullet"/>
        <w:jc w:val="both"/>
      </w:pPr>
      <w:r>
        <w:rPr>
          <w:rFonts w:ascii="Cambria" w:hAnsi="Cambria"/>
          <w:sz w:val="22"/>
        </w:rPr>
        <w:t>Ensure strict compliance with FSSAI (Food Safety and Standards Authority of India) and institutional food hygiene standards.</w:t>
      </w:r>
    </w:p>
    <w:p>
      <w:pPr>
        <w:pStyle w:val="ListBullet"/>
        <w:jc w:val="both"/>
      </w:pPr>
      <w:r>
        <w:rPr>
          <w:rFonts w:ascii="Cambria" w:hAnsi="Cambria"/>
          <w:sz w:val="22"/>
        </w:rPr>
        <w:t>Conduct surprise inspections, food sampling, and vendor performance evaluations periodically.</w:t>
      </w:r>
    </w:p>
    <w:p>
      <w:pPr>
        <w:pStyle w:val="ListBullet"/>
        <w:jc w:val="both"/>
      </w:pPr>
      <w:r>
        <w:rPr>
          <w:rFonts w:ascii="Cambria" w:hAnsi="Cambria"/>
          <w:sz w:val="22"/>
        </w:rPr>
        <w:t>Encourage student participation in menu planning and feedback collection.</w:t>
      </w:r>
    </w:p>
    <w:p>
      <w:pPr>
        <w:pStyle w:val="ListBullet"/>
        <w:jc w:val="both"/>
      </w:pPr>
      <w:r>
        <w:rPr>
          <w:rFonts w:ascii="Cambria" w:hAnsi="Cambria"/>
          <w:sz w:val="22"/>
        </w:rPr>
        <w:t>Promote eco-friendly practices such as reducing food waste, banning single-use plastics, and sourcing sustainable products.</w:t>
      </w:r>
    </w:p>
    <w:p>
      <w:pPr>
        <w:pStyle w:val="ListBullet"/>
        <w:jc w:val="both"/>
      </w:pPr>
      <w:r>
        <w:rPr>
          <w:rFonts w:ascii="Cambria" w:hAnsi="Cambria"/>
          <w:sz w:val="22"/>
        </w:rPr>
        <w:t>Coordinate with nutritionists or dieticians to ensure balanced and diverse meal options.</w:t>
      </w:r>
    </w:p>
    <w:p>
      <w:pPr>
        <w:keepNext/>
        <w:spacing w:before="200" w:after="120"/>
      </w:pPr>
      <w:r>
        <w:rPr>
          <w:rFonts w:ascii="Cambria" w:hAnsi="Cambria"/>
          <w:b/>
          <w:color w:val="1F3A5F"/>
          <w:sz w:val="26"/>
        </w:rPr>
        <w:t>C. Coordination and Student Engagement</w:t>
      </w:r>
    </w:p>
    <w:p>
      <w:pPr>
        <w:pStyle w:val="ListBullet"/>
        <w:jc w:val="both"/>
      </w:pPr>
      <w:r>
        <w:rPr>
          <w:rFonts w:ascii="Cambria" w:hAnsi="Cambria"/>
          <w:sz w:val="22"/>
        </w:rPr>
        <w:t>Collaborate with Student Welfare and Counselling Cells to ensure holistic well-being of residents.</w:t>
      </w:r>
    </w:p>
    <w:p>
      <w:pPr>
        <w:pStyle w:val="ListBullet"/>
        <w:jc w:val="both"/>
      </w:pPr>
      <w:r>
        <w:rPr>
          <w:rFonts w:ascii="Cambria" w:hAnsi="Cambria"/>
          <w:sz w:val="22"/>
        </w:rPr>
        <w:t>Facilitate orientation sessions for new residents covering hostel and dining policies.</w:t>
      </w:r>
    </w:p>
    <w:p>
      <w:pPr>
        <w:pStyle w:val="ListBullet"/>
        <w:jc w:val="both"/>
      </w:pPr>
      <w:r>
        <w:rPr>
          <w:rFonts w:ascii="Cambria" w:hAnsi="Cambria"/>
          <w:sz w:val="22"/>
        </w:rPr>
        <w:t>Engage student representatives in Hostel Advisory and Canteen Management Committees to promote transparency.</w:t>
      </w:r>
    </w:p>
    <w:p>
      <w:pPr>
        <w:pStyle w:val="ListBullet"/>
        <w:jc w:val="both"/>
      </w:pPr>
      <w:r>
        <w:rPr>
          <w:rFonts w:ascii="Cambria" w:hAnsi="Cambria"/>
          <w:sz w:val="22"/>
        </w:rPr>
        <w:t>Conduct well-being surveys and grievance redressal sessions for continuous improvement.</w:t>
      </w:r>
    </w:p>
    <w:p>
      <w:pPr>
        <w:pStyle w:val="ListBullet"/>
        <w:jc w:val="both"/>
      </w:pPr>
      <w:r>
        <w:rPr>
          <w:rFonts w:ascii="Cambria" w:hAnsi="Cambria"/>
          <w:sz w:val="22"/>
        </w:rPr>
        <w:t>Organize awareness programs on health, hygiene, and responsible food habits.</w:t>
      </w:r>
    </w:p>
    <w:p>
      <w:pPr>
        <w:keepNext/>
        <w:spacing w:before="200" w:after="120"/>
      </w:pPr>
      <w:r>
        <w:rPr>
          <w:rFonts w:ascii="Cambria" w:hAnsi="Cambria"/>
          <w:b/>
          <w:color w:val="1F3A5F"/>
          <w:sz w:val="26"/>
        </w:rPr>
        <w:t>D. Compliance, Documentation, and Quality Assurance</w:t>
      </w:r>
    </w:p>
    <w:p>
      <w:pPr>
        <w:pStyle w:val="ListBullet"/>
        <w:jc w:val="both"/>
      </w:pPr>
      <w:r>
        <w:rPr>
          <w:rFonts w:ascii="Cambria" w:hAnsi="Cambria"/>
          <w:sz w:val="22"/>
        </w:rPr>
        <w:t>Maintain registers and digital records for:</w:t>
      </w:r>
    </w:p>
    <w:p>
      <w:pPr>
        <w:pStyle w:val="ListBullet2"/>
        <w:jc w:val="both"/>
      </w:pPr>
      <w:r>
        <w:rPr>
          <w:rFonts w:ascii="Cambria" w:hAnsi="Cambria"/>
          <w:sz w:val="22"/>
        </w:rPr>
        <w:t>Hostel occupancy and maintenance.</w:t>
      </w:r>
    </w:p>
    <w:p>
      <w:pPr>
        <w:pStyle w:val="ListBullet2"/>
        <w:jc w:val="both"/>
      </w:pPr>
      <w:r>
        <w:rPr>
          <w:rFonts w:ascii="Cambria" w:hAnsi="Cambria"/>
          <w:sz w:val="22"/>
        </w:rPr>
        <w:t>Canteen vendor details, menu plans, and food safety reports.</w:t>
      </w:r>
    </w:p>
    <w:p>
      <w:pPr>
        <w:pStyle w:val="ListBullet2"/>
        <w:jc w:val="both"/>
      </w:pPr>
      <w:r>
        <w:rPr>
          <w:rFonts w:ascii="Cambria" w:hAnsi="Cambria"/>
          <w:sz w:val="22"/>
        </w:rPr>
        <w:t>Complaints, grievances, and resolutions.</w:t>
      </w:r>
    </w:p>
    <w:p>
      <w:pPr>
        <w:pStyle w:val="ListBullet"/>
        <w:jc w:val="both"/>
      </w:pPr>
      <w:r>
        <w:rPr>
          <w:rFonts w:ascii="Cambria" w:hAnsi="Cambria"/>
          <w:sz w:val="22"/>
        </w:rPr>
        <w:t>Prepare monthly, quarterly, and annual reports on hostel and canteen operations for IQAC and administrative review.</w:t>
      </w:r>
    </w:p>
    <w:p>
      <w:pPr>
        <w:pStyle w:val="ListBullet"/>
        <w:jc w:val="both"/>
      </w:pPr>
      <w:r>
        <w:rPr>
          <w:rFonts w:ascii="Cambria" w:hAnsi="Cambria"/>
          <w:sz w:val="22"/>
        </w:rPr>
        <w:t>Follow the Policy → Action → Evidence → Outcome (PAEO) framework to ensure audit-ready documentation.</w:t>
      </w:r>
    </w:p>
    <w:p>
      <w:pPr>
        <w:pStyle w:val="ListBullet"/>
        <w:jc w:val="both"/>
      </w:pPr>
      <w:r>
        <w:rPr>
          <w:rFonts w:ascii="Cambria" w:hAnsi="Cambria"/>
          <w:sz w:val="22"/>
        </w:rPr>
        <w:t>Conduct internal audits and inspections in coordination with the Estate Office and IQAC.</w:t>
      </w:r>
    </w:p>
    <w:p>
      <w:pPr>
        <w:pStyle w:val="ListBullet"/>
        <w:jc w:val="both"/>
      </w:pPr>
      <w:r>
        <w:rPr>
          <w:rFonts w:ascii="Cambria" w:hAnsi="Cambria"/>
          <w:sz w:val="22"/>
        </w:rPr>
        <w:t>Submit compliance reports for NAAC, NBA, and QS I-GAUGE accreditation reviews.</w:t>
      </w:r>
    </w:p>
    <w:p>
      <w:pPr>
        <w:keepNext/>
        <w:spacing w:before="200" w:after="120"/>
      </w:pPr>
      <w:r>
        <w:rPr>
          <w:rFonts w:ascii="Cambria" w:hAnsi="Cambria"/>
          <w:b/>
          <w:color w:val="1F3A5F"/>
          <w:sz w:val="30"/>
        </w:rPr>
        <w:t>4. Accreditation and Framework Mapping</w:t>
      </w:r>
    </w:p>
    <w:p>
      <w:pPr>
        <w:keepNext/>
        <w:spacing w:before="200" w:after="120"/>
      </w:pPr>
      <w:r>
        <w:rPr>
          <w:rFonts w:ascii="Cambria" w:hAnsi="Cambria"/>
          <w:b/>
          <w:color w:val="1F3A5F"/>
          <w:sz w:val="26"/>
        </w:rPr>
        <w:t>A. NAAC (National Assessment and Accreditation Council)</w:t>
      </w:r>
    </w:p>
    <w:tbl>
      <w:tblPr>
        <w:tblW w:type="auto" w:w="0"/>
        <w:jc w:val="center"/>
        <w:tblLayout w:type="fixed"/>
        <w:tblLook w:firstColumn="1" w:firstRow="1" w:lastColumn="0" w:lastRow="0" w:noHBand="0" w:noVBand="1" w:val="04A0"/>
        <w:tblW w:w="8334" w:type="dxa"/>
        <w:tblLayout w:type="fixed"/>
      </w:tblPr>
      <w:tblGrid>
        <w:gridCol w:w="1134"/>
        <w:gridCol w:w="2551"/>
        <w:gridCol w:w="2551"/>
        <w:gridCol w:w="2097"/>
      </w:tblGrid>
      <w:tr>
        <w:tc>
          <w:tcPr>
            <w:tcW w:type="dxa" w:w="1134"/>
            <w:tcW w:w="1134" w:type="dxa"/>
            <w:shd w:val="clear" w:color="auto" w:fill="1F3A5F"/>
          </w:tcPr>
          <w:p>
            <w:pPr>
              <w:jc w:val="center"/>
            </w:pPr>
            <w:r/>
            <w:r>
              <w:rPr>
                <w:rFonts w:ascii="Cambria" w:hAnsi="Cambria"/>
                <w:b/>
                <w:color w:val="FFFFFF"/>
                <w:sz w:val="22"/>
              </w:rPr>
              <w:t>Criterion</w:t>
            </w:r>
          </w:p>
        </w:tc>
        <w:tc>
          <w:tcPr>
            <w:tcW w:type="dxa" w:w="2551"/>
            <w:tcW w:w="2551" w:type="dxa"/>
            <w:shd w:val="clear" w:color="auto" w:fill="1F3A5F"/>
          </w:tcPr>
          <w:p>
            <w:pPr>
              <w:jc w:val="center"/>
            </w:pPr>
            <w:r/>
            <w:r>
              <w:rPr>
                <w:rFonts w:ascii="Cambria" w:hAnsi="Cambria"/>
                <w:b/>
                <w:color w:val="FFFFFF"/>
                <w:sz w:val="22"/>
              </w:rPr>
              <w:t>Indicator / Metric</w:t>
            </w:r>
          </w:p>
        </w:tc>
        <w:tc>
          <w:tcPr>
            <w:tcW w:type="dxa" w:w="2551"/>
            <w:tcW w:w="2551" w:type="dxa"/>
            <w:shd w:val="clear" w:color="auto" w:fill="1F3A5F"/>
          </w:tcPr>
          <w:p>
            <w:pPr>
              <w:jc w:val="center"/>
            </w:pPr>
            <w:r/>
            <w:r>
              <w:rPr>
                <w:rFonts w:ascii="Cambria" w:hAnsi="Cambria"/>
                <w:b/>
                <w:color w:val="FFFFFF"/>
                <w:sz w:val="22"/>
              </w:rPr>
              <w:t>Associate Dean’s Duties</w:t>
            </w:r>
          </w:p>
        </w:tc>
        <w:tc>
          <w:tcPr>
            <w:tcW w:type="dxa" w:w="2098"/>
            <w:tcW w:w="2097" w:type="dxa"/>
            <w:shd w:val="clear" w:color="auto" w:fill="1F3A5F"/>
          </w:tcPr>
          <w:p>
            <w:pPr>
              <w:jc w:val="center"/>
            </w:pPr>
            <w:r/>
            <w:r>
              <w:rPr>
                <w:rFonts w:ascii="Cambria" w:hAnsi="Cambria"/>
                <w:b/>
                <w:color w:val="FFFFFF"/>
                <w:sz w:val="22"/>
              </w:rPr>
              <w:t>Evidence / Records</w:t>
            </w:r>
          </w:p>
        </w:tc>
      </w:tr>
      <w:tr>
        <w:tc>
          <w:tcPr>
            <w:tcW w:type="dxa" w:w="1134"/>
            <w:tcW w:w="1134" w:type="dxa"/>
          </w:tcPr>
          <w:p>
            <w:pPr>
              <w:jc w:val="left"/>
            </w:pPr>
            <w:r/>
            <w:r>
              <w:rPr>
                <w:rFonts w:ascii="Cambria" w:hAnsi="Cambria"/>
                <w:b w:val="0"/>
                <w:sz w:val="18"/>
              </w:rPr>
              <w:t>4.1.2</w:t>
            </w:r>
          </w:p>
        </w:tc>
        <w:tc>
          <w:tcPr>
            <w:tcW w:type="dxa" w:w="2551"/>
            <w:tcW w:w="2551" w:type="dxa"/>
          </w:tcPr>
          <w:p>
            <w:pPr>
              <w:jc w:val="center"/>
            </w:pPr>
            <w:r/>
            <w:r>
              <w:rPr>
                <w:rFonts w:ascii="Cambria" w:hAnsi="Cambria"/>
                <w:b w:val="0"/>
                <w:sz w:val="18"/>
              </w:rPr>
              <w:t>Maintenance of Infrastructure</w:t>
            </w:r>
          </w:p>
        </w:tc>
        <w:tc>
          <w:tcPr>
            <w:tcW w:type="dxa" w:w="2551"/>
            <w:tcW w:w="2551" w:type="dxa"/>
          </w:tcPr>
          <w:p>
            <w:pPr>
              <w:jc w:val="center"/>
            </w:pPr>
            <w:r/>
            <w:r>
              <w:rPr>
                <w:rFonts w:ascii="Cambria" w:hAnsi="Cambria"/>
                <w:b w:val="0"/>
                <w:sz w:val="18"/>
              </w:rPr>
              <w:t>Ensure well-maintained hostel and canteen infrastructure</w:t>
            </w:r>
          </w:p>
        </w:tc>
        <w:tc>
          <w:tcPr>
            <w:tcW w:type="dxa" w:w="2098"/>
            <w:tcW w:w="2097" w:type="dxa"/>
          </w:tcPr>
          <w:p>
            <w:pPr>
              <w:jc w:val="center"/>
            </w:pPr>
            <w:r/>
            <w:r>
              <w:rPr>
                <w:rFonts w:ascii="Cambria" w:hAnsi="Cambria"/>
                <w:b w:val="0"/>
                <w:sz w:val="18"/>
              </w:rPr>
              <w:t>Maintenance registers, inspection reports</w:t>
            </w:r>
          </w:p>
        </w:tc>
      </w:tr>
      <w:tr>
        <w:tc>
          <w:tcPr>
            <w:tcW w:type="dxa" w:w="1134"/>
            <w:tcW w:w="1134" w:type="dxa"/>
            <w:shd w:val="clear" w:color="auto" w:fill="DCE6F1"/>
          </w:tcPr>
          <w:p>
            <w:pPr>
              <w:jc w:val="left"/>
            </w:pPr>
            <w:r/>
            <w:r>
              <w:rPr>
                <w:rFonts w:ascii="Cambria" w:hAnsi="Cambria"/>
                <w:b w:val="0"/>
                <w:sz w:val="18"/>
              </w:rPr>
              <w:t>4.1.3</w:t>
            </w:r>
          </w:p>
        </w:tc>
        <w:tc>
          <w:tcPr>
            <w:tcW w:type="dxa" w:w="2551"/>
            <w:tcW w:w="2551" w:type="dxa"/>
            <w:shd w:val="clear" w:color="auto" w:fill="DCE6F1"/>
          </w:tcPr>
          <w:p>
            <w:pPr>
              <w:jc w:val="center"/>
            </w:pPr>
            <w:r/>
            <w:r>
              <w:rPr>
                <w:rFonts w:ascii="Cambria" w:hAnsi="Cambria"/>
                <w:b w:val="0"/>
                <w:sz w:val="18"/>
              </w:rPr>
              <w:t>Infrastructure for energy and water conservation</w:t>
            </w:r>
          </w:p>
        </w:tc>
        <w:tc>
          <w:tcPr>
            <w:tcW w:type="dxa" w:w="2551"/>
            <w:tcW w:w="2551" w:type="dxa"/>
            <w:shd w:val="clear" w:color="auto" w:fill="DCE6F1"/>
          </w:tcPr>
          <w:p>
            <w:pPr>
              <w:jc w:val="center"/>
            </w:pPr>
            <w:r/>
            <w:r>
              <w:rPr>
                <w:rFonts w:ascii="Cambria" w:hAnsi="Cambria"/>
                <w:b w:val="0"/>
                <w:sz w:val="18"/>
              </w:rPr>
              <w:t>Promote energy-efficient and eco-friendly hostel facilities</w:t>
            </w:r>
          </w:p>
        </w:tc>
        <w:tc>
          <w:tcPr>
            <w:tcW w:type="dxa" w:w="2098"/>
            <w:tcW w:w="2097" w:type="dxa"/>
            <w:shd w:val="clear" w:color="auto" w:fill="DCE6F1"/>
          </w:tcPr>
          <w:p>
            <w:pPr>
              <w:jc w:val="center"/>
            </w:pPr>
            <w:r/>
            <w:r>
              <w:rPr>
                <w:rFonts w:ascii="Cambria" w:hAnsi="Cambria"/>
                <w:b w:val="0"/>
                <w:sz w:val="18"/>
              </w:rPr>
              <w:t>Audit reports, sustainability initiatives</w:t>
            </w:r>
          </w:p>
        </w:tc>
      </w:tr>
      <w:tr>
        <w:tc>
          <w:tcPr>
            <w:tcW w:type="dxa" w:w="1134"/>
            <w:tcW w:w="1134" w:type="dxa"/>
          </w:tcPr>
          <w:p>
            <w:pPr>
              <w:jc w:val="left"/>
            </w:pPr>
            <w:r/>
            <w:r>
              <w:rPr>
                <w:rFonts w:ascii="Cambria" w:hAnsi="Cambria"/>
                <w:b w:val="0"/>
                <w:sz w:val="18"/>
              </w:rPr>
              <w:t>5.1.1</w:t>
            </w:r>
          </w:p>
        </w:tc>
        <w:tc>
          <w:tcPr>
            <w:tcW w:type="dxa" w:w="2551"/>
            <w:tcW w:w="2551" w:type="dxa"/>
          </w:tcPr>
          <w:p>
            <w:pPr>
              <w:jc w:val="center"/>
            </w:pPr>
            <w:r/>
            <w:r>
              <w:rPr>
                <w:rFonts w:ascii="Cambria" w:hAnsi="Cambria"/>
                <w:b w:val="0"/>
                <w:sz w:val="18"/>
              </w:rPr>
              <w:t>Student support schemes</w:t>
            </w:r>
          </w:p>
        </w:tc>
        <w:tc>
          <w:tcPr>
            <w:tcW w:type="dxa" w:w="2551"/>
            <w:tcW w:w="2551" w:type="dxa"/>
          </w:tcPr>
          <w:p>
            <w:pPr>
              <w:jc w:val="center"/>
            </w:pPr>
            <w:r/>
            <w:r>
              <w:rPr>
                <w:rFonts w:ascii="Cambria" w:hAnsi="Cambria"/>
                <w:b w:val="0"/>
                <w:sz w:val="18"/>
              </w:rPr>
              <w:t>Manage hostel facilities as part of student welfare</w:t>
            </w:r>
          </w:p>
        </w:tc>
        <w:tc>
          <w:tcPr>
            <w:tcW w:type="dxa" w:w="2098"/>
            <w:tcW w:w="2097" w:type="dxa"/>
          </w:tcPr>
          <w:p>
            <w:pPr>
              <w:jc w:val="center"/>
            </w:pPr>
            <w:r/>
            <w:r>
              <w:rPr>
                <w:rFonts w:ascii="Cambria" w:hAnsi="Cambria"/>
                <w:b w:val="0"/>
                <w:sz w:val="18"/>
              </w:rPr>
              <w:t>Hostel occupancy records, welfare data</w:t>
            </w:r>
          </w:p>
        </w:tc>
      </w:tr>
      <w:tr>
        <w:tc>
          <w:tcPr>
            <w:tcW w:type="dxa" w:w="1134"/>
            <w:tcW w:w="1134" w:type="dxa"/>
            <w:shd w:val="clear" w:color="auto" w:fill="DCE6F1"/>
          </w:tcPr>
          <w:p>
            <w:pPr>
              <w:jc w:val="left"/>
            </w:pPr>
            <w:r/>
            <w:r>
              <w:rPr>
                <w:rFonts w:ascii="Cambria" w:hAnsi="Cambria"/>
                <w:b w:val="0"/>
                <w:sz w:val="18"/>
              </w:rPr>
              <w:t>5.1.4</w:t>
            </w:r>
          </w:p>
        </w:tc>
        <w:tc>
          <w:tcPr>
            <w:tcW w:type="dxa" w:w="2551"/>
            <w:tcW w:w="2551" w:type="dxa"/>
            <w:shd w:val="clear" w:color="auto" w:fill="DCE6F1"/>
          </w:tcPr>
          <w:p>
            <w:pPr>
              <w:jc w:val="center"/>
            </w:pPr>
            <w:r/>
            <w:r>
              <w:rPr>
                <w:rFonts w:ascii="Cambria" w:hAnsi="Cambria"/>
                <w:b w:val="0"/>
                <w:sz w:val="18"/>
              </w:rPr>
              <w:t>Grievance redressal mechanism</w:t>
            </w:r>
          </w:p>
        </w:tc>
        <w:tc>
          <w:tcPr>
            <w:tcW w:type="dxa" w:w="2551"/>
            <w:tcW w:w="2551" w:type="dxa"/>
            <w:shd w:val="clear" w:color="auto" w:fill="DCE6F1"/>
          </w:tcPr>
          <w:p>
            <w:pPr>
              <w:jc w:val="center"/>
            </w:pPr>
            <w:r/>
            <w:r>
              <w:rPr>
                <w:rFonts w:ascii="Cambria" w:hAnsi="Cambria"/>
                <w:b w:val="0"/>
                <w:sz w:val="18"/>
              </w:rPr>
              <w:t>Handle and document hostel/canteen grievances</w:t>
            </w:r>
          </w:p>
        </w:tc>
        <w:tc>
          <w:tcPr>
            <w:tcW w:type="dxa" w:w="2098"/>
            <w:tcW w:w="2097" w:type="dxa"/>
            <w:shd w:val="clear" w:color="auto" w:fill="DCE6F1"/>
          </w:tcPr>
          <w:p>
            <w:pPr>
              <w:jc w:val="center"/>
            </w:pPr>
            <w:r/>
            <w:r>
              <w:rPr>
                <w:rFonts w:ascii="Cambria" w:hAnsi="Cambria"/>
                <w:b w:val="0"/>
                <w:sz w:val="18"/>
              </w:rPr>
              <w:t>Complaint registers, ATR reports</w:t>
            </w:r>
          </w:p>
        </w:tc>
      </w:tr>
      <w:tr>
        <w:tc>
          <w:tcPr>
            <w:tcW w:type="dxa" w:w="1134"/>
            <w:tcW w:w="1134" w:type="dxa"/>
          </w:tcPr>
          <w:p>
            <w:pPr>
              <w:jc w:val="left"/>
            </w:pPr>
            <w:r/>
            <w:r>
              <w:rPr>
                <w:rFonts w:ascii="Cambria" w:hAnsi="Cambria"/>
                <w:b w:val="0"/>
                <w:sz w:val="18"/>
              </w:rPr>
              <w:t>7.1.6</w:t>
            </w:r>
          </w:p>
        </w:tc>
        <w:tc>
          <w:tcPr>
            <w:tcW w:type="dxa" w:w="2551"/>
            <w:tcW w:w="2551" w:type="dxa"/>
          </w:tcPr>
          <w:p>
            <w:pPr>
              <w:jc w:val="center"/>
            </w:pPr>
            <w:r/>
            <w:r>
              <w:rPr>
                <w:rFonts w:ascii="Cambria" w:hAnsi="Cambria"/>
                <w:b w:val="0"/>
                <w:sz w:val="18"/>
              </w:rPr>
              <w:t>Institutional initiatives for environmental sustainability</w:t>
            </w:r>
          </w:p>
        </w:tc>
        <w:tc>
          <w:tcPr>
            <w:tcW w:type="dxa" w:w="2551"/>
            <w:tcW w:w="2551" w:type="dxa"/>
          </w:tcPr>
          <w:p>
            <w:pPr>
              <w:jc w:val="center"/>
            </w:pPr>
            <w:r/>
            <w:r>
              <w:rPr>
                <w:rFonts w:ascii="Cambria" w:hAnsi="Cambria"/>
                <w:b w:val="0"/>
                <w:sz w:val="18"/>
              </w:rPr>
              <w:t>Implement waste management and sustainable dining practices</w:t>
            </w:r>
          </w:p>
        </w:tc>
        <w:tc>
          <w:tcPr>
            <w:tcW w:type="dxa" w:w="2098"/>
            <w:tcW w:w="2097" w:type="dxa"/>
          </w:tcPr>
          <w:p>
            <w:pPr>
              <w:jc w:val="center"/>
            </w:pPr>
            <w:r/>
            <w:r>
              <w:rPr>
                <w:rFonts w:ascii="Cambria" w:hAnsi="Cambria"/>
                <w:b w:val="0"/>
                <w:sz w:val="18"/>
              </w:rPr>
              <w:t>Recycling reports, awareness campaign evidence</w:t>
            </w:r>
          </w:p>
        </w:tc>
      </w:tr>
      <w:tr>
        <w:tc>
          <w:tcPr>
            <w:tcW w:type="dxa" w:w="1134"/>
            <w:tcW w:w="1134" w:type="dxa"/>
            <w:shd w:val="clear" w:color="auto" w:fill="DCE6F1"/>
          </w:tcPr>
          <w:p>
            <w:pPr>
              <w:jc w:val="left"/>
            </w:pPr>
            <w:r/>
            <w:r>
              <w:rPr>
                <w:rFonts w:ascii="Cambria" w:hAnsi="Cambria"/>
                <w:b w:val="0"/>
                <w:sz w:val="18"/>
              </w:rPr>
              <w:t>7.1.10</w:t>
            </w:r>
          </w:p>
        </w:tc>
        <w:tc>
          <w:tcPr>
            <w:tcW w:type="dxa" w:w="2551"/>
            <w:tcW w:w="2551" w:type="dxa"/>
            <w:shd w:val="clear" w:color="auto" w:fill="DCE6F1"/>
          </w:tcPr>
          <w:p>
            <w:pPr>
              <w:jc w:val="center"/>
            </w:pPr>
            <w:r/>
            <w:r>
              <w:rPr>
                <w:rFonts w:ascii="Cambria" w:hAnsi="Cambria"/>
                <w:b w:val="0"/>
                <w:sz w:val="18"/>
              </w:rPr>
              <w:t>Code of conduct and safety</w:t>
            </w:r>
          </w:p>
        </w:tc>
        <w:tc>
          <w:tcPr>
            <w:tcW w:type="dxa" w:w="2551"/>
            <w:tcW w:w="2551" w:type="dxa"/>
            <w:shd w:val="clear" w:color="auto" w:fill="DCE6F1"/>
          </w:tcPr>
          <w:p>
            <w:pPr>
              <w:jc w:val="center"/>
            </w:pPr>
            <w:r/>
            <w:r>
              <w:rPr>
                <w:rFonts w:ascii="Cambria" w:hAnsi="Cambria"/>
                <w:b w:val="0"/>
                <w:sz w:val="18"/>
              </w:rPr>
              <w:t>Ensure compliance with hostel discipline and safety norms</w:t>
            </w:r>
          </w:p>
        </w:tc>
        <w:tc>
          <w:tcPr>
            <w:tcW w:type="dxa" w:w="2098"/>
            <w:tcW w:w="2097" w:type="dxa"/>
            <w:shd w:val="clear" w:color="auto" w:fill="DCE6F1"/>
          </w:tcPr>
          <w:p>
            <w:pPr>
              <w:jc w:val="center"/>
            </w:pPr>
            <w:r/>
            <w:r>
              <w:rPr>
                <w:rFonts w:ascii="Cambria" w:hAnsi="Cambria"/>
                <w:b w:val="0"/>
                <w:sz w:val="18"/>
              </w:rPr>
              <w:t>Policy documents, safety audit reports</w:t>
            </w:r>
          </w:p>
        </w:tc>
      </w:tr>
    </w:tbl>
    <w:p>
      <w:pPr>
        <w:keepNext/>
        <w:spacing w:before="200" w:after="120"/>
      </w:pPr>
      <w:r>
        <w:rPr>
          <w:rFonts w:ascii="Cambria" w:hAnsi="Cambria"/>
          <w:b/>
          <w:color w:val="1F3A5F"/>
          <w:sz w:val="26"/>
        </w:rPr>
        <w:t>B. NBA (National Board of Accreditation)</w:t>
      </w:r>
    </w:p>
    <w:tbl>
      <w:tblPr>
        <w:tblW w:type="auto" w:w="0"/>
        <w:jc w:val="center"/>
        <w:tblLayout w:type="fixed"/>
        <w:tblLook w:firstColumn="1" w:firstRow="1" w:lastColumn="0" w:lastRow="0" w:noHBand="0" w:noVBand="1" w:val="04A0"/>
        <w:tblW w:w="8334" w:type="dxa"/>
        <w:tblLayout w:type="fixed"/>
      </w:tblPr>
      <w:tblGrid>
        <w:gridCol w:w="1134"/>
        <w:gridCol w:w="2268"/>
        <w:gridCol w:w="2835"/>
        <w:gridCol w:w="2097"/>
      </w:tblGrid>
      <w:tr>
        <w:tc>
          <w:tcPr>
            <w:tcW w:type="dxa" w:w="1134"/>
            <w:tcW w:w="1134" w:type="dxa"/>
            <w:shd w:val="clear" w:color="auto" w:fill="1F3A5F"/>
          </w:tcPr>
          <w:p>
            <w:pPr>
              <w:jc w:val="center"/>
            </w:pPr>
            <w:r/>
            <w:r>
              <w:rPr>
                <w:rFonts w:ascii="Cambria" w:hAnsi="Cambria"/>
                <w:b/>
                <w:color w:val="FFFFFF"/>
                <w:sz w:val="22"/>
              </w:rPr>
              <w:t>Criterion</w:t>
            </w:r>
          </w:p>
        </w:tc>
        <w:tc>
          <w:tcPr>
            <w:tcW w:type="dxa" w:w="2268"/>
            <w:tcW w:w="2268" w:type="dxa"/>
            <w:shd w:val="clear" w:color="auto" w:fill="1F3A5F"/>
          </w:tcPr>
          <w:p>
            <w:pPr>
              <w:jc w:val="center"/>
            </w:pPr>
            <w:r/>
            <w:r>
              <w:rPr>
                <w:rFonts w:ascii="Cambria" w:hAnsi="Cambria"/>
                <w:b/>
                <w:color w:val="FFFFFF"/>
                <w:sz w:val="22"/>
              </w:rPr>
              <w:t>Focus Area</w:t>
            </w:r>
          </w:p>
        </w:tc>
        <w:tc>
          <w:tcPr>
            <w:tcW w:type="dxa" w:w="2835"/>
            <w:tcW w:w="2835" w:type="dxa"/>
            <w:shd w:val="clear" w:color="auto" w:fill="1F3A5F"/>
          </w:tcPr>
          <w:p>
            <w:pPr>
              <w:jc w:val="center"/>
            </w:pPr>
            <w:r/>
            <w:r>
              <w:rPr>
                <w:rFonts w:ascii="Cambria" w:hAnsi="Cambria"/>
                <w:b/>
                <w:color w:val="FFFFFF"/>
                <w:sz w:val="22"/>
              </w:rPr>
              <w:t>Associate Dean’s Duties</w:t>
            </w:r>
          </w:p>
        </w:tc>
        <w:tc>
          <w:tcPr>
            <w:tcW w:type="dxa" w:w="2098"/>
            <w:tcW w:w="2097" w:type="dxa"/>
            <w:shd w:val="clear" w:color="auto" w:fill="1F3A5F"/>
          </w:tcPr>
          <w:p>
            <w:pPr>
              <w:jc w:val="center"/>
            </w:pPr>
            <w:r/>
            <w:r>
              <w:rPr>
                <w:rFonts w:ascii="Cambria" w:hAnsi="Cambria"/>
                <w:b/>
                <w:color w:val="FFFFFF"/>
                <w:sz w:val="22"/>
              </w:rPr>
              <w:t>Evidence</w:t>
            </w:r>
          </w:p>
        </w:tc>
      </w:tr>
      <w:tr>
        <w:tc>
          <w:tcPr>
            <w:tcW w:type="dxa" w:w="1134"/>
            <w:tcW w:w="1134" w:type="dxa"/>
          </w:tcPr>
          <w:p>
            <w:pPr>
              <w:jc w:val="left"/>
            </w:pPr>
            <w:r/>
            <w:r>
              <w:rPr>
                <w:rFonts w:ascii="Cambria" w:hAnsi="Cambria"/>
                <w:b w:val="0"/>
                <w:sz w:val="19"/>
              </w:rPr>
              <w:t>8</w:t>
            </w:r>
          </w:p>
        </w:tc>
        <w:tc>
          <w:tcPr>
            <w:tcW w:type="dxa" w:w="2268"/>
            <w:tcW w:w="2268" w:type="dxa"/>
          </w:tcPr>
          <w:p>
            <w:pPr>
              <w:jc w:val="center"/>
            </w:pPr>
            <w:r/>
            <w:r>
              <w:rPr>
                <w:rFonts w:ascii="Cambria" w:hAnsi="Cambria"/>
                <w:b w:val="0"/>
                <w:sz w:val="19"/>
              </w:rPr>
              <w:t>First Year Academics (Student Induction)</w:t>
            </w:r>
          </w:p>
        </w:tc>
        <w:tc>
          <w:tcPr>
            <w:tcW w:type="dxa" w:w="2835"/>
            <w:tcW w:w="2835" w:type="dxa"/>
          </w:tcPr>
          <w:p>
            <w:pPr>
              <w:jc w:val="center"/>
            </w:pPr>
            <w:r/>
            <w:r>
              <w:rPr>
                <w:rFonts w:ascii="Cambria" w:hAnsi="Cambria"/>
                <w:b w:val="0"/>
                <w:sz w:val="19"/>
              </w:rPr>
              <w:t>Provide hostel orientation and welfare support for new students</w:t>
            </w:r>
          </w:p>
        </w:tc>
        <w:tc>
          <w:tcPr>
            <w:tcW w:type="dxa" w:w="2098"/>
            <w:tcW w:w="2097" w:type="dxa"/>
          </w:tcPr>
          <w:p>
            <w:pPr>
              <w:jc w:val="center"/>
            </w:pPr>
            <w:r/>
            <w:r>
              <w:rPr>
                <w:rFonts w:ascii="Cambria" w:hAnsi="Cambria"/>
                <w:b w:val="0"/>
                <w:sz w:val="19"/>
              </w:rPr>
              <w:t>Induction reports, participation data</w:t>
            </w:r>
          </w:p>
        </w:tc>
      </w:tr>
      <w:tr>
        <w:tc>
          <w:tcPr>
            <w:tcW w:type="dxa" w:w="1134"/>
            <w:tcW w:w="1134" w:type="dxa"/>
            <w:shd w:val="clear" w:color="auto" w:fill="DCE6F1"/>
          </w:tcPr>
          <w:p>
            <w:pPr>
              <w:jc w:val="left"/>
            </w:pPr>
            <w:r/>
            <w:r>
              <w:rPr>
                <w:rFonts w:ascii="Cambria" w:hAnsi="Cambria"/>
                <w:b w:val="0"/>
                <w:sz w:val="19"/>
              </w:rPr>
              <w:t>9</w:t>
            </w:r>
          </w:p>
        </w:tc>
        <w:tc>
          <w:tcPr>
            <w:tcW w:type="dxa" w:w="2268"/>
            <w:tcW w:w="2268" w:type="dxa"/>
            <w:shd w:val="clear" w:color="auto" w:fill="DCE6F1"/>
          </w:tcPr>
          <w:p>
            <w:pPr>
              <w:jc w:val="center"/>
            </w:pPr>
            <w:r/>
            <w:r>
              <w:rPr>
                <w:rFonts w:ascii="Cambria" w:hAnsi="Cambria"/>
                <w:b w:val="0"/>
                <w:sz w:val="19"/>
              </w:rPr>
              <w:t>Student Support Systems</w:t>
            </w:r>
          </w:p>
        </w:tc>
        <w:tc>
          <w:tcPr>
            <w:tcW w:type="dxa" w:w="2835"/>
            <w:tcW w:w="2835" w:type="dxa"/>
            <w:shd w:val="clear" w:color="auto" w:fill="DCE6F1"/>
          </w:tcPr>
          <w:p>
            <w:pPr>
              <w:jc w:val="center"/>
            </w:pPr>
            <w:r/>
            <w:r>
              <w:rPr>
                <w:rFonts w:ascii="Cambria" w:hAnsi="Cambria"/>
                <w:b w:val="0"/>
                <w:sz w:val="19"/>
              </w:rPr>
              <w:t>Maintain welfare and grievance mechanisms for residential students</w:t>
            </w:r>
          </w:p>
        </w:tc>
        <w:tc>
          <w:tcPr>
            <w:tcW w:type="dxa" w:w="2098"/>
            <w:tcW w:w="2097" w:type="dxa"/>
            <w:shd w:val="clear" w:color="auto" w:fill="DCE6F1"/>
          </w:tcPr>
          <w:p>
            <w:pPr>
              <w:jc w:val="center"/>
            </w:pPr>
            <w:r/>
            <w:r>
              <w:rPr>
                <w:rFonts w:ascii="Cambria" w:hAnsi="Cambria"/>
                <w:b w:val="0"/>
                <w:sz w:val="19"/>
              </w:rPr>
              <w:t>Hostel/Canteen feedback, grievance data</w:t>
            </w:r>
          </w:p>
        </w:tc>
      </w:tr>
      <w:tr>
        <w:tc>
          <w:tcPr>
            <w:tcW w:type="dxa" w:w="1134"/>
            <w:tcW w:w="1134" w:type="dxa"/>
          </w:tcPr>
          <w:p>
            <w:pPr>
              <w:jc w:val="left"/>
            </w:pPr>
            <w:r/>
            <w:r>
              <w:rPr>
                <w:rFonts w:ascii="Cambria" w:hAnsi="Cambria"/>
                <w:b w:val="0"/>
                <w:sz w:val="19"/>
              </w:rPr>
              <w:t>10</w:t>
            </w:r>
          </w:p>
        </w:tc>
        <w:tc>
          <w:tcPr>
            <w:tcW w:type="dxa" w:w="2268"/>
            <w:tcW w:w="2268" w:type="dxa"/>
          </w:tcPr>
          <w:p>
            <w:pPr>
              <w:jc w:val="center"/>
            </w:pPr>
            <w:r/>
            <w:r>
              <w:rPr>
                <w:rFonts w:ascii="Cambria" w:hAnsi="Cambria"/>
                <w:b w:val="0"/>
                <w:sz w:val="19"/>
              </w:rPr>
              <w:t>Continuous Improvement</w:t>
            </w:r>
          </w:p>
        </w:tc>
        <w:tc>
          <w:tcPr>
            <w:tcW w:type="dxa" w:w="2835"/>
            <w:tcW w:w="2835" w:type="dxa"/>
          </w:tcPr>
          <w:p>
            <w:pPr>
              <w:jc w:val="center"/>
            </w:pPr>
            <w:r/>
            <w:r>
              <w:rPr>
                <w:rFonts w:ascii="Cambria" w:hAnsi="Cambria"/>
                <w:b w:val="0"/>
                <w:sz w:val="19"/>
              </w:rPr>
              <w:t>Conduct audits, corrective measures, and feedback loops</w:t>
            </w:r>
          </w:p>
        </w:tc>
        <w:tc>
          <w:tcPr>
            <w:tcW w:type="dxa" w:w="2098"/>
            <w:tcW w:w="2097" w:type="dxa"/>
          </w:tcPr>
          <w:p>
            <w:pPr>
              <w:jc w:val="center"/>
            </w:pPr>
            <w:r/>
            <w:r>
              <w:rPr>
                <w:rFonts w:ascii="Cambria" w:hAnsi="Cambria"/>
                <w:b w:val="0"/>
                <w:sz w:val="19"/>
              </w:rPr>
              <w:t>Audit summaries, action plans</w:t>
            </w:r>
          </w:p>
        </w:tc>
      </w:tr>
    </w:tbl>
    <w:p>
      <w:pPr>
        <w:keepNext/>
        <w:spacing w:before="200" w:after="120"/>
      </w:pPr>
      <w:r>
        <w:rPr>
          <w:rFonts w:ascii="Cambria" w:hAnsi="Cambria"/>
          <w:b/>
          <w:color w:val="1F3A5F"/>
          <w:sz w:val="26"/>
        </w:rPr>
        <w:t>C. QS I-GAUGE Framework</w:t>
      </w:r>
    </w:p>
    <w:tbl>
      <w:tblPr>
        <w:tblW w:type="auto" w:w="0"/>
        <w:jc w:val="center"/>
        <w:tblLayout w:type="fixed"/>
        <w:tblLook w:firstColumn="1" w:firstRow="1" w:lastColumn="0" w:lastRow="0" w:noHBand="0" w:noVBand="1" w:val="04A0"/>
        <w:tblW w:w="8334" w:type="dxa"/>
        <w:tblLayout w:type="fixed"/>
      </w:tblPr>
      <w:tblGrid>
        <w:gridCol w:w="1701"/>
        <w:gridCol w:w="1984"/>
        <w:gridCol w:w="2551"/>
        <w:gridCol w:w="2097"/>
      </w:tblGrid>
      <w:tr>
        <w:tc>
          <w:tcPr>
            <w:tcW w:type="dxa" w:w="1701"/>
            <w:tcW w:w="1701" w:type="dxa"/>
            <w:shd w:val="clear" w:color="auto" w:fill="1F3A5F"/>
          </w:tcPr>
          <w:p>
            <w:pPr>
              <w:jc w:val="center"/>
            </w:pPr>
            <w:r/>
            <w:r>
              <w:rPr>
                <w:rFonts w:ascii="Cambria" w:hAnsi="Cambria"/>
                <w:b/>
                <w:color w:val="FFFFFF"/>
                <w:sz w:val="22"/>
              </w:rPr>
              <w:t>Parameter</w:t>
            </w:r>
          </w:p>
        </w:tc>
        <w:tc>
          <w:tcPr>
            <w:tcW w:type="dxa" w:w="1984"/>
            <w:tcW w:w="1984" w:type="dxa"/>
            <w:shd w:val="clear" w:color="auto" w:fill="1F3A5F"/>
          </w:tcPr>
          <w:p>
            <w:pPr>
              <w:jc w:val="center"/>
            </w:pPr>
            <w:r/>
            <w:r>
              <w:rPr>
                <w:rFonts w:ascii="Cambria" w:hAnsi="Cambria"/>
                <w:b/>
                <w:color w:val="FFFFFF"/>
                <w:sz w:val="22"/>
              </w:rPr>
              <w:t>Indicator</w:t>
            </w:r>
          </w:p>
        </w:tc>
        <w:tc>
          <w:tcPr>
            <w:tcW w:type="dxa" w:w="2551"/>
            <w:tcW w:w="2551" w:type="dxa"/>
            <w:shd w:val="clear" w:color="auto" w:fill="1F3A5F"/>
          </w:tcPr>
          <w:p>
            <w:pPr>
              <w:jc w:val="center"/>
            </w:pPr>
            <w:r/>
            <w:r>
              <w:rPr>
                <w:rFonts w:ascii="Cambria" w:hAnsi="Cambria"/>
                <w:b/>
                <w:color w:val="FFFFFF"/>
                <w:sz w:val="22"/>
              </w:rPr>
              <w:t>Associate Dean’s Contribution</w:t>
            </w:r>
          </w:p>
        </w:tc>
        <w:tc>
          <w:tcPr>
            <w:tcW w:type="dxa" w:w="2098"/>
            <w:tcW w:w="2097" w:type="dxa"/>
            <w:shd w:val="clear" w:color="auto" w:fill="1F3A5F"/>
          </w:tcPr>
          <w:p>
            <w:pPr>
              <w:jc w:val="center"/>
            </w:pPr>
            <w:r/>
            <w:r>
              <w:rPr>
                <w:rFonts w:ascii="Cambria" w:hAnsi="Cambria"/>
                <w:b/>
                <w:color w:val="FFFFFF"/>
                <w:sz w:val="22"/>
              </w:rPr>
              <w:t>Evidence / Deliverables</w:t>
            </w:r>
          </w:p>
        </w:tc>
      </w:tr>
      <w:tr>
        <w:tc>
          <w:tcPr>
            <w:tcW w:type="dxa" w:w="1701"/>
            <w:tcW w:w="1701" w:type="dxa"/>
          </w:tcPr>
          <w:p>
            <w:pPr>
              <w:jc w:val="left"/>
            </w:pPr>
            <w:r/>
            <w:r>
              <w:rPr>
                <w:rFonts w:ascii="Cambria" w:hAnsi="Cambria"/>
                <w:b w:val="0"/>
                <w:sz w:val="19"/>
              </w:rPr>
              <w:t>E&amp;F – Environment and Facilities</w:t>
            </w:r>
          </w:p>
        </w:tc>
        <w:tc>
          <w:tcPr>
            <w:tcW w:type="dxa" w:w="1984"/>
            <w:tcW w:w="1984" w:type="dxa"/>
          </w:tcPr>
          <w:p>
            <w:pPr>
              <w:jc w:val="center"/>
            </w:pPr>
            <w:r/>
            <w:r>
              <w:rPr>
                <w:rFonts w:ascii="Cambria" w:hAnsi="Cambria"/>
                <w:b w:val="0"/>
                <w:sz w:val="19"/>
              </w:rPr>
              <w:t>Quality of campus amenities</w:t>
            </w:r>
          </w:p>
        </w:tc>
        <w:tc>
          <w:tcPr>
            <w:tcW w:type="dxa" w:w="2551"/>
            <w:tcW w:w="2551" w:type="dxa"/>
          </w:tcPr>
          <w:p>
            <w:pPr>
              <w:jc w:val="center"/>
            </w:pPr>
            <w:r/>
            <w:r>
              <w:rPr>
                <w:rFonts w:ascii="Cambria" w:hAnsi="Cambria"/>
                <w:b w:val="0"/>
                <w:sz w:val="19"/>
              </w:rPr>
              <w:t>Maintain hostel and canteen infrastructure</w:t>
            </w:r>
          </w:p>
        </w:tc>
        <w:tc>
          <w:tcPr>
            <w:tcW w:type="dxa" w:w="2098"/>
            <w:tcW w:w="2097" w:type="dxa"/>
          </w:tcPr>
          <w:p>
            <w:pPr>
              <w:jc w:val="center"/>
            </w:pPr>
            <w:r/>
            <w:r>
              <w:rPr>
                <w:rFonts w:ascii="Cambria" w:hAnsi="Cambria"/>
                <w:b w:val="0"/>
                <w:sz w:val="19"/>
              </w:rPr>
              <w:t>Facility reports, audit logs</w:t>
            </w:r>
          </w:p>
        </w:tc>
      </w:tr>
      <w:tr>
        <w:tc>
          <w:tcPr>
            <w:tcW w:type="dxa" w:w="1701"/>
            <w:tcW w:w="1701" w:type="dxa"/>
            <w:shd w:val="clear" w:color="auto" w:fill="DCE6F1"/>
          </w:tcPr>
          <w:p>
            <w:pPr>
              <w:jc w:val="left"/>
            </w:pPr>
            <w:r/>
            <w:r>
              <w:rPr>
                <w:rFonts w:ascii="Cambria" w:hAnsi="Cambria"/>
                <w:b w:val="0"/>
                <w:sz w:val="19"/>
              </w:rPr>
              <w:t>TL – Teaching &amp; Learning</w:t>
            </w:r>
          </w:p>
        </w:tc>
        <w:tc>
          <w:tcPr>
            <w:tcW w:type="dxa" w:w="1984"/>
            <w:tcW w:w="1984" w:type="dxa"/>
            <w:shd w:val="clear" w:color="auto" w:fill="DCE6F1"/>
          </w:tcPr>
          <w:p>
            <w:pPr>
              <w:jc w:val="center"/>
            </w:pPr>
            <w:r/>
            <w:r>
              <w:rPr>
                <w:rFonts w:ascii="Cambria" w:hAnsi="Cambria"/>
                <w:b w:val="0"/>
                <w:sz w:val="19"/>
              </w:rPr>
              <w:t>Student well-being support</w:t>
            </w:r>
          </w:p>
        </w:tc>
        <w:tc>
          <w:tcPr>
            <w:tcW w:type="dxa" w:w="2551"/>
            <w:tcW w:w="2551" w:type="dxa"/>
            <w:shd w:val="clear" w:color="auto" w:fill="DCE6F1"/>
          </w:tcPr>
          <w:p>
            <w:pPr>
              <w:jc w:val="center"/>
            </w:pPr>
            <w:r/>
            <w:r>
              <w:rPr>
                <w:rFonts w:ascii="Cambria" w:hAnsi="Cambria"/>
                <w:b w:val="0"/>
                <w:sz w:val="19"/>
              </w:rPr>
              <w:t>Enhance academic comfort through residential stability</w:t>
            </w:r>
          </w:p>
        </w:tc>
        <w:tc>
          <w:tcPr>
            <w:tcW w:type="dxa" w:w="2098"/>
            <w:tcW w:w="2097" w:type="dxa"/>
            <w:shd w:val="clear" w:color="auto" w:fill="DCE6F1"/>
          </w:tcPr>
          <w:p>
            <w:pPr>
              <w:jc w:val="center"/>
            </w:pPr>
            <w:r/>
            <w:r>
              <w:rPr>
                <w:rFonts w:ascii="Cambria" w:hAnsi="Cambria"/>
                <w:b w:val="0"/>
                <w:sz w:val="19"/>
              </w:rPr>
              <w:t>Hostel well-being surveys</w:t>
            </w:r>
          </w:p>
        </w:tc>
      </w:tr>
      <w:tr>
        <w:tc>
          <w:tcPr>
            <w:tcW w:type="dxa" w:w="1701"/>
            <w:tcW w:w="1701" w:type="dxa"/>
          </w:tcPr>
          <w:p>
            <w:pPr>
              <w:jc w:val="left"/>
            </w:pPr>
            <w:r/>
            <w:r>
              <w:rPr>
                <w:rFonts w:ascii="Cambria" w:hAnsi="Cambria"/>
                <w:b w:val="0"/>
                <w:sz w:val="19"/>
              </w:rPr>
              <w:t>GS – Governance &amp; Structure</w:t>
            </w:r>
          </w:p>
        </w:tc>
        <w:tc>
          <w:tcPr>
            <w:tcW w:type="dxa" w:w="1984"/>
            <w:tcW w:w="1984" w:type="dxa"/>
          </w:tcPr>
          <w:p>
            <w:pPr>
              <w:jc w:val="center"/>
            </w:pPr>
            <w:r/>
            <w:r>
              <w:rPr>
                <w:rFonts w:ascii="Cambria" w:hAnsi="Cambria"/>
                <w:b w:val="0"/>
                <w:sz w:val="19"/>
              </w:rPr>
              <w:t>Policy and compliance</w:t>
            </w:r>
          </w:p>
        </w:tc>
        <w:tc>
          <w:tcPr>
            <w:tcW w:type="dxa" w:w="2551"/>
            <w:tcW w:w="2551" w:type="dxa"/>
          </w:tcPr>
          <w:p>
            <w:pPr>
              <w:jc w:val="center"/>
            </w:pPr>
            <w:r/>
            <w:r>
              <w:rPr>
                <w:rFonts w:ascii="Cambria" w:hAnsi="Cambria"/>
                <w:b w:val="0"/>
                <w:sz w:val="19"/>
              </w:rPr>
              <w:t>Maintain records and policy updates</w:t>
            </w:r>
          </w:p>
        </w:tc>
        <w:tc>
          <w:tcPr>
            <w:tcW w:type="dxa" w:w="2098"/>
            <w:tcW w:w="2097" w:type="dxa"/>
          </w:tcPr>
          <w:p>
            <w:pPr>
              <w:jc w:val="center"/>
            </w:pPr>
            <w:r/>
            <w:r>
              <w:rPr>
                <w:rFonts w:ascii="Cambria" w:hAnsi="Cambria"/>
                <w:b w:val="0"/>
                <w:sz w:val="19"/>
              </w:rPr>
              <w:t>Institutional manuals</w:t>
            </w:r>
          </w:p>
        </w:tc>
      </w:tr>
      <w:tr>
        <w:tc>
          <w:tcPr>
            <w:tcW w:type="dxa" w:w="1701"/>
            <w:tcW w:w="1701" w:type="dxa"/>
            <w:shd w:val="clear" w:color="auto" w:fill="DCE6F1"/>
          </w:tcPr>
          <w:p>
            <w:pPr>
              <w:jc w:val="left"/>
            </w:pPr>
            <w:r/>
            <w:r>
              <w:rPr>
                <w:rFonts w:ascii="Cambria" w:hAnsi="Cambria"/>
                <w:b w:val="0"/>
                <w:sz w:val="19"/>
              </w:rPr>
              <w:t>SL – Social Responsibility</w:t>
            </w:r>
          </w:p>
        </w:tc>
        <w:tc>
          <w:tcPr>
            <w:tcW w:type="dxa" w:w="1984"/>
            <w:tcW w:w="1984" w:type="dxa"/>
            <w:shd w:val="clear" w:color="auto" w:fill="DCE6F1"/>
          </w:tcPr>
          <w:p>
            <w:pPr>
              <w:jc w:val="center"/>
            </w:pPr>
            <w:r/>
            <w:r>
              <w:rPr>
                <w:rFonts w:ascii="Cambria" w:hAnsi="Cambria"/>
                <w:b w:val="0"/>
                <w:sz w:val="19"/>
              </w:rPr>
              <w:t>Sustainable campus operations</w:t>
            </w:r>
          </w:p>
        </w:tc>
        <w:tc>
          <w:tcPr>
            <w:tcW w:type="dxa" w:w="2551"/>
            <w:tcW w:w="2551" w:type="dxa"/>
            <w:shd w:val="clear" w:color="auto" w:fill="DCE6F1"/>
          </w:tcPr>
          <w:p>
            <w:pPr>
              <w:jc w:val="center"/>
            </w:pPr>
            <w:r/>
            <w:r>
              <w:rPr>
                <w:rFonts w:ascii="Cambria" w:hAnsi="Cambria"/>
                <w:b w:val="0"/>
                <w:sz w:val="19"/>
              </w:rPr>
              <w:t>Implement eco-friendly and ethical dining systems</w:t>
            </w:r>
          </w:p>
        </w:tc>
        <w:tc>
          <w:tcPr>
            <w:tcW w:type="dxa" w:w="2098"/>
            <w:tcW w:w="2097" w:type="dxa"/>
            <w:shd w:val="clear" w:color="auto" w:fill="DCE6F1"/>
          </w:tcPr>
          <w:p>
            <w:pPr>
              <w:jc w:val="center"/>
            </w:pPr>
            <w:r/>
            <w:r>
              <w:rPr>
                <w:rFonts w:ascii="Cambria" w:hAnsi="Cambria"/>
                <w:b w:val="0"/>
                <w:sz w:val="19"/>
              </w:rPr>
              <w:t>Waste management records, awareness programs</w:t>
            </w:r>
          </w:p>
        </w:tc>
      </w:tr>
    </w:tbl>
    <w:p>
      <w:pPr>
        <w:keepNext/>
        <w:spacing w:before="200" w:after="120"/>
      </w:pPr>
      <w:r>
        <w:rPr>
          <w:rFonts w:ascii="Cambria" w:hAnsi="Cambria"/>
          <w:b/>
          <w:color w:val="1F3A5F"/>
          <w:sz w:val="30"/>
        </w:rPr>
        <w:t>5. Governance and Review Framework</w:t>
      </w:r>
    </w:p>
    <w:p>
      <w:pPr>
        <w:pStyle w:val="ListBullet"/>
        <w:jc w:val="both"/>
      </w:pPr>
      <w:r>
        <w:rPr>
          <w:rFonts w:ascii="Cambria" w:hAnsi="Cambria"/>
          <w:sz w:val="22"/>
        </w:rPr>
        <w:t>Reports to the Dean (Student Affairs) / Principal and coordinates with Estate Office, Accounts, and Procurement Departments.</w:t>
      </w:r>
    </w:p>
    <w:p>
      <w:pPr>
        <w:pStyle w:val="ListBullet"/>
        <w:jc w:val="both"/>
      </w:pPr>
      <w:r>
        <w:rPr>
          <w:rFonts w:ascii="Cambria" w:hAnsi="Cambria"/>
          <w:sz w:val="22"/>
        </w:rPr>
        <w:t>Acts as Member Secretary of the Hostel Committee and Canteen Committee.</w:t>
      </w:r>
    </w:p>
    <w:p>
      <w:pPr>
        <w:pStyle w:val="ListBullet"/>
        <w:jc w:val="both"/>
      </w:pPr>
      <w:r>
        <w:rPr>
          <w:rFonts w:ascii="Cambria" w:hAnsi="Cambria"/>
          <w:sz w:val="22"/>
        </w:rPr>
        <w:t>Submits periodic reports to the IQAC and Governing Council for review and compliance.</w:t>
      </w:r>
    </w:p>
    <w:p>
      <w:pPr>
        <w:pStyle w:val="ListBullet"/>
        <w:jc w:val="both"/>
      </w:pPr>
      <w:r>
        <w:rPr>
          <w:rFonts w:ascii="Cambria" w:hAnsi="Cambria"/>
          <w:sz w:val="22"/>
        </w:rPr>
        <w:t>Ensures regular feedback collection from hostel residents and canteen users for continuous improvement.</w:t>
      </w:r>
    </w:p>
    <w:p>
      <w:pPr>
        <w:pStyle w:val="ListBullet"/>
        <w:jc w:val="both"/>
      </w:pPr>
      <w:r>
        <w:rPr>
          <w:rFonts w:ascii="Cambria" w:hAnsi="Cambria"/>
          <w:sz w:val="22"/>
        </w:rPr>
        <w:t>Conducts annual reviews to update policies and align with UGC, AICTE, and NEP-2020 standards.</w:t>
      </w:r>
    </w:p>
    <w:p>
      <w:pPr>
        <w:keepNext/>
        <w:spacing w:before="200" w:after="120"/>
      </w:pPr>
      <w:r>
        <w:rPr>
          <w:rFonts w:ascii="Cambria" w:hAnsi="Cambria"/>
          <w:b/>
          <w:color w:val="1F3A5F"/>
          <w:sz w:val="30"/>
        </w:rPr>
        <w:t>6. Expected Outcomes</w:t>
      </w:r>
    </w:p>
    <w:p>
      <w:pPr>
        <w:pStyle w:val="ListBullet"/>
        <w:jc w:val="both"/>
      </w:pPr>
      <w:r>
        <w:rPr>
          <w:rFonts w:ascii="Cambria" w:hAnsi="Cambria"/>
          <w:sz w:val="22"/>
        </w:rPr>
        <w:t>Well-maintained, safe, and hygienic hostels that enhance student living quality.</w:t>
      </w:r>
    </w:p>
    <w:p>
      <w:pPr>
        <w:pStyle w:val="ListBullet"/>
        <w:jc w:val="both"/>
      </w:pPr>
      <w:r>
        <w:rPr>
          <w:rFonts w:ascii="Cambria" w:hAnsi="Cambria"/>
          <w:sz w:val="22"/>
        </w:rPr>
        <w:t>Transparent, student-friendly canteen operations with high satisfaction rates.</w:t>
      </w:r>
    </w:p>
    <w:p>
      <w:pPr>
        <w:pStyle w:val="ListBullet"/>
        <w:jc w:val="both"/>
      </w:pPr>
      <w:r>
        <w:rPr>
          <w:rFonts w:ascii="Cambria" w:hAnsi="Cambria"/>
          <w:sz w:val="22"/>
        </w:rPr>
        <w:t>Compliance with institutional, statutory, and accreditation standards.</w:t>
      </w:r>
    </w:p>
    <w:p>
      <w:pPr>
        <w:pStyle w:val="ListBullet"/>
        <w:jc w:val="both"/>
      </w:pPr>
      <w:r>
        <w:rPr>
          <w:rFonts w:ascii="Cambria" w:hAnsi="Cambria"/>
          <w:sz w:val="22"/>
        </w:rPr>
        <w:t>Evidence-based documentation ready for NAAC/NBA/QS I-GAUGE audits.</w:t>
      </w:r>
    </w:p>
    <w:p>
      <w:pPr>
        <w:pStyle w:val="ListBullet"/>
        <w:jc w:val="both"/>
      </w:pPr>
      <w:r>
        <w:rPr>
          <w:rFonts w:ascii="Cambria" w:hAnsi="Cambria"/>
          <w:sz w:val="22"/>
        </w:rPr>
        <w:t>Sustainable campus living aligned with SDGs and institutional values.</w:t>
      </w:r>
    </w:p>
    <w:p>
      <w:pPr>
        <w:keepNext/>
        <w:spacing w:before="200" w:after="120"/>
      </w:pPr>
      <w:r>
        <w:rPr>
          <w:rFonts w:ascii="Cambria" w:hAnsi="Cambria"/>
          <w:b/>
          <w:color w:val="1F3A5F"/>
          <w:sz w:val="30"/>
        </w:rPr>
        <w:t>Documentation and Reporting Framework for the Associate Dean – Hostels and Canteen Affairs</w:t>
      </w:r>
    </w:p>
    <w:p>
      <w:pPr>
        <w:keepNext/>
        <w:spacing w:before="200" w:after="120"/>
      </w:pPr>
      <w:r>
        <w:rPr>
          <w:rFonts w:ascii="Cambria" w:hAnsi="Cambria"/>
          <w:b/>
          <w:color w:val="1F3A5F"/>
          <w:sz w:val="26"/>
        </w:rPr>
        <w:t>1. Maintain Registers and Digital Records</w:t>
      </w:r>
    </w:p>
    <w:p>
      <w:pPr>
        <w:pStyle w:val="ListBullet"/>
        <w:jc w:val="both"/>
      </w:pPr>
      <w:r>
        <w:rPr>
          <w:rFonts w:ascii="Cambria" w:hAnsi="Cambria"/>
          <w:sz w:val="22"/>
        </w:rPr>
        <w:t>The Associate Dean – Hostels and Canteen Affairs ensures that all hostel and canteen operations are well-documented, traceable, and transparent, providing the foundation for efficient administration and audit readiness.</w:t>
      </w:r>
    </w:p>
    <w:p>
      <w:pPr>
        <w:pStyle w:val="ListBullet"/>
        <w:jc w:val="both"/>
      </w:pPr>
      <w:r>
        <w:rPr>
          <w:rFonts w:ascii="Cambria" w:hAnsi="Cambria"/>
          <w:sz w:val="22"/>
        </w:rPr>
        <w:t>Documentation helps maintain accountability, track operations, and verify compliance with institutional and statutory norms.</w:t>
      </w:r>
    </w:p>
    <w:p>
      <w:pPr>
        <w:pStyle w:val="ListBullet"/>
        <w:jc w:val="both"/>
      </w:pPr>
      <w:r>
        <w:rPr>
          <w:rFonts w:ascii="Cambria" w:hAnsi="Cambria"/>
          <w:sz w:val="22"/>
        </w:rPr>
        <w:t>The main categories of records include:</w:t>
      </w:r>
    </w:p>
    <w:p>
      <w:pPr>
        <w:pStyle w:val="ListBullet2"/>
        <w:jc w:val="both"/>
      </w:pPr>
      <w:r>
        <w:rPr>
          <w:rFonts w:ascii="Cambria" w:hAnsi="Cambria"/>
          <w:sz w:val="22"/>
        </w:rPr>
        <w:t>Hostel Occupancy and Maintenance:</w:t>
      </w:r>
    </w:p>
    <w:p>
      <w:pPr>
        <w:pStyle w:val="ListBullet2"/>
        <w:ind w:left="1077"/>
        <w:jc w:val="both"/>
      </w:pPr>
      <w:r>
        <w:rPr>
          <w:rFonts w:ascii="Cambria" w:hAnsi="Cambria"/>
          <w:sz w:val="22"/>
        </w:rPr>
        <w:t>Registers record student occupancy data, room allotments, and availability.</w:t>
      </w:r>
    </w:p>
    <w:p>
      <w:pPr>
        <w:pStyle w:val="ListBullet2"/>
        <w:ind w:left="1077"/>
        <w:jc w:val="both"/>
      </w:pPr>
      <w:r>
        <w:rPr>
          <w:rFonts w:ascii="Cambria" w:hAnsi="Cambria"/>
          <w:sz w:val="22"/>
        </w:rPr>
        <w:t>Maintenance logs track repair requests, housekeeping schedules, pest control, and safety checks.</w:t>
      </w:r>
    </w:p>
    <w:p>
      <w:pPr>
        <w:pStyle w:val="ListBullet2"/>
        <w:ind w:left="1077"/>
        <w:jc w:val="both"/>
      </w:pPr>
      <w:r>
        <w:rPr>
          <w:rFonts w:ascii="Cambria" w:hAnsi="Cambria"/>
          <w:sz w:val="22"/>
        </w:rPr>
        <w:t>This helps ensure hostels remain clean, safe, and fully functional, supporting the comfort and well-being of residents.</w:t>
      </w:r>
    </w:p>
    <w:p>
      <w:pPr>
        <w:pStyle w:val="ListBullet2"/>
        <w:jc w:val="both"/>
      </w:pPr>
      <w:r>
        <w:rPr>
          <w:rFonts w:ascii="Cambria" w:hAnsi="Cambria"/>
          <w:sz w:val="22"/>
        </w:rPr>
        <w:t>Canteen Vendor Details, Menu Plans, and Food Safety Reports:</w:t>
      </w:r>
    </w:p>
    <w:p>
      <w:pPr>
        <w:pStyle w:val="ListBullet2"/>
        <w:ind w:left="1077"/>
        <w:jc w:val="both"/>
      </w:pPr>
      <w:r>
        <w:rPr>
          <w:rFonts w:ascii="Cambria" w:hAnsi="Cambria"/>
          <w:sz w:val="22"/>
        </w:rPr>
        <w:t>Vendor records include agreements, licenses, tax certificates, and quality control details.</w:t>
      </w:r>
    </w:p>
    <w:p>
      <w:pPr>
        <w:pStyle w:val="ListBullet2"/>
        <w:ind w:left="1077"/>
        <w:jc w:val="both"/>
      </w:pPr>
      <w:r>
        <w:rPr>
          <w:rFonts w:ascii="Cambria" w:hAnsi="Cambria"/>
          <w:sz w:val="22"/>
        </w:rPr>
        <w:t>Menu and nutrition plans ensure balanced and hygienic meals that comply with FSSAI food safety standards.</w:t>
      </w:r>
    </w:p>
    <w:p>
      <w:pPr>
        <w:pStyle w:val="ListBullet2"/>
        <w:ind w:left="1077"/>
        <w:jc w:val="both"/>
      </w:pPr>
      <w:r>
        <w:rPr>
          <w:rFonts w:ascii="Cambria" w:hAnsi="Cambria"/>
          <w:sz w:val="22"/>
        </w:rPr>
        <w:t>Food sampling reports, inspection findings, and corrective action reports are stored to verify safety and quality.</w:t>
      </w:r>
    </w:p>
    <w:p>
      <w:pPr>
        <w:pStyle w:val="ListBullet2"/>
        <w:ind w:left="1077"/>
        <w:jc w:val="both"/>
      </w:pPr>
      <w:r>
        <w:rPr>
          <w:rFonts w:ascii="Cambria" w:hAnsi="Cambria"/>
          <w:sz w:val="22"/>
        </w:rPr>
        <w:t>These records build trust among students and demonstrate the institution’s commitment to health and hygiene.</w:t>
      </w:r>
    </w:p>
    <w:p>
      <w:pPr>
        <w:pStyle w:val="ListBullet2"/>
        <w:jc w:val="both"/>
      </w:pPr>
      <w:r>
        <w:rPr>
          <w:rFonts w:ascii="Cambria" w:hAnsi="Cambria"/>
          <w:sz w:val="22"/>
        </w:rPr>
        <w:t>Complaints, Grievances, and Resolutions:</w:t>
      </w:r>
    </w:p>
    <w:p>
      <w:pPr>
        <w:pStyle w:val="ListBullet2"/>
        <w:ind w:left="1077"/>
        <w:jc w:val="both"/>
      </w:pPr>
      <w:r>
        <w:rPr>
          <w:rFonts w:ascii="Cambria" w:hAnsi="Cambria"/>
          <w:sz w:val="22"/>
        </w:rPr>
        <w:t>Grievances from students related to accommodation, food quality, or hygiene are documented in a complaint register.</w:t>
      </w:r>
    </w:p>
    <w:p>
      <w:pPr>
        <w:pStyle w:val="ListBullet2"/>
        <w:ind w:left="1077"/>
        <w:jc w:val="both"/>
      </w:pPr>
      <w:r>
        <w:rPr>
          <w:rFonts w:ascii="Cambria" w:hAnsi="Cambria"/>
          <w:sz w:val="22"/>
        </w:rPr>
        <w:t>Each entry records the complaint received, actions taken, follow-up status, and student feedback.</w:t>
      </w:r>
    </w:p>
    <w:p>
      <w:pPr>
        <w:pStyle w:val="ListBullet2"/>
        <w:ind w:left="1077"/>
        <w:jc w:val="both"/>
      </w:pPr>
      <w:r>
        <w:rPr>
          <w:rFonts w:ascii="Cambria" w:hAnsi="Cambria"/>
          <w:sz w:val="22"/>
        </w:rPr>
        <w:t>This ensures procedural fairness, responsiveness, and accountability in grievance management.</w:t>
      </w:r>
    </w:p>
    <w:p>
      <w:pPr>
        <w:jc w:val="both"/>
      </w:pPr>
      <w:r>
        <w:rPr>
          <w:rFonts w:ascii="Cambria" w:hAnsi="Cambria"/>
          <w:b w:val="0"/>
          <w:i w:val="0"/>
          <w:sz w:val="22"/>
        </w:rPr>
        <w:t>Maintaining these detailed registers ensures that both hostel and canteen functions are efficiently managed and verifiable during inspections or audits.</w:t>
      </w:r>
    </w:p>
    <w:p>
      <w:pPr>
        <w:keepNext/>
        <w:spacing w:before="200" w:after="120"/>
      </w:pPr>
      <w:r>
        <w:rPr>
          <w:rFonts w:ascii="Cambria" w:hAnsi="Cambria"/>
          <w:b/>
          <w:color w:val="1F3A5F"/>
          <w:sz w:val="26"/>
        </w:rPr>
        <w:t>2. Prepare Monthly, Quarterly, and Annual Reports</w:t>
      </w:r>
    </w:p>
    <w:p>
      <w:pPr>
        <w:pStyle w:val="ListBullet"/>
        <w:jc w:val="both"/>
      </w:pPr>
      <w:r>
        <w:rPr>
          <w:rFonts w:ascii="Cambria" w:hAnsi="Cambria"/>
          <w:sz w:val="22"/>
        </w:rPr>
        <w:t>The Associate Dean consolidates operational data into periodic reports that highlight key performance indicators such as:</w:t>
      </w:r>
    </w:p>
    <w:p>
      <w:pPr>
        <w:pStyle w:val="ListBullet2"/>
        <w:jc w:val="both"/>
      </w:pPr>
      <w:r>
        <w:rPr>
          <w:rFonts w:ascii="Cambria" w:hAnsi="Cambria"/>
          <w:sz w:val="22"/>
        </w:rPr>
        <w:t>Hostel occupancy trends and maintenance status.</w:t>
      </w:r>
    </w:p>
    <w:p>
      <w:pPr>
        <w:pStyle w:val="ListBullet2"/>
        <w:jc w:val="both"/>
      </w:pPr>
      <w:r>
        <w:rPr>
          <w:rFonts w:ascii="Cambria" w:hAnsi="Cambria"/>
          <w:sz w:val="22"/>
        </w:rPr>
        <w:t>Food safety compliance, vendor performance, and menu updates.</w:t>
      </w:r>
    </w:p>
    <w:p>
      <w:pPr>
        <w:pStyle w:val="ListBullet2"/>
        <w:jc w:val="both"/>
      </w:pPr>
      <w:r>
        <w:rPr>
          <w:rFonts w:ascii="Cambria" w:hAnsi="Cambria"/>
          <w:sz w:val="22"/>
        </w:rPr>
        <w:t>Number of complaints received, resolved, and pending.</w:t>
      </w:r>
    </w:p>
    <w:p>
      <w:pPr>
        <w:pStyle w:val="ListBullet2"/>
        <w:jc w:val="both"/>
      </w:pPr>
      <w:r>
        <w:rPr>
          <w:rFonts w:ascii="Cambria" w:hAnsi="Cambria"/>
          <w:sz w:val="22"/>
        </w:rPr>
        <w:t>Student satisfaction and feedback outcomes.</w:t>
      </w:r>
    </w:p>
    <w:p>
      <w:pPr>
        <w:pStyle w:val="ListBullet"/>
        <w:jc w:val="both"/>
      </w:pPr>
      <w:r>
        <w:rPr>
          <w:rFonts w:ascii="Cambria" w:hAnsi="Cambria"/>
          <w:sz w:val="22"/>
        </w:rPr>
        <w:t>These reports are submitted to the Internal Quality Assurance Cell (IQAC) and administrative committees for monitoring, planning, and improvement.</w:t>
      </w:r>
    </w:p>
    <w:p>
      <w:pPr>
        <w:pStyle w:val="ListBullet"/>
        <w:jc w:val="both"/>
      </w:pPr>
      <w:r>
        <w:rPr>
          <w:rFonts w:ascii="Cambria" w:hAnsi="Cambria"/>
          <w:sz w:val="22"/>
        </w:rPr>
        <w:t>This periodic reporting process ensures data-driven decision-making, promotes accountability, and supports institutional transparency.</w:t>
      </w:r>
    </w:p>
    <w:p>
      <w:pPr>
        <w:keepNext/>
        <w:spacing w:before="200" w:after="120"/>
      </w:pPr>
      <w:r>
        <w:rPr>
          <w:rFonts w:ascii="Cambria" w:hAnsi="Cambria"/>
          <w:b/>
          <w:color w:val="1F3A5F"/>
          <w:sz w:val="26"/>
        </w:rPr>
        <w:t>3. Follow the Policy → Action → Evidence → Outcome (PAEO) Framework</w:t>
      </w:r>
    </w:p>
    <w:p>
      <w:pPr>
        <w:pStyle w:val="ListBullet"/>
        <w:jc w:val="both"/>
      </w:pPr>
      <w:r>
        <w:rPr>
          <w:rFonts w:ascii="Cambria" w:hAnsi="Cambria"/>
          <w:sz w:val="22"/>
        </w:rPr>
        <w:t>The PAEO model ensures that all hostel and canteen management activities are systematic, auditable, and outcome-oriented:</w:t>
      </w:r>
    </w:p>
    <w:p>
      <w:pPr>
        <w:spacing w:after="120"/>
        <w:ind w:left="1077"/>
        <w:jc w:val="both"/>
      </w:pPr>
      <w:r>
        <w:rPr>
          <w:rFonts w:ascii="Cambria" w:hAnsi="Cambria"/>
          <w:b w:val="0"/>
          <w:i w:val="0"/>
          <w:sz w:val="22"/>
        </w:rPr>
        <w:t>Policy: The governing document—</w:t>
      </w:r>
      <w:r>
        <w:rPr>
          <w:rFonts w:ascii="Cambria" w:hAnsi="Cambria"/>
          <w:b w:val="0"/>
          <w:i/>
          <w:sz w:val="22"/>
        </w:rPr>
        <w:t>Institutional Hostel and Canteen Policy</w:t>
      </w:r>
      <w:r>
        <w:rPr>
          <w:rFonts w:ascii="Cambria" w:hAnsi="Cambria"/>
          <w:b w:val="0"/>
          <w:i w:val="0"/>
          <w:sz w:val="22"/>
        </w:rPr>
        <w:t>—outlines objectives, rules, hygiene norms, and vendor guidelines.</w:t>
      </w:r>
    </w:p>
    <w:p>
      <w:pPr>
        <w:spacing w:after="120"/>
        <w:ind w:left="1077"/>
        <w:jc w:val="both"/>
      </w:pPr>
      <w:r>
        <w:rPr>
          <w:rFonts w:ascii="Cambria" w:hAnsi="Cambria"/>
          <w:b w:val="0"/>
          <w:i w:val="0"/>
          <w:sz w:val="22"/>
        </w:rPr>
        <w:t>Action: The practical implementation of those policies through daily operations, food audits, grievance resolution, and facility inspections.</w:t>
      </w:r>
    </w:p>
    <w:p>
      <w:pPr>
        <w:spacing w:after="120"/>
        <w:ind w:left="1077"/>
        <w:jc w:val="both"/>
      </w:pPr>
      <w:r>
        <w:rPr>
          <w:rFonts w:ascii="Cambria" w:hAnsi="Cambria"/>
          <w:b w:val="0"/>
          <w:i w:val="0"/>
          <w:sz w:val="22"/>
        </w:rPr>
        <w:t>Evidence: Supporting documentation such as occupancy registers, audit reports, menu plans, food testing certificates, and meeting minutes.</w:t>
      </w:r>
    </w:p>
    <w:p>
      <w:pPr>
        <w:spacing w:after="120"/>
        <w:ind w:left="1077"/>
        <w:jc w:val="both"/>
      </w:pPr>
      <w:r>
        <w:rPr>
          <w:rFonts w:ascii="Cambria" w:hAnsi="Cambria"/>
          <w:b w:val="0"/>
          <w:i w:val="0"/>
          <w:sz w:val="22"/>
        </w:rPr>
        <w:t>Outcome: Tangible results like improved food quality, enhanced hygiene, reduced complaints, and greater student satisfaction.</w:t>
      </w:r>
    </w:p>
    <w:p>
      <w:pPr>
        <w:pStyle w:val="ListBullet"/>
        <w:jc w:val="both"/>
      </w:pPr>
      <w:r>
        <w:rPr>
          <w:rFonts w:ascii="Cambria" w:hAnsi="Cambria"/>
          <w:sz w:val="22"/>
        </w:rPr>
        <w:t>This model provides a transparent chain of accountability, proving to auditors and accreditors that institutional processes are systematic and effective.</w:t>
      </w:r>
    </w:p>
    <w:p>
      <w:pPr>
        <w:keepNext/>
        <w:spacing w:before="200" w:after="120"/>
      </w:pPr>
      <w:r>
        <w:rPr>
          <w:rFonts w:ascii="Cambria" w:hAnsi="Cambria"/>
          <w:b/>
          <w:color w:val="1F3A5F"/>
          <w:sz w:val="26"/>
        </w:rPr>
        <w:t>4. Conduct Internal Audits and Inspections</w:t>
      </w:r>
    </w:p>
    <w:p>
      <w:pPr>
        <w:pStyle w:val="ListBullet"/>
        <w:jc w:val="both"/>
      </w:pPr>
      <w:r>
        <w:rPr>
          <w:rFonts w:ascii="Cambria" w:hAnsi="Cambria"/>
          <w:sz w:val="22"/>
        </w:rPr>
        <w:t>Regular internal audits and inspections are conducted by the Associate Dean in collaboration with the Estate Office and IQAC to ensure compliance with maintenance, hygiene, and safety standards.</w:t>
      </w:r>
    </w:p>
    <w:p>
      <w:pPr>
        <w:pStyle w:val="ListBullet"/>
        <w:jc w:val="both"/>
      </w:pPr>
      <w:r>
        <w:rPr>
          <w:rFonts w:ascii="Cambria" w:hAnsi="Cambria"/>
          <w:sz w:val="22"/>
        </w:rPr>
        <w:t>These audits check:</w:t>
      </w:r>
    </w:p>
    <w:p>
      <w:pPr>
        <w:pStyle w:val="ListBullet2"/>
        <w:jc w:val="both"/>
      </w:pPr>
      <w:r>
        <w:rPr>
          <w:rFonts w:ascii="Cambria" w:hAnsi="Cambria"/>
          <w:sz w:val="22"/>
        </w:rPr>
        <w:t>Hostel cleanliness and infrastructure upkeep.</w:t>
      </w:r>
    </w:p>
    <w:p>
      <w:pPr>
        <w:pStyle w:val="ListBullet2"/>
        <w:jc w:val="both"/>
      </w:pPr>
      <w:r>
        <w:rPr>
          <w:rFonts w:ascii="Cambria" w:hAnsi="Cambria"/>
          <w:sz w:val="22"/>
        </w:rPr>
        <w:t>Canteen food quality, staff hygiene, and equipment maintenance.</w:t>
      </w:r>
    </w:p>
    <w:p>
      <w:pPr>
        <w:pStyle w:val="ListBullet2"/>
        <w:jc w:val="both"/>
      </w:pPr>
      <w:r>
        <w:rPr>
          <w:rFonts w:ascii="Cambria" w:hAnsi="Cambria"/>
          <w:sz w:val="22"/>
        </w:rPr>
        <w:t>Documentation completeness and accuracy.</w:t>
      </w:r>
    </w:p>
    <w:p>
      <w:pPr>
        <w:pStyle w:val="ListBullet"/>
        <w:jc w:val="both"/>
      </w:pPr>
      <w:r>
        <w:rPr>
          <w:rFonts w:ascii="Cambria" w:hAnsi="Cambria"/>
          <w:sz w:val="22"/>
        </w:rPr>
        <w:t>Audit outcomes are analyzed for identifying gaps and implementing improvements.</w:t>
      </w:r>
    </w:p>
    <w:p>
      <w:pPr>
        <w:pStyle w:val="ListBullet"/>
        <w:jc w:val="both"/>
      </w:pPr>
      <w:r>
        <w:rPr>
          <w:rFonts w:ascii="Cambria" w:hAnsi="Cambria"/>
          <w:sz w:val="22"/>
        </w:rPr>
        <w:t>This practice ensures continuous monitoring and quality enhancement in campus living and dining facilities.</w:t>
      </w:r>
    </w:p>
    <w:p>
      <w:pPr>
        <w:keepNext/>
        <w:spacing w:before="200" w:after="120"/>
      </w:pPr>
      <w:r>
        <w:rPr>
          <w:rFonts w:ascii="Cambria" w:hAnsi="Cambria"/>
          <w:b/>
          <w:color w:val="1F3A5F"/>
          <w:sz w:val="26"/>
        </w:rPr>
        <w:t>5. Submit Compliance Reports for Accreditation and Quality Reviews</w:t>
      </w:r>
    </w:p>
    <w:p>
      <w:pPr>
        <w:pStyle w:val="ListBullet"/>
        <w:jc w:val="both"/>
      </w:pPr>
      <w:r>
        <w:rPr>
          <w:rFonts w:ascii="Cambria" w:hAnsi="Cambria"/>
          <w:sz w:val="22"/>
        </w:rPr>
        <w:t>The data and reports compiled by the Associate Dean contribute directly to the institution’s accreditation and ranking processes:</w:t>
      </w:r>
    </w:p>
    <w:p>
      <w:pPr>
        <w:pStyle w:val="ListBullet2"/>
        <w:jc w:val="both"/>
      </w:pPr>
      <w:r>
        <w:rPr>
          <w:rFonts w:ascii="Cambria" w:hAnsi="Cambria"/>
          <w:sz w:val="22"/>
        </w:rPr>
        <w:t>NAAC (Criterion 4 – Infrastructure and Learning Resources): Demonstrates adequacy and maintenance of student accommodation and food facilities.</w:t>
      </w:r>
    </w:p>
    <w:p>
      <w:pPr>
        <w:pStyle w:val="ListBullet2"/>
        <w:jc w:val="both"/>
      </w:pPr>
      <w:r>
        <w:rPr>
          <w:rFonts w:ascii="Cambria" w:hAnsi="Cambria"/>
          <w:sz w:val="22"/>
        </w:rPr>
        <w:t>NBA (Criterion 9 – Student Support Systems): Highlights effective hostel management and welfare support mechanisms.</w:t>
      </w:r>
    </w:p>
    <w:p>
      <w:pPr>
        <w:pStyle w:val="ListBullet2"/>
        <w:jc w:val="both"/>
      </w:pPr>
      <w:r>
        <w:rPr>
          <w:rFonts w:ascii="Cambria" w:hAnsi="Cambria"/>
          <w:sz w:val="22"/>
        </w:rPr>
        <w:t>QS I-GAUGE (Governance, Social Responsibility, and Infrastructure): Reflects institutional commitment to sustainability, safety, and operational efficiency.</w:t>
      </w:r>
    </w:p>
    <w:p>
      <w:pPr>
        <w:pStyle w:val="ListBullet"/>
        <w:jc w:val="both"/>
      </w:pPr>
      <w:r>
        <w:rPr>
          <w:rFonts w:ascii="Cambria" w:hAnsi="Cambria"/>
          <w:sz w:val="22"/>
        </w:rPr>
        <w:t>Regular submission of compliance reports to these bodies ensures that the institution remains audit-ready and demonstrates evidence-based governance.</w:t>
      </w:r>
    </w:p>
    <w:p>
      <w:pPr>
        <w:keepNext/>
        <w:spacing w:before="200" w:after="120"/>
      </w:pPr>
      <w:r>
        <w:rPr>
          <w:rFonts w:ascii="Cambria" w:hAnsi="Cambria"/>
          <w:b/>
          <w:color w:val="1F3A5F"/>
          <w:sz w:val="26"/>
        </w:rPr>
        <w:t>6. Overall Purpose and Institutional Impact</w:t>
      </w:r>
    </w:p>
    <w:p>
      <w:pPr>
        <w:jc w:val="both"/>
      </w:pPr>
      <w:r>
        <w:rPr>
          <w:rFonts w:ascii="Cambria" w:hAnsi="Cambria"/>
          <w:b w:val="0"/>
          <w:i w:val="0"/>
          <w:sz w:val="22"/>
        </w:rPr>
        <w:t>This framework ensures that the Associate Dean – Hostels and Canteen Affairs manages residential and dining operations in a professional, transparent, and compliant manner. It enables the institution to:</w:t>
      </w:r>
    </w:p>
    <w:p>
      <w:pPr>
        <w:pStyle w:val="ListBullet"/>
        <w:jc w:val="both"/>
      </w:pPr>
      <w:r>
        <w:rPr>
          <w:rFonts w:ascii="Cambria" w:hAnsi="Cambria"/>
          <w:sz w:val="22"/>
        </w:rPr>
        <w:t>Guarantee safe, hygienic, and comfortable living conditions for students.</w:t>
      </w:r>
    </w:p>
    <w:p>
      <w:pPr>
        <w:pStyle w:val="ListBullet"/>
        <w:jc w:val="both"/>
      </w:pPr>
      <w:r>
        <w:rPr>
          <w:rFonts w:ascii="Cambria" w:hAnsi="Cambria"/>
          <w:sz w:val="22"/>
        </w:rPr>
        <w:t>Ensure nutritious and affordable food services that meet quality standards.</w:t>
      </w:r>
    </w:p>
    <w:p>
      <w:pPr>
        <w:pStyle w:val="ListBullet"/>
        <w:jc w:val="both"/>
      </w:pPr>
      <w:r>
        <w:rPr>
          <w:rFonts w:ascii="Cambria" w:hAnsi="Cambria"/>
          <w:sz w:val="22"/>
        </w:rPr>
        <w:t>Maintain procedural accountability and responsiveness in grievance handling.</w:t>
      </w:r>
    </w:p>
    <w:p>
      <w:pPr>
        <w:pStyle w:val="ListBullet"/>
        <w:jc w:val="both"/>
      </w:pPr>
      <w:r>
        <w:rPr>
          <w:rFonts w:ascii="Cambria" w:hAnsi="Cambria"/>
          <w:sz w:val="22"/>
        </w:rPr>
        <w:t>Provide verifiable evidence for accreditation and continuous improvement.</w:t>
      </w:r>
    </w:p>
    <w:p>
      <w:pPr>
        <w:pStyle w:val="ListBullet"/>
        <w:jc w:val="both"/>
      </w:pPr>
      <w:r>
        <w:rPr>
          <w:rFonts w:ascii="Cambria" w:hAnsi="Cambria"/>
          <w:sz w:val="22"/>
        </w:rPr>
        <w:t>Strengthen student satisfaction, retention, and trust in institutional support systems.</w:t>
      </w:r>
    </w:p>
    <w:p>
      <w:pPr>
        <w:jc w:val="both"/>
      </w:pPr>
      <w:r>
        <w:rPr>
          <w:rFonts w:ascii="Cambria" w:hAnsi="Cambria"/>
          <w:b w:val="0"/>
          <w:i w:val="0"/>
          <w:sz w:val="22"/>
        </w:rPr>
        <w:t>In summary, this framework transforms hostel and canteen management into a structured, data-driven, and quality-assured process, aligning daily operations with institutional policies, student welfare objectives, and accreditation standards — ensuring a safe, efficient, and student-centric campus environment.</w:t>
      </w:r>
    </w:p>
    <w:p>
      <w:r>
        <w:br w:type="page"/>
      </w:r>
    </w:p>
    <w:p>
      <w:pPr>
        <w:keepNext/>
        <w:spacing w:before="280" w:after="160"/>
      </w:pPr>
      <w:r>
        <w:rPr>
          <w:rFonts w:ascii="Cambria" w:hAnsi="Cambria"/>
          <w:b/>
          <w:color w:val="1F3A5F"/>
          <w:sz w:val="36"/>
        </w:rPr>
        <w:t>5. Associate Dean – Sports Affairs</w:t>
      </w:r>
    </w:p>
    <w:p>
      <w:pPr>
        <w:jc w:val="both"/>
      </w:pPr>
      <w:r>
        <w:rPr>
          <w:rFonts w:ascii="Cambria" w:hAnsi="Cambria"/>
          <w:b w:val="0"/>
          <w:i w:val="0"/>
          <w:sz w:val="22"/>
        </w:rPr>
        <w:t>The Associate Dean – Sports Affairs is a key academic-administrative officer responsible for promoting, organizing, and supervising all sports, fitness, and recreational activities within the institution. The position ensures the development of a vibrant sporting culture that encourages physical health, teamwork, leadership, and discipline among students. Working under the guidance of the Dean – Student Affairs (DoSA), the Associate Dean oversees the planning and execution of sports policies, management of indoor and outdoor facilities, coordination of inter-departmental and inter-university tournaments, and collaboration with coaches, trainers, and external sports bodies.</w:t>
      </w:r>
    </w:p>
    <w:p>
      <w:pPr>
        <w:jc w:val="both"/>
      </w:pPr>
      <w:r>
        <w:rPr>
          <w:rFonts w:ascii="Cambria" w:hAnsi="Cambria"/>
          <w:b w:val="0"/>
          <w:i w:val="0"/>
          <w:sz w:val="22"/>
        </w:rPr>
        <w:t>This role emphasizes both participation and excellence, ensuring that every student has access to opportunities for physical activity and competitive performance. The Associate Dean also monitors compliance with safety standards, fitness programs, and institutional wellness initiatives, aligning with the broader goals of student development and holistic education. Additionally, the position contributes to institutional quality assurance and accreditation by documenting sports-related activities, achievements, and welfare initiatives under frameworks such as NAAC, NBA, and QS I-GAUGE, particularly focusing on Criterion 5 (Student Support and Progression).</w:t>
      </w:r>
    </w:p>
    <w:p>
      <w:pPr>
        <w:jc w:val="both"/>
      </w:pPr>
      <w:r>
        <w:rPr>
          <w:rFonts w:ascii="Cambria" w:hAnsi="Cambria"/>
          <w:b w:val="0"/>
          <w:i w:val="0"/>
          <w:sz w:val="22"/>
        </w:rPr>
        <w:t>By integrating sports and fitness into the daily rhythm of campus life, the Associate Dean – Sports Affairs fosters a spirit of teamwork, perseverance, and fair play, ensuring that physical education becomes an essential pillar of student success and institutional identity.</w:t>
      </w:r>
    </w:p>
    <w:p>
      <w:pPr>
        <w:keepNext/>
        <w:spacing w:before="200" w:after="120"/>
      </w:pPr>
      <w:r>
        <w:rPr>
          <w:rFonts w:ascii="Cambria" w:hAnsi="Cambria"/>
          <w:b/>
          <w:color w:val="1F3A5F"/>
          <w:sz w:val="30"/>
        </w:rPr>
        <w:t>1. Designation and Overview</w:t>
      </w:r>
    </w:p>
    <w:p>
      <w:pPr>
        <w:jc w:val="both"/>
      </w:pPr>
      <w:r>
        <w:rPr>
          <w:rFonts w:ascii="Cambria" w:hAnsi="Cambria"/>
          <w:b w:val="0"/>
          <w:i w:val="0"/>
          <w:sz w:val="22"/>
        </w:rPr>
        <w:t>The Associate Dean – Sports Affairs is a senior academic-administrative position responsible for planning, developing, and managing all sports, fitness, and recreational activities of the institution. The role ensures that students are provided with opportunities for physical development, teamwork, leadership, and holistic well-being, fostering a healthy campus culture that supports both academic excellence and athletic growth.</w:t>
      </w:r>
    </w:p>
    <w:p>
      <w:pPr>
        <w:jc w:val="both"/>
      </w:pPr>
      <w:r>
        <w:rPr>
          <w:rFonts w:ascii="Cambria" w:hAnsi="Cambria"/>
          <w:b/>
          <w:i w:val="0"/>
          <w:sz w:val="22"/>
        </w:rPr>
        <w:t>Purpose:</w:t>
      </w:r>
    </w:p>
    <w:p>
      <w:pPr>
        <w:pStyle w:val="ListBullet"/>
        <w:jc w:val="both"/>
      </w:pPr>
      <w:r>
        <w:rPr>
          <w:rFonts w:ascii="Cambria" w:hAnsi="Cambria"/>
          <w:sz w:val="22"/>
        </w:rPr>
        <w:t>To promote sports and physical education as an integral component of student life.</w:t>
      </w:r>
    </w:p>
    <w:p>
      <w:pPr>
        <w:pStyle w:val="ListBullet"/>
        <w:jc w:val="both"/>
      </w:pPr>
      <w:r>
        <w:rPr>
          <w:rFonts w:ascii="Cambria" w:hAnsi="Cambria"/>
          <w:sz w:val="22"/>
        </w:rPr>
        <w:t>To ensure adequate infrastructure, resources, and training facilities for intra- and inter-college sports activities.</w:t>
      </w:r>
    </w:p>
    <w:p>
      <w:pPr>
        <w:pStyle w:val="ListBullet"/>
        <w:jc w:val="both"/>
      </w:pPr>
      <w:r>
        <w:rPr>
          <w:rFonts w:ascii="Cambria" w:hAnsi="Cambria"/>
          <w:sz w:val="22"/>
        </w:rPr>
        <w:t>To integrate fitness and wellness programs into the overall student development strategy.</w:t>
      </w:r>
    </w:p>
    <w:p>
      <w:pPr>
        <w:pStyle w:val="ListBullet"/>
        <w:jc w:val="both"/>
      </w:pPr>
      <w:r>
        <w:rPr>
          <w:rFonts w:ascii="Cambria" w:hAnsi="Cambria"/>
          <w:sz w:val="22"/>
        </w:rPr>
        <w:t>To maintain compliance with NAAC, NBA, and QS I-GAUGE frameworks on student engagement and well-being.</w:t>
      </w:r>
    </w:p>
    <w:p>
      <w:pPr>
        <w:pStyle w:val="ListBullet"/>
        <w:jc w:val="both"/>
      </w:pPr>
      <w:r>
        <w:rPr>
          <w:rFonts w:ascii="Cambria" w:hAnsi="Cambria"/>
          <w:sz w:val="22"/>
        </w:rPr>
        <w:t>To align institutional efforts with SDG-3 (Good Health and Well-being) by promoting an active and healthy lifestyle among students.</w:t>
      </w:r>
    </w:p>
    <w:p>
      <w:pPr>
        <w:keepNext/>
        <w:spacing w:before="200" w:after="120"/>
      </w:pPr>
      <w:r>
        <w:rPr>
          <w:rFonts w:ascii="Cambria" w:hAnsi="Cambria"/>
          <w:b/>
          <w:color w:val="1F3A5F"/>
          <w:sz w:val="30"/>
        </w:rPr>
        <w:t>2. Core Functions</w:t>
      </w:r>
    </w:p>
    <w:p>
      <w:pPr>
        <w:pStyle w:val="ListBullet"/>
        <w:jc w:val="both"/>
      </w:pPr>
      <w:r>
        <w:rPr>
          <w:rFonts w:ascii="Cambria" w:hAnsi="Cambria"/>
          <w:sz w:val="22"/>
        </w:rPr>
        <w:t>Develop and implement a comprehensive sports policy encompassing physical fitness, training, and participation.</w:t>
      </w:r>
    </w:p>
    <w:p>
      <w:pPr>
        <w:pStyle w:val="ListBullet"/>
        <w:jc w:val="both"/>
      </w:pPr>
      <w:r>
        <w:rPr>
          <w:rFonts w:ascii="Cambria" w:hAnsi="Cambria"/>
          <w:sz w:val="22"/>
        </w:rPr>
        <w:t>Oversee infrastructure management, including indoor and outdoor sports facilities.</w:t>
      </w:r>
    </w:p>
    <w:p>
      <w:pPr>
        <w:pStyle w:val="ListBullet"/>
        <w:jc w:val="both"/>
      </w:pPr>
      <w:r>
        <w:rPr>
          <w:rFonts w:ascii="Cambria" w:hAnsi="Cambria"/>
          <w:sz w:val="22"/>
        </w:rPr>
        <w:t>Promote student participation in inter-collegiate, university, state, national, and international competitions.</w:t>
      </w:r>
    </w:p>
    <w:p>
      <w:pPr>
        <w:pStyle w:val="ListBullet"/>
        <w:jc w:val="both"/>
      </w:pPr>
      <w:r>
        <w:rPr>
          <w:rFonts w:ascii="Cambria" w:hAnsi="Cambria"/>
          <w:sz w:val="22"/>
        </w:rPr>
        <w:t>Collaborate with coaches, trainers, and faculty coordinators to design and monitor training programs.</w:t>
      </w:r>
    </w:p>
    <w:p>
      <w:pPr>
        <w:pStyle w:val="ListBullet"/>
        <w:jc w:val="both"/>
      </w:pPr>
      <w:r>
        <w:rPr>
          <w:rFonts w:ascii="Cambria" w:hAnsi="Cambria"/>
          <w:sz w:val="22"/>
        </w:rPr>
        <w:t>Ensure the inclusion of sports and wellness programs in institutional timetables and co-curricular schedules.</w:t>
      </w:r>
    </w:p>
    <w:p>
      <w:pPr>
        <w:pStyle w:val="ListBullet"/>
        <w:jc w:val="both"/>
      </w:pPr>
      <w:r>
        <w:rPr>
          <w:rFonts w:ascii="Cambria" w:hAnsi="Cambria"/>
          <w:sz w:val="22"/>
        </w:rPr>
        <w:t>Integrate sports performance data and participation into IQAC reporting and institutional quality systems.</w:t>
      </w:r>
    </w:p>
    <w:p>
      <w:pPr>
        <w:keepNext/>
        <w:spacing w:before="200" w:after="120"/>
      </w:pPr>
      <w:r>
        <w:rPr>
          <w:rFonts w:ascii="Cambria" w:hAnsi="Cambria"/>
          <w:b/>
          <w:color w:val="1F3A5F"/>
          <w:sz w:val="30"/>
        </w:rPr>
        <w:t>3. Key Duties and Responsibilities</w:t>
      </w:r>
    </w:p>
    <w:p>
      <w:pPr>
        <w:keepNext/>
        <w:spacing w:before="200" w:after="120"/>
      </w:pPr>
      <w:r>
        <w:rPr>
          <w:rFonts w:ascii="Cambria" w:hAnsi="Cambria"/>
          <w:b/>
          <w:color w:val="1F3A5F"/>
          <w:sz w:val="26"/>
        </w:rPr>
        <w:t>A. Sports Administration and Development</w:t>
      </w:r>
    </w:p>
    <w:p>
      <w:pPr>
        <w:pStyle w:val="ListBullet"/>
        <w:jc w:val="both"/>
      </w:pPr>
      <w:r>
        <w:rPr>
          <w:rFonts w:ascii="Cambria" w:hAnsi="Cambria"/>
          <w:sz w:val="22"/>
        </w:rPr>
        <w:t>Formulate, implement, and periodically review the Institutional Sports and Physical Education Policy.</w:t>
      </w:r>
    </w:p>
    <w:p>
      <w:pPr>
        <w:pStyle w:val="ListBullet"/>
        <w:jc w:val="both"/>
      </w:pPr>
      <w:r>
        <w:rPr>
          <w:rFonts w:ascii="Cambria" w:hAnsi="Cambria"/>
          <w:sz w:val="22"/>
        </w:rPr>
        <w:t>Oversee the management and scheduling of sports facilities, ensuring equitable access for all students.</w:t>
      </w:r>
    </w:p>
    <w:p>
      <w:pPr>
        <w:pStyle w:val="ListBullet"/>
        <w:jc w:val="both"/>
      </w:pPr>
      <w:r>
        <w:rPr>
          <w:rFonts w:ascii="Cambria" w:hAnsi="Cambria"/>
          <w:sz w:val="22"/>
        </w:rPr>
        <w:t>Coordinate with the Sports Committee, coaches, and faculty advisors for organizing tournaments, selection trials, and practice sessions.</w:t>
      </w:r>
    </w:p>
    <w:p>
      <w:pPr>
        <w:pStyle w:val="ListBullet"/>
        <w:jc w:val="both"/>
      </w:pPr>
      <w:r>
        <w:rPr>
          <w:rFonts w:ascii="Cambria" w:hAnsi="Cambria"/>
          <w:sz w:val="22"/>
        </w:rPr>
        <w:t>Prepare the annual sports calendar and ensure its alignment with the academic schedule.</w:t>
      </w:r>
    </w:p>
    <w:p>
      <w:pPr>
        <w:pStyle w:val="ListBullet"/>
        <w:jc w:val="both"/>
      </w:pPr>
      <w:r>
        <w:rPr>
          <w:rFonts w:ascii="Cambria" w:hAnsi="Cambria"/>
          <w:sz w:val="22"/>
        </w:rPr>
        <w:t>Maintain an updated inventory of sports equipment and ensure timely procurement and maintenance.</w:t>
      </w:r>
    </w:p>
    <w:p>
      <w:pPr>
        <w:pStyle w:val="ListBullet"/>
        <w:jc w:val="both"/>
      </w:pPr>
      <w:r>
        <w:rPr>
          <w:rFonts w:ascii="Cambria" w:hAnsi="Cambria"/>
          <w:sz w:val="22"/>
        </w:rPr>
        <w:t>Identify and nurture talented student athletes for advanced training and competitions.</w:t>
      </w:r>
    </w:p>
    <w:p>
      <w:pPr>
        <w:pStyle w:val="ListBullet"/>
        <w:jc w:val="both"/>
      </w:pPr>
      <w:r>
        <w:rPr>
          <w:rFonts w:ascii="Cambria" w:hAnsi="Cambria"/>
          <w:sz w:val="22"/>
        </w:rPr>
        <w:t>Establish partnerships with external sports organizations and universities for collaborative training and events.</w:t>
      </w:r>
    </w:p>
    <w:p>
      <w:pPr>
        <w:keepNext/>
        <w:spacing w:before="200" w:after="120"/>
      </w:pPr>
      <w:r>
        <w:rPr>
          <w:rFonts w:ascii="Cambria" w:hAnsi="Cambria"/>
          <w:b/>
          <w:color w:val="1F3A5F"/>
          <w:sz w:val="26"/>
        </w:rPr>
        <w:t>B. Student Engagement and Capacity Building</w:t>
      </w:r>
    </w:p>
    <w:p>
      <w:pPr>
        <w:pStyle w:val="ListBullet"/>
        <w:jc w:val="both"/>
      </w:pPr>
      <w:r>
        <w:rPr>
          <w:rFonts w:ascii="Cambria" w:hAnsi="Cambria"/>
          <w:sz w:val="22"/>
        </w:rPr>
        <w:t>Encourage inclusive participation by students from all programs, including those with disabilities and from diverse backgrounds.</w:t>
      </w:r>
    </w:p>
    <w:p>
      <w:pPr>
        <w:pStyle w:val="ListBullet"/>
        <w:jc w:val="both"/>
      </w:pPr>
      <w:r>
        <w:rPr>
          <w:rFonts w:ascii="Cambria" w:hAnsi="Cambria"/>
          <w:sz w:val="22"/>
        </w:rPr>
        <w:t>Introduce fitness programs, such as yoga, aerobics, and wellness workshops, to enhance student well-being.</w:t>
      </w:r>
    </w:p>
    <w:p>
      <w:pPr>
        <w:pStyle w:val="ListBullet"/>
        <w:jc w:val="both"/>
      </w:pPr>
      <w:r>
        <w:rPr>
          <w:rFonts w:ascii="Cambria" w:hAnsi="Cambria"/>
          <w:sz w:val="22"/>
        </w:rPr>
        <w:t>Conduct leadership and teamwork workshops through sports-based activities.</w:t>
      </w:r>
    </w:p>
    <w:p>
      <w:pPr>
        <w:pStyle w:val="ListBullet"/>
        <w:jc w:val="both"/>
      </w:pPr>
      <w:r>
        <w:rPr>
          <w:rFonts w:ascii="Cambria" w:hAnsi="Cambria"/>
          <w:sz w:val="22"/>
        </w:rPr>
        <w:t>Organize annual sports meets, inter-departmental games, and wellness festivals to promote active lifestyles.</w:t>
      </w:r>
    </w:p>
    <w:p>
      <w:pPr>
        <w:pStyle w:val="ListBullet"/>
        <w:jc w:val="both"/>
      </w:pPr>
      <w:r>
        <w:rPr>
          <w:rFonts w:ascii="Cambria" w:hAnsi="Cambria"/>
          <w:sz w:val="22"/>
        </w:rPr>
        <w:t>Facilitate training camps, certification programs, and motivational sessions for athletes.</w:t>
      </w:r>
    </w:p>
    <w:p>
      <w:pPr>
        <w:pStyle w:val="ListBullet"/>
        <w:jc w:val="both"/>
      </w:pPr>
      <w:r>
        <w:rPr>
          <w:rFonts w:ascii="Cambria" w:hAnsi="Cambria"/>
          <w:sz w:val="22"/>
        </w:rPr>
        <w:t>Recognize and reward outstanding performance through awards, scholarships, and sports excellence certificates.</w:t>
      </w:r>
    </w:p>
    <w:p>
      <w:pPr>
        <w:keepNext/>
        <w:spacing w:before="200" w:after="120"/>
      </w:pPr>
      <w:r>
        <w:rPr>
          <w:rFonts w:ascii="Cambria" w:hAnsi="Cambria"/>
          <w:b/>
          <w:color w:val="1F3A5F"/>
          <w:sz w:val="26"/>
        </w:rPr>
        <w:t>C. Compliance, Safety, and Welfare</w:t>
      </w:r>
    </w:p>
    <w:p>
      <w:pPr>
        <w:pStyle w:val="ListBullet"/>
        <w:jc w:val="both"/>
      </w:pPr>
      <w:r>
        <w:rPr>
          <w:rFonts w:ascii="Cambria" w:hAnsi="Cambria"/>
          <w:sz w:val="22"/>
        </w:rPr>
        <w:t>Ensure all sports facilities comply with safety standards, medical preparedness, and first aid availability.</w:t>
      </w:r>
    </w:p>
    <w:p>
      <w:pPr>
        <w:pStyle w:val="ListBullet"/>
        <w:jc w:val="both"/>
      </w:pPr>
      <w:r>
        <w:rPr>
          <w:rFonts w:ascii="Cambria" w:hAnsi="Cambria"/>
          <w:sz w:val="22"/>
        </w:rPr>
        <w:t>Establish mechanisms for handling injuries, insurance claims, and rehabilitation support.</w:t>
      </w:r>
    </w:p>
    <w:p>
      <w:pPr>
        <w:pStyle w:val="ListBullet"/>
        <w:jc w:val="both"/>
      </w:pPr>
      <w:r>
        <w:rPr>
          <w:rFonts w:ascii="Cambria" w:hAnsi="Cambria"/>
          <w:sz w:val="22"/>
        </w:rPr>
        <w:t>Coordinate with medical units and student counselling centers for physical and mental fitness programs.</w:t>
      </w:r>
    </w:p>
    <w:p>
      <w:pPr>
        <w:pStyle w:val="ListBullet"/>
        <w:jc w:val="both"/>
      </w:pPr>
      <w:r>
        <w:rPr>
          <w:rFonts w:ascii="Cambria" w:hAnsi="Cambria"/>
          <w:sz w:val="22"/>
        </w:rPr>
        <w:t>Promote gender equity and inclusivity in sports, ensuring equal access to resources and opportunities.</w:t>
      </w:r>
    </w:p>
    <w:p>
      <w:pPr>
        <w:pStyle w:val="ListBullet"/>
        <w:jc w:val="both"/>
      </w:pPr>
      <w:r>
        <w:rPr>
          <w:rFonts w:ascii="Cambria" w:hAnsi="Cambria"/>
          <w:sz w:val="22"/>
        </w:rPr>
        <w:t>Monitor and report on student participation rates, fitness metrics, and performance data for institutional audits.</w:t>
      </w:r>
    </w:p>
    <w:p>
      <w:pPr>
        <w:keepNext/>
        <w:spacing w:before="200" w:after="120"/>
      </w:pPr>
      <w:r>
        <w:rPr>
          <w:rFonts w:ascii="Cambria" w:hAnsi="Cambria"/>
          <w:b/>
          <w:color w:val="1F3A5F"/>
          <w:sz w:val="26"/>
        </w:rPr>
        <w:t>D. Documentation, Quality Assurance, and Accreditation Support</w:t>
      </w:r>
    </w:p>
    <w:p>
      <w:pPr>
        <w:pStyle w:val="ListBullet"/>
        <w:jc w:val="both"/>
      </w:pPr>
      <w:r>
        <w:rPr>
          <w:rFonts w:ascii="Cambria" w:hAnsi="Cambria"/>
          <w:sz w:val="22"/>
        </w:rPr>
        <w:t>Maintain registers and records for:</w:t>
      </w:r>
    </w:p>
    <w:p>
      <w:pPr>
        <w:pStyle w:val="ListBullet2"/>
        <w:jc w:val="both"/>
      </w:pPr>
      <w:r>
        <w:rPr>
          <w:rFonts w:ascii="Cambria" w:hAnsi="Cambria"/>
          <w:sz w:val="22"/>
        </w:rPr>
        <w:t>Sports activities and participation data.</w:t>
      </w:r>
    </w:p>
    <w:p>
      <w:pPr>
        <w:pStyle w:val="ListBullet2"/>
        <w:jc w:val="both"/>
      </w:pPr>
      <w:r>
        <w:rPr>
          <w:rFonts w:ascii="Cambria" w:hAnsi="Cambria"/>
          <w:sz w:val="22"/>
        </w:rPr>
        <w:t>Facility maintenance and utilization logs.</w:t>
      </w:r>
    </w:p>
    <w:p>
      <w:pPr>
        <w:pStyle w:val="ListBullet2"/>
        <w:jc w:val="both"/>
      </w:pPr>
      <w:r>
        <w:rPr>
          <w:rFonts w:ascii="Cambria" w:hAnsi="Cambria"/>
          <w:sz w:val="22"/>
        </w:rPr>
        <w:t>Student achievements at institutional, regional, and national levels.</w:t>
      </w:r>
    </w:p>
    <w:p>
      <w:pPr>
        <w:pStyle w:val="ListBullet"/>
        <w:jc w:val="both"/>
      </w:pPr>
      <w:r>
        <w:rPr>
          <w:rFonts w:ascii="Cambria" w:hAnsi="Cambria"/>
          <w:sz w:val="22"/>
        </w:rPr>
        <w:t>Prepare quarterly and annual sports performance reports for IQAC and statutory committees.</w:t>
      </w:r>
    </w:p>
    <w:p>
      <w:pPr>
        <w:pStyle w:val="ListBullet"/>
        <w:jc w:val="both"/>
      </w:pPr>
      <w:r>
        <w:rPr>
          <w:rFonts w:ascii="Cambria" w:hAnsi="Cambria"/>
          <w:sz w:val="22"/>
        </w:rPr>
        <w:t>Adopt the Policy → Action → Evidence → Outcome (PAEO) model for audit and accreditation documentation.</w:t>
      </w:r>
    </w:p>
    <w:p>
      <w:pPr>
        <w:pStyle w:val="ListBullet"/>
        <w:jc w:val="both"/>
      </w:pPr>
      <w:r>
        <w:rPr>
          <w:rFonts w:ascii="Cambria" w:hAnsi="Cambria"/>
          <w:sz w:val="22"/>
        </w:rPr>
        <w:t>Facilitate internal and external audits of sports facilities and programs.</w:t>
      </w:r>
    </w:p>
    <w:p>
      <w:pPr>
        <w:pStyle w:val="ListBullet"/>
        <w:jc w:val="both"/>
      </w:pPr>
      <w:r>
        <w:rPr>
          <w:rFonts w:ascii="Cambria" w:hAnsi="Cambria"/>
          <w:sz w:val="22"/>
        </w:rPr>
        <w:t>Provide data for NAAC Criterion 5 (Student Support and Progression), NBA Criterion 8–10, and QS I-GAUGE reviews.</w:t>
      </w:r>
    </w:p>
    <w:p>
      <w:pPr>
        <w:keepNext/>
        <w:spacing w:before="200" w:after="120"/>
      </w:pPr>
      <w:r>
        <w:rPr>
          <w:rFonts w:ascii="Cambria" w:hAnsi="Cambria"/>
          <w:b/>
          <w:color w:val="1F3A5F"/>
          <w:sz w:val="30"/>
        </w:rPr>
        <w:t>4. Accreditation and Framework Mapping</w:t>
      </w:r>
    </w:p>
    <w:p>
      <w:pPr>
        <w:keepNext/>
        <w:spacing w:before="200" w:after="120"/>
      </w:pPr>
      <w:r>
        <w:rPr>
          <w:rFonts w:ascii="Cambria" w:hAnsi="Cambria"/>
          <w:b/>
          <w:color w:val="1F3A5F"/>
          <w:sz w:val="26"/>
        </w:rPr>
        <w:t>A. NAAC (National Assessment and Accreditation Council)</w:t>
      </w:r>
    </w:p>
    <w:tbl>
      <w:tblPr>
        <w:tblW w:type="auto" w:w="0"/>
        <w:jc w:val="center"/>
        <w:tblLayout w:type="fixed"/>
        <w:tblLook w:firstColumn="1" w:firstRow="1" w:lastColumn="0" w:lastRow="0" w:noHBand="0" w:noVBand="1" w:val="04A0"/>
        <w:tblW w:w="8334" w:type="dxa"/>
        <w:tblLayout w:type="fixed"/>
      </w:tblPr>
      <w:tblGrid>
        <w:gridCol w:w="1134"/>
        <w:gridCol w:w="2551"/>
        <w:gridCol w:w="2551"/>
        <w:gridCol w:w="2097"/>
      </w:tblGrid>
      <w:tr>
        <w:tc>
          <w:tcPr>
            <w:tcW w:type="dxa" w:w="1134"/>
            <w:tcW w:w="1134" w:type="dxa"/>
            <w:shd w:val="clear" w:color="auto" w:fill="1F3A5F"/>
          </w:tcPr>
          <w:p>
            <w:pPr>
              <w:jc w:val="center"/>
            </w:pPr>
            <w:r/>
            <w:r>
              <w:rPr>
                <w:rFonts w:ascii="Cambria" w:hAnsi="Cambria"/>
                <w:b/>
                <w:color w:val="FFFFFF"/>
                <w:sz w:val="22"/>
              </w:rPr>
              <w:t>Criterion</w:t>
            </w:r>
          </w:p>
        </w:tc>
        <w:tc>
          <w:tcPr>
            <w:tcW w:type="dxa" w:w="2551"/>
            <w:tcW w:w="2551" w:type="dxa"/>
            <w:shd w:val="clear" w:color="auto" w:fill="1F3A5F"/>
          </w:tcPr>
          <w:p>
            <w:pPr>
              <w:jc w:val="center"/>
            </w:pPr>
            <w:r/>
            <w:r>
              <w:rPr>
                <w:rFonts w:ascii="Cambria" w:hAnsi="Cambria"/>
                <w:b/>
                <w:color w:val="FFFFFF"/>
                <w:sz w:val="22"/>
              </w:rPr>
              <w:t>Indicator / Metric</w:t>
            </w:r>
          </w:p>
        </w:tc>
        <w:tc>
          <w:tcPr>
            <w:tcW w:type="dxa" w:w="2551"/>
            <w:tcW w:w="2551" w:type="dxa"/>
            <w:shd w:val="clear" w:color="auto" w:fill="1F3A5F"/>
          </w:tcPr>
          <w:p>
            <w:pPr>
              <w:jc w:val="center"/>
            </w:pPr>
            <w:r/>
            <w:r>
              <w:rPr>
                <w:rFonts w:ascii="Cambria" w:hAnsi="Cambria"/>
                <w:b/>
                <w:color w:val="FFFFFF"/>
                <w:sz w:val="22"/>
              </w:rPr>
              <w:t>Associate Dean’s Duties</w:t>
            </w:r>
          </w:p>
        </w:tc>
        <w:tc>
          <w:tcPr>
            <w:tcW w:type="dxa" w:w="2098"/>
            <w:tcW w:w="2097" w:type="dxa"/>
            <w:shd w:val="clear" w:color="auto" w:fill="1F3A5F"/>
          </w:tcPr>
          <w:p>
            <w:pPr>
              <w:jc w:val="center"/>
            </w:pPr>
            <w:r/>
            <w:r>
              <w:rPr>
                <w:rFonts w:ascii="Cambria" w:hAnsi="Cambria"/>
                <w:b/>
                <w:color w:val="FFFFFF"/>
                <w:sz w:val="22"/>
              </w:rPr>
              <w:t>Evidence / Records</w:t>
            </w:r>
          </w:p>
        </w:tc>
      </w:tr>
      <w:tr>
        <w:tc>
          <w:tcPr>
            <w:tcW w:type="dxa" w:w="1134"/>
            <w:tcW w:w="1134" w:type="dxa"/>
          </w:tcPr>
          <w:p>
            <w:pPr>
              <w:jc w:val="left"/>
            </w:pPr>
            <w:r/>
            <w:r>
              <w:rPr>
                <w:rFonts w:ascii="Cambria" w:hAnsi="Cambria"/>
                <w:b w:val="0"/>
                <w:sz w:val="18"/>
              </w:rPr>
              <w:t>5.3.1</w:t>
            </w:r>
          </w:p>
        </w:tc>
        <w:tc>
          <w:tcPr>
            <w:tcW w:type="dxa" w:w="2551"/>
            <w:tcW w:w="2551" w:type="dxa"/>
          </w:tcPr>
          <w:p>
            <w:pPr>
              <w:jc w:val="center"/>
            </w:pPr>
            <w:r/>
            <w:r>
              <w:rPr>
                <w:rFonts w:ascii="Cambria" w:hAnsi="Cambria"/>
                <w:b w:val="0"/>
                <w:sz w:val="18"/>
              </w:rPr>
              <w:t>Number of sports and cultural activities organized</w:t>
            </w:r>
          </w:p>
        </w:tc>
        <w:tc>
          <w:tcPr>
            <w:tcW w:type="dxa" w:w="2551"/>
            <w:tcW w:w="2551" w:type="dxa"/>
          </w:tcPr>
          <w:p>
            <w:pPr>
              <w:jc w:val="center"/>
            </w:pPr>
            <w:r/>
            <w:r>
              <w:rPr>
                <w:rFonts w:ascii="Cambria" w:hAnsi="Cambria"/>
                <w:b w:val="0"/>
                <w:sz w:val="18"/>
              </w:rPr>
              <w:t>Organize annual sports events and maintain records</w:t>
            </w:r>
          </w:p>
        </w:tc>
        <w:tc>
          <w:tcPr>
            <w:tcW w:type="dxa" w:w="2098"/>
            <w:tcW w:w="2097" w:type="dxa"/>
          </w:tcPr>
          <w:p>
            <w:pPr>
              <w:jc w:val="center"/>
            </w:pPr>
            <w:r/>
            <w:r>
              <w:rPr>
                <w:rFonts w:ascii="Cambria" w:hAnsi="Cambria"/>
                <w:b w:val="0"/>
                <w:sz w:val="18"/>
              </w:rPr>
              <w:t>Event reports, photographs, schedules</w:t>
            </w:r>
          </w:p>
        </w:tc>
      </w:tr>
      <w:tr>
        <w:tc>
          <w:tcPr>
            <w:tcW w:type="dxa" w:w="1134"/>
            <w:tcW w:w="1134" w:type="dxa"/>
            <w:shd w:val="clear" w:color="auto" w:fill="DCE6F1"/>
          </w:tcPr>
          <w:p>
            <w:pPr>
              <w:jc w:val="left"/>
            </w:pPr>
            <w:r/>
            <w:r>
              <w:rPr>
                <w:rFonts w:ascii="Cambria" w:hAnsi="Cambria"/>
                <w:b w:val="0"/>
                <w:sz w:val="18"/>
              </w:rPr>
              <w:t>5.3.2</w:t>
            </w:r>
          </w:p>
        </w:tc>
        <w:tc>
          <w:tcPr>
            <w:tcW w:type="dxa" w:w="2551"/>
            <w:tcW w:w="2551" w:type="dxa"/>
            <w:shd w:val="clear" w:color="auto" w:fill="DCE6F1"/>
          </w:tcPr>
          <w:p>
            <w:pPr>
              <w:jc w:val="center"/>
            </w:pPr>
            <w:r/>
            <w:r>
              <w:rPr>
                <w:rFonts w:ascii="Cambria" w:hAnsi="Cambria"/>
                <w:b w:val="0"/>
                <w:sz w:val="18"/>
              </w:rPr>
              <w:t>Student participation in events</w:t>
            </w:r>
          </w:p>
        </w:tc>
        <w:tc>
          <w:tcPr>
            <w:tcW w:type="dxa" w:w="2551"/>
            <w:tcW w:w="2551" w:type="dxa"/>
            <w:shd w:val="clear" w:color="auto" w:fill="DCE6F1"/>
          </w:tcPr>
          <w:p>
            <w:pPr>
              <w:jc w:val="center"/>
            </w:pPr>
            <w:r/>
            <w:r>
              <w:rPr>
                <w:rFonts w:ascii="Cambria" w:hAnsi="Cambria"/>
                <w:b w:val="0"/>
                <w:sz w:val="18"/>
              </w:rPr>
              <w:t>Track and report student involvement in internal/external competitions</w:t>
            </w:r>
          </w:p>
        </w:tc>
        <w:tc>
          <w:tcPr>
            <w:tcW w:type="dxa" w:w="2098"/>
            <w:tcW w:w="2097" w:type="dxa"/>
            <w:shd w:val="clear" w:color="auto" w:fill="DCE6F1"/>
          </w:tcPr>
          <w:p>
            <w:pPr>
              <w:jc w:val="center"/>
            </w:pPr>
            <w:r/>
            <w:r>
              <w:rPr>
                <w:rFonts w:ascii="Cambria" w:hAnsi="Cambria"/>
                <w:b w:val="0"/>
                <w:sz w:val="18"/>
              </w:rPr>
              <w:t>Participation certificates, attendance logs</w:t>
            </w:r>
          </w:p>
        </w:tc>
      </w:tr>
      <w:tr>
        <w:tc>
          <w:tcPr>
            <w:tcW w:type="dxa" w:w="1134"/>
            <w:tcW w:w="1134" w:type="dxa"/>
          </w:tcPr>
          <w:p>
            <w:pPr>
              <w:jc w:val="left"/>
            </w:pPr>
            <w:r/>
            <w:r>
              <w:rPr>
                <w:rFonts w:ascii="Cambria" w:hAnsi="Cambria"/>
                <w:b w:val="0"/>
                <w:sz w:val="18"/>
              </w:rPr>
              <w:t>5.3.3</w:t>
            </w:r>
          </w:p>
        </w:tc>
        <w:tc>
          <w:tcPr>
            <w:tcW w:type="dxa" w:w="2551"/>
            <w:tcW w:w="2551" w:type="dxa"/>
          </w:tcPr>
          <w:p>
            <w:pPr>
              <w:jc w:val="center"/>
            </w:pPr>
            <w:r/>
            <w:r>
              <w:rPr>
                <w:rFonts w:ascii="Cambria" w:hAnsi="Cambria"/>
                <w:b w:val="0"/>
                <w:sz w:val="18"/>
              </w:rPr>
              <w:t>Institutional initiatives for cultural and sports promotion</w:t>
            </w:r>
          </w:p>
        </w:tc>
        <w:tc>
          <w:tcPr>
            <w:tcW w:type="dxa" w:w="2551"/>
            <w:tcW w:w="2551" w:type="dxa"/>
          </w:tcPr>
          <w:p>
            <w:pPr>
              <w:jc w:val="center"/>
            </w:pPr>
            <w:r/>
            <w:r>
              <w:rPr>
                <w:rFonts w:ascii="Cambria" w:hAnsi="Cambria"/>
                <w:b w:val="0"/>
                <w:sz w:val="18"/>
              </w:rPr>
              <w:t>Design and implement campus-wide sports programs</w:t>
            </w:r>
          </w:p>
        </w:tc>
        <w:tc>
          <w:tcPr>
            <w:tcW w:type="dxa" w:w="2098"/>
            <w:tcW w:w="2097" w:type="dxa"/>
          </w:tcPr>
          <w:p>
            <w:pPr>
              <w:jc w:val="center"/>
            </w:pPr>
            <w:r/>
            <w:r>
              <w:rPr>
                <w:rFonts w:ascii="Cambria" w:hAnsi="Cambria"/>
                <w:b w:val="0"/>
                <w:sz w:val="18"/>
              </w:rPr>
              <w:t>Sports policy, calendar, reports</w:t>
            </w:r>
          </w:p>
        </w:tc>
      </w:tr>
      <w:tr>
        <w:tc>
          <w:tcPr>
            <w:tcW w:type="dxa" w:w="1134"/>
            <w:tcW w:w="1134" w:type="dxa"/>
            <w:shd w:val="clear" w:color="auto" w:fill="DCE6F1"/>
          </w:tcPr>
          <w:p>
            <w:pPr>
              <w:jc w:val="left"/>
            </w:pPr>
            <w:r/>
            <w:r>
              <w:rPr>
                <w:rFonts w:ascii="Cambria" w:hAnsi="Cambria"/>
                <w:b w:val="0"/>
                <w:sz w:val="18"/>
              </w:rPr>
              <w:t>5.4.1</w:t>
            </w:r>
          </w:p>
        </w:tc>
        <w:tc>
          <w:tcPr>
            <w:tcW w:type="dxa" w:w="2551"/>
            <w:tcW w:w="2551" w:type="dxa"/>
            <w:shd w:val="clear" w:color="auto" w:fill="DCE6F1"/>
          </w:tcPr>
          <w:p>
            <w:pPr>
              <w:jc w:val="center"/>
            </w:pPr>
            <w:r/>
            <w:r>
              <w:rPr>
                <w:rFonts w:ascii="Cambria" w:hAnsi="Cambria"/>
                <w:b w:val="0"/>
                <w:sz w:val="18"/>
              </w:rPr>
              <w:t>Alumni engagement in student activities</w:t>
            </w:r>
          </w:p>
        </w:tc>
        <w:tc>
          <w:tcPr>
            <w:tcW w:type="dxa" w:w="2551"/>
            <w:tcW w:w="2551" w:type="dxa"/>
            <w:shd w:val="clear" w:color="auto" w:fill="DCE6F1"/>
          </w:tcPr>
          <w:p>
            <w:pPr>
              <w:jc w:val="center"/>
            </w:pPr>
            <w:r/>
            <w:r>
              <w:rPr>
                <w:rFonts w:ascii="Cambria" w:hAnsi="Cambria"/>
                <w:b w:val="0"/>
                <w:sz w:val="18"/>
              </w:rPr>
              <w:t>Engage alumni athletes and coaches in mentoring</w:t>
            </w:r>
          </w:p>
        </w:tc>
        <w:tc>
          <w:tcPr>
            <w:tcW w:type="dxa" w:w="2098"/>
            <w:tcW w:w="2097" w:type="dxa"/>
            <w:shd w:val="clear" w:color="auto" w:fill="DCE6F1"/>
          </w:tcPr>
          <w:p>
            <w:pPr>
              <w:jc w:val="center"/>
            </w:pPr>
            <w:r/>
            <w:r>
              <w:rPr>
                <w:rFonts w:ascii="Cambria" w:hAnsi="Cambria"/>
                <w:b w:val="0"/>
                <w:sz w:val="18"/>
              </w:rPr>
              <w:t>Event invitations, mentorship reports</w:t>
            </w:r>
          </w:p>
        </w:tc>
      </w:tr>
      <w:tr>
        <w:tc>
          <w:tcPr>
            <w:tcW w:type="dxa" w:w="1134"/>
            <w:tcW w:w="1134" w:type="dxa"/>
          </w:tcPr>
          <w:p>
            <w:pPr>
              <w:jc w:val="left"/>
            </w:pPr>
            <w:r/>
            <w:r>
              <w:rPr>
                <w:rFonts w:ascii="Cambria" w:hAnsi="Cambria"/>
                <w:b w:val="0"/>
                <w:sz w:val="18"/>
              </w:rPr>
              <w:t>7.1.6</w:t>
            </w:r>
          </w:p>
        </w:tc>
        <w:tc>
          <w:tcPr>
            <w:tcW w:type="dxa" w:w="2551"/>
            <w:tcW w:w="2551" w:type="dxa"/>
          </w:tcPr>
          <w:p>
            <w:pPr>
              <w:jc w:val="center"/>
            </w:pPr>
            <w:r/>
            <w:r>
              <w:rPr>
                <w:rFonts w:ascii="Cambria" w:hAnsi="Cambria"/>
                <w:b w:val="0"/>
                <w:sz w:val="18"/>
              </w:rPr>
              <w:t>Environment and sustainability initiatives</w:t>
            </w:r>
          </w:p>
        </w:tc>
        <w:tc>
          <w:tcPr>
            <w:tcW w:type="dxa" w:w="2551"/>
            <w:tcW w:w="2551" w:type="dxa"/>
          </w:tcPr>
          <w:p>
            <w:pPr>
              <w:jc w:val="center"/>
            </w:pPr>
            <w:r/>
            <w:r>
              <w:rPr>
                <w:rFonts w:ascii="Cambria" w:hAnsi="Cambria"/>
                <w:b w:val="0"/>
                <w:sz w:val="18"/>
              </w:rPr>
              <w:t>Promote wellness through green and open play areas</w:t>
            </w:r>
          </w:p>
        </w:tc>
        <w:tc>
          <w:tcPr>
            <w:tcW w:type="dxa" w:w="2098"/>
            <w:tcW w:w="2097" w:type="dxa"/>
          </w:tcPr>
          <w:p>
            <w:pPr>
              <w:jc w:val="center"/>
            </w:pPr>
            <w:r/>
            <w:r>
              <w:rPr>
                <w:rFonts w:ascii="Cambria" w:hAnsi="Cambria"/>
                <w:b w:val="0"/>
                <w:sz w:val="18"/>
              </w:rPr>
              <w:t>Facility audit, sustainability records</w:t>
            </w:r>
          </w:p>
        </w:tc>
      </w:tr>
    </w:tbl>
    <w:p>
      <w:pPr>
        <w:keepNext/>
        <w:spacing w:before="200" w:after="120"/>
      </w:pPr>
      <w:r>
        <w:rPr>
          <w:rFonts w:ascii="Cambria" w:hAnsi="Cambria"/>
          <w:b/>
          <w:color w:val="1F3A5F"/>
          <w:sz w:val="26"/>
        </w:rPr>
        <w:t>B. NBA (National Board of Accreditation)</w:t>
      </w:r>
    </w:p>
    <w:tbl>
      <w:tblPr>
        <w:tblW w:type="auto" w:w="0"/>
        <w:jc w:val="center"/>
        <w:tblLayout w:type="fixed"/>
        <w:tblLook w:firstColumn="1" w:firstRow="1" w:lastColumn="0" w:lastRow="0" w:noHBand="0" w:noVBand="1" w:val="04A0"/>
        <w:tblW w:w="8334" w:type="dxa"/>
        <w:tblLayout w:type="fixed"/>
      </w:tblPr>
      <w:tblGrid>
        <w:gridCol w:w="1134"/>
        <w:gridCol w:w="2268"/>
        <w:gridCol w:w="2835"/>
        <w:gridCol w:w="2097"/>
      </w:tblGrid>
      <w:tr>
        <w:tc>
          <w:tcPr>
            <w:tcW w:type="dxa" w:w="1134"/>
            <w:tcW w:w="1134" w:type="dxa"/>
            <w:shd w:val="clear" w:color="auto" w:fill="1F3A5F"/>
          </w:tcPr>
          <w:p>
            <w:pPr>
              <w:jc w:val="center"/>
            </w:pPr>
            <w:r/>
            <w:r>
              <w:rPr>
                <w:rFonts w:ascii="Cambria" w:hAnsi="Cambria"/>
                <w:b/>
                <w:color w:val="FFFFFF"/>
                <w:sz w:val="22"/>
              </w:rPr>
              <w:t>Criterion</w:t>
            </w:r>
          </w:p>
        </w:tc>
        <w:tc>
          <w:tcPr>
            <w:tcW w:type="dxa" w:w="2268"/>
            <w:tcW w:w="2268" w:type="dxa"/>
            <w:shd w:val="clear" w:color="auto" w:fill="1F3A5F"/>
          </w:tcPr>
          <w:p>
            <w:pPr>
              <w:jc w:val="center"/>
            </w:pPr>
            <w:r/>
            <w:r>
              <w:rPr>
                <w:rFonts w:ascii="Cambria" w:hAnsi="Cambria"/>
                <w:b/>
                <w:color w:val="FFFFFF"/>
                <w:sz w:val="22"/>
              </w:rPr>
              <w:t>Focus Area</w:t>
            </w:r>
          </w:p>
        </w:tc>
        <w:tc>
          <w:tcPr>
            <w:tcW w:type="dxa" w:w="2835"/>
            <w:tcW w:w="2835" w:type="dxa"/>
            <w:shd w:val="clear" w:color="auto" w:fill="1F3A5F"/>
          </w:tcPr>
          <w:p>
            <w:pPr>
              <w:jc w:val="center"/>
            </w:pPr>
            <w:r/>
            <w:r>
              <w:rPr>
                <w:rFonts w:ascii="Cambria" w:hAnsi="Cambria"/>
                <w:b/>
                <w:color w:val="FFFFFF"/>
                <w:sz w:val="22"/>
              </w:rPr>
              <w:t>Associate Dean’s Duties</w:t>
            </w:r>
          </w:p>
        </w:tc>
        <w:tc>
          <w:tcPr>
            <w:tcW w:type="dxa" w:w="2098"/>
            <w:tcW w:w="2097" w:type="dxa"/>
            <w:shd w:val="clear" w:color="auto" w:fill="1F3A5F"/>
          </w:tcPr>
          <w:p>
            <w:pPr>
              <w:jc w:val="center"/>
            </w:pPr>
            <w:r/>
            <w:r>
              <w:rPr>
                <w:rFonts w:ascii="Cambria" w:hAnsi="Cambria"/>
                <w:b/>
                <w:color w:val="FFFFFF"/>
                <w:sz w:val="22"/>
              </w:rPr>
              <w:t>Evidence</w:t>
            </w:r>
          </w:p>
        </w:tc>
      </w:tr>
      <w:tr>
        <w:tc>
          <w:tcPr>
            <w:tcW w:type="dxa" w:w="1134"/>
            <w:tcW w:w="1134" w:type="dxa"/>
          </w:tcPr>
          <w:p>
            <w:pPr>
              <w:jc w:val="left"/>
            </w:pPr>
            <w:r/>
            <w:r>
              <w:rPr>
                <w:rFonts w:ascii="Cambria" w:hAnsi="Cambria"/>
                <w:b w:val="0"/>
                <w:sz w:val="19"/>
              </w:rPr>
              <w:t>8</w:t>
            </w:r>
          </w:p>
        </w:tc>
        <w:tc>
          <w:tcPr>
            <w:tcW w:type="dxa" w:w="2268"/>
            <w:tcW w:w="2268" w:type="dxa"/>
          </w:tcPr>
          <w:p>
            <w:pPr>
              <w:jc w:val="center"/>
            </w:pPr>
            <w:r/>
            <w:r>
              <w:rPr>
                <w:rFonts w:ascii="Cambria" w:hAnsi="Cambria"/>
                <w:b w:val="0"/>
                <w:sz w:val="19"/>
              </w:rPr>
              <w:t>First Year Academics</w:t>
            </w:r>
          </w:p>
        </w:tc>
        <w:tc>
          <w:tcPr>
            <w:tcW w:type="dxa" w:w="2835"/>
            <w:tcW w:w="2835" w:type="dxa"/>
          </w:tcPr>
          <w:p>
            <w:pPr>
              <w:jc w:val="center"/>
            </w:pPr>
            <w:r/>
            <w:r>
              <w:rPr>
                <w:rFonts w:ascii="Cambria" w:hAnsi="Cambria"/>
                <w:b w:val="0"/>
                <w:sz w:val="19"/>
              </w:rPr>
              <w:t>Organize induction programs with physical activity and team-building exercises</w:t>
            </w:r>
          </w:p>
        </w:tc>
        <w:tc>
          <w:tcPr>
            <w:tcW w:type="dxa" w:w="2098"/>
            <w:tcW w:w="2097" w:type="dxa"/>
          </w:tcPr>
          <w:p>
            <w:pPr>
              <w:jc w:val="center"/>
            </w:pPr>
            <w:r/>
            <w:r>
              <w:rPr>
                <w:rFonts w:ascii="Cambria" w:hAnsi="Cambria"/>
                <w:b w:val="0"/>
                <w:sz w:val="19"/>
              </w:rPr>
              <w:t>Induction reports, participation lists</w:t>
            </w:r>
          </w:p>
        </w:tc>
      </w:tr>
      <w:tr>
        <w:tc>
          <w:tcPr>
            <w:tcW w:type="dxa" w:w="1134"/>
            <w:tcW w:w="1134" w:type="dxa"/>
            <w:shd w:val="clear" w:color="auto" w:fill="DCE6F1"/>
          </w:tcPr>
          <w:p>
            <w:pPr>
              <w:jc w:val="left"/>
            </w:pPr>
            <w:r/>
            <w:r>
              <w:rPr>
                <w:rFonts w:ascii="Cambria" w:hAnsi="Cambria"/>
                <w:b w:val="0"/>
                <w:sz w:val="19"/>
              </w:rPr>
              <w:t>9</w:t>
            </w:r>
          </w:p>
        </w:tc>
        <w:tc>
          <w:tcPr>
            <w:tcW w:type="dxa" w:w="2268"/>
            <w:tcW w:w="2268" w:type="dxa"/>
            <w:shd w:val="clear" w:color="auto" w:fill="DCE6F1"/>
          </w:tcPr>
          <w:p>
            <w:pPr>
              <w:jc w:val="center"/>
            </w:pPr>
            <w:r/>
            <w:r>
              <w:rPr>
                <w:rFonts w:ascii="Cambria" w:hAnsi="Cambria"/>
                <w:b w:val="0"/>
                <w:sz w:val="19"/>
              </w:rPr>
              <w:t>Student Support Systems</w:t>
            </w:r>
          </w:p>
        </w:tc>
        <w:tc>
          <w:tcPr>
            <w:tcW w:type="dxa" w:w="2835"/>
            <w:tcW w:w="2835" w:type="dxa"/>
            <w:shd w:val="clear" w:color="auto" w:fill="DCE6F1"/>
          </w:tcPr>
          <w:p>
            <w:pPr>
              <w:jc w:val="center"/>
            </w:pPr>
            <w:r/>
            <w:r>
              <w:rPr>
                <w:rFonts w:ascii="Cambria" w:hAnsi="Cambria"/>
                <w:b w:val="0"/>
                <w:sz w:val="19"/>
              </w:rPr>
              <w:t>Support student athletes through welfare and mentoring</w:t>
            </w:r>
          </w:p>
        </w:tc>
        <w:tc>
          <w:tcPr>
            <w:tcW w:type="dxa" w:w="2098"/>
            <w:tcW w:w="2097" w:type="dxa"/>
            <w:shd w:val="clear" w:color="auto" w:fill="DCE6F1"/>
          </w:tcPr>
          <w:p>
            <w:pPr>
              <w:jc w:val="center"/>
            </w:pPr>
            <w:r/>
            <w:r>
              <w:rPr>
                <w:rFonts w:ascii="Cambria" w:hAnsi="Cambria"/>
                <w:b w:val="0"/>
                <w:sz w:val="19"/>
              </w:rPr>
              <w:t>Counselling records, performance data</w:t>
            </w:r>
          </w:p>
        </w:tc>
      </w:tr>
      <w:tr>
        <w:tc>
          <w:tcPr>
            <w:tcW w:type="dxa" w:w="1134"/>
            <w:tcW w:w="1134" w:type="dxa"/>
          </w:tcPr>
          <w:p>
            <w:pPr>
              <w:jc w:val="left"/>
            </w:pPr>
            <w:r/>
            <w:r>
              <w:rPr>
                <w:rFonts w:ascii="Cambria" w:hAnsi="Cambria"/>
                <w:b w:val="0"/>
                <w:sz w:val="19"/>
              </w:rPr>
              <w:t>10</w:t>
            </w:r>
          </w:p>
        </w:tc>
        <w:tc>
          <w:tcPr>
            <w:tcW w:type="dxa" w:w="2268"/>
            <w:tcW w:w="2268" w:type="dxa"/>
          </w:tcPr>
          <w:p>
            <w:pPr>
              <w:jc w:val="center"/>
            </w:pPr>
            <w:r/>
            <w:r>
              <w:rPr>
                <w:rFonts w:ascii="Cambria" w:hAnsi="Cambria"/>
                <w:b w:val="0"/>
                <w:sz w:val="19"/>
              </w:rPr>
              <w:t>Continuous Improvement</w:t>
            </w:r>
          </w:p>
        </w:tc>
        <w:tc>
          <w:tcPr>
            <w:tcW w:type="dxa" w:w="2835"/>
            <w:tcW w:w="2835" w:type="dxa"/>
          </w:tcPr>
          <w:p>
            <w:pPr>
              <w:jc w:val="center"/>
            </w:pPr>
            <w:r/>
            <w:r>
              <w:rPr>
                <w:rFonts w:ascii="Cambria" w:hAnsi="Cambria"/>
                <w:b w:val="0"/>
                <w:sz w:val="19"/>
              </w:rPr>
              <w:t>Implement feedback and review mechanisms for sports activities</w:t>
            </w:r>
          </w:p>
        </w:tc>
        <w:tc>
          <w:tcPr>
            <w:tcW w:type="dxa" w:w="2098"/>
            <w:tcW w:w="2097" w:type="dxa"/>
          </w:tcPr>
          <w:p>
            <w:pPr>
              <w:jc w:val="center"/>
            </w:pPr>
            <w:r/>
            <w:r>
              <w:rPr>
                <w:rFonts w:ascii="Cambria" w:hAnsi="Cambria"/>
                <w:b w:val="0"/>
                <w:sz w:val="19"/>
              </w:rPr>
              <w:t>Review reports, corrective action plans</w:t>
            </w:r>
          </w:p>
        </w:tc>
      </w:tr>
    </w:tbl>
    <w:p>
      <w:pPr>
        <w:keepNext/>
        <w:spacing w:before="200" w:after="120"/>
      </w:pPr>
      <w:r>
        <w:rPr>
          <w:rFonts w:ascii="Cambria" w:hAnsi="Cambria"/>
          <w:b/>
          <w:color w:val="1F3A5F"/>
          <w:sz w:val="26"/>
        </w:rPr>
        <w:t>C. QS I-GAUGE Framework</w:t>
      </w:r>
    </w:p>
    <w:tbl>
      <w:tblPr>
        <w:tblW w:type="auto" w:w="0"/>
        <w:jc w:val="center"/>
        <w:tblLayout w:type="fixed"/>
        <w:tblLook w:firstColumn="1" w:firstRow="1" w:lastColumn="0" w:lastRow="0" w:noHBand="0" w:noVBand="1" w:val="04A0"/>
        <w:tblW w:w="8334" w:type="dxa"/>
        <w:tblLayout w:type="fixed"/>
      </w:tblPr>
      <w:tblGrid>
        <w:gridCol w:w="1701"/>
        <w:gridCol w:w="1984"/>
        <w:gridCol w:w="2551"/>
        <w:gridCol w:w="2097"/>
      </w:tblGrid>
      <w:tr>
        <w:tc>
          <w:tcPr>
            <w:tcW w:type="dxa" w:w="1701"/>
            <w:tcW w:w="1701" w:type="dxa"/>
            <w:shd w:val="clear" w:color="auto" w:fill="1F3A5F"/>
          </w:tcPr>
          <w:p>
            <w:pPr>
              <w:jc w:val="center"/>
            </w:pPr>
            <w:r/>
            <w:r>
              <w:rPr>
                <w:rFonts w:ascii="Cambria" w:hAnsi="Cambria"/>
                <w:b/>
                <w:color w:val="FFFFFF"/>
                <w:sz w:val="22"/>
              </w:rPr>
              <w:t>Parameter</w:t>
            </w:r>
          </w:p>
        </w:tc>
        <w:tc>
          <w:tcPr>
            <w:tcW w:type="dxa" w:w="1984"/>
            <w:tcW w:w="1984" w:type="dxa"/>
            <w:shd w:val="clear" w:color="auto" w:fill="1F3A5F"/>
          </w:tcPr>
          <w:p>
            <w:pPr>
              <w:jc w:val="center"/>
            </w:pPr>
            <w:r/>
            <w:r>
              <w:rPr>
                <w:rFonts w:ascii="Cambria" w:hAnsi="Cambria"/>
                <w:b/>
                <w:color w:val="FFFFFF"/>
                <w:sz w:val="22"/>
              </w:rPr>
              <w:t>Indicator</w:t>
            </w:r>
          </w:p>
        </w:tc>
        <w:tc>
          <w:tcPr>
            <w:tcW w:type="dxa" w:w="2551"/>
            <w:tcW w:w="2551" w:type="dxa"/>
            <w:shd w:val="clear" w:color="auto" w:fill="1F3A5F"/>
          </w:tcPr>
          <w:p>
            <w:pPr>
              <w:jc w:val="center"/>
            </w:pPr>
            <w:r/>
            <w:r>
              <w:rPr>
                <w:rFonts w:ascii="Cambria" w:hAnsi="Cambria"/>
                <w:b/>
                <w:color w:val="FFFFFF"/>
                <w:sz w:val="22"/>
              </w:rPr>
              <w:t>Associate Dean’s Contribution</w:t>
            </w:r>
          </w:p>
        </w:tc>
        <w:tc>
          <w:tcPr>
            <w:tcW w:type="dxa" w:w="2098"/>
            <w:tcW w:w="2097" w:type="dxa"/>
            <w:shd w:val="clear" w:color="auto" w:fill="1F3A5F"/>
          </w:tcPr>
          <w:p>
            <w:pPr>
              <w:jc w:val="center"/>
            </w:pPr>
            <w:r/>
            <w:r>
              <w:rPr>
                <w:rFonts w:ascii="Cambria" w:hAnsi="Cambria"/>
                <w:b/>
                <w:color w:val="FFFFFF"/>
                <w:sz w:val="22"/>
              </w:rPr>
              <w:t>Evidence / Deliverables</w:t>
            </w:r>
          </w:p>
        </w:tc>
      </w:tr>
      <w:tr>
        <w:tc>
          <w:tcPr>
            <w:tcW w:type="dxa" w:w="1701"/>
            <w:tcW w:w="1701" w:type="dxa"/>
          </w:tcPr>
          <w:p>
            <w:pPr>
              <w:jc w:val="left"/>
            </w:pPr>
            <w:r/>
            <w:r>
              <w:rPr>
                <w:rFonts w:ascii="Cambria" w:hAnsi="Cambria"/>
                <w:b w:val="0"/>
                <w:sz w:val="18"/>
              </w:rPr>
              <w:t>TL – Teaching &amp; Learning</w:t>
            </w:r>
          </w:p>
        </w:tc>
        <w:tc>
          <w:tcPr>
            <w:tcW w:type="dxa" w:w="1984"/>
            <w:tcW w:w="1984" w:type="dxa"/>
          </w:tcPr>
          <w:p>
            <w:pPr>
              <w:jc w:val="center"/>
            </w:pPr>
            <w:r/>
            <w:r>
              <w:rPr>
                <w:rFonts w:ascii="Cambria" w:hAnsi="Cambria"/>
                <w:b w:val="0"/>
                <w:sz w:val="18"/>
              </w:rPr>
              <w:t>Student wellness and co-curricular engagement</w:t>
            </w:r>
          </w:p>
        </w:tc>
        <w:tc>
          <w:tcPr>
            <w:tcW w:type="dxa" w:w="2551"/>
            <w:tcW w:w="2551" w:type="dxa"/>
          </w:tcPr>
          <w:p>
            <w:pPr>
              <w:jc w:val="center"/>
            </w:pPr>
            <w:r/>
            <w:r>
              <w:rPr>
                <w:rFonts w:ascii="Cambria" w:hAnsi="Cambria"/>
                <w:b w:val="0"/>
                <w:sz w:val="18"/>
              </w:rPr>
              <w:t>Integrate physical education with academic life</w:t>
            </w:r>
          </w:p>
        </w:tc>
        <w:tc>
          <w:tcPr>
            <w:tcW w:type="dxa" w:w="2098"/>
            <w:tcW w:w="2097" w:type="dxa"/>
          </w:tcPr>
          <w:p>
            <w:pPr>
              <w:jc w:val="center"/>
            </w:pPr>
            <w:r/>
            <w:r>
              <w:rPr>
                <w:rFonts w:ascii="Cambria" w:hAnsi="Cambria"/>
                <w:b w:val="0"/>
                <w:sz w:val="18"/>
              </w:rPr>
              <w:t>Sports calendar, course linkages</w:t>
            </w:r>
          </w:p>
        </w:tc>
      </w:tr>
      <w:tr>
        <w:tc>
          <w:tcPr>
            <w:tcW w:type="dxa" w:w="1701"/>
            <w:tcW w:w="1701" w:type="dxa"/>
            <w:shd w:val="clear" w:color="auto" w:fill="DCE6F1"/>
          </w:tcPr>
          <w:p>
            <w:pPr>
              <w:jc w:val="left"/>
            </w:pPr>
            <w:r/>
            <w:r>
              <w:rPr>
                <w:rFonts w:ascii="Cambria" w:hAnsi="Cambria"/>
                <w:b w:val="0"/>
                <w:sz w:val="18"/>
              </w:rPr>
              <w:t>FC – Faculty and Student Development</w:t>
            </w:r>
          </w:p>
        </w:tc>
        <w:tc>
          <w:tcPr>
            <w:tcW w:type="dxa" w:w="1984"/>
            <w:tcW w:w="1984" w:type="dxa"/>
            <w:shd w:val="clear" w:color="auto" w:fill="DCE6F1"/>
          </w:tcPr>
          <w:p>
            <w:pPr>
              <w:jc w:val="center"/>
            </w:pPr>
            <w:r/>
            <w:r>
              <w:rPr>
                <w:rFonts w:ascii="Cambria" w:hAnsi="Cambria"/>
                <w:b w:val="0"/>
                <w:sz w:val="18"/>
              </w:rPr>
              <w:t>Leadership through sports and recreation</w:t>
            </w:r>
          </w:p>
        </w:tc>
        <w:tc>
          <w:tcPr>
            <w:tcW w:type="dxa" w:w="2551"/>
            <w:tcW w:w="2551" w:type="dxa"/>
            <w:shd w:val="clear" w:color="auto" w:fill="DCE6F1"/>
          </w:tcPr>
          <w:p>
            <w:pPr>
              <w:jc w:val="center"/>
            </w:pPr>
            <w:r/>
            <w:r>
              <w:rPr>
                <w:rFonts w:ascii="Cambria" w:hAnsi="Cambria"/>
                <w:b w:val="0"/>
                <w:sz w:val="18"/>
              </w:rPr>
              <w:t>Conduct leadership and team-building workshops</w:t>
            </w:r>
          </w:p>
        </w:tc>
        <w:tc>
          <w:tcPr>
            <w:tcW w:type="dxa" w:w="2098"/>
            <w:tcW w:w="2097" w:type="dxa"/>
            <w:shd w:val="clear" w:color="auto" w:fill="DCE6F1"/>
          </w:tcPr>
          <w:p>
            <w:pPr>
              <w:jc w:val="center"/>
            </w:pPr>
            <w:r/>
            <w:r>
              <w:rPr>
                <w:rFonts w:ascii="Cambria" w:hAnsi="Cambria"/>
                <w:b w:val="0"/>
                <w:sz w:val="18"/>
              </w:rPr>
              <w:t>Workshop reports, feedback</w:t>
            </w:r>
          </w:p>
        </w:tc>
      </w:tr>
      <w:tr>
        <w:tc>
          <w:tcPr>
            <w:tcW w:type="dxa" w:w="1701"/>
            <w:tcW w:w="1701" w:type="dxa"/>
          </w:tcPr>
          <w:p>
            <w:pPr>
              <w:jc w:val="left"/>
            </w:pPr>
            <w:r/>
            <w:r>
              <w:rPr>
                <w:rFonts w:ascii="Cambria" w:hAnsi="Cambria"/>
                <w:b w:val="0"/>
                <w:sz w:val="18"/>
              </w:rPr>
              <w:t>DA – Diversity &amp; Accessibility</w:t>
            </w:r>
          </w:p>
        </w:tc>
        <w:tc>
          <w:tcPr>
            <w:tcW w:type="dxa" w:w="1984"/>
            <w:tcW w:w="1984" w:type="dxa"/>
          </w:tcPr>
          <w:p>
            <w:pPr>
              <w:jc w:val="center"/>
            </w:pPr>
            <w:r/>
            <w:r>
              <w:rPr>
                <w:rFonts w:ascii="Cambria" w:hAnsi="Cambria"/>
                <w:b w:val="0"/>
                <w:sz w:val="18"/>
              </w:rPr>
              <w:t>Inclusive participation in sports</w:t>
            </w:r>
          </w:p>
        </w:tc>
        <w:tc>
          <w:tcPr>
            <w:tcW w:type="dxa" w:w="2551"/>
            <w:tcW w:w="2551" w:type="dxa"/>
          </w:tcPr>
          <w:p>
            <w:pPr>
              <w:jc w:val="center"/>
            </w:pPr>
            <w:r/>
            <w:r>
              <w:rPr>
                <w:rFonts w:ascii="Cambria" w:hAnsi="Cambria"/>
                <w:b w:val="0"/>
                <w:sz w:val="18"/>
              </w:rPr>
              <w:t>Promote gender balance and accessibility</w:t>
            </w:r>
          </w:p>
        </w:tc>
        <w:tc>
          <w:tcPr>
            <w:tcW w:type="dxa" w:w="2098"/>
            <w:tcW w:w="2097" w:type="dxa"/>
          </w:tcPr>
          <w:p>
            <w:pPr>
              <w:jc w:val="center"/>
            </w:pPr>
            <w:r/>
            <w:r>
              <w:rPr>
                <w:rFonts w:ascii="Cambria" w:hAnsi="Cambria"/>
                <w:b w:val="0"/>
                <w:sz w:val="18"/>
              </w:rPr>
              <w:t>Participation data, gender reports</w:t>
            </w:r>
          </w:p>
        </w:tc>
      </w:tr>
      <w:tr>
        <w:tc>
          <w:tcPr>
            <w:tcW w:type="dxa" w:w="1701"/>
            <w:tcW w:w="1701" w:type="dxa"/>
            <w:shd w:val="clear" w:color="auto" w:fill="DCE6F1"/>
          </w:tcPr>
          <w:p>
            <w:pPr>
              <w:jc w:val="left"/>
            </w:pPr>
            <w:r/>
            <w:r>
              <w:rPr>
                <w:rFonts w:ascii="Cambria" w:hAnsi="Cambria"/>
                <w:b w:val="0"/>
                <w:sz w:val="18"/>
              </w:rPr>
              <w:t>SL – Social Responsibility</w:t>
            </w:r>
          </w:p>
        </w:tc>
        <w:tc>
          <w:tcPr>
            <w:tcW w:type="dxa" w:w="1984"/>
            <w:tcW w:w="1984" w:type="dxa"/>
            <w:shd w:val="clear" w:color="auto" w:fill="DCE6F1"/>
          </w:tcPr>
          <w:p>
            <w:pPr>
              <w:jc w:val="center"/>
            </w:pPr>
            <w:r/>
            <w:r>
              <w:rPr>
                <w:rFonts w:ascii="Cambria" w:hAnsi="Cambria"/>
                <w:b w:val="0"/>
                <w:sz w:val="18"/>
              </w:rPr>
              <w:t>Community outreach through sports</w:t>
            </w:r>
          </w:p>
        </w:tc>
        <w:tc>
          <w:tcPr>
            <w:tcW w:type="dxa" w:w="2551"/>
            <w:tcW w:w="2551" w:type="dxa"/>
            <w:shd w:val="clear" w:color="auto" w:fill="DCE6F1"/>
          </w:tcPr>
          <w:p>
            <w:pPr>
              <w:jc w:val="center"/>
            </w:pPr>
            <w:r/>
            <w:r>
              <w:rPr>
                <w:rFonts w:ascii="Cambria" w:hAnsi="Cambria"/>
                <w:b w:val="0"/>
                <w:sz w:val="18"/>
              </w:rPr>
              <w:t>Organize rural and school-level sports initiatives</w:t>
            </w:r>
          </w:p>
        </w:tc>
        <w:tc>
          <w:tcPr>
            <w:tcW w:type="dxa" w:w="2098"/>
            <w:tcW w:w="2097" w:type="dxa"/>
            <w:shd w:val="clear" w:color="auto" w:fill="DCE6F1"/>
          </w:tcPr>
          <w:p>
            <w:pPr>
              <w:jc w:val="center"/>
            </w:pPr>
            <w:r/>
            <w:r>
              <w:rPr>
                <w:rFonts w:ascii="Cambria" w:hAnsi="Cambria"/>
                <w:b w:val="0"/>
                <w:sz w:val="18"/>
              </w:rPr>
              <w:t>Outreach reports, photographs</w:t>
            </w:r>
          </w:p>
        </w:tc>
      </w:tr>
      <w:tr>
        <w:tc>
          <w:tcPr>
            <w:tcW w:type="dxa" w:w="1701"/>
            <w:tcW w:w="1701" w:type="dxa"/>
          </w:tcPr>
          <w:p>
            <w:pPr>
              <w:jc w:val="left"/>
            </w:pPr>
            <w:r/>
            <w:r>
              <w:rPr>
                <w:rFonts w:ascii="Cambria" w:hAnsi="Cambria"/>
                <w:b w:val="0"/>
                <w:sz w:val="18"/>
              </w:rPr>
              <w:t>E&amp;F – Environment &amp; Facilities</w:t>
            </w:r>
          </w:p>
        </w:tc>
        <w:tc>
          <w:tcPr>
            <w:tcW w:type="dxa" w:w="1984"/>
            <w:tcW w:w="1984" w:type="dxa"/>
          </w:tcPr>
          <w:p>
            <w:pPr>
              <w:jc w:val="center"/>
            </w:pPr>
            <w:r/>
            <w:r>
              <w:rPr>
                <w:rFonts w:ascii="Cambria" w:hAnsi="Cambria"/>
                <w:b w:val="0"/>
                <w:sz w:val="18"/>
              </w:rPr>
              <w:t>Sports infrastructure and wellness amenities</w:t>
            </w:r>
          </w:p>
        </w:tc>
        <w:tc>
          <w:tcPr>
            <w:tcW w:type="dxa" w:w="2551"/>
            <w:tcW w:w="2551" w:type="dxa"/>
          </w:tcPr>
          <w:p>
            <w:pPr>
              <w:jc w:val="center"/>
            </w:pPr>
            <w:r/>
            <w:r>
              <w:rPr>
                <w:rFonts w:ascii="Cambria" w:hAnsi="Cambria"/>
                <w:b w:val="0"/>
                <w:sz w:val="18"/>
              </w:rPr>
              <w:t>Maintain and upgrade sports facilities</w:t>
            </w:r>
          </w:p>
        </w:tc>
        <w:tc>
          <w:tcPr>
            <w:tcW w:type="dxa" w:w="2098"/>
            <w:tcW w:w="2097" w:type="dxa"/>
          </w:tcPr>
          <w:p>
            <w:pPr>
              <w:jc w:val="center"/>
            </w:pPr>
            <w:r/>
            <w:r>
              <w:rPr>
                <w:rFonts w:ascii="Cambria" w:hAnsi="Cambria"/>
                <w:b w:val="0"/>
                <w:sz w:val="18"/>
              </w:rPr>
              <w:t>Facility audit reports, maintenance logs</w:t>
            </w:r>
          </w:p>
        </w:tc>
      </w:tr>
    </w:tbl>
    <w:p>
      <w:pPr>
        <w:keepNext/>
        <w:spacing w:before="200" w:after="120"/>
      </w:pPr>
      <w:r>
        <w:rPr>
          <w:rFonts w:ascii="Cambria" w:hAnsi="Cambria"/>
          <w:b/>
          <w:color w:val="1F3A5F"/>
          <w:sz w:val="30"/>
        </w:rPr>
        <w:t>5. Governance and Review Framework</w:t>
      </w:r>
    </w:p>
    <w:p>
      <w:pPr>
        <w:pStyle w:val="ListBullet"/>
        <w:jc w:val="both"/>
      </w:pPr>
      <w:r>
        <w:rPr>
          <w:rFonts w:ascii="Cambria" w:hAnsi="Cambria"/>
          <w:sz w:val="22"/>
        </w:rPr>
        <w:t>Reports to the Dean (Student Affairs) / Principal.</w:t>
      </w:r>
    </w:p>
    <w:p>
      <w:pPr>
        <w:pStyle w:val="ListBullet"/>
        <w:jc w:val="both"/>
      </w:pPr>
      <w:r>
        <w:rPr>
          <w:rFonts w:ascii="Cambria" w:hAnsi="Cambria"/>
          <w:sz w:val="22"/>
        </w:rPr>
        <w:t>Serves as Member Secretary of the Sports and Games Committee.</w:t>
      </w:r>
    </w:p>
    <w:p>
      <w:pPr>
        <w:pStyle w:val="ListBullet"/>
        <w:jc w:val="both"/>
      </w:pPr>
      <w:r>
        <w:rPr>
          <w:rFonts w:ascii="Cambria" w:hAnsi="Cambria"/>
          <w:sz w:val="22"/>
        </w:rPr>
        <w:t>Coordinates with the Physical Education Department, IQAC, and Student Welfare Office for policy execution.</w:t>
      </w:r>
    </w:p>
    <w:p>
      <w:pPr>
        <w:pStyle w:val="ListBullet"/>
        <w:jc w:val="both"/>
      </w:pPr>
      <w:r>
        <w:rPr>
          <w:rFonts w:ascii="Cambria" w:hAnsi="Cambria"/>
          <w:sz w:val="22"/>
        </w:rPr>
        <w:t>Conducts annual reviews and feedback surveys to assess sports facility utilization and student satisfaction.</w:t>
      </w:r>
    </w:p>
    <w:p>
      <w:pPr>
        <w:pStyle w:val="ListBullet"/>
        <w:jc w:val="both"/>
      </w:pPr>
      <w:r>
        <w:rPr>
          <w:rFonts w:ascii="Cambria" w:hAnsi="Cambria"/>
          <w:sz w:val="22"/>
        </w:rPr>
        <w:t>Submits reports to IQAC and Governing Council for performance evaluation and resource allocation.</w:t>
      </w:r>
    </w:p>
    <w:p>
      <w:pPr>
        <w:keepNext/>
        <w:spacing w:before="200" w:after="120"/>
      </w:pPr>
      <w:r>
        <w:rPr>
          <w:rFonts w:ascii="Cambria" w:hAnsi="Cambria"/>
          <w:b/>
          <w:color w:val="1F3A5F"/>
          <w:sz w:val="30"/>
        </w:rPr>
        <w:t>6. Expected Outcomes</w:t>
      </w:r>
    </w:p>
    <w:p>
      <w:pPr>
        <w:pStyle w:val="ListBullet"/>
        <w:jc w:val="both"/>
      </w:pPr>
      <w:r>
        <w:rPr>
          <w:rFonts w:ascii="Cambria" w:hAnsi="Cambria"/>
          <w:sz w:val="22"/>
        </w:rPr>
        <w:t>Enhanced student participation in sports and wellness programs.</w:t>
      </w:r>
    </w:p>
    <w:p>
      <w:pPr>
        <w:pStyle w:val="ListBullet"/>
        <w:jc w:val="both"/>
      </w:pPr>
      <w:r>
        <w:rPr>
          <w:rFonts w:ascii="Cambria" w:hAnsi="Cambria"/>
          <w:sz w:val="22"/>
        </w:rPr>
        <w:t>Improved physical fitness, teamwork, and mental resilience among students.</w:t>
      </w:r>
    </w:p>
    <w:p>
      <w:pPr>
        <w:pStyle w:val="ListBullet"/>
        <w:jc w:val="both"/>
      </w:pPr>
      <w:r>
        <w:rPr>
          <w:rFonts w:ascii="Cambria" w:hAnsi="Cambria"/>
          <w:sz w:val="22"/>
        </w:rPr>
        <w:t>Institutional recognition in intercollegiate and national competitions.</w:t>
      </w:r>
    </w:p>
    <w:p>
      <w:pPr>
        <w:pStyle w:val="ListBullet"/>
        <w:jc w:val="both"/>
      </w:pPr>
      <w:r>
        <w:rPr>
          <w:rFonts w:ascii="Cambria" w:hAnsi="Cambria"/>
          <w:sz w:val="22"/>
        </w:rPr>
        <w:t>Compliance with NAAC, NBA, and QS I-GAUGE standards for student engagement.</w:t>
      </w:r>
    </w:p>
    <w:p>
      <w:pPr>
        <w:pStyle w:val="ListBullet"/>
        <w:jc w:val="both"/>
      </w:pPr>
      <w:r>
        <w:rPr>
          <w:rFonts w:ascii="Cambria" w:hAnsi="Cambria"/>
          <w:sz w:val="22"/>
        </w:rPr>
        <w:t>Strengthened campus culture emphasizing health, discipline, and excellence.</w:t>
      </w:r>
    </w:p>
    <w:p>
      <w:pPr>
        <w:pStyle w:val="ListBullet"/>
        <w:jc w:val="both"/>
      </w:pPr>
      <w:r>
        <w:rPr>
          <w:rFonts w:ascii="Cambria" w:hAnsi="Cambria"/>
          <w:sz w:val="22"/>
        </w:rPr>
        <w:t>Contribution to institutional goals under SDG-3 (Good Health and Well-being) and SDG-4 (Quality Education).</w:t>
      </w:r>
    </w:p>
    <w:p>
      <w:pPr>
        <w:keepNext/>
        <w:spacing w:before="200" w:after="120"/>
      </w:pPr>
      <w:r>
        <w:rPr>
          <w:rFonts w:ascii="Cambria" w:hAnsi="Cambria"/>
          <w:b/>
          <w:color w:val="1F3A5F"/>
          <w:sz w:val="30"/>
        </w:rPr>
        <w:t>Documentation and Reporting Framework for the Associate Dean – Sports Affairs</w:t>
      </w:r>
    </w:p>
    <w:p>
      <w:pPr>
        <w:keepNext/>
        <w:spacing w:before="200" w:after="120"/>
      </w:pPr>
      <w:r>
        <w:rPr>
          <w:rFonts w:ascii="Cambria" w:hAnsi="Cambria"/>
          <w:b/>
          <w:color w:val="1F3A5F"/>
          <w:sz w:val="26"/>
        </w:rPr>
        <w:t>1. Maintain Registers and Records</w:t>
      </w:r>
    </w:p>
    <w:p>
      <w:pPr>
        <w:pStyle w:val="ListBullet"/>
        <w:jc w:val="both"/>
      </w:pPr>
      <w:r>
        <w:rPr>
          <w:rFonts w:ascii="Cambria" w:hAnsi="Cambria"/>
          <w:sz w:val="22"/>
        </w:rPr>
        <w:t>The Associate Dean – Sports Affairs is responsible for ensuring that every sports-related activity, facility, and achievement is properly documented and stored in both physical and digital formats.</w:t>
      </w:r>
    </w:p>
    <w:p>
      <w:pPr>
        <w:pStyle w:val="ListBullet"/>
        <w:jc w:val="both"/>
      </w:pPr>
      <w:r>
        <w:rPr>
          <w:rFonts w:ascii="Cambria" w:hAnsi="Cambria"/>
          <w:sz w:val="22"/>
        </w:rPr>
        <w:t>These records form the evidence base for internal audits, IQAC reviews, and accreditation purposes under NAAC, NBA, and QS I-GAUGE.</w:t>
      </w:r>
    </w:p>
    <w:p>
      <w:pPr>
        <w:pStyle w:val="ListBullet"/>
        <w:jc w:val="both"/>
      </w:pPr>
      <w:r>
        <w:rPr>
          <w:rFonts w:ascii="Cambria" w:hAnsi="Cambria"/>
          <w:sz w:val="22"/>
        </w:rPr>
        <w:t>The documentation includes:</w:t>
      </w:r>
    </w:p>
    <w:p>
      <w:pPr>
        <w:pStyle w:val="ListBullet2"/>
        <w:jc w:val="both"/>
      </w:pPr>
      <w:r>
        <w:rPr>
          <w:rFonts w:ascii="Cambria" w:hAnsi="Cambria"/>
          <w:sz w:val="22"/>
        </w:rPr>
        <w:t>Sports Activities and Participation Data:</w:t>
      </w:r>
    </w:p>
    <w:p>
      <w:pPr>
        <w:pStyle w:val="ListBullet2"/>
        <w:ind w:left="1077"/>
        <w:jc w:val="both"/>
      </w:pPr>
      <w:r>
        <w:rPr>
          <w:rFonts w:ascii="Cambria" w:hAnsi="Cambria"/>
          <w:sz w:val="22"/>
        </w:rPr>
        <w:t>This records the details of all sports tournaments, training sessions, and events conducted at different levels (intra-college, inter-college, national).</w:t>
      </w:r>
    </w:p>
    <w:p>
      <w:pPr>
        <w:pStyle w:val="ListBullet2"/>
        <w:ind w:left="1077"/>
        <w:jc w:val="both"/>
      </w:pPr>
      <w:r>
        <w:rPr>
          <w:rFonts w:ascii="Cambria" w:hAnsi="Cambria"/>
          <w:sz w:val="22"/>
        </w:rPr>
        <w:t>Participation data helps in evaluating student involvement, inclusivity (male/female ratio), and trends in physical activity engagement.</w:t>
      </w:r>
    </w:p>
    <w:p>
      <w:pPr>
        <w:pStyle w:val="ListBullet2"/>
        <w:ind w:left="1077"/>
        <w:jc w:val="both"/>
      </w:pPr>
      <w:r>
        <w:rPr>
          <w:rFonts w:ascii="Cambria" w:hAnsi="Cambria"/>
          <w:sz w:val="22"/>
        </w:rPr>
        <w:t>It also shows the institution’s commitment to promoting health, fitness, and teamwork.</w:t>
      </w:r>
    </w:p>
    <w:p>
      <w:pPr>
        <w:pStyle w:val="ListBullet2"/>
        <w:jc w:val="both"/>
      </w:pPr>
      <w:r>
        <w:rPr>
          <w:rFonts w:ascii="Cambria" w:hAnsi="Cambria"/>
          <w:sz w:val="22"/>
        </w:rPr>
        <w:t>Facility Maintenance and Utilization Logs:</w:t>
      </w:r>
    </w:p>
    <w:p>
      <w:pPr>
        <w:pStyle w:val="ListBullet2"/>
        <w:ind w:left="1077"/>
        <w:jc w:val="both"/>
      </w:pPr>
      <w:r>
        <w:rPr>
          <w:rFonts w:ascii="Cambria" w:hAnsi="Cambria"/>
          <w:sz w:val="22"/>
        </w:rPr>
        <w:t>These logs track how sports facilities (courts, gymnasiums, fields, etc.) are maintained, inspected, and used.</w:t>
      </w:r>
    </w:p>
    <w:p>
      <w:pPr>
        <w:pStyle w:val="ListBullet2"/>
        <w:ind w:left="1077"/>
        <w:jc w:val="both"/>
      </w:pPr>
      <w:r>
        <w:rPr>
          <w:rFonts w:ascii="Cambria" w:hAnsi="Cambria"/>
          <w:sz w:val="22"/>
        </w:rPr>
        <w:t>Regular maintenance ensures student safety, proper equipment condition, and compliance with safety norms.</w:t>
      </w:r>
    </w:p>
    <w:p>
      <w:pPr>
        <w:pStyle w:val="ListBullet2"/>
        <w:ind w:left="1077"/>
        <w:jc w:val="both"/>
      </w:pPr>
      <w:r>
        <w:rPr>
          <w:rFonts w:ascii="Cambria" w:hAnsi="Cambria"/>
          <w:sz w:val="22"/>
        </w:rPr>
        <w:t>The utilization records also justify funding and demonstrate optimal use of infrastructure to auditors and accreditation bodies.</w:t>
      </w:r>
    </w:p>
    <w:p>
      <w:pPr>
        <w:pStyle w:val="ListBullet2"/>
        <w:jc w:val="both"/>
      </w:pPr>
      <w:r>
        <w:rPr>
          <w:rFonts w:ascii="Cambria" w:hAnsi="Cambria"/>
          <w:sz w:val="22"/>
        </w:rPr>
        <w:t>Student Achievements:</w:t>
      </w:r>
    </w:p>
    <w:p>
      <w:pPr>
        <w:pStyle w:val="ListBullet2"/>
        <w:ind w:left="1077"/>
        <w:jc w:val="both"/>
      </w:pPr>
      <w:r>
        <w:rPr>
          <w:rFonts w:ascii="Cambria" w:hAnsi="Cambria"/>
          <w:sz w:val="22"/>
        </w:rPr>
        <w:t>Every achievement at institutional, regional, state, or national level is recorded with supporting evidence (certificates, medals, photos, news coverage).</w:t>
      </w:r>
    </w:p>
    <w:p>
      <w:pPr>
        <w:pStyle w:val="ListBullet2"/>
        <w:ind w:left="1077"/>
        <w:jc w:val="both"/>
      </w:pPr>
      <w:r>
        <w:rPr>
          <w:rFonts w:ascii="Cambria" w:hAnsi="Cambria"/>
          <w:sz w:val="22"/>
        </w:rPr>
        <w:t>This helps highlight the outcomes of sports programs, enhancing institutional reputation and contributing to student progression metrics.</w:t>
      </w:r>
    </w:p>
    <w:p>
      <w:pPr>
        <w:jc w:val="both"/>
      </w:pPr>
      <w:r>
        <w:rPr>
          <w:rFonts w:ascii="Cambria" w:hAnsi="Cambria"/>
          <w:b w:val="0"/>
          <w:i w:val="0"/>
          <w:sz w:val="22"/>
        </w:rPr>
        <w:t>Maintaining these records provides traceability, accountability, and institutional memory, ensuring that all sports initiatives are evidence-based and auditable.</w:t>
      </w:r>
    </w:p>
    <w:p>
      <w:pPr>
        <w:keepNext/>
        <w:spacing w:before="200" w:after="120"/>
      </w:pPr>
      <w:r>
        <w:rPr>
          <w:rFonts w:ascii="Cambria" w:hAnsi="Cambria"/>
          <w:b/>
          <w:color w:val="1F3A5F"/>
          <w:sz w:val="26"/>
        </w:rPr>
        <w:t>2. Prepare Quarterly and Annual Sports Reports</w:t>
      </w:r>
    </w:p>
    <w:p>
      <w:pPr>
        <w:pStyle w:val="ListBullet"/>
        <w:jc w:val="both"/>
      </w:pPr>
      <w:r>
        <w:rPr>
          <w:rFonts w:ascii="Cambria" w:hAnsi="Cambria"/>
          <w:sz w:val="22"/>
        </w:rPr>
        <w:t>The Associate Dean compiles all data and prepares quarterly and annual reports on sports activities and performance outcomes.</w:t>
      </w:r>
    </w:p>
    <w:p>
      <w:pPr>
        <w:pStyle w:val="ListBullet"/>
        <w:jc w:val="both"/>
      </w:pPr>
      <w:r>
        <w:rPr>
          <w:rFonts w:ascii="Cambria" w:hAnsi="Cambria"/>
          <w:sz w:val="22"/>
        </w:rPr>
        <w:t>These reports are submitted to the Internal Quality Assurance Cell (IQAC) and Statutory Committees such as the Sports Council for evaluation and policy review.</w:t>
      </w:r>
    </w:p>
    <w:p>
      <w:pPr>
        <w:pStyle w:val="ListBullet"/>
        <w:jc w:val="both"/>
      </w:pPr>
      <w:r>
        <w:rPr>
          <w:rFonts w:ascii="Cambria" w:hAnsi="Cambria"/>
          <w:sz w:val="22"/>
        </w:rPr>
        <w:t>Each report typically includes:</w:t>
      </w:r>
    </w:p>
    <w:p>
      <w:pPr>
        <w:pStyle w:val="ListBullet2"/>
        <w:jc w:val="both"/>
      </w:pPr>
      <w:r>
        <w:rPr>
          <w:rFonts w:ascii="Cambria" w:hAnsi="Cambria"/>
          <w:sz w:val="22"/>
        </w:rPr>
        <w:t>Number of events conducted and students participated.</w:t>
      </w:r>
    </w:p>
    <w:p>
      <w:pPr>
        <w:pStyle w:val="ListBullet2"/>
        <w:jc w:val="both"/>
      </w:pPr>
      <w:r>
        <w:rPr>
          <w:rFonts w:ascii="Cambria" w:hAnsi="Cambria"/>
          <w:sz w:val="22"/>
        </w:rPr>
        <w:t>List of achievements and awards.</w:t>
      </w:r>
    </w:p>
    <w:p>
      <w:pPr>
        <w:pStyle w:val="ListBullet2"/>
        <w:jc w:val="both"/>
      </w:pPr>
      <w:r>
        <w:rPr>
          <w:rFonts w:ascii="Cambria" w:hAnsi="Cambria"/>
          <w:sz w:val="22"/>
        </w:rPr>
        <w:t>Facility usage data and maintenance actions.</w:t>
      </w:r>
    </w:p>
    <w:p>
      <w:pPr>
        <w:pStyle w:val="ListBullet2"/>
        <w:jc w:val="both"/>
      </w:pPr>
      <w:r>
        <w:rPr>
          <w:rFonts w:ascii="Cambria" w:hAnsi="Cambria"/>
          <w:sz w:val="22"/>
        </w:rPr>
        <w:t>New initiatives or improvements planned.</w:t>
      </w:r>
    </w:p>
    <w:p>
      <w:pPr>
        <w:pStyle w:val="ListBullet2"/>
        <w:jc w:val="both"/>
      </w:pPr>
      <w:r>
        <w:rPr>
          <w:rFonts w:ascii="Cambria" w:hAnsi="Cambria"/>
          <w:sz w:val="22"/>
        </w:rPr>
        <w:t>Challenges faced and recommendations for enhancement.</w:t>
      </w:r>
    </w:p>
    <w:p>
      <w:pPr>
        <w:pStyle w:val="ListBullet"/>
        <w:jc w:val="both"/>
      </w:pPr>
      <w:r>
        <w:rPr>
          <w:rFonts w:ascii="Cambria" w:hAnsi="Cambria"/>
          <w:sz w:val="22"/>
        </w:rPr>
        <w:t>These reports enable data-driven decisions, ensuring that the institution continuously improves its sports infrastructure and programs.</w:t>
      </w:r>
    </w:p>
    <w:p>
      <w:pPr>
        <w:keepNext/>
        <w:spacing w:before="200" w:after="120"/>
      </w:pPr>
      <w:r>
        <w:rPr>
          <w:rFonts w:ascii="Cambria" w:hAnsi="Cambria"/>
          <w:b/>
          <w:color w:val="1F3A5F"/>
          <w:sz w:val="26"/>
        </w:rPr>
        <w:t>3. Adopt the Policy → Action → Evidence → Outcome (PAEO) Model</w:t>
      </w:r>
    </w:p>
    <w:p>
      <w:pPr>
        <w:pStyle w:val="ListBullet"/>
        <w:jc w:val="both"/>
      </w:pPr>
      <w:r>
        <w:rPr>
          <w:rFonts w:ascii="Cambria" w:hAnsi="Cambria"/>
          <w:sz w:val="22"/>
        </w:rPr>
        <w:t>The PAEO Framework ensures systematic, transparent, and outcome-oriented documentation:</w:t>
      </w:r>
    </w:p>
    <w:p>
      <w:pPr>
        <w:spacing w:after="120"/>
        <w:ind w:left="1077"/>
        <w:jc w:val="both"/>
      </w:pPr>
      <w:r>
        <w:rPr>
          <w:rFonts w:ascii="Cambria" w:hAnsi="Cambria"/>
          <w:b w:val="0"/>
          <w:i w:val="0"/>
          <w:sz w:val="22"/>
        </w:rPr>
        <w:t xml:space="preserve">Policy: The approved </w:t>
      </w:r>
      <w:r>
        <w:rPr>
          <w:rFonts w:ascii="Cambria" w:hAnsi="Cambria"/>
          <w:b w:val="0"/>
          <w:i/>
          <w:sz w:val="22"/>
        </w:rPr>
        <w:t>Institutional Sports and Physical Education Policy</w:t>
      </w:r>
      <w:r>
        <w:rPr>
          <w:rFonts w:ascii="Cambria" w:hAnsi="Cambria"/>
          <w:b w:val="0"/>
          <w:i w:val="0"/>
          <w:sz w:val="22"/>
        </w:rPr>
        <w:t xml:space="preserve"> defines the rules, goals, and resource allocation for sports activities.</w:t>
      </w:r>
    </w:p>
    <w:p>
      <w:pPr>
        <w:spacing w:after="120"/>
        <w:ind w:left="1077"/>
        <w:jc w:val="both"/>
      </w:pPr>
      <w:r>
        <w:rPr>
          <w:rFonts w:ascii="Cambria" w:hAnsi="Cambria"/>
          <w:b w:val="0"/>
          <w:i w:val="0"/>
          <w:sz w:val="22"/>
        </w:rPr>
        <w:t>Action: The actual implementation — organizing tournaments, wellness programs, and fitness campaigns.</w:t>
      </w:r>
    </w:p>
    <w:p>
      <w:pPr>
        <w:spacing w:after="120"/>
        <w:ind w:left="1077"/>
        <w:jc w:val="both"/>
      </w:pPr>
      <w:r>
        <w:rPr>
          <w:rFonts w:ascii="Cambria" w:hAnsi="Cambria"/>
          <w:b w:val="0"/>
          <w:i w:val="0"/>
          <w:sz w:val="22"/>
        </w:rPr>
        <w:t>Evidence: Proof that the activities were conducted (attendance, reports, photos, financial utilization statements).</w:t>
      </w:r>
    </w:p>
    <w:p>
      <w:pPr>
        <w:spacing w:after="120"/>
        <w:ind w:left="1077"/>
        <w:jc w:val="both"/>
      </w:pPr>
      <w:r>
        <w:rPr>
          <w:rFonts w:ascii="Cambria" w:hAnsi="Cambria"/>
          <w:b w:val="0"/>
          <w:i w:val="0"/>
          <w:sz w:val="22"/>
        </w:rPr>
        <w:t>Outcome: The measurable impact such as increased student participation, fitness improvement, or recognition in competitions.</w:t>
      </w:r>
    </w:p>
    <w:p>
      <w:pPr>
        <w:pStyle w:val="ListBullet"/>
        <w:jc w:val="both"/>
      </w:pPr>
      <w:r>
        <w:rPr>
          <w:rFonts w:ascii="Cambria" w:hAnsi="Cambria"/>
          <w:sz w:val="22"/>
        </w:rPr>
        <w:t>This model ensures that each sports activity can be traced from its policy origin to tangible student outcomes, demonstrating institutional effectiveness and accountability.</w:t>
      </w:r>
    </w:p>
    <w:p>
      <w:pPr>
        <w:keepNext/>
        <w:spacing w:before="200" w:after="120"/>
      </w:pPr>
      <w:r>
        <w:rPr>
          <w:rFonts w:ascii="Cambria" w:hAnsi="Cambria"/>
          <w:b/>
          <w:color w:val="1F3A5F"/>
          <w:sz w:val="26"/>
        </w:rPr>
        <w:t>4. Facilitate Internal and External Audits</w:t>
      </w:r>
    </w:p>
    <w:p>
      <w:pPr>
        <w:pStyle w:val="ListBullet"/>
        <w:jc w:val="both"/>
      </w:pPr>
      <w:r>
        <w:rPr>
          <w:rFonts w:ascii="Cambria" w:hAnsi="Cambria"/>
          <w:sz w:val="22"/>
        </w:rPr>
        <w:t>The Associate Dean ensures that sports facilities and activities undergo regular internal and external audits for transparency and continuous improvement.</w:t>
      </w:r>
    </w:p>
    <w:p>
      <w:pPr>
        <w:pStyle w:val="ListBullet"/>
        <w:jc w:val="both"/>
      </w:pPr>
      <w:r>
        <w:rPr>
          <w:rFonts w:ascii="Cambria" w:hAnsi="Cambria"/>
          <w:sz w:val="22"/>
        </w:rPr>
        <w:t>These audits verify:</w:t>
      </w:r>
    </w:p>
    <w:p>
      <w:pPr>
        <w:pStyle w:val="ListBullet2"/>
        <w:jc w:val="both"/>
      </w:pPr>
      <w:r>
        <w:rPr>
          <w:rFonts w:ascii="Cambria" w:hAnsi="Cambria"/>
          <w:sz w:val="22"/>
        </w:rPr>
        <w:t>Safety standards and equipment maintenance.</w:t>
      </w:r>
    </w:p>
    <w:p>
      <w:pPr>
        <w:pStyle w:val="ListBullet2"/>
        <w:jc w:val="both"/>
      </w:pPr>
      <w:r>
        <w:rPr>
          <w:rFonts w:ascii="Cambria" w:hAnsi="Cambria"/>
          <w:sz w:val="22"/>
        </w:rPr>
        <w:t>Financial transparency in sports budgets and purchases.</w:t>
      </w:r>
    </w:p>
    <w:p>
      <w:pPr>
        <w:pStyle w:val="ListBullet2"/>
        <w:jc w:val="both"/>
      </w:pPr>
      <w:r>
        <w:rPr>
          <w:rFonts w:ascii="Cambria" w:hAnsi="Cambria"/>
          <w:sz w:val="22"/>
        </w:rPr>
        <w:t>Proper documentation of events, participation, and outcomes.</w:t>
      </w:r>
    </w:p>
    <w:p>
      <w:pPr>
        <w:pStyle w:val="ListBullet2"/>
        <w:jc w:val="both"/>
      </w:pPr>
      <w:r>
        <w:rPr>
          <w:rFonts w:ascii="Cambria" w:hAnsi="Cambria"/>
          <w:sz w:val="22"/>
        </w:rPr>
        <w:t>Compliance with UGC, AICTE, and institutional regulations.</w:t>
      </w:r>
    </w:p>
    <w:p>
      <w:pPr>
        <w:pStyle w:val="ListBullet"/>
        <w:jc w:val="both"/>
      </w:pPr>
      <w:r>
        <w:rPr>
          <w:rFonts w:ascii="Cambria" w:hAnsi="Cambria"/>
          <w:sz w:val="22"/>
        </w:rPr>
        <w:t>Audit findings are reviewed by the IQAC and governing committees to identify areas for improvement.</w:t>
      </w:r>
    </w:p>
    <w:p>
      <w:pPr>
        <w:pStyle w:val="ListBullet"/>
        <w:jc w:val="both"/>
      </w:pPr>
      <w:r>
        <w:rPr>
          <w:rFonts w:ascii="Cambria" w:hAnsi="Cambria"/>
          <w:sz w:val="22"/>
        </w:rPr>
        <w:t>This process builds institutional credibility and demonstrates that sports programs are not just conducted but also evaluated systematically.</w:t>
      </w:r>
    </w:p>
    <w:p>
      <w:pPr>
        <w:keepNext/>
        <w:spacing w:before="200" w:after="120"/>
      </w:pPr>
      <w:r>
        <w:rPr>
          <w:rFonts w:ascii="Cambria" w:hAnsi="Cambria"/>
          <w:b/>
          <w:color w:val="1F3A5F"/>
          <w:sz w:val="26"/>
        </w:rPr>
        <w:t>5. Contribution to Accreditation Frameworks</w:t>
      </w:r>
    </w:p>
    <w:p>
      <w:pPr>
        <w:pStyle w:val="ListBullet"/>
        <w:jc w:val="both"/>
      </w:pPr>
      <w:r>
        <w:rPr>
          <w:rFonts w:ascii="Cambria" w:hAnsi="Cambria"/>
          <w:sz w:val="22"/>
        </w:rPr>
        <w:t>The documentation maintained by the Associate Dean directly supports institutional accreditation and ranking evidence:</w:t>
      </w:r>
    </w:p>
    <w:p>
      <w:pPr>
        <w:pStyle w:val="ListBullet2"/>
        <w:jc w:val="both"/>
      </w:pPr>
      <w:r>
        <w:rPr>
          <w:rFonts w:ascii="Cambria" w:hAnsi="Cambria"/>
          <w:sz w:val="22"/>
        </w:rPr>
        <w:t>NAAC Criterion 5 – Student Support and Progression:</w:t>
      </w:r>
    </w:p>
    <w:p>
      <w:pPr>
        <w:pStyle w:val="ListBullet2"/>
        <w:ind w:left="1077"/>
        <w:jc w:val="both"/>
      </w:pPr>
      <w:r>
        <w:rPr>
          <w:rFonts w:ascii="Cambria" w:hAnsi="Cambria"/>
          <w:sz w:val="22"/>
        </w:rPr>
        <w:t>Evidence of physical education, health promotion, and participation in sports contributes to overall student development and progression metrics.</w:t>
      </w:r>
    </w:p>
    <w:p>
      <w:pPr>
        <w:pStyle w:val="ListBullet2"/>
        <w:jc w:val="both"/>
      </w:pPr>
      <w:r>
        <w:rPr>
          <w:rFonts w:ascii="Cambria" w:hAnsi="Cambria"/>
          <w:sz w:val="22"/>
        </w:rPr>
        <w:t>NBA Criteria 8–10 – Student Support Systems &amp; Continuous Improvement:</w:t>
      </w:r>
    </w:p>
    <w:p>
      <w:pPr>
        <w:pStyle w:val="ListBullet2"/>
        <w:ind w:left="1077"/>
        <w:jc w:val="both"/>
      </w:pPr>
      <w:r>
        <w:rPr>
          <w:rFonts w:ascii="Cambria" w:hAnsi="Cambria"/>
          <w:sz w:val="22"/>
        </w:rPr>
        <w:t>Demonstrates how sports and wellness programs enhance student outcomes and overall campus life.</w:t>
      </w:r>
    </w:p>
    <w:p>
      <w:pPr>
        <w:pStyle w:val="ListBullet2"/>
        <w:jc w:val="both"/>
      </w:pPr>
      <w:r>
        <w:rPr>
          <w:rFonts w:ascii="Cambria" w:hAnsi="Cambria"/>
          <w:sz w:val="22"/>
        </w:rPr>
        <w:t>QS I-GAUGE Parameters – TL, GS, and SL:</w:t>
      </w:r>
    </w:p>
    <w:p>
      <w:pPr>
        <w:pStyle w:val="ListBullet2"/>
        <w:ind w:left="1077"/>
        <w:jc w:val="both"/>
      </w:pPr>
      <w:r>
        <w:rPr>
          <w:rFonts w:ascii="Cambria" w:hAnsi="Cambria"/>
          <w:sz w:val="22"/>
        </w:rPr>
        <w:t>Reflects how the institution integrates sports with teaching-learning (holistic education), good governance (structured policy execution), and social responsibility (community fitness and inclusivity programs).</w:t>
      </w:r>
    </w:p>
    <w:p>
      <w:pPr>
        <w:jc w:val="both"/>
      </w:pPr>
      <w:r>
        <w:rPr>
          <w:rFonts w:ascii="Cambria" w:hAnsi="Cambria"/>
          <w:b w:val="0"/>
          <w:i w:val="0"/>
          <w:sz w:val="22"/>
        </w:rPr>
        <w:t>Proper documentation in these areas enhances institutional reputation and strengthens accreditation performance.</w:t>
      </w:r>
    </w:p>
    <w:p>
      <w:pPr>
        <w:keepNext/>
        <w:spacing w:before="200" w:after="120"/>
      </w:pPr>
      <w:r>
        <w:rPr>
          <w:rFonts w:ascii="Cambria" w:hAnsi="Cambria"/>
          <w:b/>
          <w:color w:val="1F3A5F"/>
          <w:sz w:val="26"/>
        </w:rPr>
        <w:t>6. Overall Purpose and Institutional Impact</w:t>
      </w:r>
    </w:p>
    <w:p>
      <w:pPr>
        <w:pStyle w:val="ListBullet"/>
        <w:jc w:val="both"/>
      </w:pPr>
      <w:r>
        <w:rPr>
          <w:rFonts w:ascii="Cambria" w:hAnsi="Cambria"/>
          <w:sz w:val="22"/>
        </w:rPr>
        <w:t>This framework ensures that sports management in the institution is not limited to event organization but extends to structured governance, monitoring, and continuous improvement.</w:t>
      </w:r>
    </w:p>
    <w:p>
      <w:pPr>
        <w:pStyle w:val="ListBullet"/>
        <w:jc w:val="both"/>
      </w:pPr>
      <w:r>
        <w:rPr>
          <w:rFonts w:ascii="Cambria" w:hAnsi="Cambria"/>
          <w:sz w:val="22"/>
        </w:rPr>
        <w:t>It helps the institution:</w:t>
      </w:r>
    </w:p>
    <w:p>
      <w:pPr>
        <w:pStyle w:val="ListBullet2"/>
        <w:jc w:val="both"/>
      </w:pPr>
      <w:r>
        <w:rPr>
          <w:rFonts w:ascii="Cambria" w:hAnsi="Cambria"/>
          <w:sz w:val="22"/>
        </w:rPr>
        <w:t>Promote student well-being and holistic education.</w:t>
      </w:r>
    </w:p>
    <w:p>
      <w:pPr>
        <w:pStyle w:val="ListBullet2"/>
        <w:jc w:val="both"/>
      </w:pPr>
      <w:r>
        <w:rPr>
          <w:rFonts w:ascii="Cambria" w:hAnsi="Cambria"/>
          <w:sz w:val="22"/>
        </w:rPr>
        <w:t>Demonstrate compliance and good governance through evidence-based operations.</w:t>
      </w:r>
    </w:p>
    <w:p>
      <w:pPr>
        <w:pStyle w:val="ListBullet2"/>
        <w:jc w:val="both"/>
      </w:pPr>
      <w:r>
        <w:rPr>
          <w:rFonts w:ascii="Cambria" w:hAnsi="Cambria"/>
          <w:sz w:val="22"/>
        </w:rPr>
        <w:t>Showcase excellence in sports and physical education during audits and accreditation visits.</w:t>
      </w:r>
    </w:p>
    <w:p>
      <w:pPr>
        <w:pStyle w:val="ListBullet2"/>
        <w:jc w:val="both"/>
      </w:pPr>
      <w:r>
        <w:rPr>
          <w:rFonts w:ascii="Cambria" w:hAnsi="Cambria"/>
          <w:sz w:val="22"/>
        </w:rPr>
        <w:t>Build a data-driven culture where every sports achievement is recorded, celebrated, and used to drive improvement.</w:t>
      </w:r>
    </w:p>
    <w:p>
      <w:pPr>
        <w:jc w:val="both"/>
      </w:pPr>
      <w:r>
        <w:rPr>
          <w:rFonts w:ascii="Cambria" w:hAnsi="Cambria"/>
          <w:b w:val="0"/>
          <w:i w:val="0"/>
          <w:sz w:val="22"/>
        </w:rPr>
        <w:t>In summary, this framework empowers the Associate Dean – Sports Affairs to transform the sports ecosystem into a transparent, auditable, and outcome-oriented domain that supports both student growth and institutional excellence in alignment with national and global quality benchmarks.</w:t>
      </w:r>
    </w:p>
    <w:p>
      <w:r>
        <w:br w:type="page"/>
      </w:r>
    </w:p>
    <w:p>
      <w:pPr>
        <w:keepNext/>
        <w:spacing w:before="280" w:after="160"/>
      </w:pPr>
      <w:r>
        <w:rPr>
          <w:rFonts w:ascii="Cambria" w:hAnsi="Cambria"/>
          <w:b/>
          <w:color w:val="1F3A5F"/>
          <w:sz w:val="36"/>
        </w:rPr>
        <w:t>6. Associate Dean – Transport Affairs</w:t>
      </w:r>
    </w:p>
    <w:p>
      <w:pPr>
        <w:jc w:val="both"/>
      </w:pPr>
      <w:r>
        <w:rPr>
          <w:rFonts w:ascii="Cambria" w:hAnsi="Cambria"/>
          <w:b w:val="0"/>
          <w:i w:val="0"/>
          <w:sz w:val="22"/>
        </w:rPr>
        <w:t>The Associate Dean – Transport Affairs is a senior administrative officer responsible for managing and overseeing all aspects of the institution’s transportation system, ensuring safe, efficient, and sustainable mobility for students, faculty, and staff. Working under the supervision of the Dean – Student Affairs (DoSA), this role involves the comprehensive planning, coordination, and monitoring of institutional transport services, including bus operations, route scheduling, vehicle maintenance, and safety compliance.</w:t>
      </w:r>
    </w:p>
    <w:p>
      <w:pPr>
        <w:jc w:val="both"/>
      </w:pPr>
      <w:r>
        <w:rPr>
          <w:rFonts w:ascii="Cambria" w:hAnsi="Cambria"/>
          <w:b w:val="0"/>
          <w:i w:val="0"/>
          <w:sz w:val="22"/>
        </w:rPr>
        <w:t>The Associate Dean ensures that transportation facilities operate with punctuality, reliability, and affordability, while adhering to government transport regulations, institutional policies, and environmental standards. The position also emphasizes eco-friendly initiatives, promoting sustainable practices such as route optimization, carpooling, and the adoption of electric or low-emission vehicles in alignment with the Sustainable Development Goals (SDG-11: Sustainable Cities and Communities, and SDG-13: Climate Action).</w:t>
      </w:r>
    </w:p>
    <w:p>
      <w:pPr>
        <w:jc w:val="both"/>
      </w:pPr>
      <w:r>
        <w:rPr>
          <w:rFonts w:ascii="Cambria" w:hAnsi="Cambria"/>
          <w:b w:val="0"/>
          <w:i w:val="0"/>
          <w:sz w:val="22"/>
        </w:rPr>
        <w:t>Additionally, the Associate Dean supervises driver conduct, safety training programs, and periodic vehicle audits to maintain a secure commuting environment. This includes managing emergency response mechanisms, fuel efficiency monitoring, and collaboration with external transport agencies. The role also involves preparing and maintaining detailed records of transport operations, vehicle documentation, and audit reports to ensure institutional accountability and readiness for NAAC, NBA, and QS I-GAUGE accreditation reviews, particularly under Criterion 4 (Infrastructure and Learning Resources).</w:t>
      </w:r>
    </w:p>
    <w:p>
      <w:pPr>
        <w:jc w:val="both"/>
      </w:pPr>
      <w:r>
        <w:rPr>
          <w:rFonts w:ascii="Cambria" w:hAnsi="Cambria"/>
          <w:b w:val="0"/>
          <w:i w:val="0"/>
          <w:sz w:val="22"/>
        </w:rPr>
        <w:t>By integrating safety, sustainability, and operational efficiency, the Associate Dean – Transport Affairs plays a crucial role in facilitating smooth daily commutes and contributing to the overall well-being and satisfaction of the campus community.</w:t>
      </w:r>
    </w:p>
    <w:p>
      <w:pPr>
        <w:keepNext/>
        <w:spacing w:before="200" w:after="120"/>
      </w:pPr>
      <w:r>
        <w:rPr>
          <w:rFonts w:ascii="Cambria" w:hAnsi="Cambria"/>
          <w:b/>
          <w:color w:val="1F3A5F"/>
          <w:sz w:val="30"/>
        </w:rPr>
        <w:t>1. Designation and Overview</w:t>
      </w:r>
    </w:p>
    <w:p>
      <w:pPr>
        <w:jc w:val="both"/>
      </w:pPr>
      <w:r>
        <w:rPr>
          <w:rFonts w:ascii="Cambria" w:hAnsi="Cambria"/>
          <w:b w:val="0"/>
          <w:i w:val="0"/>
          <w:sz w:val="22"/>
        </w:rPr>
        <w:t>The Associate Dean – Transport Affairs is a senior academic-administrative position responsible for overseeing all aspects of the institution’s transportation system, ensuring safe, reliable, cost-effective, and environmentally sustainable commuting services for students, faculty, and staff. The role ensures that institutional transport operations are well-coordinated, compliant with regulatory standards, and aligned with the overall student welfare and sustainability goals of the institution.</w:t>
      </w:r>
    </w:p>
    <w:p>
      <w:pPr>
        <w:jc w:val="both"/>
      </w:pPr>
      <w:r>
        <w:rPr>
          <w:rFonts w:ascii="Cambria" w:hAnsi="Cambria"/>
          <w:b/>
          <w:i w:val="0"/>
          <w:sz w:val="22"/>
        </w:rPr>
        <w:t>Purpose:</w:t>
      </w:r>
    </w:p>
    <w:p>
      <w:pPr>
        <w:pStyle w:val="ListBullet"/>
        <w:jc w:val="both"/>
      </w:pPr>
      <w:r>
        <w:rPr>
          <w:rFonts w:ascii="Cambria" w:hAnsi="Cambria"/>
          <w:sz w:val="22"/>
        </w:rPr>
        <w:t>To ensure the efficient management of institutional transport services, including buses, shuttles, and hired vehicles.</w:t>
      </w:r>
    </w:p>
    <w:p>
      <w:pPr>
        <w:pStyle w:val="ListBullet"/>
        <w:jc w:val="both"/>
      </w:pPr>
      <w:r>
        <w:rPr>
          <w:rFonts w:ascii="Cambria" w:hAnsi="Cambria"/>
          <w:sz w:val="22"/>
        </w:rPr>
        <w:t>To maintain a safe, punctual, and environmentally responsible transportation system.</w:t>
      </w:r>
    </w:p>
    <w:p>
      <w:pPr>
        <w:pStyle w:val="ListBullet"/>
        <w:jc w:val="both"/>
      </w:pPr>
      <w:r>
        <w:rPr>
          <w:rFonts w:ascii="Cambria" w:hAnsi="Cambria"/>
          <w:sz w:val="22"/>
        </w:rPr>
        <w:t>To align transport operations with institutional objectives, focusing on accessibility, safety, and sustainability.</w:t>
      </w:r>
    </w:p>
    <w:p>
      <w:pPr>
        <w:pStyle w:val="ListBullet"/>
        <w:jc w:val="both"/>
      </w:pPr>
      <w:r>
        <w:rPr>
          <w:rFonts w:ascii="Cambria" w:hAnsi="Cambria"/>
          <w:sz w:val="22"/>
        </w:rPr>
        <w:t>To comply with NAAC, NBA, and QS I-GAUGE standards and contribute to the institution’s Sustainable Campus Initiatives (SDG-11: Sustainable Cities and Communities &amp; SDG-13: Climate Action).</w:t>
      </w:r>
    </w:p>
    <w:p>
      <w:pPr>
        <w:keepNext/>
        <w:spacing w:before="200" w:after="120"/>
      </w:pPr>
      <w:r>
        <w:rPr>
          <w:rFonts w:ascii="Cambria" w:hAnsi="Cambria"/>
          <w:b/>
          <w:color w:val="1F3A5F"/>
          <w:sz w:val="30"/>
        </w:rPr>
        <w:t>2. Core Functions</w:t>
      </w:r>
    </w:p>
    <w:p>
      <w:pPr>
        <w:pStyle w:val="ListBullet"/>
        <w:jc w:val="both"/>
      </w:pPr>
      <w:r>
        <w:rPr>
          <w:rFonts w:ascii="Cambria" w:hAnsi="Cambria"/>
          <w:sz w:val="22"/>
        </w:rPr>
        <w:t>Oversee the planning, scheduling, and operation of all transport routes and services.</w:t>
      </w:r>
    </w:p>
    <w:p>
      <w:pPr>
        <w:pStyle w:val="ListBullet"/>
        <w:jc w:val="both"/>
      </w:pPr>
      <w:r>
        <w:rPr>
          <w:rFonts w:ascii="Cambria" w:hAnsi="Cambria"/>
          <w:sz w:val="22"/>
        </w:rPr>
        <w:t>Ensure the safety, discipline, and welfare of students and staff during transit.</w:t>
      </w:r>
    </w:p>
    <w:p>
      <w:pPr>
        <w:pStyle w:val="ListBullet"/>
        <w:jc w:val="both"/>
      </w:pPr>
      <w:r>
        <w:rPr>
          <w:rFonts w:ascii="Cambria" w:hAnsi="Cambria"/>
          <w:sz w:val="22"/>
        </w:rPr>
        <w:t>Manage vehicle maintenance, fuel usage, and logistics through efficient systems.</w:t>
      </w:r>
    </w:p>
    <w:p>
      <w:pPr>
        <w:pStyle w:val="ListBullet"/>
        <w:jc w:val="both"/>
      </w:pPr>
      <w:r>
        <w:rPr>
          <w:rFonts w:ascii="Cambria" w:hAnsi="Cambria"/>
          <w:sz w:val="22"/>
        </w:rPr>
        <w:t>Monitor compliance with transportation laws, driver credentials, and vehicle documentation.</w:t>
      </w:r>
    </w:p>
    <w:p>
      <w:pPr>
        <w:pStyle w:val="ListBullet"/>
        <w:jc w:val="both"/>
      </w:pPr>
      <w:r>
        <w:rPr>
          <w:rFonts w:ascii="Cambria" w:hAnsi="Cambria"/>
          <w:sz w:val="22"/>
        </w:rPr>
        <w:t>Coordinate with administration, estate, and accounts departments for budgeting and procurement.</w:t>
      </w:r>
    </w:p>
    <w:p>
      <w:pPr>
        <w:pStyle w:val="ListBullet"/>
        <w:jc w:val="both"/>
      </w:pPr>
      <w:r>
        <w:rPr>
          <w:rFonts w:ascii="Cambria" w:hAnsi="Cambria"/>
          <w:sz w:val="22"/>
        </w:rPr>
        <w:t>Integrate transport operations into the Institutional Quality Assurance and Sustainability Framework.</w:t>
      </w:r>
    </w:p>
    <w:p>
      <w:pPr>
        <w:keepNext/>
        <w:spacing w:before="200" w:after="120"/>
      </w:pPr>
      <w:r>
        <w:rPr>
          <w:rFonts w:ascii="Cambria" w:hAnsi="Cambria"/>
          <w:b/>
          <w:color w:val="1F3A5F"/>
          <w:sz w:val="30"/>
        </w:rPr>
        <w:t>3. Key Duties and Responsibilities</w:t>
      </w:r>
    </w:p>
    <w:p>
      <w:pPr>
        <w:keepNext/>
        <w:spacing w:before="200" w:after="120"/>
      </w:pPr>
      <w:r>
        <w:rPr>
          <w:rFonts w:ascii="Cambria" w:hAnsi="Cambria"/>
          <w:b/>
          <w:color w:val="1F3A5F"/>
          <w:sz w:val="26"/>
        </w:rPr>
        <w:t>A. Transport Administration and Operations</w:t>
      </w:r>
    </w:p>
    <w:p>
      <w:pPr>
        <w:pStyle w:val="ListBullet"/>
        <w:jc w:val="both"/>
      </w:pPr>
      <w:r>
        <w:rPr>
          <w:rFonts w:ascii="Cambria" w:hAnsi="Cambria"/>
          <w:sz w:val="22"/>
        </w:rPr>
        <w:t>Plan and monitor daily transport operations, ensuring punctual and reliable services for all academic and non-academic purposes.</w:t>
      </w:r>
    </w:p>
    <w:p>
      <w:pPr>
        <w:pStyle w:val="ListBullet"/>
        <w:jc w:val="both"/>
      </w:pPr>
      <w:r>
        <w:rPr>
          <w:rFonts w:ascii="Cambria" w:hAnsi="Cambria"/>
          <w:sz w:val="22"/>
        </w:rPr>
        <w:t>Maintain an updated route map, bus schedule, and capacity utilization chart.</w:t>
      </w:r>
    </w:p>
    <w:p>
      <w:pPr>
        <w:pStyle w:val="ListBullet"/>
        <w:jc w:val="both"/>
      </w:pPr>
      <w:r>
        <w:rPr>
          <w:rFonts w:ascii="Cambria" w:hAnsi="Cambria"/>
          <w:sz w:val="22"/>
        </w:rPr>
        <w:t>Allocate transport facilities to students and staff based on enrollment strength, routes, and demand analysis.</w:t>
      </w:r>
    </w:p>
    <w:p>
      <w:pPr>
        <w:pStyle w:val="ListBullet"/>
        <w:jc w:val="both"/>
      </w:pPr>
      <w:r>
        <w:rPr>
          <w:rFonts w:ascii="Cambria" w:hAnsi="Cambria"/>
          <w:sz w:val="22"/>
        </w:rPr>
        <w:t>Coordinate with the Transport Officer / Fleet Manager for daily supervision, driver scheduling, and emergency response readiness.</w:t>
      </w:r>
    </w:p>
    <w:p>
      <w:pPr>
        <w:pStyle w:val="ListBullet"/>
        <w:jc w:val="both"/>
      </w:pPr>
      <w:r>
        <w:rPr>
          <w:rFonts w:ascii="Cambria" w:hAnsi="Cambria"/>
          <w:sz w:val="22"/>
        </w:rPr>
        <w:t>Oversee the procurement and maintenance of vehicles, ensuring compliance with RTO and environmental standards.</w:t>
      </w:r>
    </w:p>
    <w:p>
      <w:pPr>
        <w:pStyle w:val="ListBullet"/>
        <w:jc w:val="both"/>
      </w:pPr>
      <w:r>
        <w:rPr>
          <w:rFonts w:ascii="Cambria" w:hAnsi="Cambria"/>
          <w:sz w:val="22"/>
        </w:rPr>
        <w:t>Maintain records for vehicle fitness certificates, insurance, pollution control, and driver licenses.</w:t>
      </w:r>
    </w:p>
    <w:p>
      <w:pPr>
        <w:pStyle w:val="ListBullet"/>
        <w:jc w:val="both"/>
      </w:pPr>
      <w:r>
        <w:rPr>
          <w:rFonts w:ascii="Cambria" w:hAnsi="Cambria"/>
          <w:sz w:val="22"/>
        </w:rPr>
        <w:t>Monitor fuel consumption, maintenance costs, and vendor contracts to ensure transparency and cost-effectiveness.</w:t>
      </w:r>
    </w:p>
    <w:p>
      <w:pPr>
        <w:keepNext/>
        <w:spacing w:before="200" w:after="120"/>
      </w:pPr>
      <w:r>
        <w:rPr>
          <w:rFonts w:ascii="Cambria" w:hAnsi="Cambria"/>
          <w:b/>
          <w:color w:val="1F3A5F"/>
          <w:sz w:val="26"/>
        </w:rPr>
        <w:t>B. Safety, Security, and Welfare</w:t>
      </w:r>
    </w:p>
    <w:p>
      <w:pPr>
        <w:pStyle w:val="ListBullet"/>
        <w:jc w:val="both"/>
      </w:pPr>
      <w:r>
        <w:rPr>
          <w:rFonts w:ascii="Cambria" w:hAnsi="Cambria"/>
          <w:sz w:val="22"/>
        </w:rPr>
        <w:t>Ensure strict adherence to transport safety protocols, including seatbelt use, speed control, and student conduct during travel.</w:t>
      </w:r>
    </w:p>
    <w:p>
      <w:pPr>
        <w:pStyle w:val="ListBullet"/>
        <w:jc w:val="both"/>
      </w:pPr>
      <w:r>
        <w:rPr>
          <w:rFonts w:ascii="Cambria" w:hAnsi="Cambria"/>
          <w:sz w:val="22"/>
        </w:rPr>
        <w:t>Conduct regular vehicle safety inspections in coordination with external authorities or certified agencies.</w:t>
      </w:r>
    </w:p>
    <w:p>
      <w:pPr>
        <w:pStyle w:val="ListBullet"/>
        <w:jc w:val="both"/>
      </w:pPr>
      <w:r>
        <w:rPr>
          <w:rFonts w:ascii="Cambria" w:hAnsi="Cambria"/>
          <w:sz w:val="22"/>
        </w:rPr>
        <w:t>Implement GPS tracking and CCTV monitoring systems for real-time surveillance of institutional vehicles.</w:t>
      </w:r>
    </w:p>
    <w:p>
      <w:pPr>
        <w:pStyle w:val="ListBullet"/>
        <w:jc w:val="both"/>
      </w:pPr>
      <w:r>
        <w:rPr>
          <w:rFonts w:ascii="Cambria" w:hAnsi="Cambria"/>
          <w:sz w:val="22"/>
        </w:rPr>
        <w:t>Establish an Emergency Response Plan for breakdowns, accidents, or unforeseen circumstances.</w:t>
      </w:r>
    </w:p>
    <w:p>
      <w:pPr>
        <w:pStyle w:val="ListBullet"/>
        <w:jc w:val="both"/>
      </w:pPr>
      <w:r>
        <w:rPr>
          <w:rFonts w:ascii="Cambria" w:hAnsi="Cambria"/>
          <w:sz w:val="22"/>
        </w:rPr>
        <w:t>Conduct awareness sessions on road safety, sustainable commuting, and emergency preparedness.</w:t>
      </w:r>
    </w:p>
    <w:p>
      <w:pPr>
        <w:pStyle w:val="ListBullet"/>
        <w:jc w:val="both"/>
      </w:pPr>
      <w:r>
        <w:rPr>
          <w:rFonts w:ascii="Cambria" w:hAnsi="Cambria"/>
          <w:sz w:val="22"/>
        </w:rPr>
        <w:t>Provide training to drivers and conductors on first aid, safety protocols, and ethical behavior.</w:t>
      </w:r>
    </w:p>
    <w:p>
      <w:pPr>
        <w:keepNext/>
        <w:spacing w:before="200" w:after="120"/>
      </w:pPr>
      <w:r>
        <w:rPr>
          <w:rFonts w:ascii="Cambria" w:hAnsi="Cambria"/>
          <w:b/>
          <w:color w:val="1F3A5F"/>
          <w:sz w:val="26"/>
        </w:rPr>
        <w:t>C. Coordination, Sustainability, and Compliance</w:t>
      </w:r>
    </w:p>
    <w:p>
      <w:pPr>
        <w:pStyle w:val="ListBullet"/>
        <w:jc w:val="both"/>
      </w:pPr>
      <w:r>
        <w:rPr>
          <w:rFonts w:ascii="Cambria" w:hAnsi="Cambria"/>
          <w:sz w:val="22"/>
        </w:rPr>
        <w:t>Collaborate with Dean (Student Affairs), IQAC, and Sustainability Cell for green transportation initiatives.</w:t>
      </w:r>
    </w:p>
    <w:p>
      <w:pPr>
        <w:pStyle w:val="ListBullet"/>
        <w:jc w:val="both"/>
      </w:pPr>
      <w:r>
        <w:rPr>
          <w:rFonts w:ascii="Cambria" w:hAnsi="Cambria"/>
          <w:sz w:val="22"/>
        </w:rPr>
        <w:t>Promote eco-friendly commuting practices, such as carpooling, cycling, and use of electric vehicles.</w:t>
      </w:r>
    </w:p>
    <w:p>
      <w:pPr>
        <w:pStyle w:val="ListBullet"/>
        <w:jc w:val="both"/>
      </w:pPr>
      <w:r>
        <w:rPr>
          <w:rFonts w:ascii="Cambria" w:hAnsi="Cambria"/>
          <w:sz w:val="22"/>
        </w:rPr>
        <w:t>Integrate transport-related performance data into institutional carbon footprint and sustainability reports.</w:t>
      </w:r>
    </w:p>
    <w:p>
      <w:pPr>
        <w:pStyle w:val="ListBullet"/>
        <w:jc w:val="both"/>
      </w:pPr>
      <w:r>
        <w:rPr>
          <w:rFonts w:ascii="Cambria" w:hAnsi="Cambria"/>
          <w:sz w:val="22"/>
        </w:rPr>
        <w:t>Coordinate with the Accounts Department for transport budgeting, fee collection, and audit readiness.</w:t>
      </w:r>
    </w:p>
    <w:p>
      <w:pPr>
        <w:pStyle w:val="ListBullet"/>
        <w:jc w:val="both"/>
      </w:pPr>
      <w:r>
        <w:rPr>
          <w:rFonts w:ascii="Cambria" w:hAnsi="Cambria"/>
          <w:sz w:val="22"/>
        </w:rPr>
        <w:t>Ensure compliance with government regulations (RTO, MoRTH, and UGC safety guidelines).</w:t>
      </w:r>
    </w:p>
    <w:p>
      <w:pPr>
        <w:pStyle w:val="ListBullet"/>
        <w:jc w:val="both"/>
      </w:pPr>
      <w:r>
        <w:rPr>
          <w:rFonts w:ascii="Cambria" w:hAnsi="Cambria"/>
          <w:sz w:val="22"/>
        </w:rPr>
        <w:t>Liaise with local traffic and law enforcement authorities for smooth transit management and route safety.</w:t>
      </w:r>
    </w:p>
    <w:p>
      <w:pPr>
        <w:keepNext/>
        <w:spacing w:before="200" w:after="120"/>
      </w:pPr>
      <w:r>
        <w:rPr>
          <w:rFonts w:ascii="Cambria" w:hAnsi="Cambria"/>
          <w:b/>
          <w:color w:val="1F3A5F"/>
          <w:sz w:val="26"/>
        </w:rPr>
        <w:t>D. Documentation, Quality Assurance, and Audit</w:t>
      </w:r>
    </w:p>
    <w:p>
      <w:pPr>
        <w:pStyle w:val="ListBullet"/>
        <w:jc w:val="both"/>
      </w:pPr>
      <w:r>
        <w:rPr>
          <w:rFonts w:ascii="Cambria" w:hAnsi="Cambria"/>
          <w:sz w:val="22"/>
        </w:rPr>
        <w:t>Maintain registers and digital records for:</w:t>
      </w:r>
    </w:p>
    <w:p>
      <w:pPr>
        <w:pStyle w:val="ListBullet2"/>
        <w:jc w:val="both"/>
      </w:pPr>
      <w:r>
        <w:rPr>
          <w:rFonts w:ascii="Cambria" w:hAnsi="Cambria"/>
          <w:sz w:val="22"/>
        </w:rPr>
        <w:t>Daily vehicle logbooks and fuel registers.</w:t>
      </w:r>
    </w:p>
    <w:p>
      <w:pPr>
        <w:pStyle w:val="ListBullet2"/>
        <w:jc w:val="both"/>
      </w:pPr>
      <w:r>
        <w:rPr>
          <w:rFonts w:ascii="Cambria" w:hAnsi="Cambria"/>
          <w:sz w:val="22"/>
        </w:rPr>
        <w:t>Route details and student/staff transport allocations.</w:t>
      </w:r>
    </w:p>
    <w:p>
      <w:pPr>
        <w:pStyle w:val="ListBullet2"/>
        <w:jc w:val="both"/>
      </w:pPr>
      <w:r>
        <w:rPr>
          <w:rFonts w:ascii="Cambria" w:hAnsi="Cambria"/>
          <w:sz w:val="22"/>
        </w:rPr>
        <w:t>Safety inspection reports and incident records.</w:t>
      </w:r>
    </w:p>
    <w:p>
      <w:pPr>
        <w:pStyle w:val="ListBullet2"/>
        <w:jc w:val="both"/>
      </w:pPr>
      <w:r>
        <w:rPr>
          <w:rFonts w:ascii="Cambria" w:hAnsi="Cambria"/>
          <w:sz w:val="22"/>
        </w:rPr>
        <w:t>Vendor contracts, AMC details, and vehicle documentation.</w:t>
      </w:r>
    </w:p>
    <w:p>
      <w:pPr>
        <w:pStyle w:val="ListBullet"/>
        <w:jc w:val="both"/>
      </w:pPr>
      <w:r>
        <w:rPr>
          <w:rFonts w:ascii="Cambria" w:hAnsi="Cambria"/>
          <w:sz w:val="22"/>
        </w:rPr>
        <w:t>Prepare monthly, quarterly, and annual transport reports for IQAC and statutory bodies.</w:t>
      </w:r>
    </w:p>
    <w:p>
      <w:pPr>
        <w:pStyle w:val="ListBullet"/>
        <w:jc w:val="both"/>
      </w:pPr>
      <w:r>
        <w:rPr>
          <w:rFonts w:ascii="Cambria" w:hAnsi="Cambria"/>
          <w:sz w:val="22"/>
        </w:rPr>
        <w:t>Ensure traceability through the Policy → Action → Evidence → Outcome (PAEO) framework.</w:t>
      </w:r>
    </w:p>
    <w:p>
      <w:pPr>
        <w:pStyle w:val="ListBullet"/>
        <w:jc w:val="both"/>
      </w:pPr>
      <w:r>
        <w:rPr>
          <w:rFonts w:ascii="Cambria" w:hAnsi="Cambria"/>
          <w:sz w:val="22"/>
        </w:rPr>
        <w:t>Conduct internal audits and compliance reviews to ensure operational transparency.</w:t>
      </w:r>
    </w:p>
    <w:p>
      <w:pPr>
        <w:pStyle w:val="ListBullet"/>
        <w:jc w:val="both"/>
      </w:pPr>
      <w:r>
        <w:rPr>
          <w:rFonts w:ascii="Cambria" w:hAnsi="Cambria"/>
          <w:sz w:val="22"/>
        </w:rPr>
        <w:t>Submit transport utilization and performance reports for NAAC/NBA and QS I-GAUGE assessments.</w:t>
      </w:r>
    </w:p>
    <w:p>
      <w:pPr>
        <w:keepNext/>
        <w:spacing w:before="200" w:after="120"/>
      </w:pPr>
      <w:r>
        <w:rPr>
          <w:rFonts w:ascii="Cambria" w:hAnsi="Cambria"/>
          <w:b/>
          <w:color w:val="1F3A5F"/>
          <w:sz w:val="30"/>
        </w:rPr>
        <w:t>4. Accreditation and Framework Mapping</w:t>
      </w:r>
    </w:p>
    <w:p>
      <w:pPr>
        <w:keepNext/>
        <w:spacing w:before="200" w:after="120"/>
      </w:pPr>
      <w:r>
        <w:rPr>
          <w:rFonts w:ascii="Cambria" w:hAnsi="Cambria"/>
          <w:b/>
          <w:color w:val="1F3A5F"/>
          <w:sz w:val="26"/>
        </w:rPr>
        <w:t>A. NAAC (National Assessment and Accreditation Council)</w:t>
      </w:r>
    </w:p>
    <w:tbl>
      <w:tblPr>
        <w:tblW w:type="auto" w:w="0"/>
        <w:jc w:val="center"/>
        <w:tblLayout w:type="fixed"/>
        <w:tblLook w:firstColumn="1" w:firstRow="1" w:lastColumn="0" w:lastRow="0" w:noHBand="0" w:noVBand="1" w:val="04A0"/>
        <w:tblW w:w="8334" w:type="dxa"/>
        <w:tblLayout w:type="fixed"/>
      </w:tblPr>
      <w:tblGrid>
        <w:gridCol w:w="1134"/>
        <w:gridCol w:w="2551"/>
        <w:gridCol w:w="2551"/>
        <w:gridCol w:w="2097"/>
      </w:tblGrid>
      <w:tr>
        <w:tc>
          <w:tcPr>
            <w:tcW w:type="dxa" w:w="1134"/>
            <w:tcW w:w="1134" w:type="dxa"/>
            <w:shd w:val="clear" w:color="auto" w:fill="1F3A5F"/>
          </w:tcPr>
          <w:p>
            <w:pPr>
              <w:jc w:val="center"/>
            </w:pPr>
            <w:r/>
            <w:r>
              <w:rPr>
                <w:rFonts w:ascii="Cambria" w:hAnsi="Cambria"/>
                <w:b/>
                <w:color w:val="FFFFFF"/>
                <w:sz w:val="22"/>
              </w:rPr>
              <w:t>Criterion</w:t>
            </w:r>
          </w:p>
        </w:tc>
        <w:tc>
          <w:tcPr>
            <w:tcW w:type="dxa" w:w="2551"/>
            <w:tcW w:w="2551" w:type="dxa"/>
            <w:shd w:val="clear" w:color="auto" w:fill="1F3A5F"/>
          </w:tcPr>
          <w:p>
            <w:pPr>
              <w:jc w:val="center"/>
            </w:pPr>
            <w:r/>
            <w:r>
              <w:rPr>
                <w:rFonts w:ascii="Cambria" w:hAnsi="Cambria"/>
                <w:b/>
                <w:color w:val="FFFFFF"/>
                <w:sz w:val="22"/>
              </w:rPr>
              <w:t>Indicator / Metric</w:t>
            </w:r>
          </w:p>
        </w:tc>
        <w:tc>
          <w:tcPr>
            <w:tcW w:type="dxa" w:w="2551"/>
            <w:tcW w:w="2551" w:type="dxa"/>
            <w:shd w:val="clear" w:color="auto" w:fill="1F3A5F"/>
          </w:tcPr>
          <w:p>
            <w:pPr>
              <w:jc w:val="center"/>
            </w:pPr>
            <w:r/>
            <w:r>
              <w:rPr>
                <w:rFonts w:ascii="Cambria" w:hAnsi="Cambria"/>
                <w:b/>
                <w:color w:val="FFFFFF"/>
                <w:sz w:val="22"/>
              </w:rPr>
              <w:t>Associate Dean’s Duties</w:t>
            </w:r>
          </w:p>
        </w:tc>
        <w:tc>
          <w:tcPr>
            <w:tcW w:type="dxa" w:w="2098"/>
            <w:tcW w:w="2097" w:type="dxa"/>
            <w:shd w:val="clear" w:color="auto" w:fill="1F3A5F"/>
          </w:tcPr>
          <w:p>
            <w:pPr>
              <w:jc w:val="center"/>
            </w:pPr>
            <w:r/>
            <w:r>
              <w:rPr>
                <w:rFonts w:ascii="Cambria" w:hAnsi="Cambria"/>
                <w:b/>
                <w:color w:val="FFFFFF"/>
                <w:sz w:val="22"/>
              </w:rPr>
              <w:t>Evidence / Records</w:t>
            </w:r>
          </w:p>
        </w:tc>
      </w:tr>
      <w:tr>
        <w:tc>
          <w:tcPr>
            <w:tcW w:type="dxa" w:w="1134"/>
            <w:tcW w:w="1134" w:type="dxa"/>
          </w:tcPr>
          <w:p>
            <w:pPr>
              <w:jc w:val="left"/>
            </w:pPr>
            <w:r/>
            <w:r>
              <w:rPr>
                <w:rFonts w:ascii="Cambria" w:hAnsi="Cambria"/>
                <w:b w:val="0"/>
                <w:sz w:val="18"/>
              </w:rPr>
              <w:t>4.1.2</w:t>
            </w:r>
          </w:p>
        </w:tc>
        <w:tc>
          <w:tcPr>
            <w:tcW w:type="dxa" w:w="2551"/>
            <w:tcW w:w="2551" w:type="dxa"/>
          </w:tcPr>
          <w:p>
            <w:pPr>
              <w:jc w:val="center"/>
            </w:pPr>
            <w:r/>
            <w:r>
              <w:rPr>
                <w:rFonts w:ascii="Cambria" w:hAnsi="Cambria"/>
                <w:b w:val="0"/>
                <w:sz w:val="18"/>
              </w:rPr>
              <w:t>Maintenance of infrastructure</w:t>
            </w:r>
          </w:p>
        </w:tc>
        <w:tc>
          <w:tcPr>
            <w:tcW w:type="dxa" w:w="2551"/>
            <w:tcW w:w="2551" w:type="dxa"/>
          </w:tcPr>
          <w:p>
            <w:pPr>
              <w:jc w:val="center"/>
            </w:pPr>
            <w:r/>
            <w:r>
              <w:rPr>
                <w:rFonts w:ascii="Cambria" w:hAnsi="Cambria"/>
                <w:b w:val="0"/>
                <w:sz w:val="18"/>
              </w:rPr>
              <w:t>Oversee maintenance of institutional transport facilities</w:t>
            </w:r>
          </w:p>
        </w:tc>
        <w:tc>
          <w:tcPr>
            <w:tcW w:type="dxa" w:w="2098"/>
            <w:tcW w:w="2097" w:type="dxa"/>
          </w:tcPr>
          <w:p>
            <w:pPr>
              <w:jc w:val="center"/>
            </w:pPr>
            <w:r/>
            <w:r>
              <w:rPr>
                <w:rFonts w:ascii="Cambria" w:hAnsi="Cambria"/>
                <w:b w:val="0"/>
                <w:sz w:val="18"/>
              </w:rPr>
              <w:t>Vehicle logs, maintenance records</w:t>
            </w:r>
          </w:p>
        </w:tc>
      </w:tr>
      <w:tr>
        <w:tc>
          <w:tcPr>
            <w:tcW w:type="dxa" w:w="1134"/>
            <w:tcW w:w="1134" w:type="dxa"/>
            <w:shd w:val="clear" w:color="auto" w:fill="DCE6F1"/>
          </w:tcPr>
          <w:p>
            <w:pPr>
              <w:jc w:val="left"/>
            </w:pPr>
            <w:r/>
            <w:r>
              <w:rPr>
                <w:rFonts w:ascii="Cambria" w:hAnsi="Cambria"/>
                <w:b w:val="0"/>
                <w:sz w:val="18"/>
              </w:rPr>
              <w:t>4.1.3</w:t>
            </w:r>
          </w:p>
        </w:tc>
        <w:tc>
          <w:tcPr>
            <w:tcW w:type="dxa" w:w="2551"/>
            <w:tcW w:w="2551" w:type="dxa"/>
            <w:shd w:val="clear" w:color="auto" w:fill="DCE6F1"/>
          </w:tcPr>
          <w:p>
            <w:pPr>
              <w:jc w:val="center"/>
            </w:pPr>
            <w:r/>
            <w:r>
              <w:rPr>
                <w:rFonts w:ascii="Cambria" w:hAnsi="Cambria"/>
                <w:b w:val="0"/>
                <w:sz w:val="18"/>
              </w:rPr>
              <w:t>Environmental initiatives in infrastructure</w:t>
            </w:r>
          </w:p>
        </w:tc>
        <w:tc>
          <w:tcPr>
            <w:tcW w:type="dxa" w:w="2551"/>
            <w:tcW w:w="2551" w:type="dxa"/>
            <w:shd w:val="clear" w:color="auto" w:fill="DCE6F1"/>
          </w:tcPr>
          <w:p>
            <w:pPr>
              <w:jc w:val="center"/>
            </w:pPr>
            <w:r/>
            <w:r>
              <w:rPr>
                <w:rFonts w:ascii="Cambria" w:hAnsi="Cambria"/>
                <w:b w:val="0"/>
                <w:sz w:val="18"/>
              </w:rPr>
              <w:t>Promote use of electric/biofuel vehicles and route optimization</w:t>
            </w:r>
          </w:p>
        </w:tc>
        <w:tc>
          <w:tcPr>
            <w:tcW w:type="dxa" w:w="2098"/>
            <w:tcW w:w="2097" w:type="dxa"/>
            <w:shd w:val="clear" w:color="auto" w:fill="DCE6F1"/>
          </w:tcPr>
          <w:p>
            <w:pPr>
              <w:jc w:val="center"/>
            </w:pPr>
            <w:r/>
            <w:r>
              <w:rPr>
                <w:rFonts w:ascii="Cambria" w:hAnsi="Cambria"/>
                <w:b w:val="0"/>
                <w:sz w:val="18"/>
              </w:rPr>
              <w:t>Sustainability reports, policy documents</w:t>
            </w:r>
          </w:p>
        </w:tc>
      </w:tr>
      <w:tr>
        <w:tc>
          <w:tcPr>
            <w:tcW w:type="dxa" w:w="1134"/>
            <w:tcW w:w="1134" w:type="dxa"/>
          </w:tcPr>
          <w:p>
            <w:pPr>
              <w:jc w:val="left"/>
            </w:pPr>
            <w:r/>
            <w:r>
              <w:rPr>
                <w:rFonts w:ascii="Cambria" w:hAnsi="Cambria"/>
                <w:b w:val="0"/>
                <w:sz w:val="18"/>
              </w:rPr>
              <w:t>5.1.1</w:t>
            </w:r>
          </w:p>
        </w:tc>
        <w:tc>
          <w:tcPr>
            <w:tcW w:type="dxa" w:w="2551"/>
            <w:tcW w:w="2551" w:type="dxa"/>
          </w:tcPr>
          <w:p>
            <w:pPr>
              <w:jc w:val="center"/>
            </w:pPr>
            <w:r/>
            <w:r>
              <w:rPr>
                <w:rFonts w:ascii="Cambria" w:hAnsi="Cambria"/>
                <w:b w:val="0"/>
                <w:sz w:val="18"/>
              </w:rPr>
              <w:t>Student support schemes</w:t>
            </w:r>
          </w:p>
        </w:tc>
        <w:tc>
          <w:tcPr>
            <w:tcW w:type="dxa" w:w="2551"/>
            <w:tcW w:w="2551" w:type="dxa"/>
          </w:tcPr>
          <w:p>
            <w:pPr>
              <w:jc w:val="center"/>
            </w:pPr>
            <w:r/>
            <w:r>
              <w:rPr>
                <w:rFonts w:ascii="Cambria" w:hAnsi="Cambria"/>
                <w:b w:val="0"/>
                <w:sz w:val="18"/>
              </w:rPr>
              <w:t>Provide safe and subsidized transport facilities</w:t>
            </w:r>
          </w:p>
        </w:tc>
        <w:tc>
          <w:tcPr>
            <w:tcW w:type="dxa" w:w="2098"/>
            <w:tcW w:w="2097" w:type="dxa"/>
          </w:tcPr>
          <w:p>
            <w:pPr>
              <w:jc w:val="center"/>
            </w:pPr>
            <w:r/>
            <w:r>
              <w:rPr>
                <w:rFonts w:ascii="Cambria" w:hAnsi="Cambria"/>
                <w:b w:val="0"/>
                <w:sz w:val="18"/>
              </w:rPr>
              <w:t>Student transport register, route data</w:t>
            </w:r>
          </w:p>
        </w:tc>
      </w:tr>
      <w:tr>
        <w:tc>
          <w:tcPr>
            <w:tcW w:type="dxa" w:w="1134"/>
            <w:tcW w:w="1134" w:type="dxa"/>
            <w:shd w:val="clear" w:color="auto" w:fill="DCE6F1"/>
          </w:tcPr>
          <w:p>
            <w:pPr>
              <w:jc w:val="left"/>
            </w:pPr>
            <w:r/>
            <w:r>
              <w:rPr>
                <w:rFonts w:ascii="Cambria" w:hAnsi="Cambria"/>
                <w:b w:val="0"/>
                <w:sz w:val="18"/>
              </w:rPr>
              <w:t>7.1.6</w:t>
            </w:r>
          </w:p>
        </w:tc>
        <w:tc>
          <w:tcPr>
            <w:tcW w:type="dxa" w:w="2551"/>
            <w:tcW w:w="2551" w:type="dxa"/>
            <w:shd w:val="clear" w:color="auto" w:fill="DCE6F1"/>
          </w:tcPr>
          <w:p>
            <w:pPr>
              <w:jc w:val="center"/>
            </w:pPr>
            <w:r/>
            <w:r>
              <w:rPr>
                <w:rFonts w:ascii="Cambria" w:hAnsi="Cambria"/>
                <w:b w:val="0"/>
                <w:sz w:val="18"/>
              </w:rPr>
              <w:t>Green Campus and Environmental Sustainability</w:t>
            </w:r>
          </w:p>
        </w:tc>
        <w:tc>
          <w:tcPr>
            <w:tcW w:type="dxa" w:w="2551"/>
            <w:tcW w:w="2551" w:type="dxa"/>
            <w:shd w:val="clear" w:color="auto" w:fill="DCE6F1"/>
          </w:tcPr>
          <w:p>
            <w:pPr>
              <w:jc w:val="center"/>
            </w:pPr>
            <w:r/>
            <w:r>
              <w:rPr>
                <w:rFonts w:ascii="Cambria" w:hAnsi="Cambria"/>
                <w:b w:val="0"/>
                <w:sz w:val="18"/>
              </w:rPr>
              <w:t>Implement eco-commuting and carbon reduction practices</w:t>
            </w:r>
          </w:p>
        </w:tc>
        <w:tc>
          <w:tcPr>
            <w:tcW w:type="dxa" w:w="2098"/>
            <w:tcW w:w="2097" w:type="dxa"/>
            <w:shd w:val="clear" w:color="auto" w:fill="DCE6F1"/>
          </w:tcPr>
          <w:p>
            <w:pPr>
              <w:jc w:val="center"/>
            </w:pPr>
            <w:r/>
            <w:r>
              <w:rPr>
                <w:rFonts w:ascii="Cambria" w:hAnsi="Cambria"/>
                <w:b w:val="0"/>
                <w:sz w:val="18"/>
              </w:rPr>
              <w:t>Green audit reports, awareness documentation</w:t>
            </w:r>
          </w:p>
        </w:tc>
      </w:tr>
      <w:tr>
        <w:tc>
          <w:tcPr>
            <w:tcW w:type="dxa" w:w="1134"/>
            <w:tcW w:w="1134" w:type="dxa"/>
          </w:tcPr>
          <w:p>
            <w:pPr>
              <w:jc w:val="left"/>
            </w:pPr>
            <w:r/>
            <w:r>
              <w:rPr>
                <w:rFonts w:ascii="Cambria" w:hAnsi="Cambria"/>
                <w:b w:val="0"/>
                <w:sz w:val="18"/>
              </w:rPr>
              <w:t>7.1.10</w:t>
            </w:r>
          </w:p>
        </w:tc>
        <w:tc>
          <w:tcPr>
            <w:tcW w:type="dxa" w:w="2551"/>
            <w:tcW w:w="2551" w:type="dxa"/>
          </w:tcPr>
          <w:p>
            <w:pPr>
              <w:jc w:val="center"/>
            </w:pPr>
            <w:r/>
            <w:r>
              <w:rPr>
                <w:rFonts w:ascii="Cambria" w:hAnsi="Cambria"/>
                <w:b w:val="0"/>
                <w:sz w:val="18"/>
              </w:rPr>
              <w:t>Institutional code of conduct</w:t>
            </w:r>
          </w:p>
        </w:tc>
        <w:tc>
          <w:tcPr>
            <w:tcW w:type="dxa" w:w="2551"/>
            <w:tcW w:w="2551" w:type="dxa"/>
          </w:tcPr>
          <w:p>
            <w:pPr>
              <w:jc w:val="center"/>
            </w:pPr>
            <w:r/>
            <w:r>
              <w:rPr>
                <w:rFonts w:ascii="Cambria" w:hAnsi="Cambria"/>
                <w:b w:val="0"/>
                <w:sz w:val="18"/>
              </w:rPr>
              <w:t>Ensure driver ethics, student discipline, and road safety</w:t>
            </w:r>
          </w:p>
        </w:tc>
        <w:tc>
          <w:tcPr>
            <w:tcW w:type="dxa" w:w="2098"/>
            <w:tcW w:w="2097" w:type="dxa"/>
          </w:tcPr>
          <w:p>
            <w:pPr>
              <w:jc w:val="center"/>
            </w:pPr>
            <w:r/>
            <w:r>
              <w:rPr>
                <w:rFonts w:ascii="Cambria" w:hAnsi="Cambria"/>
                <w:b w:val="0"/>
                <w:sz w:val="18"/>
              </w:rPr>
              <w:t>Safety policy, training attendance</w:t>
            </w:r>
          </w:p>
        </w:tc>
      </w:tr>
    </w:tbl>
    <w:p>
      <w:pPr>
        <w:keepNext/>
        <w:spacing w:before="200" w:after="120"/>
      </w:pPr>
      <w:r>
        <w:rPr>
          <w:rFonts w:ascii="Cambria" w:hAnsi="Cambria"/>
          <w:b/>
          <w:color w:val="1F3A5F"/>
          <w:sz w:val="26"/>
        </w:rPr>
        <w:t>B. NBA (National Board of Accreditation)</w:t>
      </w:r>
    </w:p>
    <w:tbl>
      <w:tblPr>
        <w:tblW w:type="auto" w:w="0"/>
        <w:jc w:val="center"/>
        <w:tblLayout w:type="fixed"/>
        <w:tblLook w:firstColumn="1" w:firstRow="1" w:lastColumn="0" w:lastRow="0" w:noHBand="0" w:noVBand="1" w:val="04A0"/>
        <w:tblW w:w="8334" w:type="dxa"/>
        <w:tblLayout w:type="fixed"/>
      </w:tblPr>
      <w:tblGrid>
        <w:gridCol w:w="1134"/>
        <w:gridCol w:w="2268"/>
        <w:gridCol w:w="2835"/>
        <w:gridCol w:w="2097"/>
      </w:tblGrid>
      <w:tr>
        <w:tc>
          <w:tcPr>
            <w:tcW w:type="dxa" w:w="1134"/>
            <w:tcW w:w="1134" w:type="dxa"/>
            <w:shd w:val="clear" w:color="auto" w:fill="1F3A5F"/>
          </w:tcPr>
          <w:p>
            <w:pPr>
              <w:jc w:val="center"/>
            </w:pPr>
            <w:r/>
            <w:r>
              <w:rPr>
                <w:rFonts w:ascii="Cambria" w:hAnsi="Cambria"/>
                <w:b/>
                <w:color w:val="FFFFFF"/>
                <w:sz w:val="22"/>
              </w:rPr>
              <w:t>Criterion</w:t>
            </w:r>
          </w:p>
        </w:tc>
        <w:tc>
          <w:tcPr>
            <w:tcW w:type="dxa" w:w="2268"/>
            <w:tcW w:w="2268" w:type="dxa"/>
            <w:shd w:val="clear" w:color="auto" w:fill="1F3A5F"/>
          </w:tcPr>
          <w:p>
            <w:pPr>
              <w:jc w:val="center"/>
            </w:pPr>
            <w:r/>
            <w:r>
              <w:rPr>
                <w:rFonts w:ascii="Cambria" w:hAnsi="Cambria"/>
                <w:b/>
                <w:color w:val="FFFFFF"/>
                <w:sz w:val="22"/>
              </w:rPr>
              <w:t>Focus Area</w:t>
            </w:r>
          </w:p>
        </w:tc>
        <w:tc>
          <w:tcPr>
            <w:tcW w:type="dxa" w:w="2835"/>
            <w:tcW w:w="2835" w:type="dxa"/>
            <w:shd w:val="clear" w:color="auto" w:fill="1F3A5F"/>
          </w:tcPr>
          <w:p>
            <w:pPr>
              <w:jc w:val="center"/>
            </w:pPr>
            <w:r/>
            <w:r>
              <w:rPr>
                <w:rFonts w:ascii="Cambria" w:hAnsi="Cambria"/>
                <w:b/>
                <w:color w:val="FFFFFF"/>
                <w:sz w:val="22"/>
              </w:rPr>
              <w:t>Associate Dean’s Duties</w:t>
            </w:r>
          </w:p>
        </w:tc>
        <w:tc>
          <w:tcPr>
            <w:tcW w:type="dxa" w:w="2098"/>
            <w:tcW w:w="2097" w:type="dxa"/>
            <w:shd w:val="clear" w:color="auto" w:fill="1F3A5F"/>
          </w:tcPr>
          <w:p>
            <w:pPr>
              <w:jc w:val="center"/>
            </w:pPr>
            <w:r/>
            <w:r>
              <w:rPr>
                <w:rFonts w:ascii="Cambria" w:hAnsi="Cambria"/>
                <w:b/>
                <w:color w:val="FFFFFF"/>
                <w:sz w:val="22"/>
              </w:rPr>
              <w:t>Evidence</w:t>
            </w:r>
          </w:p>
        </w:tc>
      </w:tr>
      <w:tr>
        <w:tc>
          <w:tcPr>
            <w:tcW w:type="dxa" w:w="1134"/>
            <w:tcW w:w="1134" w:type="dxa"/>
          </w:tcPr>
          <w:p>
            <w:pPr>
              <w:jc w:val="left"/>
            </w:pPr>
            <w:r/>
            <w:r>
              <w:rPr>
                <w:rFonts w:ascii="Cambria" w:hAnsi="Cambria"/>
                <w:b w:val="0"/>
                <w:sz w:val="19"/>
              </w:rPr>
              <w:t>8</w:t>
            </w:r>
          </w:p>
        </w:tc>
        <w:tc>
          <w:tcPr>
            <w:tcW w:type="dxa" w:w="2268"/>
            <w:tcW w:w="2268" w:type="dxa"/>
          </w:tcPr>
          <w:p>
            <w:pPr>
              <w:jc w:val="center"/>
            </w:pPr>
            <w:r/>
            <w:r>
              <w:rPr>
                <w:rFonts w:ascii="Cambria" w:hAnsi="Cambria"/>
                <w:b w:val="0"/>
                <w:sz w:val="19"/>
              </w:rPr>
              <w:t>First Year Academics</w:t>
            </w:r>
          </w:p>
        </w:tc>
        <w:tc>
          <w:tcPr>
            <w:tcW w:type="dxa" w:w="2835"/>
            <w:tcW w:w="2835" w:type="dxa"/>
          </w:tcPr>
          <w:p>
            <w:pPr>
              <w:jc w:val="center"/>
            </w:pPr>
            <w:r/>
            <w:r>
              <w:rPr>
                <w:rFonts w:ascii="Cambria" w:hAnsi="Cambria"/>
                <w:b w:val="0"/>
                <w:sz w:val="19"/>
              </w:rPr>
              <w:t>Ensure transport accessibility during orientation and classes</w:t>
            </w:r>
          </w:p>
        </w:tc>
        <w:tc>
          <w:tcPr>
            <w:tcW w:type="dxa" w:w="2098"/>
            <w:tcW w:w="2097" w:type="dxa"/>
          </w:tcPr>
          <w:p>
            <w:pPr>
              <w:jc w:val="center"/>
            </w:pPr>
            <w:r/>
            <w:r>
              <w:rPr>
                <w:rFonts w:ascii="Cambria" w:hAnsi="Cambria"/>
                <w:b w:val="0"/>
                <w:sz w:val="19"/>
              </w:rPr>
              <w:t>Induction schedules, transport plans</w:t>
            </w:r>
          </w:p>
        </w:tc>
      </w:tr>
      <w:tr>
        <w:tc>
          <w:tcPr>
            <w:tcW w:type="dxa" w:w="1134"/>
            <w:tcW w:w="1134" w:type="dxa"/>
            <w:shd w:val="clear" w:color="auto" w:fill="DCE6F1"/>
          </w:tcPr>
          <w:p>
            <w:pPr>
              <w:jc w:val="left"/>
            </w:pPr>
            <w:r/>
            <w:r>
              <w:rPr>
                <w:rFonts w:ascii="Cambria" w:hAnsi="Cambria"/>
                <w:b w:val="0"/>
                <w:sz w:val="19"/>
              </w:rPr>
              <w:t>9</w:t>
            </w:r>
          </w:p>
        </w:tc>
        <w:tc>
          <w:tcPr>
            <w:tcW w:type="dxa" w:w="2268"/>
            <w:tcW w:w="2268" w:type="dxa"/>
            <w:shd w:val="clear" w:color="auto" w:fill="DCE6F1"/>
          </w:tcPr>
          <w:p>
            <w:pPr>
              <w:jc w:val="center"/>
            </w:pPr>
            <w:r/>
            <w:r>
              <w:rPr>
                <w:rFonts w:ascii="Cambria" w:hAnsi="Cambria"/>
                <w:b w:val="0"/>
                <w:sz w:val="19"/>
              </w:rPr>
              <w:t>Student Support Systems</w:t>
            </w:r>
          </w:p>
        </w:tc>
        <w:tc>
          <w:tcPr>
            <w:tcW w:type="dxa" w:w="2835"/>
            <w:tcW w:w="2835" w:type="dxa"/>
            <w:shd w:val="clear" w:color="auto" w:fill="DCE6F1"/>
          </w:tcPr>
          <w:p>
            <w:pPr>
              <w:jc w:val="center"/>
            </w:pPr>
            <w:r/>
            <w:r>
              <w:rPr>
                <w:rFonts w:ascii="Cambria" w:hAnsi="Cambria"/>
                <w:b w:val="0"/>
                <w:sz w:val="19"/>
              </w:rPr>
              <w:t>Provide reliable transport as part of student welfare</w:t>
            </w:r>
          </w:p>
        </w:tc>
        <w:tc>
          <w:tcPr>
            <w:tcW w:type="dxa" w:w="2098"/>
            <w:tcW w:w="2097" w:type="dxa"/>
            <w:shd w:val="clear" w:color="auto" w:fill="DCE6F1"/>
          </w:tcPr>
          <w:p>
            <w:pPr>
              <w:jc w:val="center"/>
            </w:pPr>
            <w:r/>
            <w:r>
              <w:rPr>
                <w:rFonts w:ascii="Cambria" w:hAnsi="Cambria"/>
                <w:b w:val="0"/>
                <w:sz w:val="19"/>
              </w:rPr>
              <w:t>Welfare reports, route registers</w:t>
            </w:r>
          </w:p>
        </w:tc>
      </w:tr>
      <w:tr>
        <w:tc>
          <w:tcPr>
            <w:tcW w:type="dxa" w:w="1134"/>
            <w:tcW w:w="1134" w:type="dxa"/>
          </w:tcPr>
          <w:p>
            <w:pPr>
              <w:jc w:val="left"/>
            </w:pPr>
            <w:r/>
            <w:r>
              <w:rPr>
                <w:rFonts w:ascii="Cambria" w:hAnsi="Cambria"/>
                <w:b w:val="0"/>
                <w:sz w:val="19"/>
              </w:rPr>
              <w:t>10</w:t>
            </w:r>
          </w:p>
        </w:tc>
        <w:tc>
          <w:tcPr>
            <w:tcW w:type="dxa" w:w="2268"/>
            <w:tcW w:w="2268" w:type="dxa"/>
          </w:tcPr>
          <w:p>
            <w:pPr>
              <w:jc w:val="center"/>
            </w:pPr>
            <w:r/>
            <w:r>
              <w:rPr>
                <w:rFonts w:ascii="Cambria" w:hAnsi="Cambria"/>
                <w:b w:val="0"/>
                <w:sz w:val="19"/>
              </w:rPr>
              <w:t>Continuous Improvement</w:t>
            </w:r>
          </w:p>
        </w:tc>
        <w:tc>
          <w:tcPr>
            <w:tcW w:type="dxa" w:w="2835"/>
            <w:tcW w:w="2835" w:type="dxa"/>
          </w:tcPr>
          <w:p>
            <w:pPr>
              <w:jc w:val="center"/>
            </w:pPr>
            <w:r/>
            <w:r>
              <w:rPr>
                <w:rFonts w:ascii="Cambria" w:hAnsi="Cambria"/>
                <w:b w:val="0"/>
                <w:sz w:val="19"/>
              </w:rPr>
              <w:t>Monitor transport efficiency and implement improvements</w:t>
            </w:r>
          </w:p>
        </w:tc>
        <w:tc>
          <w:tcPr>
            <w:tcW w:type="dxa" w:w="2098"/>
            <w:tcW w:w="2097" w:type="dxa"/>
          </w:tcPr>
          <w:p>
            <w:pPr>
              <w:jc w:val="center"/>
            </w:pPr>
            <w:r/>
            <w:r>
              <w:rPr>
                <w:rFonts w:ascii="Cambria" w:hAnsi="Cambria"/>
                <w:b w:val="0"/>
                <w:sz w:val="19"/>
              </w:rPr>
              <w:t>Performance reviews, corrective actions</w:t>
            </w:r>
          </w:p>
        </w:tc>
      </w:tr>
    </w:tbl>
    <w:p>
      <w:pPr>
        <w:keepNext/>
        <w:spacing w:before="200" w:after="120"/>
      </w:pPr>
      <w:r>
        <w:rPr>
          <w:rFonts w:ascii="Cambria" w:hAnsi="Cambria"/>
          <w:b/>
          <w:color w:val="1F3A5F"/>
          <w:sz w:val="26"/>
        </w:rPr>
        <w:t>C. QS I-GAUGE Framework</w:t>
      </w:r>
    </w:p>
    <w:tbl>
      <w:tblPr>
        <w:tblW w:type="auto" w:w="0"/>
        <w:jc w:val="center"/>
        <w:tblLayout w:type="fixed"/>
        <w:tblLook w:firstColumn="1" w:firstRow="1" w:lastColumn="0" w:lastRow="0" w:noHBand="0" w:noVBand="1" w:val="04A0"/>
        <w:tblW w:w="8334" w:type="dxa"/>
        <w:tblLayout w:type="fixed"/>
      </w:tblPr>
      <w:tblGrid>
        <w:gridCol w:w="1701"/>
        <w:gridCol w:w="1984"/>
        <w:gridCol w:w="2551"/>
        <w:gridCol w:w="2097"/>
      </w:tblGrid>
      <w:tr>
        <w:tc>
          <w:tcPr>
            <w:tcW w:type="dxa" w:w="1701"/>
            <w:tcW w:w="1701" w:type="dxa"/>
            <w:shd w:val="clear" w:color="auto" w:fill="1F3A5F"/>
          </w:tcPr>
          <w:p>
            <w:pPr>
              <w:jc w:val="center"/>
            </w:pPr>
            <w:r/>
            <w:r>
              <w:rPr>
                <w:rFonts w:ascii="Cambria" w:hAnsi="Cambria"/>
                <w:b/>
                <w:color w:val="FFFFFF"/>
                <w:sz w:val="22"/>
              </w:rPr>
              <w:t>Parameter</w:t>
            </w:r>
          </w:p>
        </w:tc>
        <w:tc>
          <w:tcPr>
            <w:tcW w:type="dxa" w:w="1984"/>
            <w:tcW w:w="1984" w:type="dxa"/>
            <w:shd w:val="clear" w:color="auto" w:fill="1F3A5F"/>
          </w:tcPr>
          <w:p>
            <w:pPr>
              <w:jc w:val="center"/>
            </w:pPr>
            <w:r/>
            <w:r>
              <w:rPr>
                <w:rFonts w:ascii="Cambria" w:hAnsi="Cambria"/>
                <w:b/>
                <w:color w:val="FFFFFF"/>
                <w:sz w:val="22"/>
              </w:rPr>
              <w:t>Indicator</w:t>
            </w:r>
          </w:p>
        </w:tc>
        <w:tc>
          <w:tcPr>
            <w:tcW w:type="dxa" w:w="2551"/>
            <w:tcW w:w="2551" w:type="dxa"/>
            <w:shd w:val="clear" w:color="auto" w:fill="1F3A5F"/>
          </w:tcPr>
          <w:p>
            <w:pPr>
              <w:jc w:val="center"/>
            </w:pPr>
            <w:r/>
            <w:r>
              <w:rPr>
                <w:rFonts w:ascii="Cambria" w:hAnsi="Cambria"/>
                <w:b/>
                <w:color w:val="FFFFFF"/>
                <w:sz w:val="22"/>
              </w:rPr>
              <w:t>Associate Dean’s Contribution</w:t>
            </w:r>
          </w:p>
        </w:tc>
        <w:tc>
          <w:tcPr>
            <w:tcW w:type="dxa" w:w="2098"/>
            <w:tcW w:w="2097" w:type="dxa"/>
            <w:shd w:val="clear" w:color="auto" w:fill="1F3A5F"/>
          </w:tcPr>
          <w:p>
            <w:pPr>
              <w:jc w:val="center"/>
            </w:pPr>
            <w:r/>
            <w:r>
              <w:rPr>
                <w:rFonts w:ascii="Cambria" w:hAnsi="Cambria"/>
                <w:b/>
                <w:color w:val="FFFFFF"/>
                <w:sz w:val="22"/>
              </w:rPr>
              <w:t>Evidence / Deliverables</w:t>
            </w:r>
          </w:p>
        </w:tc>
      </w:tr>
      <w:tr>
        <w:tc>
          <w:tcPr>
            <w:tcW w:type="dxa" w:w="1701"/>
            <w:tcW w:w="1701" w:type="dxa"/>
          </w:tcPr>
          <w:p>
            <w:pPr>
              <w:jc w:val="left"/>
            </w:pPr>
            <w:r/>
            <w:r>
              <w:rPr>
                <w:rFonts w:ascii="Cambria" w:hAnsi="Cambria"/>
                <w:b w:val="0"/>
                <w:sz w:val="18"/>
              </w:rPr>
              <w:t>E&amp;F – Environment &amp; Facilities</w:t>
            </w:r>
          </w:p>
        </w:tc>
        <w:tc>
          <w:tcPr>
            <w:tcW w:type="dxa" w:w="1984"/>
            <w:tcW w:w="1984" w:type="dxa"/>
          </w:tcPr>
          <w:p>
            <w:pPr>
              <w:jc w:val="center"/>
            </w:pPr>
            <w:r/>
            <w:r>
              <w:rPr>
                <w:rFonts w:ascii="Cambria" w:hAnsi="Cambria"/>
                <w:b w:val="0"/>
                <w:sz w:val="18"/>
              </w:rPr>
              <w:t>Campus transportation system</w:t>
            </w:r>
          </w:p>
        </w:tc>
        <w:tc>
          <w:tcPr>
            <w:tcW w:type="dxa" w:w="2551"/>
            <w:tcW w:w="2551" w:type="dxa"/>
          </w:tcPr>
          <w:p>
            <w:pPr>
              <w:jc w:val="center"/>
            </w:pPr>
            <w:r/>
            <w:r>
              <w:rPr>
                <w:rFonts w:ascii="Cambria" w:hAnsi="Cambria"/>
                <w:b w:val="0"/>
                <w:sz w:val="18"/>
              </w:rPr>
              <w:t>Maintain transport fleet and scheduling</w:t>
            </w:r>
          </w:p>
        </w:tc>
        <w:tc>
          <w:tcPr>
            <w:tcW w:type="dxa" w:w="2098"/>
            <w:tcW w:w="2097" w:type="dxa"/>
          </w:tcPr>
          <w:p>
            <w:pPr>
              <w:jc w:val="center"/>
            </w:pPr>
            <w:r/>
            <w:r>
              <w:rPr>
                <w:rFonts w:ascii="Cambria" w:hAnsi="Cambria"/>
                <w:b w:val="0"/>
                <w:sz w:val="18"/>
              </w:rPr>
              <w:t>Vehicle records, route logs</w:t>
            </w:r>
          </w:p>
        </w:tc>
      </w:tr>
      <w:tr>
        <w:tc>
          <w:tcPr>
            <w:tcW w:type="dxa" w:w="1701"/>
            <w:tcW w:w="1701" w:type="dxa"/>
            <w:shd w:val="clear" w:color="auto" w:fill="DCE6F1"/>
          </w:tcPr>
          <w:p>
            <w:pPr>
              <w:jc w:val="left"/>
            </w:pPr>
            <w:r/>
            <w:r>
              <w:rPr>
                <w:rFonts w:ascii="Cambria" w:hAnsi="Cambria"/>
                <w:b w:val="0"/>
                <w:sz w:val="18"/>
              </w:rPr>
              <w:t>GS – Governance &amp; Structure</w:t>
            </w:r>
          </w:p>
        </w:tc>
        <w:tc>
          <w:tcPr>
            <w:tcW w:type="dxa" w:w="1984"/>
            <w:tcW w:w="1984" w:type="dxa"/>
            <w:shd w:val="clear" w:color="auto" w:fill="DCE6F1"/>
          </w:tcPr>
          <w:p>
            <w:pPr>
              <w:jc w:val="center"/>
            </w:pPr>
            <w:r/>
            <w:r>
              <w:rPr>
                <w:rFonts w:ascii="Cambria" w:hAnsi="Cambria"/>
                <w:b w:val="0"/>
                <w:sz w:val="18"/>
              </w:rPr>
              <w:t>Policy governance</w:t>
            </w:r>
          </w:p>
        </w:tc>
        <w:tc>
          <w:tcPr>
            <w:tcW w:type="dxa" w:w="2551"/>
            <w:tcW w:w="2551" w:type="dxa"/>
            <w:shd w:val="clear" w:color="auto" w:fill="DCE6F1"/>
          </w:tcPr>
          <w:p>
            <w:pPr>
              <w:jc w:val="center"/>
            </w:pPr>
            <w:r/>
            <w:r>
              <w:rPr>
                <w:rFonts w:ascii="Cambria" w:hAnsi="Cambria"/>
                <w:b w:val="0"/>
                <w:sz w:val="18"/>
              </w:rPr>
              <w:t>Develop and enforce transport policy</w:t>
            </w:r>
          </w:p>
        </w:tc>
        <w:tc>
          <w:tcPr>
            <w:tcW w:type="dxa" w:w="2098"/>
            <w:tcW w:w="2097" w:type="dxa"/>
            <w:shd w:val="clear" w:color="auto" w:fill="DCE6F1"/>
          </w:tcPr>
          <w:p>
            <w:pPr>
              <w:jc w:val="center"/>
            </w:pPr>
            <w:r/>
            <w:r>
              <w:rPr>
                <w:rFonts w:ascii="Cambria" w:hAnsi="Cambria"/>
                <w:b w:val="0"/>
                <w:sz w:val="18"/>
              </w:rPr>
              <w:t>Policy document, compliance proof</w:t>
            </w:r>
          </w:p>
        </w:tc>
      </w:tr>
      <w:tr>
        <w:tc>
          <w:tcPr>
            <w:tcW w:type="dxa" w:w="1701"/>
            <w:tcW w:w="1701" w:type="dxa"/>
          </w:tcPr>
          <w:p>
            <w:pPr>
              <w:jc w:val="left"/>
            </w:pPr>
            <w:r/>
            <w:r>
              <w:rPr>
                <w:rFonts w:ascii="Cambria" w:hAnsi="Cambria"/>
                <w:b w:val="0"/>
                <w:sz w:val="18"/>
              </w:rPr>
              <w:t>SL – Social Responsibility</w:t>
            </w:r>
          </w:p>
        </w:tc>
        <w:tc>
          <w:tcPr>
            <w:tcW w:type="dxa" w:w="1984"/>
            <w:tcW w:w="1984" w:type="dxa"/>
          </w:tcPr>
          <w:p>
            <w:pPr>
              <w:jc w:val="center"/>
            </w:pPr>
            <w:r/>
            <w:r>
              <w:rPr>
                <w:rFonts w:ascii="Cambria" w:hAnsi="Cambria"/>
                <w:b w:val="0"/>
                <w:sz w:val="18"/>
              </w:rPr>
              <w:t>Sustainable mobility initiatives</w:t>
            </w:r>
          </w:p>
        </w:tc>
        <w:tc>
          <w:tcPr>
            <w:tcW w:type="dxa" w:w="2551"/>
            <w:tcW w:w="2551" w:type="dxa"/>
          </w:tcPr>
          <w:p>
            <w:pPr>
              <w:jc w:val="center"/>
            </w:pPr>
            <w:r/>
            <w:r>
              <w:rPr>
                <w:rFonts w:ascii="Cambria" w:hAnsi="Cambria"/>
                <w:b w:val="0"/>
                <w:sz w:val="18"/>
              </w:rPr>
              <w:t>Promote electric vehicles and shared transport</w:t>
            </w:r>
          </w:p>
        </w:tc>
        <w:tc>
          <w:tcPr>
            <w:tcW w:type="dxa" w:w="2098"/>
            <w:tcW w:w="2097" w:type="dxa"/>
          </w:tcPr>
          <w:p>
            <w:pPr>
              <w:jc w:val="center"/>
            </w:pPr>
            <w:r/>
            <w:r>
              <w:rPr>
                <w:rFonts w:ascii="Cambria" w:hAnsi="Cambria"/>
                <w:b w:val="0"/>
                <w:sz w:val="18"/>
              </w:rPr>
              <w:t>Sustainability reports, event photos</w:t>
            </w:r>
          </w:p>
        </w:tc>
      </w:tr>
      <w:tr>
        <w:tc>
          <w:tcPr>
            <w:tcW w:type="dxa" w:w="1701"/>
            <w:tcW w:w="1701" w:type="dxa"/>
            <w:shd w:val="clear" w:color="auto" w:fill="DCE6F1"/>
          </w:tcPr>
          <w:p>
            <w:pPr>
              <w:jc w:val="left"/>
            </w:pPr>
            <w:r/>
            <w:r>
              <w:rPr>
                <w:rFonts w:ascii="Cambria" w:hAnsi="Cambria"/>
                <w:b w:val="0"/>
                <w:sz w:val="18"/>
              </w:rPr>
              <w:t>DA – Diversity &amp; Accessibility</w:t>
            </w:r>
          </w:p>
        </w:tc>
        <w:tc>
          <w:tcPr>
            <w:tcW w:type="dxa" w:w="1984"/>
            <w:tcW w:w="1984" w:type="dxa"/>
            <w:shd w:val="clear" w:color="auto" w:fill="DCE6F1"/>
          </w:tcPr>
          <w:p>
            <w:pPr>
              <w:jc w:val="center"/>
            </w:pPr>
            <w:r/>
            <w:r>
              <w:rPr>
                <w:rFonts w:ascii="Cambria" w:hAnsi="Cambria"/>
                <w:b w:val="0"/>
                <w:sz w:val="18"/>
              </w:rPr>
              <w:t>Student accessibility and mobility</w:t>
            </w:r>
          </w:p>
        </w:tc>
        <w:tc>
          <w:tcPr>
            <w:tcW w:type="dxa" w:w="2551"/>
            <w:tcW w:w="2551" w:type="dxa"/>
            <w:shd w:val="clear" w:color="auto" w:fill="DCE6F1"/>
          </w:tcPr>
          <w:p>
            <w:pPr>
              <w:jc w:val="center"/>
            </w:pPr>
            <w:r/>
            <w:r>
              <w:rPr>
                <w:rFonts w:ascii="Cambria" w:hAnsi="Cambria"/>
                <w:b w:val="0"/>
                <w:sz w:val="18"/>
              </w:rPr>
              <w:t>Ensure equitable transport coverage for all campuses</w:t>
            </w:r>
          </w:p>
        </w:tc>
        <w:tc>
          <w:tcPr>
            <w:tcW w:type="dxa" w:w="2098"/>
            <w:tcW w:w="2097" w:type="dxa"/>
            <w:shd w:val="clear" w:color="auto" w:fill="DCE6F1"/>
          </w:tcPr>
          <w:p>
            <w:pPr>
              <w:jc w:val="center"/>
            </w:pPr>
            <w:r/>
            <w:r>
              <w:rPr>
                <w:rFonts w:ascii="Cambria" w:hAnsi="Cambria"/>
                <w:b w:val="0"/>
                <w:sz w:val="18"/>
              </w:rPr>
              <w:t>Transport utilization data, feedback reports</w:t>
            </w:r>
          </w:p>
        </w:tc>
      </w:tr>
    </w:tbl>
    <w:p>
      <w:pPr>
        <w:keepNext/>
        <w:spacing w:before="200" w:after="120"/>
      </w:pPr>
      <w:r>
        <w:rPr>
          <w:rFonts w:ascii="Cambria" w:hAnsi="Cambria"/>
          <w:b/>
          <w:color w:val="1F3A5F"/>
          <w:sz w:val="30"/>
        </w:rPr>
        <w:t>5. Governance and Review Framework</w:t>
      </w:r>
    </w:p>
    <w:p>
      <w:pPr>
        <w:pStyle w:val="ListBullet"/>
        <w:jc w:val="both"/>
      </w:pPr>
      <w:r>
        <w:rPr>
          <w:rFonts w:ascii="Cambria" w:hAnsi="Cambria"/>
          <w:sz w:val="22"/>
        </w:rPr>
        <w:t>Reports to the Dean (Student Affairs) / Principal.</w:t>
      </w:r>
    </w:p>
    <w:p>
      <w:pPr>
        <w:pStyle w:val="ListBullet"/>
        <w:jc w:val="both"/>
      </w:pPr>
      <w:r>
        <w:rPr>
          <w:rFonts w:ascii="Cambria" w:hAnsi="Cambria"/>
          <w:sz w:val="22"/>
        </w:rPr>
        <w:t>Serves as Member Secretary of the Transport Committee.</w:t>
      </w:r>
    </w:p>
    <w:p>
      <w:pPr>
        <w:pStyle w:val="ListBullet"/>
        <w:jc w:val="both"/>
      </w:pPr>
      <w:r>
        <w:rPr>
          <w:rFonts w:ascii="Cambria" w:hAnsi="Cambria"/>
          <w:sz w:val="22"/>
        </w:rPr>
        <w:t>Coordinates with the Transport Officer, Estate Office, and Accounts Department.</w:t>
      </w:r>
    </w:p>
    <w:p>
      <w:pPr>
        <w:pStyle w:val="ListBullet"/>
        <w:jc w:val="both"/>
      </w:pPr>
      <w:r>
        <w:rPr>
          <w:rFonts w:ascii="Cambria" w:hAnsi="Cambria"/>
          <w:sz w:val="22"/>
        </w:rPr>
        <w:t>Conducts monthly and annual reviews to evaluate transport efficiency, safety, and sustainability.</w:t>
      </w:r>
    </w:p>
    <w:p>
      <w:pPr>
        <w:pStyle w:val="ListBullet"/>
        <w:jc w:val="both"/>
      </w:pPr>
      <w:r>
        <w:rPr>
          <w:rFonts w:ascii="Cambria" w:hAnsi="Cambria"/>
          <w:sz w:val="22"/>
        </w:rPr>
        <w:t>Submits review reports to IQAC and the Governing Council for decision-making and policy enhancement.</w:t>
      </w:r>
    </w:p>
    <w:p>
      <w:pPr>
        <w:keepNext/>
        <w:spacing w:before="200" w:after="120"/>
      </w:pPr>
      <w:r>
        <w:rPr>
          <w:rFonts w:ascii="Cambria" w:hAnsi="Cambria"/>
          <w:b/>
          <w:color w:val="1F3A5F"/>
          <w:sz w:val="30"/>
        </w:rPr>
        <w:t>6. Expected Outcomes</w:t>
      </w:r>
    </w:p>
    <w:p>
      <w:pPr>
        <w:pStyle w:val="ListBullet"/>
        <w:jc w:val="both"/>
      </w:pPr>
      <w:r>
        <w:rPr>
          <w:rFonts w:ascii="Cambria" w:hAnsi="Cambria"/>
          <w:sz w:val="22"/>
        </w:rPr>
        <w:t>Safe, efficient, and sustainable transport system for all stakeholders.</w:t>
      </w:r>
    </w:p>
    <w:p>
      <w:pPr>
        <w:pStyle w:val="ListBullet"/>
        <w:jc w:val="both"/>
      </w:pPr>
      <w:r>
        <w:rPr>
          <w:rFonts w:ascii="Cambria" w:hAnsi="Cambria"/>
          <w:sz w:val="22"/>
        </w:rPr>
        <w:t>Enhanced student satisfaction and accessibility, particularly for remote commuters.</w:t>
      </w:r>
    </w:p>
    <w:p>
      <w:pPr>
        <w:pStyle w:val="ListBullet"/>
        <w:jc w:val="both"/>
      </w:pPr>
      <w:r>
        <w:rPr>
          <w:rFonts w:ascii="Cambria" w:hAnsi="Cambria"/>
          <w:sz w:val="22"/>
        </w:rPr>
        <w:t>Reduction in carbon emissions and promotion of green mobility initiatives.</w:t>
      </w:r>
    </w:p>
    <w:p>
      <w:pPr>
        <w:pStyle w:val="ListBullet"/>
        <w:jc w:val="both"/>
      </w:pPr>
      <w:r>
        <w:rPr>
          <w:rFonts w:ascii="Cambria" w:hAnsi="Cambria"/>
          <w:sz w:val="22"/>
        </w:rPr>
        <w:t>Transparent documentation and compliance with regulatory and accreditation standards.</w:t>
      </w:r>
    </w:p>
    <w:p>
      <w:pPr>
        <w:pStyle w:val="ListBullet"/>
        <w:jc w:val="both"/>
      </w:pPr>
      <w:r>
        <w:rPr>
          <w:rFonts w:ascii="Cambria" w:hAnsi="Cambria"/>
          <w:sz w:val="22"/>
        </w:rPr>
        <w:t>Improved institutional standing under NAAC Criterion 4 (Infrastructure), NBA Criterion 9 (Support Systems), and QS I-GAUGE Environment &amp; Facilities Parameter.</w:t>
      </w:r>
    </w:p>
    <w:p>
      <w:pPr>
        <w:keepNext/>
        <w:spacing w:before="200" w:after="120"/>
      </w:pPr>
      <w:r>
        <w:rPr>
          <w:rFonts w:ascii="Cambria" w:hAnsi="Cambria"/>
          <w:b/>
          <w:color w:val="1F3A5F"/>
          <w:sz w:val="30"/>
        </w:rPr>
        <w:t>Documentation and Reporting Framework for the Associate Dean – Transport Affairs</w:t>
      </w:r>
    </w:p>
    <w:p>
      <w:pPr>
        <w:keepNext/>
        <w:spacing w:before="200" w:after="120"/>
      </w:pPr>
      <w:r>
        <w:rPr>
          <w:rFonts w:ascii="Cambria" w:hAnsi="Cambria"/>
          <w:b/>
          <w:color w:val="1F3A5F"/>
          <w:sz w:val="26"/>
        </w:rPr>
        <w:t>1. Maintain Registers and Digital Records</w:t>
      </w:r>
    </w:p>
    <w:p>
      <w:pPr>
        <w:pStyle w:val="ListBullet"/>
        <w:jc w:val="both"/>
      </w:pPr>
      <w:r>
        <w:rPr>
          <w:rFonts w:ascii="Cambria" w:hAnsi="Cambria"/>
          <w:sz w:val="22"/>
        </w:rPr>
        <w:t>The Associate Dean – Transport Affairs is responsible for ensuring that all transportation activities of the institution are properly recorded, monitored, and auditable.</w:t>
      </w:r>
    </w:p>
    <w:p>
      <w:pPr>
        <w:pStyle w:val="ListBullet"/>
        <w:jc w:val="both"/>
      </w:pPr>
      <w:r>
        <w:rPr>
          <w:rFonts w:ascii="Cambria" w:hAnsi="Cambria"/>
          <w:sz w:val="22"/>
        </w:rPr>
        <w:t>This includes maintaining both physical registers and digital records for complete transparency and easy retrieval during internal reviews or accreditation audits.</w:t>
      </w:r>
    </w:p>
    <w:p>
      <w:pPr>
        <w:pStyle w:val="ListBullet"/>
        <w:jc w:val="both"/>
      </w:pPr>
      <w:r>
        <w:rPr>
          <w:rFonts w:ascii="Cambria" w:hAnsi="Cambria"/>
          <w:sz w:val="22"/>
        </w:rPr>
        <w:t>The records include:</w:t>
      </w:r>
    </w:p>
    <w:p>
      <w:pPr>
        <w:pStyle w:val="ListBullet2"/>
        <w:jc w:val="both"/>
      </w:pPr>
      <w:r>
        <w:rPr>
          <w:rFonts w:ascii="Cambria" w:hAnsi="Cambria"/>
          <w:sz w:val="22"/>
        </w:rPr>
        <w:t>Daily Vehicle Logbooks and Fuel Registers:</w:t>
      </w:r>
    </w:p>
    <w:p>
      <w:pPr>
        <w:pStyle w:val="ListBullet2"/>
        <w:ind w:left="1077"/>
        <w:jc w:val="both"/>
      </w:pPr>
      <w:r>
        <w:rPr>
          <w:rFonts w:ascii="Cambria" w:hAnsi="Cambria"/>
          <w:sz w:val="22"/>
        </w:rPr>
        <w:t>These logs capture data such as vehicle numbers, trip start and end times, destinations, driver names, fuel consumption, and total kilometers covered.</w:t>
      </w:r>
    </w:p>
    <w:p>
      <w:pPr>
        <w:pStyle w:val="ListBullet2"/>
        <w:ind w:left="1077"/>
        <w:jc w:val="both"/>
      </w:pPr>
      <w:r>
        <w:rPr>
          <w:rFonts w:ascii="Cambria" w:hAnsi="Cambria"/>
          <w:sz w:val="22"/>
        </w:rPr>
        <w:t>Tracking this data helps ensure that the vehicles are being used efficiently, prevents misuse, and supports budget management through accurate fuel auditing.</w:t>
      </w:r>
    </w:p>
    <w:p>
      <w:pPr>
        <w:pStyle w:val="ListBullet2"/>
        <w:jc w:val="both"/>
      </w:pPr>
      <w:r>
        <w:rPr>
          <w:rFonts w:ascii="Cambria" w:hAnsi="Cambria"/>
          <w:sz w:val="22"/>
        </w:rPr>
        <w:t>Route Details and Student/Staff Transport Allocations:</w:t>
      </w:r>
    </w:p>
    <w:p>
      <w:pPr>
        <w:pStyle w:val="ListBullet2"/>
        <w:ind w:left="1077"/>
        <w:jc w:val="both"/>
      </w:pPr>
      <w:r>
        <w:rPr>
          <w:rFonts w:ascii="Cambria" w:hAnsi="Cambria"/>
          <w:sz w:val="22"/>
        </w:rPr>
        <w:t>Each bus or transport vehicle has a defined route and passenger list.</w:t>
      </w:r>
    </w:p>
    <w:p>
      <w:pPr>
        <w:pStyle w:val="ListBullet2"/>
        <w:ind w:left="1077"/>
        <w:jc w:val="both"/>
      </w:pPr>
      <w:r>
        <w:rPr>
          <w:rFonts w:ascii="Cambria" w:hAnsi="Cambria"/>
          <w:sz w:val="22"/>
        </w:rPr>
        <w:t>Maintaining updated route maps, pickup points, and timing schedules ensures safety, punctuality, and equitable access to transportation facilities for all users.</w:t>
      </w:r>
    </w:p>
    <w:p>
      <w:pPr>
        <w:pStyle w:val="ListBullet2"/>
        <w:jc w:val="both"/>
      </w:pPr>
      <w:r>
        <w:rPr>
          <w:rFonts w:ascii="Cambria" w:hAnsi="Cambria"/>
          <w:sz w:val="22"/>
        </w:rPr>
        <w:t>Safety Inspection Reports and Incident Records:</w:t>
      </w:r>
    </w:p>
    <w:p>
      <w:pPr>
        <w:pStyle w:val="ListBullet2"/>
        <w:ind w:left="1077"/>
        <w:jc w:val="both"/>
      </w:pPr>
      <w:r>
        <w:rPr>
          <w:rFonts w:ascii="Cambria" w:hAnsi="Cambria"/>
          <w:sz w:val="22"/>
        </w:rPr>
        <w:t>Regular safety checks and preventive maintenance reports ensure all vehicles meet regulatory and institutional safety standards.</w:t>
      </w:r>
    </w:p>
    <w:p>
      <w:pPr>
        <w:pStyle w:val="ListBullet2"/>
        <w:ind w:left="1077"/>
        <w:jc w:val="both"/>
      </w:pPr>
      <w:r>
        <w:rPr>
          <w:rFonts w:ascii="Cambria" w:hAnsi="Cambria"/>
          <w:sz w:val="22"/>
        </w:rPr>
        <w:t>Any incidents (accidents, delays, breakdowns, etc.) are documented with causes, actions taken, and preventive recommendations — essential for risk management and accountability.</w:t>
      </w:r>
    </w:p>
    <w:p>
      <w:pPr>
        <w:pStyle w:val="ListBullet2"/>
        <w:jc w:val="both"/>
      </w:pPr>
      <w:r>
        <w:rPr>
          <w:rFonts w:ascii="Cambria" w:hAnsi="Cambria"/>
          <w:sz w:val="22"/>
        </w:rPr>
        <w:t>Vendor Contracts, AMC Details, and Vehicle Documentation:</w:t>
      </w:r>
    </w:p>
    <w:p>
      <w:pPr>
        <w:pStyle w:val="ListBullet2"/>
        <w:ind w:left="1077"/>
        <w:jc w:val="both"/>
      </w:pPr>
      <w:r>
        <w:rPr>
          <w:rFonts w:ascii="Cambria" w:hAnsi="Cambria"/>
          <w:sz w:val="22"/>
        </w:rPr>
        <w:t>This includes agreements with transport contractors, details of Annual Maintenance Contracts (AMCs), and statutory documents like insurance certificates, pollution checks, and road tax receipts.</w:t>
      </w:r>
    </w:p>
    <w:p>
      <w:pPr>
        <w:pStyle w:val="ListBullet2"/>
        <w:ind w:left="1077"/>
        <w:jc w:val="both"/>
      </w:pPr>
      <w:r>
        <w:rPr>
          <w:rFonts w:ascii="Cambria" w:hAnsi="Cambria"/>
          <w:sz w:val="22"/>
        </w:rPr>
        <w:t>Maintaining this documentation ensures legal compliance and readiness for inspection by authorities such as the RTO or accreditation bodies.</w:t>
      </w:r>
    </w:p>
    <w:p>
      <w:pPr>
        <w:jc w:val="both"/>
      </w:pPr>
      <w:r>
        <w:rPr>
          <w:rFonts w:ascii="Cambria" w:hAnsi="Cambria"/>
          <w:b w:val="0"/>
          <w:i w:val="0"/>
          <w:sz w:val="22"/>
        </w:rPr>
        <w:t>Maintaining these records establishes traceability, accountability, and operational discipline in the transport system.</w:t>
      </w:r>
    </w:p>
    <w:p>
      <w:pPr>
        <w:keepNext/>
        <w:spacing w:before="200" w:after="120"/>
      </w:pPr>
      <w:r>
        <w:rPr>
          <w:rFonts w:ascii="Cambria" w:hAnsi="Cambria"/>
          <w:b/>
          <w:color w:val="1F3A5F"/>
          <w:sz w:val="26"/>
        </w:rPr>
        <w:t>2. Prepare Monthly, Quarterly, and Annual Reports</w:t>
      </w:r>
    </w:p>
    <w:p>
      <w:pPr>
        <w:pStyle w:val="ListBullet"/>
        <w:jc w:val="both"/>
      </w:pPr>
      <w:r>
        <w:rPr>
          <w:rFonts w:ascii="Cambria" w:hAnsi="Cambria"/>
          <w:sz w:val="22"/>
        </w:rPr>
        <w:t>The Associate Dean consolidates all transport-related data into periodic reports that summarize usage, maintenance, cost efficiency, and safety performance.</w:t>
      </w:r>
    </w:p>
    <w:p>
      <w:pPr>
        <w:pStyle w:val="ListBullet"/>
        <w:jc w:val="both"/>
      </w:pPr>
      <w:r>
        <w:rPr>
          <w:rFonts w:ascii="Cambria" w:hAnsi="Cambria"/>
          <w:sz w:val="22"/>
        </w:rPr>
        <w:t>These reports are submitted to the Internal Quality Assurance Cell (IQAC) and governing authorities for review and action.</w:t>
      </w:r>
    </w:p>
    <w:p>
      <w:pPr>
        <w:pStyle w:val="ListBullet"/>
        <w:jc w:val="both"/>
      </w:pPr>
      <w:r>
        <w:rPr>
          <w:rFonts w:ascii="Cambria" w:hAnsi="Cambria"/>
          <w:sz w:val="22"/>
        </w:rPr>
        <w:t>They typically include:</w:t>
      </w:r>
    </w:p>
    <w:p>
      <w:pPr>
        <w:pStyle w:val="ListBullet2"/>
        <w:jc w:val="both"/>
      </w:pPr>
      <w:r>
        <w:rPr>
          <w:rFonts w:ascii="Cambria" w:hAnsi="Cambria"/>
          <w:sz w:val="22"/>
        </w:rPr>
        <w:t>Number of active vehicles and routes.</w:t>
      </w:r>
    </w:p>
    <w:p>
      <w:pPr>
        <w:pStyle w:val="ListBullet2"/>
        <w:jc w:val="both"/>
      </w:pPr>
      <w:r>
        <w:rPr>
          <w:rFonts w:ascii="Cambria" w:hAnsi="Cambria"/>
          <w:sz w:val="22"/>
        </w:rPr>
        <w:t>Passenger usage statistics (students, faculty, staff).</w:t>
      </w:r>
    </w:p>
    <w:p>
      <w:pPr>
        <w:pStyle w:val="ListBullet2"/>
        <w:jc w:val="both"/>
      </w:pPr>
      <w:r>
        <w:rPr>
          <w:rFonts w:ascii="Cambria" w:hAnsi="Cambria"/>
          <w:sz w:val="22"/>
        </w:rPr>
        <w:t>Fuel efficiency trends.</w:t>
      </w:r>
    </w:p>
    <w:p>
      <w:pPr>
        <w:pStyle w:val="ListBullet2"/>
        <w:jc w:val="both"/>
      </w:pPr>
      <w:r>
        <w:rPr>
          <w:rFonts w:ascii="Cambria" w:hAnsi="Cambria"/>
          <w:sz w:val="22"/>
        </w:rPr>
        <w:t>Maintenance and repair summaries.</w:t>
      </w:r>
    </w:p>
    <w:p>
      <w:pPr>
        <w:pStyle w:val="ListBullet2"/>
        <w:jc w:val="both"/>
      </w:pPr>
      <w:r>
        <w:rPr>
          <w:rFonts w:ascii="Cambria" w:hAnsi="Cambria"/>
          <w:sz w:val="22"/>
        </w:rPr>
        <w:t>Safety incidents and preventive actions.</w:t>
      </w:r>
    </w:p>
    <w:p>
      <w:pPr>
        <w:pStyle w:val="ListBullet"/>
        <w:jc w:val="both"/>
      </w:pPr>
      <w:r>
        <w:rPr>
          <w:rFonts w:ascii="Cambria" w:hAnsi="Cambria"/>
          <w:sz w:val="22"/>
        </w:rPr>
        <w:t>Regular reporting supports data-driven decision-making and demonstrates continuous improvement — essential for institutional quality assurance.</w:t>
      </w:r>
    </w:p>
    <w:p>
      <w:pPr>
        <w:keepNext/>
        <w:spacing w:before="200" w:after="120"/>
      </w:pPr>
      <w:r>
        <w:rPr>
          <w:rFonts w:ascii="Cambria" w:hAnsi="Cambria"/>
          <w:b/>
          <w:color w:val="1F3A5F"/>
          <w:sz w:val="26"/>
        </w:rPr>
        <w:t>3. Policy → Action → Evidence → Outcome (PAEO) Framework</w:t>
      </w:r>
    </w:p>
    <w:p>
      <w:pPr>
        <w:pStyle w:val="ListBullet"/>
        <w:jc w:val="both"/>
      </w:pPr>
      <w:r>
        <w:rPr>
          <w:rFonts w:ascii="Cambria" w:hAnsi="Cambria"/>
          <w:sz w:val="22"/>
        </w:rPr>
        <w:t>The PAEO framework provides a structured, transparent, and traceable approach to documenting institutional transport activities:</w:t>
      </w:r>
    </w:p>
    <w:p>
      <w:pPr>
        <w:spacing w:after="120"/>
        <w:ind w:left="1077"/>
        <w:jc w:val="both"/>
      </w:pPr>
      <w:r>
        <w:rPr>
          <w:rFonts w:ascii="Cambria" w:hAnsi="Cambria"/>
          <w:b w:val="0"/>
          <w:i w:val="0"/>
          <w:sz w:val="22"/>
        </w:rPr>
        <w:t xml:space="preserve">Policy: The </w:t>
      </w:r>
      <w:r>
        <w:rPr>
          <w:rFonts w:ascii="Cambria" w:hAnsi="Cambria"/>
          <w:b w:val="0"/>
          <w:i/>
          <w:sz w:val="22"/>
        </w:rPr>
        <w:t>Transport and Safety Policy</w:t>
      </w:r>
      <w:r>
        <w:rPr>
          <w:rFonts w:ascii="Cambria" w:hAnsi="Cambria"/>
          <w:b w:val="0"/>
          <w:i w:val="0"/>
          <w:sz w:val="22"/>
        </w:rPr>
        <w:t xml:space="preserve"> defines rules on vehicle management, passenger safety, and sustainability practices.</w:t>
      </w:r>
    </w:p>
    <w:p>
      <w:pPr>
        <w:spacing w:after="120"/>
        <w:ind w:left="1077"/>
        <w:jc w:val="both"/>
      </w:pPr>
      <w:r>
        <w:rPr>
          <w:rFonts w:ascii="Cambria" w:hAnsi="Cambria"/>
          <w:b w:val="0"/>
          <w:i w:val="0"/>
          <w:sz w:val="22"/>
        </w:rPr>
        <w:t>Action: The steps taken to implement the policy — daily operations, route planning, maintenance, and training.</w:t>
      </w:r>
    </w:p>
    <w:p>
      <w:pPr>
        <w:spacing w:after="120"/>
        <w:ind w:left="1077"/>
        <w:jc w:val="both"/>
      </w:pPr>
      <w:r>
        <w:rPr>
          <w:rFonts w:ascii="Cambria" w:hAnsi="Cambria"/>
          <w:b w:val="0"/>
          <w:i w:val="0"/>
          <w:sz w:val="22"/>
        </w:rPr>
        <w:t>Evidence: The physical and digital records that verify actions — logbooks, inspection reports, and committee minutes.</w:t>
      </w:r>
    </w:p>
    <w:p>
      <w:pPr>
        <w:spacing w:after="120"/>
        <w:ind w:left="1077"/>
        <w:jc w:val="both"/>
      </w:pPr>
      <w:r>
        <w:rPr>
          <w:rFonts w:ascii="Cambria" w:hAnsi="Cambria"/>
          <w:b w:val="0"/>
          <w:i w:val="0"/>
          <w:sz w:val="22"/>
        </w:rPr>
        <w:t>Outcome: The measurable results such as reduced operational costs, improved safety compliance, better punctuality, and higher satisfaction among users.</w:t>
      </w:r>
    </w:p>
    <w:p>
      <w:pPr>
        <w:pStyle w:val="ListBullet"/>
        <w:jc w:val="both"/>
      </w:pPr>
      <w:r>
        <w:rPr>
          <w:rFonts w:ascii="Cambria" w:hAnsi="Cambria"/>
          <w:sz w:val="22"/>
        </w:rPr>
        <w:t>This model ensures that every action taken is backed by verifiable documentation and directly linked to institutional objectives and outcomes.</w:t>
      </w:r>
    </w:p>
    <w:p>
      <w:pPr>
        <w:keepNext/>
        <w:spacing w:before="200" w:after="120"/>
      </w:pPr>
      <w:r>
        <w:rPr>
          <w:rFonts w:ascii="Cambria" w:hAnsi="Cambria"/>
          <w:b/>
          <w:color w:val="1F3A5F"/>
          <w:sz w:val="26"/>
        </w:rPr>
        <w:t>4. Conduct Internal Audits and Compliance Reviews</w:t>
      </w:r>
    </w:p>
    <w:p>
      <w:pPr>
        <w:pStyle w:val="ListBullet"/>
        <w:jc w:val="both"/>
      </w:pPr>
      <w:r>
        <w:rPr>
          <w:rFonts w:ascii="Cambria" w:hAnsi="Cambria"/>
          <w:sz w:val="22"/>
        </w:rPr>
        <w:t>The Associate Dean coordinates periodic internal audits to verify that transport operations are conducted in line with institutional policies and regulatory norms.</w:t>
      </w:r>
    </w:p>
    <w:p>
      <w:pPr>
        <w:pStyle w:val="ListBullet"/>
        <w:jc w:val="both"/>
      </w:pPr>
      <w:r>
        <w:rPr>
          <w:rFonts w:ascii="Cambria" w:hAnsi="Cambria"/>
          <w:sz w:val="22"/>
        </w:rPr>
        <w:t>These audits check:</w:t>
      </w:r>
    </w:p>
    <w:p>
      <w:pPr>
        <w:pStyle w:val="ListBullet2"/>
        <w:jc w:val="both"/>
      </w:pPr>
      <w:r>
        <w:rPr>
          <w:rFonts w:ascii="Cambria" w:hAnsi="Cambria"/>
          <w:sz w:val="22"/>
        </w:rPr>
        <w:t>The accuracy of vehicle usage data.</w:t>
      </w:r>
    </w:p>
    <w:p>
      <w:pPr>
        <w:pStyle w:val="ListBullet2"/>
        <w:jc w:val="both"/>
      </w:pPr>
      <w:r>
        <w:rPr>
          <w:rFonts w:ascii="Cambria" w:hAnsi="Cambria"/>
          <w:sz w:val="22"/>
        </w:rPr>
        <w:t>The validity of insurance and permits.</w:t>
      </w:r>
    </w:p>
    <w:p>
      <w:pPr>
        <w:pStyle w:val="ListBullet2"/>
        <w:jc w:val="both"/>
      </w:pPr>
      <w:r>
        <w:rPr>
          <w:rFonts w:ascii="Cambria" w:hAnsi="Cambria"/>
          <w:sz w:val="22"/>
        </w:rPr>
        <w:t>The condition and safety compliance of vehicles.</w:t>
      </w:r>
    </w:p>
    <w:p>
      <w:pPr>
        <w:pStyle w:val="ListBullet2"/>
        <w:jc w:val="both"/>
      </w:pPr>
      <w:r>
        <w:rPr>
          <w:rFonts w:ascii="Cambria" w:hAnsi="Cambria"/>
          <w:sz w:val="22"/>
        </w:rPr>
        <w:t>Vendor contract adherence and billing transparency.</w:t>
      </w:r>
    </w:p>
    <w:p>
      <w:pPr>
        <w:pStyle w:val="ListBullet"/>
        <w:jc w:val="both"/>
      </w:pPr>
      <w:r>
        <w:rPr>
          <w:rFonts w:ascii="Cambria" w:hAnsi="Cambria"/>
          <w:sz w:val="22"/>
        </w:rPr>
        <w:t>Findings from these reviews are used to improve efficiency, reduce costs, and ensure institutional accountability.</w:t>
      </w:r>
    </w:p>
    <w:p>
      <w:pPr>
        <w:pStyle w:val="ListBullet"/>
        <w:jc w:val="both"/>
      </w:pPr>
      <w:r>
        <w:rPr>
          <w:rFonts w:ascii="Cambria" w:hAnsi="Cambria"/>
          <w:sz w:val="22"/>
        </w:rPr>
        <w:t>Internal audits also serve as evidence of governance and continuous improvement during accreditation reviews.</w:t>
      </w:r>
    </w:p>
    <w:p>
      <w:pPr>
        <w:keepNext/>
        <w:spacing w:before="200" w:after="120"/>
      </w:pPr>
      <w:r>
        <w:rPr>
          <w:rFonts w:ascii="Cambria" w:hAnsi="Cambria"/>
          <w:b/>
          <w:color w:val="1F3A5F"/>
          <w:sz w:val="26"/>
        </w:rPr>
        <w:t>5. Submit Transport Reports for NAAC/NBA and QS I-GAUGE</w:t>
      </w:r>
    </w:p>
    <w:p>
      <w:pPr>
        <w:pStyle w:val="ListBullet"/>
        <w:jc w:val="both"/>
      </w:pPr>
      <w:r>
        <w:rPr>
          <w:rFonts w:ascii="Cambria" w:hAnsi="Cambria"/>
          <w:sz w:val="22"/>
        </w:rPr>
        <w:t>The transport reports prepared by the Associate Dean contribute to accreditation and ranking evaluations:</w:t>
      </w:r>
    </w:p>
    <w:p>
      <w:pPr>
        <w:pStyle w:val="ListBullet2"/>
        <w:jc w:val="both"/>
      </w:pPr>
      <w:r>
        <w:rPr>
          <w:rFonts w:ascii="Cambria" w:hAnsi="Cambria"/>
          <w:sz w:val="22"/>
        </w:rPr>
        <w:t>NAAC (Criterion 4 – Infrastructure and Learning Resources): Demonstrates institutional infrastructure, safety standards, and environmental consciousness.</w:t>
      </w:r>
    </w:p>
    <w:p>
      <w:pPr>
        <w:pStyle w:val="ListBullet2"/>
        <w:jc w:val="both"/>
      </w:pPr>
      <w:r>
        <w:rPr>
          <w:rFonts w:ascii="Cambria" w:hAnsi="Cambria"/>
          <w:sz w:val="22"/>
        </w:rPr>
        <w:t>NBA (Criterion 9 – Student Support Systems): Shows how transport services support accessibility, punctuality, and student well-being.</w:t>
      </w:r>
    </w:p>
    <w:p>
      <w:pPr>
        <w:pStyle w:val="ListBullet2"/>
        <w:jc w:val="both"/>
      </w:pPr>
      <w:r>
        <w:rPr>
          <w:rFonts w:ascii="Cambria" w:hAnsi="Cambria"/>
          <w:sz w:val="22"/>
        </w:rPr>
        <w:t>QS I-GAUGE (Governance &amp; Structure, Social Responsibility): Highlights sustainable and student-friendly mobility initiatives, such as fuel efficiency and green transport.</w:t>
      </w:r>
    </w:p>
    <w:p>
      <w:pPr>
        <w:pStyle w:val="ListBullet"/>
        <w:jc w:val="both"/>
      </w:pPr>
      <w:r>
        <w:rPr>
          <w:rFonts w:ascii="Cambria" w:hAnsi="Cambria"/>
          <w:sz w:val="22"/>
        </w:rPr>
        <w:t>These reports reinforce the institution’s commitment to operational excellence, safety, and sustainability.</w:t>
      </w:r>
    </w:p>
    <w:p>
      <w:pPr>
        <w:keepNext/>
        <w:spacing w:before="200" w:after="120"/>
      </w:pPr>
      <w:r>
        <w:rPr>
          <w:rFonts w:ascii="Cambria" w:hAnsi="Cambria"/>
          <w:b/>
          <w:color w:val="1F3A5F"/>
          <w:sz w:val="26"/>
        </w:rPr>
        <w:t>6. Overall Purpose and Impact</w:t>
      </w:r>
    </w:p>
    <w:p>
      <w:pPr>
        <w:jc w:val="both"/>
      </w:pPr>
      <w:r>
        <w:rPr>
          <w:rFonts w:ascii="Cambria" w:hAnsi="Cambria"/>
          <w:b w:val="0"/>
          <w:i w:val="0"/>
          <w:sz w:val="22"/>
        </w:rPr>
        <w:t>This framework ensures that the institution’s transportation system is not only functional but also transparent, sustainable, and compliant with all statutory and quality assurance requirements.</w:t>
      </w:r>
    </w:p>
    <w:p>
      <w:pPr>
        <w:jc w:val="both"/>
      </w:pPr>
      <w:r>
        <w:rPr>
          <w:rFonts w:ascii="Cambria" w:hAnsi="Cambria"/>
          <w:b w:val="0"/>
          <w:i w:val="0"/>
          <w:sz w:val="22"/>
        </w:rPr>
        <w:t>It helps the institution to:</w:t>
      </w:r>
    </w:p>
    <w:p>
      <w:pPr>
        <w:pStyle w:val="ListBullet"/>
        <w:jc w:val="both"/>
      </w:pPr>
      <w:r>
        <w:rPr>
          <w:rFonts w:ascii="Cambria" w:hAnsi="Cambria"/>
          <w:sz w:val="22"/>
        </w:rPr>
        <w:t>Maintain safety and comfort for all users.</w:t>
      </w:r>
    </w:p>
    <w:p>
      <w:pPr>
        <w:pStyle w:val="ListBullet"/>
        <w:jc w:val="both"/>
      </w:pPr>
      <w:r>
        <w:rPr>
          <w:rFonts w:ascii="Cambria" w:hAnsi="Cambria"/>
          <w:sz w:val="22"/>
        </w:rPr>
        <w:t>Optimize resources through systematic monitoring.</w:t>
      </w:r>
    </w:p>
    <w:p>
      <w:pPr>
        <w:pStyle w:val="ListBullet"/>
        <w:jc w:val="both"/>
      </w:pPr>
      <w:r>
        <w:rPr>
          <w:rFonts w:ascii="Cambria" w:hAnsi="Cambria"/>
          <w:sz w:val="22"/>
        </w:rPr>
        <w:t>Ensure transparency in transport-related expenditures.</w:t>
      </w:r>
    </w:p>
    <w:p>
      <w:pPr>
        <w:pStyle w:val="ListBullet"/>
        <w:jc w:val="both"/>
      </w:pPr>
      <w:r>
        <w:rPr>
          <w:rFonts w:ascii="Cambria" w:hAnsi="Cambria"/>
          <w:sz w:val="22"/>
        </w:rPr>
        <w:t>Demonstrate compliance and efficiency during accreditation audits.</w:t>
      </w:r>
    </w:p>
    <w:p>
      <w:pPr>
        <w:jc w:val="both"/>
      </w:pPr>
      <w:r>
        <w:rPr>
          <w:rFonts w:ascii="Cambria" w:hAnsi="Cambria"/>
          <w:b w:val="0"/>
          <w:i w:val="0"/>
          <w:sz w:val="22"/>
        </w:rPr>
        <w:t>In summary, this framework allows the Associate Dean – Transport Affairs to build a data-driven, audit-ready, and sustainable transport management system that supports the institution’s mission of safety, quality, and operational excellence.</w:t>
      </w:r>
    </w:p>
    <w:p>
      <w:r>
        <w:br w:type="page"/>
      </w:r>
    </w:p>
    <w:p>
      <w:pPr>
        <w:keepNext/>
        <w:spacing w:before="280" w:after="160"/>
      </w:pPr>
      <w:r>
        <w:rPr>
          <w:rFonts w:ascii="Cambria" w:hAnsi="Cambria"/>
          <w:b/>
          <w:color w:val="1F3A5F"/>
          <w:sz w:val="36"/>
        </w:rPr>
        <w:t>7. Associate Dean – Student Discipline</w:t>
      </w:r>
    </w:p>
    <w:p>
      <w:pPr>
        <w:jc w:val="both"/>
      </w:pPr>
      <w:r>
        <w:rPr>
          <w:rFonts w:ascii="Cambria" w:hAnsi="Cambria"/>
          <w:b w:val="0"/>
          <w:i w:val="0"/>
          <w:sz w:val="22"/>
        </w:rPr>
        <w:t>The Associate Dean – Student Discipline is a senior academic-administrative officer responsible for maintaining discipline, ethical conduct, and decorum within the institution, ensuring a campus environment that is safe, respectful, and conducive to learning. Working under the supervision of the Dean – Student Affairs (DoSA), this role oversees the formulation, implementation, and enforcement of the Institutional Code of Conduct and all related disciplinary policies applicable to students. The Associate Dean ensures that students adhere to the institution’s core values of integrity, respect, and responsibility while balancing corrective measures with counselling and rehabilitation-oriented approaches.</w:t>
      </w:r>
    </w:p>
    <w:p>
      <w:pPr>
        <w:jc w:val="both"/>
      </w:pPr>
      <w:r>
        <w:rPr>
          <w:rFonts w:ascii="Cambria" w:hAnsi="Cambria"/>
          <w:b w:val="0"/>
          <w:i w:val="0"/>
          <w:sz w:val="22"/>
        </w:rPr>
        <w:t>Key responsibilities include chairing the Student Disciplinary Committee, investigating reported cases of misconduct, and ensuring fair and transparent resolution in line with institutional policies and national regulatory frameworks such as the UGC (Prevention, Prohibition and Redressal of Ragging) Regulations and the AICTE Code of Conduct Guidelines. The role involves organizing orientation and awareness programs on ethical behaviour, anti-ragging, academic integrity, cyber ethics, and responsible use of campus resources to foster a culture of mutual respect and accountability among students.</w:t>
      </w:r>
    </w:p>
    <w:p>
      <w:pPr>
        <w:jc w:val="both"/>
      </w:pPr>
      <w:r>
        <w:rPr>
          <w:rFonts w:ascii="Cambria" w:hAnsi="Cambria"/>
          <w:b w:val="0"/>
          <w:i w:val="0"/>
          <w:sz w:val="22"/>
        </w:rPr>
        <w:t>The Associate Dean also coordinates closely with other committees such as the Grievance Redressal Cell, Internal Complaints Committee (ICC), and Student Counselling Cell to provide a holistic approach to discipline and student welfare. Documentation of disciplinary cases, awareness programs, and preventive actions is systematically maintained following the Policy → Action → Evidence → Outcome (PAEO) framework to ensure transparency and readiness for NAAC, NBA, and QS I-GAUGE evaluations under Criterion 5 (Student Support and Progression) and Criterion 7 (Institutional Values and Best Practices).</w:t>
      </w:r>
    </w:p>
    <w:p>
      <w:pPr>
        <w:jc w:val="both"/>
      </w:pPr>
      <w:r>
        <w:rPr>
          <w:rFonts w:ascii="Cambria" w:hAnsi="Cambria"/>
          <w:b w:val="0"/>
          <w:i w:val="0"/>
          <w:sz w:val="22"/>
        </w:rPr>
        <w:t>Through proactive engagement, clear communication, and consistent enforcement of ethical standards, the Associate Dean – Student Discipline upholds the institution’s values, safeguards the rights and responsibilities of the student community, and contributes significantly to building a harmonious, inclusive, and value-based campus culture.</w:t>
      </w:r>
    </w:p>
    <w:p>
      <w:pPr>
        <w:keepNext/>
        <w:spacing w:before="200" w:after="120"/>
      </w:pPr>
      <w:r>
        <w:rPr>
          <w:rFonts w:ascii="Cambria" w:hAnsi="Cambria"/>
          <w:b/>
          <w:color w:val="1F3A5F"/>
          <w:sz w:val="30"/>
        </w:rPr>
        <w:t>1. Designation and Overview</w:t>
      </w:r>
    </w:p>
    <w:p>
      <w:pPr>
        <w:jc w:val="both"/>
      </w:pPr>
      <w:r>
        <w:rPr>
          <w:rFonts w:ascii="Cambria" w:hAnsi="Cambria"/>
          <w:b w:val="0"/>
          <w:i w:val="0"/>
          <w:sz w:val="22"/>
        </w:rPr>
        <w:t>The Associate Dean – Student Discipline is senior academic-administrative officer responsible for maintaining discipline, integrity, and ethical conduct among the student community. The role ensures the establishment of a safe, respectful, and value-driven campus environment where academic and behavioral standards are upheld in accordance with institutional policies, statutory regulations, and accreditation frameworks.</w:t>
      </w:r>
    </w:p>
    <w:p>
      <w:pPr>
        <w:jc w:val="both"/>
      </w:pPr>
      <w:r>
        <w:rPr>
          <w:rFonts w:ascii="Cambria" w:hAnsi="Cambria"/>
          <w:b/>
          <w:i w:val="0"/>
          <w:sz w:val="22"/>
        </w:rPr>
        <w:t>Purpose:</w:t>
      </w:r>
    </w:p>
    <w:p>
      <w:pPr>
        <w:pStyle w:val="ListBullet"/>
        <w:jc w:val="both"/>
      </w:pPr>
      <w:r>
        <w:rPr>
          <w:rFonts w:ascii="Cambria" w:hAnsi="Cambria"/>
          <w:sz w:val="22"/>
        </w:rPr>
        <w:t>To develop, implement, and enforce codes of conduct and disciplinary procedures across all academic and residential units.</w:t>
      </w:r>
    </w:p>
    <w:p>
      <w:pPr>
        <w:pStyle w:val="ListBullet"/>
        <w:jc w:val="both"/>
      </w:pPr>
      <w:r>
        <w:rPr>
          <w:rFonts w:ascii="Cambria" w:hAnsi="Cambria"/>
          <w:sz w:val="22"/>
        </w:rPr>
        <w:t>To promote a culture of respect, responsibility, and accountability among students.</w:t>
      </w:r>
    </w:p>
    <w:p>
      <w:pPr>
        <w:pStyle w:val="ListBullet"/>
        <w:jc w:val="both"/>
      </w:pPr>
      <w:r>
        <w:rPr>
          <w:rFonts w:ascii="Cambria" w:hAnsi="Cambria"/>
          <w:sz w:val="22"/>
        </w:rPr>
        <w:t>To ensure disciplinary mechanisms are transparent, fair, and rehabilitative rather than punitive.</w:t>
      </w:r>
    </w:p>
    <w:p>
      <w:pPr>
        <w:pStyle w:val="ListBullet"/>
        <w:jc w:val="both"/>
      </w:pPr>
      <w:r>
        <w:rPr>
          <w:rFonts w:ascii="Cambria" w:hAnsi="Cambria"/>
          <w:sz w:val="22"/>
        </w:rPr>
        <w:t>To align student discipline processes with UGC, AICTE, NAAC, NBA, and QS I-GAUGE regulatory frameworks.</w:t>
      </w:r>
    </w:p>
    <w:p>
      <w:pPr>
        <w:pStyle w:val="ListBullet"/>
        <w:jc w:val="both"/>
      </w:pPr>
      <w:r>
        <w:rPr>
          <w:rFonts w:ascii="Cambria" w:hAnsi="Cambria"/>
          <w:sz w:val="22"/>
        </w:rPr>
        <w:t>To strengthen institutional adherence to SDG-16 (Peace, Justice, and Strong Institutions) through ethical governance and student conduct.</w:t>
      </w:r>
    </w:p>
    <w:p>
      <w:pPr>
        <w:keepNext/>
        <w:spacing w:before="200" w:after="120"/>
      </w:pPr>
      <w:r>
        <w:rPr>
          <w:rFonts w:ascii="Cambria" w:hAnsi="Cambria"/>
          <w:b/>
          <w:color w:val="1F3A5F"/>
          <w:sz w:val="30"/>
        </w:rPr>
        <w:t>2. Core Functions</w:t>
      </w:r>
    </w:p>
    <w:p>
      <w:pPr>
        <w:pStyle w:val="ListBullet"/>
        <w:jc w:val="both"/>
      </w:pPr>
      <w:r>
        <w:rPr>
          <w:rFonts w:ascii="Cambria" w:hAnsi="Cambria"/>
          <w:sz w:val="22"/>
        </w:rPr>
        <w:t>Oversee the formulation and enforcement of the Institutional Code of Conduct for students.</w:t>
      </w:r>
    </w:p>
    <w:p>
      <w:pPr>
        <w:pStyle w:val="ListBullet"/>
        <w:jc w:val="both"/>
      </w:pPr>
      <w:r>
        <w:rPr>
          <w:rFonts w:ascii="Cambria" w:hAnsi="Cambria"/>
          <w:sz w:val="22"/>
        </w:rPr>
        <w:t>Ensure timely investigation and resolution of disciplinary cases with fairness and confidentiality.</w:t>
      </w:r>
    </w:p>
    <w:p>
      <w:pPr>
        <w:pStyle w:val="ListBullet"/>
        <w:jc w:val="both"/>
      </w:pPr>
      <w:r>
        <w:rPr>
          <w:rFonts w:ascii="Cambria" w:hAnsi="Cambria"/>
          <w:sz w:val="22"/>
        </w:rPr>
        <w:t>Promote preventive education and awareness programs on ethics, integrity, and campus behavior.</w:t>
      </w:r>
    </w:p>
    <w:p>
      <w:pPr>
        <w:pStyle w:val="ListBullet"/>
        <w:jc w:val="both"/>
      </w:pPr>
      <w:r>
        <w:rPr>
          <w:rFonts w:ascii="Cambria" w:hAnsi="Cambria"/>
          <w:sz w:val="22"/>
        </w:rPr>
        <w:t>Serve as the link between administration, faculty, and students in maintaining campus harmony.</w:t>
      </w:r>
    </w:p>
    <w:p>
      <w:pPr>
        <w:pStyle w:val="ListBullet"/>
        <w:jc w:val="both"/>
      </w:pPr>
      <w:r>
        <w:rPr>
          <w:rFonts w:ascii="Cambria" w:hAnsi="Cambria"/>
          <w:sz w:val="22"/>
        </w:rPr>
        <w:t>Collaborate with welfare and grievance committees for holistic student management.</w:t>
      </w:r>
    </w:p>
    <w:p>
      <w:pPr>
        <w:pStyle w:val="ListBullet"/>
        <w:jc w:val="both"/>
      </w:pPr>
      <w:r>
        <w:rPr>
          <w:rFonts w:ascii="Cambria" w:hAnsi="Cambria"/>
          <w:sz w:val="22"/>
        </w:rPr>
        <w:t>Integrate disciplinary processes within the Internal Quality Assurance Cell (IQAC) for institutional compliance and audit.</w:t>
      </w:r>
    </w:p>
    <w:p>
      <w:pPr>
        <w:keepNext/>
        <w:spacing w:before="200" w:after="120"/>
      </w:pPr>
      <w:r>
        <w:rPr>
          <w:rFonts w:ascii="Cambria" w:hAnsi="Cambria"/>
          <w:b/>
          <w:color w:val="1F3A5F"/>
          <w:sz w:val="30"/>
        </w:rPr>
        <w:t>3. Key Duties and Responsibilities</w:t>
      </w:r>
    </w:p>
    <w:p>
      <w:pPr>
        <w:keepNext/>
        <w:spacing w:before="200" w:after="120"/>
      </w:pPr>
      <w:r>
        <w:rPr>
          <w:rFonts w:ascii="Cambria" w:hAnsi="Cambria"/>
          <w:b/>
          <w:color w:val="1F3A5F"/>
          <w:sz w:val="26"/>
        </w:rPr>
        <w:t>A. Policy Formulation and Enforcement</w:t>
      </w:r>
    </w:p>
    <w:p>
      <w:pPr>
        <w:pStyle w:val="ListBullet"/>
        <w:jc w:val="both"/>
      </w:pPr>
      <w:r>
        <w:rPr>
          <w:rFonts w:ascii="Cambria" w:hAnsi="Cambria"/>
          <w:sz w:val="22"/>
        </w:rPr>
        <w:t>Develop and periodically review the Code of Conduct for Students, encompassing academic integrity, behavior, and campus ethics.</w:t>
      </w:r>
    </w:p>
    <w:p>
      <w:pPr>
        <w:pStyle w:val="ListBullet"/>
        <w:jc w:val="both"/>
      </w:pPr>
      <w:r>
        <w:rPr>
          <w:rFonts w:ascii="Cambria" w:hAnsi="Cambria"/>
          <w:sz w:val="22"/>
        </w:rPr>
        <w:t>Ensure that the Code of Conduct is communicated to all students during orientation and registration.</w:t>
      </w:r>
    </w:p>
    <w:p>
      <w:pPr>
        <w:pStyle w:val="ListBullet"/>
        <w:jc w:val="both"/>
      </w:pPr>
      <w:r>
        <w:rPr>
          <w:rFonts w:ascii="Cambria" w:hAnsi="Cambria"/>
          <w:sz w:val="22"/>
        </w:rPr>
        <w:t>Supervise the functioning of the Disciplinary Committee and ensure fair proceedings.</w:t>
      </w:r>
    </w:p>
    <w:p>
      <w:pPr>
        <w:pStyle w:val="ListBullet"/>
        <w:jc w:val="both"/>
      </w:pPr>
      <w:r>
        <w:rPr>
          <w:rFonts w:ascii="Cambria" w:hAnsi="Cambria"/>
          <w:sz w:val="22"/>
        </w:rPr>
        <w:t>Oversee recording, investigation, and resolution of disciplinary complaints and violations.</w:t>
      </w:r>
    </w:p>
    <w:p>
      <w:pPr>
        <w:pStyle w:val="ListBullet"/>
        <w:jc w:val="both"/>
      </w:pPr>
      <w:r>
        <w:rPr>
          <w:rFonts w:ascii="Cambria" w:hAnsi="Cambria"/>
          <w:sz w:val="22"/>
        </w:rPr>
        <w:t>Implement policies aligned with UGC (Student Discipline and Conduct) Regulations and institutional norms.</w:t>
      </w:r>
    </w:p>
    <w:p>
      <w:pPr>
        <w:pStyle w:val="ListBullet"/>
        <w:jc w:val="both"/>
      </w:pPr>
      <w:r>
        <w:rPr>
          <w:rFonts w:ascii="Cambria" w:hAnsi="Cambria"/>
          <w:sz w:val="22"/>
        </w:rPr>
        <w:t>Maintain records of warnings, actions taken, appeals, and resolutions in a secure and confidential manner.</w:t>
      </w:r>
    </w:p>
    <w:p>
      <w:pPr>
        <w:keepNext/>
        <w:spacing w:before="200" w:after="120"/>
      </w:pPr>
      <w:r>
        <w:rPr>
          <w:rFonts w:ascii="Cambria" w:hAnsi="Cambria"/>
          <w:b/>
          <w:color w:val="1F3A5F"/>
          <w:sz w:val="26"/>
        </w:rPr>
        <w:t>B. Student Behavior and Ethics Oversight</w:t>
      </w:r>
    </w:p>
    <w:p>
      <w:pPr>
        <w:pStyle w:val="ListBullet"/>
        <w:jc w:val="both"/>
      </w:pPr>
      <w:r>
        <w:rPr>
          <w:rFonts w:ascii="Cambria" w:hAnsi="Cambria"/>
          <w:sz w:val="22"/>
        </w:rPr>
        <w:t>Promote awareness of academic integrity, anti-ragging, and ethical behavior through workshops and campaigns.</w:t>
      </w:r>
    </w:p>
    <w:p>
      <w:pPr>
        <w:pStyle w:val="ListBullet"/>
        <w:jc w:val="both"/>
      </w:pPr>
      <w:r>
        <w:rPr>
          <w:rFonts w:ascii="Cambria" w:hAnsi="Cambria"/>
          <w:sz w:val="22"/>
        </w:rPr>
        <w:t>Ensure strict enforcement of policies related to ragging, bullying, sexual harassment, and substance abuse.</w:t>
      </w:r>
    </w:p>
    <w:p>
      <w:pPr>
        <w:pStyle w:val="ListBullet"/>
        <w:jc w:val="both"/>
      </w:pPr>
      <w:r>
        <w:rPr>
          <w:rFonts w:ascii="Cambria" w:hAnsi="Cambria"/>
          <w:sz w:val="22"/>
        </w:rPr>
        <w:t>Coordinate with the Internal Complaints Committee (ICC), Anti-Ragging Committee, and Grievance Redressal Cell for overlapping cases.</w:t>
      </w:r>
    </w:p>
    <w:p>
      <w:pPr>
        <w:pStyle w:val="ListBullet"/>
        <w:jc w:val="both"/>
      </w:pPr>
      <w:r>
        <w:rPr>
          <w:rFonts w:ascii="Cambria" w:hAnsi="Cambria"/>
          <w:sz w:val="22"/>
        </w:rPr>
        <w:t>Organize value education programs, seminars, and panel discussions to inculcate ethical leadership among students.</w:t>
      </w:r>
    </w:p>
    <w:p>
      <w:pPr>
        <w:pStyle w:val="ListBullet"/>
        <w:jc w:val="both"/>
      </w:pPr>
      <w:r>
        <w:rPr>
          <w:rFonts w:ascii="Cambria" w:hAnsi="Cambria"/>
          <w:sz w:val="22"/>
        </w:rPr>
        <w:t>Conduct regular inspections and interactions with student bodies to detect and deter indiscipline.</w:t>
      </w:r>
    </w:p>
    <w:p>
      <w:pPr>
        <w:keepNext/>
        <w:spacing w:before="200" w:after="120"/>
      </w:pPr>
      <w:r>
        <w:rPr>
          <w:rFonts w:ascii="Cambria" w:hAnsi="Cambria"/>
          <w:b/>
          <w:color w:val="1F3A5F"/>
          <w:sz w:val="26"/>
        </w:rPr>
        <w:t>C. Investigation and Redressal Process</w:t>
      </w:r>
    </w:p>
    <w:p>
      <w:pPr>
        <w:pStyle w:val="ListBullet"/>
        <w:jc w:val="both"/>
      </w:pPr>
      <w:r>
        <w:rPr>
          <w:rFonts w:ascii="Cambria" w:hAnsi="Cambria"/>
          <w:sz w:val="22"/>
        </w:rPr>
        <w:t>Establish a formal process for complaint registration, investigation, and disciplinary hearings.</w:t>
      </w:r>
    </w:p>
    <w:p>
      <w:pPr>
        <w:pStyle w:val="ListBullet"/>
        <w:jc w:val="both"/>
      </w:pPr>
      <w:r>
        <w:rPr>
          <w:rFonts w:ascii="Cambria" w:hAnsi="Cambria"/>
          <w:sz w:val="22"/>
        </w:rPr>
        <w:t>Constitute enquiry panels for impartial evaluation of reported misconduct.</w:t>
      </w:r>
    </w:p>
    <w:p>
      <w:pPr>
        <w:pStyle w:val="ListBullet"/>
        <w:jc w:val="both"/>
      </w:pPr>
      <w:r>
        <w:rPr>
          <w:rFonts w:ascii="Cambria" w:hAnsi="Cambria"/>
          <w:sz w:val="22"/>
        </w:rPr>
        <w:t>Ensure due process and natural justice principles are followed during disciplinary proceedings.</w:t>
      </w:r>
    </w:p>
    <w:p>
      <w:pPr>
        <w:pStyle w:val="ListBullet"/>
        <w:jc w:val="both"/>
      </w:pPr>
      <w:r>
        <w:rPr>
          <w:rFonts w:ascii="Cambria" w:hAnsi="Cambria"/>
          <w:sz w:val="22"/>
        </w:rPr>
        <w:t>Recommend appropriate corrective actions such as warnings, counselling, suspension, or community service.</w:t>
      </w:r>
    </w:p>
    <w:p>
      <w:pPr>
        <w:pStyle w:val="ListBullet"/>
        <w:jc w:val="both"/>
      </w:pPr>
      <w:r>
        <w:rPr>
          <w:rFonts w:ascii="Cambria" w:hAnsi="Cambria"/>
          <w:sz w:val="22"/>
        </w:rPr>
        <w:t>Provide appeal mechanisms for students to ensure fairness and procedural transparency.</w:t>
      </w:r>
    </w:p>
    <w:p>
      <w:pPr>
        <w:pStyle w:val="ListBullet"/>
        <w:jc w:val="both"/>
      </w:pPr>
      <w:r>
        <w:rPr>
          <w:rFonts w:ascii="Cambria" w:hAnsi="Cambria"/>
          <w:sz w:val="22"/>
        </w:rPr>
        <w:t>Maintain confidentiality and sensitivity in all disciplinary matters.</w:t>
      </w:r>
    </w:p>
    <w:p>
      <w:pPr>
        <w:keepNext/>
        <w:spacing w:before="200" w:after="120"/>
      </w:pPr>
      <w:r>
        <w:rPr>
          <w:rFonts w:ascii="Cambria" w:hAnsi="Cambria"/>
          <w:b/>
          <w:color w:val="1F3A5F"/>
          <w:sz w:val="26"/>
        </w:rPr>
        <w:t>D. Coordination, Training, and Compliance</w:t>
      </w:r>
    </w:p>
    <w:p>
      <w:pPr>
        <w:pStyle w:val="ListBullet"/>
        <w:jc w:val="both"/>
      </w:pPr>
      <w:r>
        <w:rPr>
          <w:rFonts w:ascii="Cambria" w:hAnsi="Cambria"/>
          <w:sz w:val="22"/>
        </w:rPr>
        <w:t>Collaborate with Dean (Student Affairs), Counselling Cell, and Welfare Committees for holistic disciplinary management.</w:t>
      </w:r>
    </w:p>
    <w:p>
      <w:pPr>
        <w:pStyle w:val="ListBullet"/>
        <w:jc w:val="both"/>
      </w:pPr>
      <w:r>
        <w:rPr>
          <w:rFonts w:ascii="Cambria" w:hAnsi="Cambria"/>
          <w:sz w:val="22"/>
        </w:rPr>
        <w:t>Train faculty advisors, wardens, and student representatives on disciplinary policies and communication protocols.</w:t>
      </w:r>
    </w:p>
    <w:p>
      <w:pPr>
        <w:pStyle w:val="ListBullet"/>
        <w:jc w:val="both"/>
      </w:pPr>
      <w:r>
        <w:rPr>
          <w:rFonts w:ascii="Cambria" w:hAnsi="Cambria"/>
          <w:sz w:val="22"/>
        </w:rPr>
        <w:t>Coordinate with security and legal advisors in cases requiring statutory reporting or external involvement.</w:t>
      </w:r>
    </w:p>
    <w:p>
      <w:pPr>
        <w:pStyle w:val="ListBullet"/>
        <w:jc w:val="both"/>
      </w:pPr>
      <w:r>
        <w:rPr>
          <w:rFonts w:ascii="Cambria" w:hAnsi="Cambria"/>
          <w:sz w:val="22"/>
        </w:rPr>
        <w:t>Ensure timely submission of disciplinary reports to IQAC, Academic Council, and Governing Body.</w:t>
      </w:r>
    </w:p>
    <w:p>
      <w:pPr>
        <w:pStyle w:val="ListBullet"/>
        <w:jc w:val="both"/>
      </w:pPr>
      <w:r>
        <w:rPr>
          <w:rFonts w:ascii="Cambria" w:hAnsi="Cambria"/>
          <w:sz w:val="22"/>
        </w:rPr>
        <w:t>Align disciplinary mechanisms with NAAC Criterion 7, NBA Criterion 10, and QS I-GAUGE Governance Indicators.</w:t>
      </w:r>
    </w:p>
    <w:p>
      <w:pPr>
        <w:keepNext/>
        <w:spacing w:before="200" w:after="120"/>
      </w:pPr>
      <w:r>
        <w:rPr>
          <w:rFonts w:ascii="Cambria" w:hAnsi="Cambria"/>
          <w:b/>
          <w:color w:val="1F3A5F"/>
          <w:sz w:val="30"/>
        </w:rPr>
        <w:t>4. Documentation and Reporting Duties</w:t>
      </w:r>
    </w:p>
    <w:p>
      <w:pPr>
        <w:pStyle w:val="ListBullet"/>
        <w:jc w:val="both"/>
      </w:pPr>
      <w:r>
        <w:rPr>
          <w:rFonts w:ascii="Cambria" w:hAnsi="Cambria"/>
          <w:sz w:val="22"/>
        </w:rPr>
        <w:t>Maintain registers for:</w:t>
      </w:r>
    </w:p>
    <w:p>
      <w:pPr>
        <w:pStyle w:val="ListBullet2"/>
        <w:jc w:val="both"/>
      </w:pPr>
      <w:r>
        <w:rPr>
          <w:rFonts w:ascii="Cambria" w:hAnsi="Cambria"/>
          <w:sz w:val="22"/>
        </w:rPr>
        <w:t>Student disciplinary cases and actions taken.</w:t>
      </w:r>
    </w:p>
    <w:p>
      <w:pPr>
        <w:pStyle w:val="ListBullet2"/>
        <w:jc w:val="both"/>
      </w:pPr>
      <w:r>
        <w:rPr>
          <w:rFonts w:ascii="Cambria" w:hAnsi="Cambria"/>
          <w:sz w:val="22"/>
        </w:rPr>
        <w:t>Committee meeting minutes and enquiry reports.</w:t>
      </w:r>
    </w:p>
    <w:p>
      <w:pPr>
        <w:pStyle w:val="ListBullet2"/>
        <w:jc w:val="both"/>
      </w:pPr>
      <w:r>
        <w:rPr>
          <w:rFonts w:ascii="Cambria" w:hAnsi="Cambria"/>
          <w:sz w:val="22"/>
        </w:rPr>
        <w:t>Records of awareness programs and preventive initiatives.</w:t>
      </w:r>
    </w:p>
    <w:p>
      <w:pPr>
        <w:pStyle w:val="ListBullet"/>
        <w:jc w:val="both"/>
      </w:pPr>
      <w:r>
        <w:rPr>
          <w:rFonts w:ascii="Cambria" w:hAnsi="Cambria"/>
          <w:sz w:val="22"/>
        </w:rPr>
        <w:t>Prepare monthly, quarterly, and annual disciplinary review reports.</w:t>
      </w:r>
    </w:p>
    <w:p>
      <w:pPr>
        <w:pStyle w:val="ListBullet"/>
        <w:jc w:val="both"/>
      </w:pPr>
      <w:r>
        <w:rPr>
          <w:rFonts w:ascii="Cambria" w:hAnsi="Cambria"/>
          <w:sz w:val="22"/>
        </w:rPr>
        <w:t>Ensure traceability and transparency using the Policy → Action → Evidence → Outcome (PAEO) framework.</w:t>
      </w:r>
    </w:p>
    <w:p>
      <w:pPr>
        <w:pStyle w:val="ListBullet"/>
        <w:jc w:val="both"/>
      </w:pPr>
      <w:r>
        <w:rPr>
          <w:rFonts w:ascii="Cambria" w:hAnsi="Cambria"/>
          <w:sz w:val="22"/>
        </w:rPr>
        <w:t>Archive all disciplinary documentation digitally for internal audits and accreditation compliance.</w:t>
      </w:r>
    </w:p>
    <w:p>
      <w:pPr>
        <w:pStyle w:val="ListBullet"/>
        <w:jc w:val="both"/>
      </w:pPr>
      <w:r>
        <w:rPr>
          <w:rFonts w:ascii="Cambria" w:hAnsi="Cambria"/>
          <w:sz w:val="22"/>
        </w:rPr>
        <w:t>Facilitate periodic internal audits to ensure procedural fairness and institutional accountability.</w:t>
      </w:r>
    </w:p>
    <w:p>
      <w:pPr>
        <w:keepNext/>
        <w:spacing w:before="200" w:after="120"/>
      </w:pPr>
      <w:r>
        <w:rPr>
          <w:rFonts w:ascii="Cambria" w:hAnsi="Cambria"/>
          <w:b/>
          <w:color w:val="1F3A5F"/>
          <w:sz w:val="30"/>
        </w:rPr>
        <w:t>5. Accreditation and Framework Mapping</w:t>
      </w:r>
    </w:p>
    <w:p>
      <w:pPr>
        <w:keepNext/>
        <w:spacing w:before="200" w:after="120"/>
      </w:pPr>
      <w:r>
        <w:rPr>
          <w:rFonts w:ascii="Cambria" w:hAnsi="Cambria"/>
          <w:b/>
          <w:color w:val="1F3A5F"/>
          <w:sz w:val="26"/>
        </w:rPr>
        <w:t>A. NAAC (National Assessment and Accreditation Council)</w:t>
      </w:r>
    </w:p>
    <w:tbl>
      <w:tblPr>
        <w:tblW w:type="auto" w:w="0"/>
        <w:jc w:val="center"/>
        <w:tblLayout w:type="fixed"/>
        <w:tblLook w:firstColumn="1" w:firstRow="1" w:lastColumn="0" w:lastRow="0" w:noHBand="0" w:noVBand="1" w:val="04A0"/>
        <w:tblW w:w="8334" w:type="dxa"/>
        <w:tblLayout w:type="fixed"/>
      </w:tblPr>
      <w:tblGrid>
        <w:gridCol w:w="1134"/>
        <w:gridCol w:w="2551"/>
        <w:gridCol w:w="2551"/>
        <w:gridCol w:w="2097"/>
      </w:tblGrid>
      <w:tr>
        <w:tc>
          <w:tcPr>
            <w:tcW w:type="dxa" w:w="1134"/>
            <w:tcW w:w="1134" w:type="dxa"/>
            <w:shd w:val="clear" w:color="auto" w:fill="1F3A5F"/>
          </w:tcPr>
          <w:p>
            <w:pPr>
              <w:jc w:val="center"/>
            </w:pPr>
            <w:r/>
            <w:r>
              <w:rPr>
                <w:rFonts w:ascii="Cambria" w:hAnsi="Cambria"/>
                <w:b/>
                <w:color w:val="FFFFFF"/>
                <w:sz w:val="22"/>
              </w:rPr>
              <w:t>Criterion</w:t>
            </w:r>
          </w:p>
        </w:tc>
        <w:tc>
          <w:tcPr>
            <w:tcW w:type="dxa" w:w="2551"/>
            <w:tcW w:w="2551" w:type="dxa"/>
            <w:shd w:val="clear" w:color="auto" w:fill="1F3A5F"/>
          </w:tcPr>
          <w:p>
            <w:pPr>
              <w:jc w:val="center"/>
            </w:pPr>
            <w:r/>
            <w:r>
              <w:rPr>
                <w:rFonts w:ascii="Cambria" w:hAnsi="Cambria"/>
                <w:b/>
                <w:color w:val="FFFFFF"/>
                <w:sz w:val="22"/>
              </w:rPr>
              <w:t>Indicator / Metric</w:t>
            </w:r>
          </w:p>
        </w:tc>
        <w:tc>
          <w:tcPr>
            <w:tcW w:type="dxa" w:w="2551"/>
            <w:tcW w:w="2551" w:type="dxa"/>
            <w:shd w:val="clear" w:color="auto" w:fill="1F3A5F"/>
          </w:tcPr>
          <w:p>
            <w:pPr>
              <w:jc w:val="center"/>
            </w:pPr>
            <w:r/>
            <w:r>
              <w:rPr>
                <w:rFonts w:ascii="Cambria" w:hAnsi="Cambria"/>
                <w:b/>
                <w:color w:val="FFFFFF"/>
                <w:sz w:val="22"/>
              </w:rPr>
              <w:t>Associate Dean’s Duties</w:t>
            </w:r>
          </w:p>
        </w:tc>
        <w:tc>
          <w:tcPr>
            <w:tcW w:type="dxa" w:w="2098"/>
            <w:tcW w:w="2097" w:type="dxa"/>
            <w:shd w:val="clear" w:color="auto" w:fill="1F3A5F"/>
          </w:tcPr>
          <w:p>
            <w:pPr>
              <w:jc w:val="center"/>
            </w:pPr>
            <w:r/>
            <w:r>
              <w:rPr>
                <w:rFonts w:ascii="Cambria" w:hAnsi="Cambria"/>
                <w:b/>
                <w:color w:val="FFFFFF"/>
                <w:sz w:val="22"/>
              </w:rPr>
              <w:t>Evidence / Records</w:t>
            </w:r>
          </w:p>
        </w:tc>
      </w:tr>
      <w:tr>
        <w:tc>
          <w:tcPr>
            <w:tcW w:type="dxa" w:w="1134"/>
            <w:tcW w:w="1134" w:type="dxa"/>
          </w:tcPr>
          <w:p>
            <w:pPr>
              <w:jc w:val="left"/>
            </w:pPr>
            <w:r/>
            <w:r>
              <w:rPr>
                <w:rFonts w:ascii="Cambria" w:hAnsi="Cambria"/>
                <w:b w:val="0"/>
                <w:sz w:val="18"/>
              </w:rPr>
              <w:t>5.1.4</w:t>
            </w:r>
          </w:p>
        </w:tc>
        <w:tc>
          <w:tcPr>
            <w:tcW w:type="dxa" w:w="2551"/>
            <w:tcW w:w="2551" w:type="dxa"/>
          </w:tcPr>
          <w:p>
            <w:pPr>
              <w:jc w:val="center"/>
            </w:pPr>
            <w:r/>
            <w:r>
              <w:rPr>
                <w:rFonts w:ascii="Cambria" w:hAnsi="Cambria"/>
                <w:b w:val="0"/>
                <w:sz w:val="18"/>
              </w:rPr>
              <w:t>Functioning of grievance and disciplinary mechanisms</w:t>
            </w:r>
          </w:p>
        </w:tc>
        <w:tc>
          <w:tcPr>
            <w:tcW w:type="dxa" w:w="2551"/>
            <w:tcW w:w="2551" w:type="dxa"/>
          </w:tcPr>
          <w:p>
            <w:pPr>
              <w:jc w:val="center"/>
            </w:pPr>
            <w:r/>
            <w:r>
              <w:rPr>
                <w:rFonts w:ascii="Cambria" w:hAnsi="Cambria"/>
                <w:b w:val="0"/>
                <w:sz w:val="18"/>
              </w:rPr>
              <w:t>Oversee disciplinary cases and ensure resolutions</w:t>
            </w:r>
          </w:p>
        </w:tc>
        <w:tc>
          <w:tcPr>
            <w:tcW w:type="dxa" w:w="2098"/>
            <w:tcW w:w="2097" w:type="dxa"/>
          </w:tcPr>
          <w:p>
            <w:pPr>
              <w:jc w:val="center"/>
            </w:pPr>
            <w:r/>
            <w:r>
              <w:rPr>
                <w:rFonts w:ascii="Cambria" w:hAnsi="Cambria"/>
                <w:b w:val="0"/>
                <w:sz w:val="18"/>
              </w:rPr>
              <w:t>Grievance/Discipline registers, ATRs</w:t>
            </w:r>
          </w:p>
        </w:tc>
      </w:tr>
      <w:tr>
        <w:tc>
          <w:tcPr>
            <w:tcW w:type="dxa" w:w="1134"/>
            <w:tcW w:w="1134" w:type="dxa"/>
            <w:shd w:val="clear" w:color="auto" w:fill="DCE6F1"/>
          </w:tcPr>
          <w:p>
            <w:pPr>
              <w:jc w:val="left"/>
            </w:pPr>
            <w:r/>
            <w:r>
              <w:rPr>
                <w:rFonts w:ascii="Cambria" w:hAnsi="Cambria"/>
                <w:b w:val="0"/>
                <w:sz w:val="18"/>
              </w:rPr>
              <w:t>6.5.2</w:t>
            </w:r>
          </w:p>
        </w:tc>
        <w:tc>
          <w:tcPr>
            <w:tcW w:type="dxa" w:w="2551"/>
            <w:tcW w:w="2551" w:type="dxa"/>
            <w:shd w:val="clear" w:color="auto" w:fill="DCE6F1"/>
          </w:tcPr>
          <w:p>
            <w:pPr>
              <w:jc w:val="center"/>
            </w:pPr>
            <w:r/>
            <w:r>
              <w:rPr>
                <w:rFonts w:ascii="Cambria" w:hAnsi="Cambria"/>
                <w:b w:val="0"/>
                <w:sz w:val="18"/>
              </w:rPr>
              <w:t>Internal Quality Assurance Cell participation</w:t>
            </w:r>
          </w:p>
        </w:tc>
        <w:tc>
          <w:tcPr>
            <w:tcW w:type="dxa" w:w="2551"/>
            <w:tcW w:w="2551" w:type="dxa"/>
            <w:shd w:val="clear" w:color="auto" w:fill="DCE6F1"/>
          </w:tcPr>
          <w:p>
            <w:pPr>
              <w:jc w:val="center"/>
            </w:pPr>
            <w:r/>
            <w:r>
              <w:rPr>
                <w:rFonts w:ascii="Cambria" w:hAnsi="Cambria"/>
                <w:b w:val="0"/>
                <w:sz w:val="18"/>
              </w:rPr>
              <w:t>Submit periodic reports on disciplinary actions</w:t>
            </w:r>
          </w:p>
        </w:tc>
        <w:tc>
          <w:tcPr>
            <w:tcW w:type="dxa" w:w="2098"/>
            <w:tcW w:w="2097" w:type="dxa"/>
            <w:shd w:val="clear" w:color="auto" w:fill="DCE6F1"/>
          </w:tcPr>
          <w:p>
            <w:pPr>
              <w:jc w:val="center"/>
            </w:pPr>
            <w:r/>
            <w:r>
              <w:rPr>
                <w:rFonts w:ascii="Cambria" w:hAnsi="Cambria"/>
                <w:b w:val="0"/>
                <w:sz w:val="18"/>
              </w:rPr>
              <w:t>IQAC minutes, compliance reports</w:t>
            </w:r>
          </w:p>
        </w:tc>
      </w:tr>
      <w:tr>
        <w:tc>
          <w:tcPr>
            <w:tcW w:type="dxa" w:w="1134"/>
            <w:tcW w:w="1134" w:type="dxa"/>
          </w:tcPr>
          <w:p>
            <w:pPr>
              <w:jc w:val="left"/>
            </w:pPr>
            <w:r/>
            <w:r>
              <w:rPr>
                <w:rFonts w:ascii="Cambria" w:hAnsi="Cambria"/>
                <w:b w:val="0"/>
                <w:sz w:val="18"/>
              </w:rPr>
              <w:t>7.1.6</w:t>
            </w:r>
          </w:p>
        </w:tc>
        <w:tc>
          <w:tcPr>
            <w:tcW w:type="dxa" w:w="2551"/>
            <w:tcW w:w="2551" w:type="dxa"/>
          </w:tcPr>
          <w:p>
            <w:pPr>
              <w:jc w:val="center"/>
            </w:pPr>
            <w:r/>
            <w:r>
              <w:rPr>
                <w:rFonts w:ascii="Cambria" w:hAnsi="Cambria"/>
                <w:b w:val="0"/>
                <w:sz w:val="18"/>
              </w:rPr>
              <w:t>Institutional initiatives for sustainability</w:t>
            </w:r>
          </w:p>
        </w:tc>
        <w:tc>
          <w:tcPr>
            <w:tcW w:type="dxa" w:w="2551"/>
            <w:tcW w:w="2551" w:type="dxa"/>
          </w:tcPr>
          <w:p>
            <w:pPr>
              <w:jc w:val="center"/>
            </w:pPr>
            <w:r/>
            <w:r>
              <w:rPr>
                <w:rFonts w:ascii="Cambria" w:hAnsi="Cambria"/>
                <w:b w:val="0"/>
                <w:sz w:val="18"/>
              </w:rPr>
              <w:t>Maintain peace and ethical culture across campus</w:t>
            </w:r>
          </w:p>
        </w:tc>
        <w:tc>
          <w:tcPr>
            <w:tcW w:type="dxa" w:w="2098"/>
            <w:tcW w:w="2097" w:type="dxa"/>
          </w:tcPr>
          <w:p>
            <w:pPr>
              <w:jc w:val="center"/>
            </w:pPr>
            <w:r/>
            <w:r>
              <w:rPr>
                <w:rFonts w:ascii="Cambria" w:hAnsi="Cambria"/>
                <w:b w:val="0"/>
                <w:sz w:val="18"/>
              </w:rPr>
              <w:t>Awareness reports, workshop evidence</w:t>
            </w:r>
          </w:p>
        </w:tc>
      </w:tr>
      <w:tr>
        <w:tc>
          <w:tcPr>
            <w:tcW w:type="dxa" w:w="1134"/>
            <w:tcW w:w="1134" w:type="dxa"/>
            <w:shd w:val="clear" w:color="auto" w:fill="DCE6F1"/>
          </w:tcPr>
          <w:p>
            <w:pPr>
              <w:jc w:val="left"/>
            </w:pPr>
            <w:r/>
            <w:r>
              <w:rPr>
                <w:rFonts w:ascii="Cambria" w:hAnsi="Cambria"/>
                <w:b w:val="0"/>
                <w:sz w:val="18"/>
              </w:rPr>
              <w:t>7.1.10</w:t>
            </w:r>
          </w:p>
        </w:tc>
        <w:tc>
          <w:tcPr>
            <w:tcW w:type="dxa" w:w="2551"/>
            <w:tcW w:w="2551" w:type="dxa"/>
            <w:shd w:val="clear" w:color="auto" w:fill="DCE6F1"/>
          </w:tcPr>
          <w:p>
            <w:pPr>
              <w:jc w:val="center"/>
            </w:pPr>
            <w:r/>
            <w:r>
              <w:rPr>
                <w:rFonts w:ascii="Cambria" w:hAnsi="Cambria"/>
                <w:b w:val="0"/>
                <w:sz w:val="18"/>
              </w:rPr>
              <w:t>Code of conduct, ethics, and values</w:t>
            </w:r>
          </w:p>
        </w:tc>
        <w:tc>
          <w:tcPr>
            <w:tcW w:type="dxa" w:w="2551"/>
            <w:tcW w:w="2551" w:type="dxa"/>
            <w:shd w:val="clear" w:color="auto" w:fill="DCE6F1"/>
          </w:tcPr>
          <w:p>
            <w:pPr>
              <w:jc w:val="center"/>
            </w:pPr>
            <w:r/>
            <w:r>
              <w:rPr>
                <w:rFonts w:ascii="Cambria" w:hAnsi="Cambria"/>
                <w:b w:val="0"/>
                <w:sz w:val="18"/>
              </w:rPr>
              <w:t>Develop and enforce the institutional code of conduct</w:t>
            </w:r>
          </w:p>
        </w:tc>
        <w:tc>
          <w:tcPr>
            <w:tcW w:type="dxa" w:w="2098"/>
            <w:tcW w:w="2097" w:type="dxa"/>
            <w:shd w:val="clear" w:color="auto" w:fill="DCE6F1"/>
          </w:tcPr>
          <w:p>
            <w:pPr>
              <w:jc w:val="center"/>
            </w:pPr>
            <w:r/>
            <w:r>
              <w:rPr>
                <w:rFonts w:ascii="Cambria" w:hAnsi="Cambria"/>
                <w:b w:val="0"/>
                <w:sz w:val="18"/>
              </w:rPr>
              <w:t>Policy documents, circulars, attendance records</w:t>
            </w:r>
          </w:p>
        </w:tc>
      </w:tr>
    </w:tbl>
    <w:p>
      <w:pPr>
        <w:keepNext/>
        <w:spacing w:before="200" w:after="120"/>
      </w:pPr>
      <w:r>
        <w:rPr>
          <w:rFonts w:ascii="Cambria" w:hAnsi="Cambria"/>
          <w:b/>
          <w:color w:val="1F3A5F"/>
          <w:sz w:val="26"/>
        </w:rPr>
        <w:t>B. NBA (National Board of Accreditation)</w:t>
      </w:r>
    </w:p>
    <w:tbl>
      <w:tblPr>
        <w:tblW w:type="auto" w:w="0"/>
        <w:jc w:val="center"/>
        <w:tblLayout w:type="fixed"/>
        <w:tblLook w:firstColumn="1" w:firstRow="1" w:lastColumn="0" w:lastRow="0" w:noHBand="0" w:noVBand="1" w:val="04A0"/>
        <w:tblW w:w="8334" w:type="dxa"/>
        <w:tblLayout w:type="fixed"/>
      </w:tblPr>
      <w:tblGrid>
        <w:gridCol w:w="1134"/>
        <w:gridCol w:w="2268"/>
        <w:gridCol w:w="2835"/>
        <w:gridCol w:w="2097"/>
      </w:tblGrid>
      <w:tr>
        <w:tc>
          <w:tcPr>
            <w:tcW w:type="dxa" w:w="1134"/>
            <w:tcW w:w="1134" w:type="dxa"/>
            <w:shd w:val="clear" w:color="auto" w:fill="1F3A5F"/>
          </w:tcPr>
          <w:p>
            <w:pPr>
              <w:jc w:val="center"/>
            </w:pPr>
            <w:r/>
            <w:r>
              <w:rPr>
                <w:rFonts w:ascii="Cambria" w:hAnsi="Cambria"/>
                <w:b/>
                <w:color w:val="FFFFFF"/>
                <w:sz w:val="22"/>
              </w:rPr>
              <w:t>Criterion</w:t>
            </w:r>
          </w:p>
        </w:tc>
        <w:tc>
          <w:tcPr>
            <w:tcW w:type="dxa" w:w="2268"/>
            <w:tcW w:w="2268" w:type="dxa"/>
            <w:shd w:val="clear" w:color="auto" w:fill="1F3A5F"/>
          </w:tcPr>
          <w:p>
            <w:pPr>
              <w:jc w:val="center"/>
            </w:pPr>
            <w:r/>
            <w:r>
              <w:rPr>
                <w:rFonts w:ascii="Cambria" w:hAnsi="Cambria"/>
                <w:b/>
                <w:color w:val="FFFFFF"/>
                <w:sz w:val="22"/>
              </w:rPr>
              <w:t>Focus Area</w:t>
            </w:r>
          </w:p>
        </w:tc>
        <w:tc>
          <w:tcPr>
            <w:tcW w:type="dxa" w:w="2835"/>
            <w:tcW w:w="2835" w:type="dxa"/>
            <w:shd w:val="clear" w:color="auto" w:fill="1F3A5F"/>
          </w:tcPr>
          <w:p>
            <w:pPr>
              <w:jc w:val="center"/>
            </w:pPr>
            <w:r/>
            <w:r>
              <w:rPr>
                <w:rFonts w:ascii="Cambria" w:hAnsi="Cambria"/>
                <w:b/>
                <w:color w:val="FFFFFF"/>
                <w:sz w:val="22"/>
              </w:rPr>
              <w:t>Associate Dean’s Duties</w:t>
            </w:r>
          </w:p>
        </w:tc>
        <w:tc>
          <w:tcPr>
            <w:tcW w:type="dxa" w:w="2098"/>
            <w:tcW w:w="2097" w:type="dxa"/>
            <w:shd w:val="clear" w:color="auto" w:fill="1F3A5F"/>
          </w:tcPr>
          <w:p>
            <w:pPr>
              <w:jc w:val="center"/>
            </w:pPr>
            <w:r/>
            <w:r>
              <w:rPr>
                <w:rFonts w:ascii="Cambria" w:hAnsi="Cambria"/>
                <w:b/>
                <w:color w:val="FFFFFF"/>
                <w:sz w:val="22"/>
              </w:rPr>
              <w:t>Evidence</w:t>
            </w:r>
          </w:p>
        </w:tc>
      </w:tr>
      <w:tr>
        <w:tc>
          <w:tcPr>
            <w:tcW w:type="dxa" w:w="1134"/>
            <w:tcW w:w="1134" w:type="dxa"/>
          </w:tcPr>
          <w:p>
            <w:pPr>
              <w:jc w:val="left"/>
            </w:pPr>
            <w:r/>
            <w:r>
              <w:rPr>
                <w:rFonts w:ascii="Cambria" w:hAnsi="Cambria"/>
                <w:b w:val="0"/>
                <w:sz w:val="19"/>
              </w:rPr>
              <w:t>8</w:t>
            </w:r>
          </w:p>
        </w:tc>
        <w:tc>
          <w:tcPr>
            <w:tcW w:type="dxa" w:w="2268"/>
            <w:tcW w:w="2268" w:type="dxa"/>
          </w:tcPr>
          <w:p>
            <w:pPr>
              <w:jc w:val="center"/>
            </w:pPr>
            <w:r/>
            <w:r>
              <w:rPr>
                <w:rFonts w:ascii="Cambria" w:hAnsi="Cambria"/>
                <w:b w:val="0"/>
                <w:sz w:val="19"/>
              </w:rPr>
              <w:t>First Year Academics</w:t>
            </w:r>
          </w:p>
        </w:tc>
        <w:tc>
          <w:tcPr>
            <w:tcW w:type="dxa" w:w="2835"/>
            <w:tcW w:w="2835" w:type="dxa"/>
          </w:tcPr>
          <w:p>
            <w:pPr>
              <w:jc w:val="center"/>
            </w:pPr>
            <w:r/>
            <w:r>
              <w:rPr>
                <w:rFonts w:ascii="Cambria" w:hAnsi="Cambria"/>
                <w:b w:val="0"/>
                <w:sz w:val="19"/>
              </w:rPr>
              <w:t>Introduce code of conduct during orientation</w:t>
            </w:r>
          </w:p>
        </w:tc>
        <w:tc>
          <w:tcPr>
            <w:tcW w:type="dxa" w:w="2098"/>
            <w:tcW w:w="2097" w:type="dxa"/>
          </w:tcPr>
          <w:p>
            <w:pPr>
              <w:jc w:val="center"/>
            </w:pPr>
            <w:r/>
            <w:r>
              <w:rPr>
                <w:rFonts w:ascii="Cambria" w:hAnsi="Cambria"/>
                <w:b w:val="0"/>
                <w:sz w:val="19"/>
              </w:rPr>
              <w:t>Orientation reports, awareness materials</w:t>
            </w:r>
          </w:p>
        </w:tc>
      </w:tr>
      <w:tr>
        <w:tc>
          <w:tcPr>
            <w:tcW w:type="dxa" w:w="1134"/>
            <w:tcW w:w="1134" w:type="dxa"/>
            <w:shd w:val="clear" w:color="auto" w:fill="DCE6F1"/>
          </w:tcPr>
          <w:p>
            <w:pPr>
              <w:jc w:val="left"/>
            </w:pPr>
            <w:r/>
            <w:r>
              <w:rPr>
                <w:rFonts w:ascii="Cambria" w:hAnsi="Cambria"/>
                <w:b w:val="0"/>
                <w:sz w:val="19"/>
              </w:rPr>
              <w:t>9</w:t>
            </w:r>
          </w:p>
        </w:tc>
        <w:tc>
          <w:tcPr>
            <w:tcW w:type="dxa" w:w="2268"/>
            <w:tcW w:w="2268" w:type="dxa"/>
            <w:shd w:val="clear" w:color="auto" w:fill="DCE6F1"/>
          </w:tcPr>
          <w:p>
            <w:pPr>
              <w:jc w:val="center"/>
            </w:pPr>
            <w:r/>
            <w:r>
              <w:rPr>
                <w:rFonts w:ascii="Cambria" w:hAnsi="Cambria"/>
                <w:b w:val="0"/>
                <w:sz w:val="19"/>
              </w:rPr>
              <w:t>Student Support Systems</w:t>
            </w:r>
          </w:p>
        </w:tc>
        <w:tc>
          <w:tcPr>
            <w:tcW w:type="dxa" w:w="2835"/>
            <w:tcW w:w="2835" w:type="dxa"/>
            <w:shd w:val="clear" w:color="auto" w:fill="DCE6F1"/>
          </w:tcPr>
          <w:p>
            <w:pPr>
              <w:jc w:val="center"/>
            </w:pPr>
            <w:r/>
            <w:r>
              <w:rPr>
                <w:rFonts w:ascii="Cambria" w:hAnsi="Cambria"/>
                <w:b w:val="0"/>
                <w:sz w:val="19"/>
              </w:rPr>
              <w:t>Handle discipline-related student support and behaviour counselling</w:t>
            </w:r>
          </w:p>
        </w:tc>
        <w:tc>
          <w:tcPr>
            <w:tcW w:type="dxa" w:w="2098"/>
            <w:tcW w:w="2097" w:type="dxa"/>
            <w:shd w:val="clear" w:color="auto" w:fill="DCE6F1"/>
          </w:tcPr>
          <w:p>
            <w:pPr>
              <w:jc w:val="center"/>
            </w:pPr>
            <w:r/>
            <w:r>
              <w:rPr>
                <w:rFonts w:ascii="Cambria" w:hAnsi="Cambria"/>
                <w:b w:val="0"/>
                <w:sz w:val="19"/>
              </w:rPr>
              <w:t>Counselling and discipline logs</w:t>
            </w:r>
          </w:p>
        </w:tc>
      </w:tr>
      <w:tr>
        <w:tc>
          <w:tcPr>
            <w:tcW w:type="dxa" w:w="1134"/>
            <w:tcW w:w="1134" w:type="dxa"/>
          </w:tcPr>
          <w:p>
            <w:pPr>
              <w:jc w:val="left"/>
            </w:pPr>
            <w:r/>
            <w:r>
              <w:rPr>
                <w:rFonts w:ascii="Cambria" w:hAnsi="Cambria"/>
                <w:b w:val="0"/>
                <w:sz w:val="19"/>
              </w:rPr>
              <w:t>10</w:t>
            </w:r>
          </w:p>
        </w:tc>
        <w:tc>
          <w:tcPr>
            <w:tcW w:type="dxa" w:w="2268"/>
            <w:tcW w:w="2268" w:type="dxa"/>
          </w:tcPr>
          <w:p>
            <w:pPr>
              <w:jc w:val="center"/>
            </w:pPr>
            <w:r/>
            <w:r>
              <w:rPr>
                <w:rFonts w:ascii="Cambria" w:hAnsi="Cambria"/>
                <w:b w:val="0"/>
                <w:sz w:val="19"/>
              </w:rPr>
              <w:t>Continuous Improvement</w:t>
            </w:r>
          </w:p>
        </w:tc>
        <w:tc>
          <w:tcPr>
            <w:tcW w:type="dxa" w:w="2835"/>
            <w:tcW w:w="2835" w:type="dxa"/>
          </w:tcPr>
          <w:p>
            <w:pPr>
              <w:jc w:val="center"/>
            </w:pPr>
            <w:r/>
            <w:r>
              <w:rPr>
                <w:rFonts w:ascii="Cambria" w:hAnsi="Cambria"/>
                <w:b w:val="0"/>
                <w:sz w:val="19"/>
              </w:rPr>
              <w:t>Periodic review and corrective measures for discipline management</w:t>
            </w:r>
          </w:p>
        </w:tc>
        <w:tc>
          <w:tcPr>
            <w:tcW w:type="dxa" w:w="2098"/>
            <w:tcW w:w="2097" w:type="dxa"/>
          </w:tcPr>
          <w:p>
            <w:pPr>
              <w:jc w:val="center"/>
            </w:pPr>
            <w:r/>
            <w:r>
              <w:rPr>
                <w:rFonts w:ascii="Cambria" w:hAnsi="Cambria"/>
                <w:b w:val="0"/>
                <w:sz w:val="19"/>
              </w:rPr>
              <w:t>Audit reports, action records</w:t>
            </w:r>
          </w:p>
        </w:tc>
      </w:tr>
    </w:tbl>
    <w:p>
      <w:pPr>
        <w:keepNext/>
        <w:spacing w:before="200" w:after="120"/>
      </w:pPr>
      <w:r>
        <w:rPr>
          <w:rFonts w:ascii="Cambria" w:hAnsi="Cambria"/>
          <w:b/>
          <w:color w:val="1F3A5F"/>
          <w:sz w:val="26"/>
        </w:rPr>
        <w:t>C. QS I-GAUGE Framework</w:t>
      </w:r>
    </w:p>
    <w:tbl>
      <w:tblPr>
        <w:tblW w:type="auto" w:w="0"/>
        <w:jc w:val="center"/>
        <w:tblLayout w:type="fixed"/>
        <w:tblLook w:firstColumn="1" w:firstRow="1" w:lastColumn="0" w:lastRow="0" w:noHBand="0" w:noVBand="1" w:val="04A0"/>
        <w:tblW w:w="8334" w:type="dxa"/>
        <w:tblLayout w:type="fixed"/>
      </w:tblPr>
      <w:tblGrid>
        <w:gridCol w:w="1701"/>
        <w:gridCol w:w="1984"/>
        <w:gridCol w:w="2551"/>
        <w:gridCol w:w="2097"/>
      </w:tblGrid>
      <w:tr>
        <w:tc>
          <w:tcPr>
            <w:tcW w:type="dxa" w:w="1701"/>
            <w:tcW w:w="1701" w:type="dxa"/>
            <w:shd w:val="clear" w:color="auto" w:fill="1F3A5F"/>
          </w:tcPr>
          <w:p>
            <w:pPr>
              <w:jc w:val="center"/>
            </w:pPr>
            <w:r/>
            <w:r>
              <w:rPr>
                <w:rFonts w:ascii="Cambria" w:hAnsi="Cambria"/>
                <w:b/>
                <w:color w:val="FFFFFF"/>
                <w:sz w:val="22"/>
              </w:rPr>
              <w:t>Parameter</w:t>
            </w:r>
          </w:p>
        </w:tc>
        <w:tc>
          <w:tcPr>
            <w:tcW w:type="dxa" w:w="1984"/>
            <w:tcW w:w="1984" w:type="dxa"/>
            <w:shd w:val="clear" w:color="auto" w:fill="1F3A5F"/>
          </w:tcPr>
          <w:p>
            <w:pPr>
              <w:jc w:val="center"/>
            </w:pPr>
            <w:r/>
            <w:r>
              <w:rPr>
                <w:rFonts w:ascii="Cambria" w:hAnsi="Cambria"/>
                <w:b/>
                <w:color w:val="FFFFFF"/>
                <w:sz w:val="22"/>
              </w:rPr>
              <w:t>Indicator</w:t>
            </w:r>
          </w:p>
        </w:tc>
        <w:tc>
          <w:tcPr>
            <w:tcW w:type="dxa" w:w="2551"/>
            <w:tcW w:w="2551" w:type="dxa"/>
            <w:shd w:val="clear" w:color="auto" w:fill="1F3A5F"/>
          </w:tcPr>
          <w:p>
            <w:pPr>
              <w:jc w:val="center"/>
            </w:pPr>
            <w:r/>
            <w:r>
              <w:rPr>
                <w:rFonts w:ascii="Cambria" w:hAnsi="Cambria"/>
                <w:b/>
                <w:color w:val="FFFFFF"/>
                <w:sz w:val="22"/>
              </w:rPr>
              <w:t>Associate Dean’s Contribution</w:t>
            </w:r>
          </w:p>
        </w:tc>
        <w:tc>
          <w:tcPr>
            <w:tcW w:type="dxa" w:w="2098"/>
            <w:tcW w:w="2097" w:type="dxa"/>
            <w:shd w:val="clear" w:color="auto" w:fill="1F3A5F"/>
          </w:tcPr>
          <w:p>
            <w:pPr>
              <w:jc w:val="center"/>
            </w:pPr>
            <w:r/>
            <w:r>
              <w:rPr>
                <w:rFonts w:ascii="Cambria" w:hAnsi="Cambria"/>
                <w:b/>
                <w:color w:val="FFFFFF"/>
                <w:sz w:val="22"/>
              </w:rPr>
              <w:t>Evidence / Deliverables</w:t>
            </w:r>
          </w:p>
        </w:tc>
      </w:tr>
      <w:tr>
        <w:tc>
          <w:tcPr>
            <w:tcW w:type="dxa" w:w="1701"/>
            <w:tcW w:w="1701" w:type="dxa"/>
          </w:tcPr>
          <w:p>
            <w:pPr>
              <w:jc w:val="left"/>
            </w:pPr>
            <w:r/>
            <w:r>
              <w:rPr>
                <w:rFonts w:ascii="Cambria" w:hAnsi="Cambria"/>
                <w:b w:val="0"/>
                <w:sz w:val="18"/>
              </w:rPr>
              <w:t>GS – Governance &amp; Structure</w:t>
            </w:r>
          </w:p>
        </w:tc>
        <w:tc>
          <w:tcPr>
            <w:tcW w:type="dxa" w:w="1984"/>
            <w:tcW w:w="1984" w:type="dxa"/>
          </w:tcPr>
          <w:p>
            <w:pPr>
              <w:jc w:val="center"/>
            </w:pPr>
            <w:r/>
            <w:r>
              <w:rPr>
                <w:rFonts w:ascii="Cambria" w:hAnsi="Cambria"/>
                <w:b w:val="0"/>
                <w:sz w:val="18"/>
              </w:rPr>
              <w:t>Ethical governance and student discipline</w:t>
            </w:r>
          </w:p>
        </w:tc>
        <w:tc>
          <w:tcPr>
            <w:tcW w:type="dxa" w:w="2551"/>
            <w:tcW w:w="2551" w:type="dxa"/>
          </w:tcPr>
          <w:p>
            <w:pPr>
              <w:jc w:val="center"/>
            </w:pPr>
            <w:r/>
            <w:r>
              <w:rPr>
                <w:rFonts w:ascii="Cambria" w:hAnsi="Cambria"/>
                <w:b w:val="0"/>
                <w:sz w:val="18"/>
              </w:rPr>
              <w:t>Enforce policies ensuring integrity and compliance</w:t>
            </w:r>
          </w:p>
        </w:tc>
        <w:tc>
          <w:tcPr>
            <w:tcW w:type="dxa" w:w="2098"/>
            <w:tcW w:w="2097" w:type="dxa"/>
          </w:tcPr>
          <w:p>
            <w:pPr>
              <w:jc w:val="center"/>
            </w:pPr>
            <w:r/>
            <w:r>
              <w:rPr>
                <w:rFonts w:ascii="Cambria" w:hAnsi="Cambria"/>
                <w:b w:val="0"/>
                <w:sz w:val="18"/>
              </w:rPr>
              <w:t>Code of Conduct, governance reports</w:t>
            </w:r>
          </w:p>
        </w:tc>
      </w:tr>
      <w:tr>
        <w:tc>
          <w:tcPr>
            <w:tcW w:type="dxa" w:w="1701"/>
            <w:tcW w:w="1701" w:type="dxa"/>
            <w:shd w:val="clear" w:color="auto" w:fill="DCE6F1"/>
          </w:tcPr>
          <w:p>
            <w:pPr>
              <w:jc w:val="left"/>
            </w:pPr>
            <w:r/>
            <w:r>
              <w:rPr>
                <w:rFonts w:ascii="Cambria" w:hAnsi="Cambria"/>
                <w:b w:val="0"/>
                <w:sz w:val="18"/>
              </w:rPr>
              <w:t>TL – Teaching &amp; Learning</w:t>
            </w:r>
          </w:p>
        </w:tc>
        <w:tc>
          <w:tcPr>
            <w:tcW w:type="dxa" w:w="1984"/>
            <w:tcW w:w="1984" w:type="dxa"/>
            <w:shd w:val="clear" w:color="auto" w:fill="DCE6F1"/>
          </w:tcPr>
          <w:p>
            <w:pPr>
              <w:jc w:val="center"/>
            </w:pPr>
            <w:r/>
            <w:r>
              <w:rPr>
                <w:rFonts w:ascii="Cambria" w:hAnsi="Cambria"/>
                <w:b w:val="0"/>
                <w:sz w:val="18"/>
              </w:rPr>
              <w:t>Ethical learning environment</w:t>
            </w:r>
          </w:p>
        </w:tc>
        <w:tc>
          <w:tcPr>
            <w:tcW w:type="dxa" w:w="2551"/>
            <w:tcW w:w="2551" w:type="dxa"/>
            <w:shd w:val="clear" w:color="auto" w:fill="DCE6F1"/>
          </w:tcPr>
          <w:p>
            <w:pPr>
              <w:jc w:val="center"/>
            </w:pPr>
            <w:r/>
            <w:r>
              <w:rPr>
                <w:rFonts w:ascii="Cambria" w:hAnsi="Cambria"/>
                <w:b w:val="0"/>
                <w:sz w:val="18"/>
              </w:rPr>
              <w:t>Promote discipline as part of academic ethics</w:t>
            </w:r>
          </w:p>
        </w:tc>
        <w:tc>
          <w:tcPr>
            <w:tcW w:type="dxa" w:w="2098"/>
            <w:tcW w:w="2097" w:type="dxa"/>
            <w:shd w:val="clear" w:color="auto" w:fill="DCE6F1"/>
          </w:tcPr>
          <w:p>
            <w:pPr>
              <w:jc w:val="center"/>
            </w:pPr>
            <w:r/>
            <w:r>
              <w:rPr>
                <w:rFonts w:ascii="Cambria" w:hAnsi="Cambria"/>
                <w:b w:val="0"/>
                <w:sz w:val="18"/>
              </w:rPr>
              <w:t>Academic integrity reports</w:t>
            </w:r>
          </w:p>
        </w:tc>
      </w:tr>
      <w:tr>
        <w:tc>
          <w:tcPr>
            <w:tcW w:type="dxa" w:w="1701"/>
            <w:tcW w:w="1701" w:type="dxa"/>
          </w:tcPr>
          <w:p>
            <w:pPr>
              <w:jc w:val="left"/>
            </w:pPr>
            <w:r/>
            <w:r>
              <w:rPr>
                <w:rFonts w:ascii="Cambria" w:hAnsi="Cambria"/>
                <w:b w:val="0"/>
                <w:sz w:val="18"/>
              </w:rPr>
              <w:t>SL – Social Responsibility</w:t>
            </w:r>
          </w:p>
        </w:tc>
        <w:tc>
          <w:tcPr>
            <w:tcW w:type="dxa" w:w="1984"/>
            <w:tcW w:w="1984" w:type="dxa"/>
          </w:tcPr>
          <w:p>
            <w:pPr>
              <w:jc w:val="center"/>
            </w:pPr>
            <w:r/>
            <w:r>
              <w:rPr>
                <w:rFonts w:ascii="Cambria" w:hAnsi="Cambria"/>
                <w:b w:val="0"/>
                <w:sz w:val="18"/>
              </w:rPr>
              <w:t>Peaceful and just campus culture</w:t>
            </w:r>
          </w:p>
        </w:tc>
        <w:tc>
          <w:tcPr>
            <w:tcW w:type="dxa" w:w="2551"/>
            <w:tcW w:w="2551" w:type="dxa"/>
          </w:tcPr>
          <w:p>
            <w:pPr>
              <w:jc w:val="center"/>
            </w:pPr>
            <w:r/>
            <w:r>
              <w:rPr>
                <w:rFonts w:ascii="Cambria" w:hAnsi="Cambria"/>
                <w:b w:val="0"/>
                <w:sz w:val="18"/>
              </w:rPr>
              <w:t>Implement anti-ragging and anti-harassment measures</w:t>
            </w:r>
          </w:p>
        </w:tc>
        <w:tc>
          <w:tcPr>
            <w:tcW w:type="dxa" w:w="2098"/>
            <w:tcW w:w="2097" w:type="dxa"/>
          </w:tcPr>
          <w:p>
            <w:pPr>
              <w:jc w:val="center"/>
            </w:pPr>
            <w:r/>
            <w:r>
              <w:rPr>
                <w:rFonts w:ascii="Cambria" w:hAnsi="Cambria"/>
                <w:b w:val="0"/>
                <w:sz w:val="18"/>
              </w:rPr>
              <w:t>Awareness programs, policy evidence</w:t>
            </w:r>
          </w:p>
        </w:tc>
      </w:tr>
      <w:tr>
        <w:tc>
          <w:tcPr>
            <w:tcW w:type="dxa" w:w="1701"/>
            <w:tcW w:w="1701" w:type="dxa"/>
            <w:shd w:val="clear" w:color="auto" w:fill="DCE6F1"/>
          </w:tcPr>
          <w:p>
            <w:pPr>
              <w:jc w:val="left"/>
            </w:pPr>
            <w:r/>
            <w:r>
              <w:rPr>
                <w:rFonts w:ascii="Cambria" w:hAnsi="Cambria"/>
                <w:b w:val="0"/>
                <w:sz w:val="18"/>
              </w:rPr>
              <w:t>DA – Diversity &amp; Accessibility</w:t>
            </w:r>
          </w:p>
        </w:tc>
        <w:tc>
          <w:tcPr>
            <w:tcW w:type="dxa" w:w="1984"/>
            <w:tcW w:w="1984" w:type="dxa"/>
            <w:shd w:val="clear" w:color="auto" w:fill="DCE6F1"/>
          </w:tcPr>
          <w:p>
            <w:pPr>
              <w:jc w:val="center"/>
            </w:pPr>
            <w:r/>
            <w:r>
              <w:rPr>
                <w:rFonts w:ascii="Cambria" w:hAnsi="Cambria"/>
                <w:b w:val="0"/>
                <w:sz w:val="18"/>
              </w:rPr>
              <w:t>Respect and inclusion</w:t>
            </w:r>
          </w:p>
        </w:tc>
        <w:tc>
          <w:tcPr>
            <w:tcW w:type="dxa" w:w="2551"/>
            <w:tcW w:w="2551" w:type="dxa"/>
            <w:shd w:val="clear" w:color="auto" w:fill="DCE6F1"/>
          </w:tcPr>
          <w:p>
            <w:pPr>
              <w:jc w:val="center"/>
            </w:pPr>
            <w:r/>
            <w:r>
              <w:rPr>
                <w:rFonts w:ascii="Cambria" w:hAnsi="Cambria"/>
                <w:b w:val="0"/>
                <w:sz w:val="18"/>
              </w:rPr>
              <w:t>Ensure non-discriminatory and equitable enforcement of discipline</w:t>
            </w:r>
          </w:p>
        </w:tc>
        <w:tc>
          <w:tcPr>
            <w:tcW w:type="dxa" w:w="2098"/>
            <w:tcW w:w="2097" w:type="dxa"/>
            <w:shd w:val="clear" w:color="auto" w:fill="DCE6F1"/>
          </w:tcPr>
          <w:p>
            <w:pPr>
              <w:jc w:val="center"/>
            </w:pPr>
            <w:r/>
            <w:r>
              <w:rPr>
                <w:rFonts w:ascii="Cambria" w:hAnsi="Cambria"/>
                <w:b w:val="0"/>
                <w:sz w:val="18"/>
              </w:rPr>
              <w:t>Reports, feedback surveys</w:t>
            </w:r>
          </w:p>
        </w:tc>
      </w:tr>
    </w:tbl>
    <w:p>
      <w:pPr>
        <w:keepNext/>
        <w:spacing w:before="200" w:after="120"/>
      </w:pPr>
      <w:r>
        <w:rPr>
          <w:rFonts w:ascii="Cambria" w:hAnsi="Cambria"/>
          <w:b/>
          <w:color w:val="1F3A5F"/>
          <w:sz w:val="30"/>
        </w:rPr>
        <w:t>6. Governance and Review Framework</w:t>
      </w:r>
    </w:p>
    <w:p>
      <w:pPr>
        <w:pStyle w:val="ListBullet"/>
        <w:jc w:val="both"/>
      </w:pPr>
      <w:r>
        <w:rPr>
          <w:rFonts w:ascii="Cambria" w:hAnsi="Cambria"/>
          <w:sz w:val="22"/>
        </w:rPr>
        <w:t>Reports to the Dean (Student Affairs) / Principal.</w:t>
      </w:r>
    </w:p>
    <w:p>
      <w:pPr>
        <w:pStyle w:val="ListBullet"/>
        <w:jc w:val="both"/>
      </w:pPr>
      <w:r>
        <w:rPr>
          <w:rFonts w:ascii="Cambria" w:hAnsi="Cambria"/>
          <w:sz w:val="22"/>
        </w:rPr>
        <w:t>Serves as Chairperson of the Student Disciplinary Committee.</w:t>
      </w:r>
    </w:p>
    <w:p>
      <w:pPr>
        <w:pStyle w:val="ListBullet"/>
        <w:jc w:val="both"/>
      </w:pPr>
      <w:r>
        <w:rPr>
          <w:rFonts w:ascii="Cambria" w:hAnsi="Cambria"/>
          <w:sz w:val="22"/>
        </w:rPr>
        <w:t>Coordinates with IQAC, Counselling Cell, and Legal Office for compliance.</w:t>
      </w:r>
    </w:p>
    <w:p>
      <w:pPr>
        <w:pStyle w:val="ListBullet"/>
        <w:jc w:val="both"/>
      </w:pPr>
      <w:r>
        <w:rPr>
          <w:rFonts w:ascii="Cambria" w:hAnsi="Cambria"/>
          <w:sz w:val="22"/>
        </w:rPr>
        <w:t>Conducts semester-wise reviews of disciplinary trends and submits findings to the Governing Council.</w:t>
      </w:r>
    </w:p>
    <w:p>
      <w:pPr>
        <w:pStyle w:val="ListBullet"/>
        <w:jc w:val="both"/>
      </w:pPr>
      <w:r>
        <w:rPr>
          <w:rFonts w:ascii="Cambria" w:hAnsi="Cambria"/>
          <w:sz w:val="22"/>
        </w:rPr>
        <w:t>Ensures alignment with NEP 2020, UGC, and AICTE policies on student ethics and institutional discipline.</w:t>
      </w:r>
    </w:p>
    <w:p>
      <w:pPr>
        <w:keepNext/>
        <w:spacing w:before="200" w:after="120"/>
      </w:pPr>
      <w:r>
        <w:rPr>
          <w:rFonts w:ascii="Cambria" w:hAnsi="Cambria"/>
          <w:b/>
          <w:color w:val="1F3A5F"/>
          <w:sz w:val="30"/>
        </w:rPr>
        <w:t>7. Expected Outcomes</w:t>
      </w:r>
    </w:p>
    <w:p>
      <w:pPr>
        <w:pStyle w:val="ListBullet"/>
        <w:jc w:val="both"/>
      </w:pPr>
      <w:r>
        <w:rPr>
          <w:rFonts w:ascii="Cambria" w:hAnsi="Cambria"/>
          <w:sz w:val="22"/>
        </w:rPr>
        <w:t>Maintenance of a peaceful, safe, and ethically governed campus environment.</w:t>
      </w:r>
    </w:p>
    <w:p>
      <w:pPr>
        <w:pStyle w:val="ListBullet"/>
        <w:jc w:val="both"/>
      </w:pPr>
      <w:r>
        <w:rPr>
          <w:rFonts w:ascii="Cambria" w:hAnsi="Cambria"/>
          <w:sz w:val="22"/>
        </w:rPr>
        <w:t>Reduction in disciplinary incidents through preventive awareness and student engagement.</w:t>
      </w:r>
    </w:p>
    <w:p>
      <w:pPr>
        <w:pStyle w:val="ListBullet"/>
        <w:jc w:val="both"/>
      </w:pPr>
      <w:r>
        <w:rPr>
          <w:rFonts w:ascii="Cambria" w:hAnsi="Cambria"/>
          <w:sz w:val="22"/>
        </w:rPr>
        <w:t>Strengthened institutional reputation through ethical governance and compliance readiness.</w:t>
      </w:r>
    </w:p>
    <w:p>
      <w:pPr>
        <w:pStyle w:val="ListBullet"/>
        <w:jc w:val="both"/>
      </w:pPr>
      <w:r>
        <w:rPr>
          <w:rFonts w:ascii="Cambria" w:hAnsi="Cambria"/>
          <w:sz w:val="22"/>
        </w:rPr>
        <w:t>Transparent documentation and measurable improvement under NAAC, NBA, and QS I-GAUGE frameworks.</w:t>
      </w:r>
    </w:p>
    <w:p>
      <w:pPr>
        <w:pStyle w:val="ListBullet"/>
        <w:jc w:val="both"/>
      </w:pPr>
      <w:r>
        <w:rPr>
          <w:rFonts w:ascii="Cambria" w:hAnsi="Cambria"/>
          <w:sz w:val="22"/>
        </w:rPr>
        <w:t>Promotion of student responsibility, empathy, and accountability as part of institutional culture.</w:t>
      </w:r>
    </w:p>
    <w:p>
      <w:pPr>
        <w:keepNext/>
        <w:spacing w:before="200" w:after="120"/>
      </w:pPr>
      <w:r>
        <w:rPr>
          <w:rFonts w:ascii="Cambria" w:hAnsi="Cambria"/>
          <w:b/>
          <w:color w:val="1F3A5F"/>
          <w:sz w:val="30"/>
        </w:rPr>
        <w:t>Documentation and Reporting Framework for the Associate Dean – Student Discipline</w:t>
      </w:r>
    </w:p>
    <w:p>
      <w:pPr>
        <w:keepNext/>
        <w:spacing w:before="200" w:after="120"/>
      </w:pPr>
      <w:r>
        <w:rPr>
          <w:rFonts w:ascii="Cambria" w:hAnsi="Cambria"/>
          <w:b/>
          <w:color w:val="1F3A5F"/>
          <w:sz w:val="26"/>
        </w:rPr>
        <w:t>1. Maintain Registers for Discipline-Related Activities</w:t>
      </w:r>
    </w:p>
    <w:p>
      <w:pPr>
        <w:pStyle w:val="ListBullet"/>
        <w:jc w:val="both"/>
      </w:pPr>
      <w:r>
        <w:rPr>
          <w:rFonts w:ascii="Cambria" w:hAnsi="Cambria"/>
          <w:sz w:val="22"/>
        </w:rPr>
        <w:t>The Associate Dean – Student Discipline plays a key role in ensuring that all disciplinary processes are transparent, fair, and verifiable.</w:t>
      </w:r>
    </w:p>
    <w:p>
      <w:pPr>
        <w:pStyle w:val="ListBullet"/>
        <w:jc w:val="both"/>
      </w:pPr>
      <w:r>
        <w:rPr>
          <w:rFonts w:ascii="Cambria" w:hAnsi="Cambria"/>
          <w:sz w:val="22"/>
        </w:rPr>
        <w:t>Maintaining structured registers and digital records serves as the foundation for accountability and traceability of all disciplinary actions.</w:t>
      </w:r>
    </w:p>
    <w:p>
      <w:pPr>
        <w:pStyle w:val="ListBullet"/>
        <w:jc w:val="both"/>
      </w:pPr>
      <w:r>
        <w:rPr>
          <w:rFonts w:ascii="Cambria" w:hAnsi="Cambria"/>
          <w:sz w:val="22"/>
        </w:rPr>
        <w:t>These records include:</w:t>
      </w:r>
    </w:p>
    <w:p>
      <w:pPr>
        <w:pStyle w:val="ListBullet2"/>
        <w:jc w:val="both"/>
      </w:pPr>
      <w:r>
        <w:rPr>
          <w:rFonts w:ascii="Cambria" w:hAnsi="Cambria"/>
          <w:sz w:val="22"/>
        </w:rPr>
        <w:t>Student Disciplinary Cases and Actions Taken: Every reported case of misconduct (e.g., academic dishonesty, ragging, behavioral issues) is recorded with details of the incident, investigation, and outcome. This creates a transparent record that can be reviewed by institutional authorities or auditors.</w:t>
      </w:r>
    </w:p>
    <w:p>
      <w:pPr>
        <w:pStyle w:val="ListBullet2"/>
        <w:jc w:val="both"/>
      </w:pPr>
      <w:r>
        <w:rPr>
          <w:rFonts w:ascii="Cambria" w:hAnsi="Cambria"/>
          <w:sz w:val="22"/>
        </w:rPr>
        <w:t>Committee Meeting Minutes and Enquiry Reports: Each case discussed in the Student Disciplinary Committee (SDC) or Anti-Ragging Committee must have documented minutes outlining discussions, evidence reviewed, and decisions made. These ensure procedural fairness and adherence to institutional policy.</w:t>
      </w:r>
    </w:p>
    <w:p>
      <w:pPr>
        <w:pStyle w:val="ListBullet2"/>
        <w:jc w:val="both"/>
      </w:pPr>
      <w:r>
        <w:rPr>
          <w:rFonts w:ascii="Cambria" w:hAnsi="Cambria"/>
          <w:sz w:val="22"/>
        </w:rPr>
        <w:t>Awareness Programs and Preventive Initiatives: All workshops, campaigns, and orientations on student ethics, anti-ragging, and responsible conduct are documented with attendance, feedback, and photographs. These show proactive institutional efforts in prevention, not just reaction.</w:t>
      </w:r>
    </w:p>
    <w:p>
      <w:pPr>
        <w:jc w:val="both"/>
      </w:pPr>
      <w:r>
        <w:rPr>
          <w:rFonts w:ascii="Cambria" w:hAnsi="Cambria"/>
          <w:b w:val="0"/>
          <w:i w:val="0"/>
          <w:sz w:val="22"/>
        </w:rPr>
        <w:t>Such documentation helps establish a complete disciplinary trail — from complaint to resolution — enhancing institutional credibility and readiness for audits.</w:t>
      </w:r>
    </w:p>
    <w:p>
      <w:pPr>
        <w:keepNext/>
        <w:spacing w:before="200" w:after="120"/>
      </w:pPr>
      <w:r>
        <w:rPr>
          <w:rFonts w:ascii="Cambria" w:hAnsi="Cambria"/>
          <w:b/>
          <w:color w:val="1F3A5F"/>
          <w:sz w:val="26"/>
        </w:rPr>
        <w:t>2. Prepare Monthly, Quarterly, and Annual Reports</w:t>
      </w:r>
    </w:p>
    <w:p>
      <w:pPr>
        <w:pStyle w:val="ListBullet"/>
        <w:jc w:val="both"/>
      </w:pPr>
      <w:r>
        <w:rPr>
          <w:rFonts w:ascii="Cambria" w:hAnsi="Cambria"/>
          <w:sz w:val="22"/>
        </w:rPr>
        <w:t>The Associate Dean must consolidate disciplinary data into periodic review reports.</w:t>
      </w:r>
    </w:p>
    <w:p>
      <w:pPr>
        <w:pStyle w:val="ListBullet"/>
        <w:jc w:val="both"/>
      </w:pPr>
      <w:r>
        <w:rPr>
          <w:rFonts w:ascii="Cambria" w:hAnsi="Cambria"/>
          <w:sz w:val="22"/>
        </w:rPr>
        <w:t>These reports are submitted to the Dean – Student Affairs (DoSA) and the Internal Quality Assurance Cell (IQAC) for continuous monitoring.</w:t>
      </w:r>
    </w:p>
    <w:p>
      <w:pPr>
        <w:pStyle w:val="ListBullet"/>
        <w:jc w:val="both"/>
      </w:pPr>
      <w:r>
        <w:rPr>
          <w:rFonts w:ascii="Cambria" w:hAnsi="Cambria"/>
          <w:sz w:val="22"/>
        </w:rPr>
        <w:t>The reports typically summarize:</w:t>
      </w:r>
    </w:p>
    <w:p>
      <w:pPr>
        <w:pStyle w:val="ListBullet2"/>
        <w:jc w:val="both"/>
      </w:pPr>
      <w:r>
        <w:rPr>
          <w:rFonts w:ascii="Cambria" w:hAnsi="Cambria"/>
          <w:sz w:val="22"/>
        </w:rPr>
        <w:t>Number and type of cases handled.</w:t>
      </w:r>
    </w:p>
    <w:p>
      <w:pPr>
        <w:pStyle w:val="ListBullet2"/>
        <w:jc w:val="both"/>
      </w:pPr>
      <w:r>
        <w:rPr>
          <w:rFonts w:ascii="Cambria" w:hAnsi="Cambria"/>
          <w:sz w:val="22"/>
        </w:rPr>
        <w:t>Nature of violations and frequency trends.</w:t>
      </w:r>
    </w:p>
    <w:p>
      <w:pPr>
        <w:pStyle w:val="ListBullet2"/>
        <w:jc w:val="both"/>
      </w:pPr>
      <w:r>
        <w:rPr>
          <w:rFonts w:ascii="Cambria" w:hAnsi="Cambria"/>
          <w:sz w:val="22"/>
        </w:rPr>
        <w:t>Disciplinary actions taken (warnings, suspensions, counselling, etc.).</w:t>
      </w:r>
    </w:p>
    <w:p>
      <w:pPr>
        <w:pStyle w:val="ListBullet2"/>
        <w:jc w:val="both"/>
      </w:pPr>
      <w:r>
        <w:rPr>
          <w:rFonts w:ascii="Cambria" w:hAnsi="Cambria"/>
          <w:sz w:val="22"/>
        </w:rPr>
        <w:t>Awareness or corrective measures implemented.</w:t>
      </w:r>
    </w:p>
    <w:p>
      <w:pPr>
        <w:pStyle w:val="ListBullet"/>
        <w:jc w:val="both"/>
      </w:pPr>
      <w:r>
        <w:rPr>
          <w:rFonts w:ascii="Cambria" w:hAnsi="Cambria"/>
          <w:sz w:val="22"/>
        </w:rPr>
        <w:t>These reviews help the institution identify patterns of student behavior, evaluate policy effectiveness, and plan preventive strategies.</w:t>
      </w:r>
    </w:p>
    <w:p>
      <w:pPr>
        <w:jc w:val="both"/>
      </w:pPr>
      <w:r>
        <w:rPr>
          <w:rFonts w:ascii="Cambria" w:hAnsi="Cambria"/>
          <w:b w:val="0"/>
          <w:i w:val="0"/>
          <w:sz w:val="22"/>
        </w:rPr>
        <w:t>The regular reporting structure ensures that disciplinary practices are not isolated incidents but part of a continuous, data-driven quality improvement process.</w:t>
      </w:r>
    </w:p>
    <w:p>
      <w:pPr>
        <w:keepNext/>
        <w:spacing w:before="200" w:after="120"/>
      </w:pPr>
      <w:r>
        <w:rPr>
          <w:rFonts w:ascii="Cambria" w:hAnsi="Cambria"/>
          <w:b/>
          <w:color w:val="1F3A5F"/>
          <w:sz w:val="26"/>
        </w:rPr>
        <w:t>3. Use of the Policy → Action → Evidence → Outcome (PAEO) Framework</w:t>
      </w:r>
    </w:p>
    <w:p>
      <w:pPr>
        <w:pStyle w:val="ListBullet"/>
        <w:jc w:val="both"/>
      </w:pPr>
      <w:r>
        <w:rPr>
          <w:rFonts w:ascii="Cambria" w:hAnsi="Cambria"/>
          <w:sz w:val="22"/>
        </w:rPr>
        <w:t>The PAEO model ensures that every disciplinary activity follows a transparent and traceable cycle:</w:t>
      </w:r>
    </w:p>
    <w:p>
      <w:pPr>
        <w:spacing w:after="120"/>
        <w:ind w:left="1077"/>
        <w:jc w:val="both"/>
      </w:pPr>
      <w:r>
        <w:rPr>
          <w:rFonts w:ascii="Cambria" w:hAnsi="Cambria"/>
          <w:b w:val="0"/>
          <w:i w:val="0"/>
          <w:sz w:val="22"/>
        </w:rPr>
        <w:t xml:space="preserve">Policy: Institutional policies like the </w:t>
      </w:r>
      <w:r>
        <w:rPr>
          <w:rFonts w:ascii="Cambria" w:hAnsi="Cambria"/>
          <w:b w:val="0"/>
          <w:i/>
          <w:sz w:val="22"/>
        </w:rPr>
        <w:t>Code of Conduct</w:t>
      </w:r>
      <w:r>
        <w:rPr>
          <w:rFonts w:ascii="Cambria" w:hAnsi="Cambria"/>
          <w:b w:val="0"/>
          <w:i w:val="0"/>
          <w:sz w:val="22"/>
        </w:rPr>
        <w:t xml:space="preserve"> and </w:t>
      </w:r>
      <w:r>
        <w:rPr>
          <w:rFonts w:ascii="Cambria" w:hAnsi="Cambria"/>
          <w:b w:val="0"/>
          <w:i/>
          <w:sz w:val="22"/>
        </w:rPr>
        <w:t>Anti-Ragging Guidelines</w:t>
      </w:r>
      <w:r>
        <w:rPr>
          <w:rFonts w:ascii="Cambria" w:hAnsi="Cambria"/>
          <w:b w:val="0"/>
          <w:i w:val="0"/>
          <w:sz w:val="22"/>
        </w:rPr>
        <w:t xml:space="preserve"> define acceptable student behavior and the framework for action.</w:t>
      </w:r>
    </w:p>
    <w:p>
      <w:pPr>
        <w:spacing w:after="120"/>
        <w:ind w:left="1077"/>
        <w:jc w:val="both"/>
      </w:pPr>
      <w:r>
        <w:rPr>
          <w:rFonts w:ascii="Cambria" w:hAnsi="Cambria"/>
          <w:b w:val="0"/>
          <w:i w:val="0"/>
          <w:sz w:val="22"/>
        </w:rPr>
        <w:t>Action: Implementation through investigations, hearings, or awareness programs.</w:t>
      </w:r>
    </w:p>
    <w:p>
      <w:pPr>
        <w:spacing w:after="120"/>
        <w:ind w:left="1077"/>
        <w:jc w:val="both"/>
      </w:pPr>
      <w:r>
        <w:rPr>
          <w:rFonts w:ascii="Cambria" w:hAnsi="Cambria"/>
          <w:b w:val="0"/>
          <w:i w:val="0"/>
          <w:sz w:val="22"/>
        </w:rPr>
        <w:t>Evidence: Supporting documents such as enquiry reports, attendance lists, meeting minutes, and notices that verify each step was properly conducted.</w:t>
      </w:r>
    </w:p>
    <w:p>
      <w:pPr>
        <w:spacing w:after="120"/>
        <w:ind w:left="1077"/>
        <w:jc w:val="both"/>
      </w:pPr>
      <w:r>
        <w:rPr>
          <w:rFonts w:ascii="Cambria" w:hAnsi="Cambria"/>
          <w:b w:val="0"/>
          <w:i w:val="0"/>
          <w:sz w:val="22"/>
        </w:rPr>
        <w:t>Outcome: The measurable results, such as resolved grievances, improved student discipline, and a safer campus environment.</w:t>
      </w:r>
    </w:p>
    <w:p>
      <w:pPr>
        <w:jc w:val="both"/>
      </w:pPr>
      <w:r>
        <w:rPr>
          <w:rFonts w:ascii="Cambria" w:hAnsi="Cambria"/>
          <w:b w:val="0"/>
          <w:i w:val="0"/>
          <w:sz w:val="22"/>
        </w:rPr>
        <w:t>This model aligns disciplinary governance with NAAC, NBA, and QS I-GAUGE expectations for accountability and continuous improvement. It ensures that disciplinary procedures are not only corrective but also reflective and outcome-based.</w:t>
      </w:r>
    </w:p>
    <w:p>
      <w:pPr>
        <w:keepNext/>
        <w:spacing w:before="200" w:after="120"/>
      </w:pPr>
      <w:r>
        <w:rPr>
          <w:rFonts w:ascii="Cambria" w:hAnsi="Cambria"/>
          <w:b/>
          <w:color w:val="1F3A5F"/>
          <w:sz w:val="26"/>
        </w:rPr>
        <w:t>4. Digital Archiving for Transparency and Audits</w:t>
      </w:r>
    </w:p>
    <w:p>
      <w:pPr>
        <w:pStyle w:val="ListBullet"/>
        <w:jc w:val="both"/>
      </w:pPr>
      <w:r>
        <w:rPr>
          <w:rFonts w:ascii="Cambria" w:hAnsi="Cambria"/>
          <w:sz w:val="22"/>
        </w:rPr>
        <w:t>All disciplinary records must be stored digitally for accessibility, security, and audit readiness.</w:t>
      </w:r>
    </w:p>
    <w:p>
      <w:pPr>
        <w:pStyle w:val="ListBullet"/>
        <w:jc w:val="both"/>
      </w:pPr>
      <w:r>
        <w:rPr>
          <w:rFonts w:ascii="Cambria" w:hAnsi="Cambria"/>
          <w:sz w:val="22"/>
        </w:rPr>
        <w:t>Digital archiving ensures that data can be easily retrieved for:</w:t>
      </w:r>
    </w:p>
    <w:p>
      <w:pPr>
        <w:pStyle w:val="ListBullet2"/>
        <w:jc w:val="both"/>
      </w:pPr>
      <w:r>
        <w:rPr>
          <w:rFonts w:ascii="Cambria" w:hAnsi="Cambria"/>
          <w:sz w:val="22"/>
        </w:rPr>
        <w:t>Internal audits conducted by the IQAC or institutional authorities.</w:t>
      </w:r>
    </w:p>
    <w:p>
      <w:pPr>
        <w:pStyle w:val="ListBullet2"/>
        <w:jc w:val="both"/>
      </w:pPr>
      <w:r>
        <w:rPr>
          <w:rFonts w:ascii="Cambria" w:hAnsi="Cambria"/>
          <w:sz w:val="22"/>
        </w:rPr>
        <w:t>External evaluations such as NAAC Criterion 5 (Student Support and Progression) and Criterion 7 (Institutional Values and Best Practices).</w:t>
      </w:r>
    </w:p>
    <w:p>
      <w:pPr>
        <w:pStyle w:val="ListBullet2"/>
        <w:jc w:val="both"/>
      </w:pPr>
      <w:r>
        <w:rPr>
          <w:rFonts w:ascii="Cambria" w:hAnsi="Cambria"/>
          <w:sz w:val="22"/>
        </w:rPr>
        <w:t>Statutory compliance with bodies like UGC and AICTE.</w:t>
      </w:r>
    </w:p>
    <w:p>
      <w:pPr>
        <w:pStyle w:val="ListBullet"/>
        <w:jc w:val="both"/>
      </w:pPr>
      <w:r>
        <w:rPr>
          <w:rFonts w:ascii="Cambria" w:hAnsi="Cambria"/>
          <w:sz w:val="22"/>
        </w:rPr>
        <w:t>Archiving also helps track long-term trends and institutional progress in maintaining student discipline and ethical conduct.</w:t>
      </w:r>
    </w:p>
    <w:p>
      <w:pPr>
        <w:keepNext/>
        <w:spacing w:before="200" w:after="120"/>
      </w:pPr>
      <w:r>
        <w:rPr>
          <w:rFonts w:ascii="Cambria" w:hAnsi="Cambria"/>
          <w:b/>
          <w:color w:val="1F3A5F"/>
          <w:sz w:val="26"/>
        </w:rPr>
        <w:t>5. Facilitate Periodic Internal Audits</w:t>
      </w:r>
    </w:p>
    <w:p>
      <w:pPr>
        <w:pStyle w:val="ListBullet"/>
        <w:jc w:val="both"/>
      </w:pPr>
      <w:r>
        <w:rPr>
          <w:rFonts w:ascii="Cambria" w:hAnsi="Cambria"/>
          <w:sz w:val="22"/>
        </w:rPr>
        <w:t>The Associate Dean coordinates internal audits of disciplinary procedures to verify fairness, consistency, and adherence to policy.</w:t>
      </w:r>
    </w:p>
    <w:p>
      <w:pPr>
        <w:pStyle w:val="ListBullet"/>
        <w:jc w:val="both"/>
      </w:pPr>
      <w:r>
        <w:rPr>
          <w:rFonts w:ascii="Cambria" w:hAnsi="Cambria"/>
          <w:sz w:val="22"/>
        </w:rPr>
        <w:t>Audits evaluate:</w:t>
      </w:r>
    </w:p>
    <w:p>
      <w:pPr>
        <w:pStyle w:val="ListBullet2"/>
        <w:jc w:val="both"/>
      </w:pPr>
      <w:r>
        <w:rPr>
          <w:rFonts w:ascii="Cambria" w:hAnsi="Cambria"/>
          <w:sz w:val="22"/>
        </w:rPr>
        <w:t>Timeliness of case handling.</w:t>
      </w:r>
    </w:p>
    <w:p>
      <w:pPr>
        <w:pStyle w:val="ListBullet2"/>
        <w:jc w:val="both"/>
      </w:pPr>
      <w:r>
        <w:rPr>
          <w:rFonts w:ascii="Cambria" w:hAnsi="Cambria"/>
          <w:sz w:val="22"/>
        </w:rPr>
        <w:t>Fairness of committee decisions.</w:t>
      </w:r>
    </w:p>
    <w:p>
      <w:pPr>
        <w:pStyle w:val="ListBullet2"/>
        <w:jc w:val="both"/>
      </w:pPr>
      <w:r>
        <w:rPr>
          <w:rFonts w:ascii="Cambria" w:hAnsi="Cambria"/>
          <w:sz w:val="22"/>
        </w:rPr>
        <w:t>Effectiveness of preventive initiatives.</w:t>
      </w:r>
    </w:p>
    <w:p>
      <w:pPr>
        <w:pStyle w:val="ListBullet2"/>
        <w:jc w:val="both"/>
      </w:pPr>
      <w:r>
        <w:rPr>
          <w:rFonts w:ascii="Cambria" w:hAnsi="Cambria"/>
          <w:sz w:val="22"/>
        </w:rPr>
        <w:t>Adequacy of documentation and record-keeping.</w:t>
      </w:r>
    </w:p>
    <w:p>
      <w:pPr>
        <w:pStyle w:val="ListBullet"/>
        <w:jc w:val="both"/>
      </w:pPr>
      <w:r>
        <w:rPr>
          <w:rFonts w:ascii="Cambria" w:hAnsi="Cambria"/>
          <w:sz w:val="22"/>
        </w:rPr>
        <w:t>These audits ensure institutional accountability and protect both students and administrators by maintaining procedural integrity.</w:t>
      </w:r>
    </w:p>
    <w:p>
      <w:pPr>
        <w:keepNext/>
        <w:spacing w:before="200" w:after="120"/>
      </w:pPr>
      <w:r>
        <w:rPr>
          <w:rFonts w:ascii="Cambria" w:hAnsi="Cambria"/>
          <w:b/>
          <w:color w:val="1F3A5F"/>
          <w:sz w:val="26"/>
        </w:rPr>
        <w:t>6. Overall Purpose and Impact</w:t>
      </w:r>
    </w:p>
    <w:p>
      <w:pPr>
        <w:jc w:val="both"/>
      </w:pPr>
      <w:r>
        <w:rPr>
          <w:rFonts w:ascii="Cambria" w:hAnsi="Cambria"/>
          <w:b w:val="0"/>
          <w:i w:val="0"/>
          <w:sz w:val="22"/>
        </w:rPr>
        <w:t>This documentation and reporting system transforms the discipline function from a reactive mechanism into a structured, proactive, and transparent governance process. It helps the institution:</w:t>
      </w:r>
    </w:p>
    <w:p>
      <w:pPr>
        <w:pStyle w:val="ListBullet"/>
        <w:jc w:val="both"/>
      </w:pPr>
      <w:r>
        <w:rPr>
          <w:rFonts w:ascii="Cambria" w:hAnsi="Cambria"/>
          <w:sz w:val="22"/>
        </w:rPr>
        <w:t>Maintain ethical and behavioral standards among students.</w:t>
      </w:r>
    </w:p>
    <w:p>
      <w:pPr>
        <w:pStyle w:val="ListBullet"/>
        <w:jc w:val="both"/>
      </w:pPr>
      <w:r>
        <w:rPr>
          <w:rFonts w:ascii="Cambria" w:hAnsi="Cambria"/>
          <w:sz w:val="22"/>
        </w:rPr>
        <w:t>Demonstrate compliance with national regulations and accreditation norms.</w:t>
      </w:r>
    </w:p>
    <w:p>
      <w:pPr>
        <w:pStyle w:val="ListBullet"/>
        <w:jc w:val="both"/>
      </w:pPr>
      <w:r>
        <w:rPr>
          <w:rFonts w:ascii="Cambria" w:hAnsi="Cambria"/>
          <w:sz w:val="22"/>
        </w:rPr>
        <w:t>Strengthen trust between students and the administration through fair and documented processes.</w:t>
      </w:r>
    </w:p>
    <w:p>
      <w:pPr>
        <w:pStyle w:val="ListBullet"/>
        <w:jc w:val="both"/>
      </w:pPr>
      <w:r>
        <w:rPr>
          <w:rFonts w:ascii="Cambria" w:hAnsi="Cambria"/>
          <w:sz w:val="22"/>
        </w:rPr>
        <w:t>Build a positive and disciplined campus culture aligned with institutional values and the National Education Policy (NEP) 2020.</w:t>
      </w:r>
    </w:p>
    <w:p>
      <w:r>
        <w:br w:type="page"/>
      </w:r>
    </w:p>
    <w:p>
      <w:pPr>
        <w:keepNext/>
        <w:spacing w:before="280" w:after="160"/>
      </w:pPr>
      <w:r>
        <w:rPr>
          <w:rFonts w:ascii="Cambria" w:hAnsi="Cambria"/>
          <w:b/>
          <w:color w:val="1F3A5F"/>
          <w:sz w:val="36"/>
        </w:rPr>
        <w:t>8. Associate Dean – Associations, Co-Curricular, Extracurricular, and Club Activities</w:t>
      </w:r>
    </w:p>
    <w:p>
      <w:pPr>
        <w:jc w:val="both"/>
      </w:pPr>
      <w:r>
        <w:rPr>
          <w:rFonts w:ascii="Cambria" w:hAnsi="Cambria"/>
          <w:b w:val="0"/>
          <w:i w:val="0"/>
          <w:sz w:val="22"/>
        </w:rPr>
        <w:t>The Associate Dean – Associations, Co-Curricular, Extracurricular, and Club Activities is a senior academic-administrative officer responsible for promoting and coordinating all student engagement, cultural, creative, and leadership activities beyond the formal curriculum. Working under the supervision of the Dean – Student Affairs (DoSA), this role oversees the establishment, functioning, and documentation of student associations, technical societies, cultural clubs, and community organizations, ensuring that every student has opportunities for holistic growth, innovation, and leadership.</w:t>
      </w:r>
    </w:p>
    <w:p>
      <w:pPr>
        <w:jc w:val="both"/>
      </w:pPr>
      <w:r>
        <w:rPr>
          <w:rFonts w:ascii="Cambria" w:hAnsi="Cambria"/>
          <w:b w:val="0"/>
          <w:i w:val="0"/>
          <w:sz w:val="22"/>
        </w:rPr>
        <w:t>The Associate Dean plays a pivotal role in nurturing a vibrant and inclusive campus culture, where students can express their talents, develop interpersonal skills, and engage in meaningful collaborations that complement academic learning. The position involves planning and supervising co-curricular programs such as debates, technical symposiums, paper presentations, workshops, and academic exhibitions, alongside extracurricular and cultural events including annual fests, art showcases, literary meets, and intercollegiate competitions. The Associate Dean also encourages student participation in national and international events, facilitating partnerships with professional bodies such as IEEE, ISTE, SAE, and cultural councils.</w:t>
      </w:r>
    </w:p>
    <w:p>
      <w:pPr>
        <w:jc w:val="both"/>
      </w:pPr>
      <w:r>
        <w:rPr>
          <w:rFonts w:ascii="Cambria" w:hAnsi="Cambria"/>
          <w:b w:val="0"/>
          <w:i w:val="0"/>
          <w:sz w:val="22"/>
        </w:rPr>
        <w:t>Additionally, the role includes overseeing the Student Activity Council (SAC) and the Student Association Committees, ensuring transparent governance, financial accountability, and equitable participation across all student groups. The Associate Dean fosters inclusivity by encouraging cross-disciplinary collaboration, gender equity, and representation in leadership positions. All club and association activities are documented through the Policy → Action → Evidence → Outcome (PAEO) framework, with periodic reports submitted to the Internal Quality Assurance Cell (IQAC) to support accreditation compliance under NAAC (Criterion 5: Student Support and Progression), NBA (Criteria 8–10), and QS I-GAUGE (Teaching-Learning, Diversity, and Social Responsibility).</w:t>
      </w:r>
    </w:p>
    <w:p>
      <w:pPr>
        <w:jc w:val="both"/>
      </w:pPr>
      <w:r>
        <w:rPr>
          <w:rFonts w:ascii="Cambria" w:hAnsi="Cambria"/>
          <w:b w:val="0"/>
          <w:i w:val="0"/>
          <w:sz w:val="22"/>
        </w:rPr>
        <w:t>By integrating academic enrichment with creativity, social engagement, and ethical leadership, the Associate Dean – Associations, Co-Curricular, Extracurricular, and Club Activities cultivates an institutional environment that values student empowerment, lifelong learning, and cultural excellence, aligning with the vision of holistic education advocated in the National Education Policy (NEP) 2020.</w:t>
      </w:r>
    </w:p>
    <w:p>
      <w:pPr>
        <w:keepNext/>
        <w:spacing w:before="200" w:after="120"/>
      </w:pPr>
      <w:r>
        <w:rPr>
          <w:rFonts w:ascii="Cambria" w:hAnsi="Cambria"/>
          <w:b/>
          <w:color w:val="1F3A5F"/>
          <w:sz w:val="30"/>
        </w:rPr>
        <w:t>1. Designation and Overview</w:t>
      </w:r>
    </w:p>
    <w:p>
      <w:pPr>
        <w:jc w:val="both"/>
      </w:pPr>
      <w:r>
        <w:rPr>
          <w:rFonts w:ascii="Cambria" w:hAnsi="Cambria"/>
          <w:b w:val="0"/>
          <w:i w:val="0"/>
          <w:sz w:val="22"/>
        </w:rPr>
        <w:t>The Associate Dean – Associations, Co-Curricular, Extracurricular, and Club Activities is a senior academic-administrative position entrusted with promoting student engagement, creativity, leadership, and holistic development through academic associations, cultural programs, technical clubs, and community-based initiatives. The position serves as the central coordinator for all non-academic and para-academic student activities that contribute to the overall institutional experience, well-being, and national/global recognition of the institution.</w:t>
      </w:r>
    </w:p>
    <w:p>
      <w:pPr>
        <w:jc w:val="both"/>
      </w:pPr>
      <w:r>
        <w:rPr>
          <w:rFonts w:ascii="Cambria" w:hAnsi="Cambria"/>
          <w:b/>
          <w:i w:val="0"/>
          <w:sz w:val="22"/>
        </w:rPr>
        <w:t>Purpose:</w:t>
      </w:r>
    </w:p>
    <w:p>
      <w:pPr>
        <w:pStyle w:val="ListBullet"/>
        <w:jc w:val="both"/>
      </w:pPr>
      <w:r>
        <w:rPr>
          <w:rFonts w:ascii="Cambria" w:hAnsi="Cambria"/>
          <w:sz w:val="22"/>
        </w:rPr>
        <w:t>To develop and implement a structured framework for associations, student clubs, and co-/extracurricular activities that complement academic learning.</w:t>
      </w:r>
    </w:p>
    <w:p>
      <w:pPr>
        <w:pStyle w:val="ListBullet"/>
        <w:jc w:val="both"/>
      </w:pPr>
      <w:r>
        <w:rPr>
          <w:rFonts w:ascii="Cambria" w:hAnsi="Cambria"/>
          <w:sz w:val="22"/>
        </w:rPr>
        <w:t>To foster an inclusive and participatory campus culture that promotes teamwork, innovation, and leadership.</w:t>
      </w:r>
    </w:p>
    <w:p>
      <w:pPr>
        <w:pStyle w:val="ListBullet"/>
        <w:jc w:val="both"/>
      </w:pPr>
      <w:r>
        <w:rPr>
          <w:rFonts w:ascii="Cambria" w:hAnsi="Cambria"/>
          <w:sz w:val="22"/>
        </w:rPr>
        <w:t>To ensure integration of student engagement initiatives with accreditation standards under NAAC, NBA, and QS I-GAUGE frameworks.</w:t>
      </w:r>
    </w:p>
    <w:p>
      <w:pPr>
        <w:pStyle w:val="ListBullet"/>
        <w:jc w:val="both"/>
      </w:pPr>
      <w:r>
        <w:rPr>
          <w:rFonts w:ascii="Cambria" w:hAnsi="Cambria"/>
          <w:sz w:val="22"/>
        </w:rPr>
        <w:t>To align all activities with Sustainable Development Goals (SDG-3: Good Health &amp; Well-being, SDG-4: Quality Education, and SDG-11: Sustainable Communities).</w:t>
      </w:r>
    </w:p>
    <w:p>
      <w:pPr>
        <w:keepNext/>
        <w:spacing w:before="200" w:after="120"/>
      </w:pPr>
      <w:r>
        <w:rPr>
          <w:rFonts w:ascii="Cambria" w:hAnsi="Cambria"/>
          <w:b/>
          <w:color w:val="1F3A5F"/>
          <w:sz w:val="30"/>
        </w:rPr>
        <w:t>2. Core Functions</w:t>
      </w:r>
    </w:p>
    <w:p>
      <w:pPr>
        <w:pStyle w:val="ListBullet"/>
        <w:jc w:val="both"/>
      </w:pPr>
      <w:r>
        <w:rPr>
          <w:rFonts w:ascii="Cambria" w:hAnsi="Cambria"/>
          <w:sz w:val="22"/>
        </w:rPr>
        <w:t>Oversee the establishment, operation, and evaluation of student associations, clubs, and societies across academic and cultural domains.</w:t>
      </w:r>
    </w:p>
    <w:p>
      <w:pPr>
        <w:pStyle w:val="ListBullet"/>
        <w:jc w:val="both"/>
      </w:pPr>
      <w:r>
        <w:rPr>
          <w:rFonts w:ascii="Cambria" w:hAnsi="Cambria"/>
          <w:sz w:val="22"/>
        </w:rPr>
        <w:t>Coordinate co-curricular and extracurricular activities, ensuring they complement academic goals and enhance life skills.</w:t>
      </w:r>
    </w:p>
    <w:p>
      <w:pPr>
        <w:pStyle w:val="ListBullet"/>
        <w:jc w:val="both"/>
      </w:pPr>
      <w:r>
        <w:rPr>
          <w:rFonts w:ascii="Cambria" w:hAnsi="Cambria"/>
          <w:sz w:val="22"/>
        </w:rPr>
        <w:t>Organize institutional-level events including cultural fests, technical expos, literary meets, and inter-college competitions.</w:t>
      </w:r>
    </w:p>
    <w:p>
      <w:pPr>
        <w:pStyle w:val="ListBullet"/>
        <w:jc w:val="both"/>
      </w:pPr>
      <w:r>
        <w:rPr>
          <w:rFonts w:ascii="Cambria" w:hAnsi="Cambria"/>
          <w:sz w:val="22"/>
        </w:rPr>
        <w:t>Develop a Student Activity Policy and Annual Activity Calendar in consultation with Deans, Heads, and Student Council members.</w:t>
      </w:r>
    </w:p>
    <w:p>
      <w:pPr>
        <w:pStyle w:val="ListBullet"/>
        <w:jc w:val="both"/>
      </w:pPr>
      <w:r>
        <w:rPr>
          <w:rFonts w:ascii="Cambria" w:hAnsi="Cambria"/>
          <w:sz w:val="22"/>
        </w:rPr>
        <w:t>Facilitate student leadership development, inclusivity, and cross-disciplinary collaboration.</w:t>
      </w:r>
    </w:p>
    <w:p>
      <w:pPr>
        <w:pStyle w:val="ListBullet"/>
        <w:jc w:val="both"/>
      </w:pPr>
      <w:r>
        <w:rPr>
          <w:rFonts w:ascii="Cambria" w:hAnsi="Cambria"/>
          <w:sz w:val="22"/>
        </w:rPr>
        <w:t>Integrate all student engagement data with the Internal Quality Assurance Cell (IQAC) for accreditation and quality reporting.</w:t>
      </w:r>
    </w:p>
    <w:p>
      <w:pPr>
        <w:keepNext/>
        <w:spacing w:before="200" w:after="120"/>
      </w:pPr>
      <w:r>
        <w:rPr>
          <w:rFonts w:ascii="Cambria" w:hAnsi="Cambria"/>
          <w:b/>
          <w:color w:val="1F3A5F"/>
          <w:sz w:val="30"/>
        </w:rPr>
        <w:t>3. Key Duties and Responsibilities</w:t>
      </w:r>
    </w:p>
    <w:p>
      <w:pPr>
        <w:keepNext/>
        <w:spacing w:before="200" w:after="120"/>
      </w:pPr>
      <w:r>
        <w:rPr>
          <w:rFonts w:ascii="Cambria" w:hAnsi="Cambria"/>
          <w:b/>
          <w:color w:val="1F3A5F"/>
          <w:sz w:val="26"/>
        </w:rPr>
        <w:t>A. Associations and Academic Societies</w:t>
      </w:r>
    </w:p>
    <w:p>
      <w:pPr>
        <w:pStyle w:val="ListBullet"/>
        <w:jc w:val="both"/>
      </w:pPr>
      <w:r>
        <w:rPr>
          <w:rFonts w:ascii="Cambria" w:hAnsi="Cambria"/>
          <w:sz w:val="22"/>
        </w:rPr>
        <w:t>Establish and monitor departmental and institutional-level student associations (e.g., Technical, Cultural, Literary, Entrepreneurial, NSS/NCC).</w:t>
      </w:r>
    </w:p>
    <w:p>
      <w:pPr>
        <w:pStyle w:val="ListBullet"/>
        <w:jc w:val="both"/>
      </w:pPr>
      <w:r>
        <w:rPr>
          <w:rFonts w:ascii="Cambria" w:hAnsi="Cambria"/>
          <w:sz w:val="22"/>
        </w:rPr>
        <w:t>Define roles, regulations, and operational guidelines for all student associations.</w:t>
      </w:r>
    </w:p>
    <w:p>
      <w:pPr>
        <w:pStyle w:val="ListBullet"/>
        <w:jc w:val="both"/>
      </w:pPr>
      <w:r>
        <w:rPr>
          <w:rFonts w:ascii="Cambria" w:hAnsi="Cambria"/>
          <w:sz w:val="22"/>
        </w:rPr>
        <w:t>Facilitate seminars, conferences, and inter-departmental collaborations through associations.</w:t>
      </w:r>
    </w:p>
    <w:p>
      <w:pPr>
        <w:pStyle w:val="ListBullet"/>
        <w:jc w:val="both"/>
      </w:pPr>
      <w:r>
        <w:rPr>
          <w:rFonts w:ascii="Cambria" w:hAnsi="Cambria"/>
          <w:sz w:val="22"/>
        </w:rPr>
        <w:t>Encourage associations to engage in community outreach, research exhibitions, and innovation fairs.</w:t>
      </w:r>
    </w:p>
    <w:p>
      <w:pPr>
        <w:pStyle w:val="ListBullet"/>
        <w:jc w:val="both"/>
      </w:pPr>
      <w:r>
        <w:rPr>
          <w:rFonts w:ascii="Cambria" w:hAnsi="Cambria"/>
          <w:sz w:val="22"/>
        </w:rPr>
        <w:t>Maintain association records, annual reports, and financial audits.</w:t>
      </w:r>
    </w:p>
    <w:p>
      <w:pPr>
        <w:keepNext/>
        <w:spacing w:before="200" w:after="120"/>
      </w:pPr>
      <w:r>
        <w:rPr>
          <w:rFonts w:ascii="Cambria" w:hAnsi="Cambria"/>
          <w:b/>
          <w:color w:val="1F3A5F"/>
          <w:sz w:val="26"/>
        </w:rPr>
        <w:t>B. Co-Curricular Activities</w:t>
      </w:r>
    </w:p>
    <w:p>
      <w:pPr>
        <w:pStyle w:val="ListBullet"/>
        <w:jc w:val="both"/>
      </w:pPr>
      <w:r>
        <w:rPr>
          <w:rFonts w:ascii="Cambria" w:hAnsi="Cambria"/>
          <w:sz w:val="22"/>
        </w:rPr>
        <w:t>Plan and oversee academic enrichment programs such as symposiums, hackathons, design challenges, and technical paper presentations.</w:t>
      </w:r>
    </w:p>
    <w:p>
      <w:pPr>
        <w:pStyle w:val="ListBullet"/>
        <w:jc w:val="both"/>
      </w:pPr>
      <w:r>
        <w:rPr>
          <w:rFonts w:ascii="Cambria" w:hAnsi="Cambria"/>
          <w:sz w:val="22"/>
        </w:rPr>
        <w:t>Coordinate with departments to organize skill-building and knowledge-sharing events aligned with the curriculum.</w:t>
      </w:r>
    </w:p>
    <w:p>
      <w:pPr>
        <w:pStyle w:val="ListBullet"/>
        <w:jc w:val="both"/>
      </w:pPr>
      <w:r>
        <w:rPr>
          <w:rFonts w:ascii="Cambria" w:hAnsi="Cambria"/>
          <w:sz w:val="22"/>
        </w:rPr>
        <w:t>Support student participation in professional bodies like IEEE, ISTE, SAE, CSI, and similar organizations.</w:t>
      </w:r>
    </w:p>
    <w:p>
      <w:pPr>
        <w:pStyle w:val="ListBullet"/>
        <w:jc w:val="both"/>
      </w:pPr>
      <w:r>
        <w:rPr>
          <w:rFonts w:ascii="Cambria" w:hAnsi="Cambria"/>
          <w:sz w:val="22"/>
        </w:rPr>
        <w:t>Facilitate faculty mentoring for students involved in research and innovation-related activities.</w:t>
      </w:r>
    </w:p>
    <w:p>
      <w:pPr>
        <w:keepNext/>
        <w:spacing w:before="200" w:after="120"/>
      </w:pPr>
      <w:r>
        <w:rPr>
          <w:rFonts w:ascii="Cambria" w:hAnsi="Cambria"/>
          <w:b/>
          <w:color w:val="1F3A5F"/>
          <w:sz w:val="26"/>
        </w:rPr>
        <w:t>C. Extracurricular and Cultural Activities</w:t>
      </w:r>
    </w:p>
    <w:p>
      <w:pPr>
        <w:pStyle w:val="ListBullet"/>
        <w:jc w:val="both"/>
      </w:pPr>
      <w:r>
        <w:rPr>
          <w:rFonts w:ascii="Cambria" w:hAnsi="Cambria"/>
          <w:sz w:val="22"/>
        </w:rPr>
        <w:t>Lead the organization of annual cultural fests, arts performances, drama, debates, and creative exhibitions.</w:t>
      </w:r>
    </w:p>
    <w:p>
      <w:pPr>
        <w:pStyle w:val="ListBullet"/>
        <w:jc w:val="both"/>
      </w:pPr>
      <w:r>
        <w:rPr>
          <w:rFonts w:ascii="Cambria" w:hAnsi="Cambria"/>
          <w:sz w:val="22"/>
        </w:rPr>
        <w:t>Promote arts, theatre, dance, and music as essential aspects of emotional intelligence and cultural awareness.</w:t>
      </w:r>
    </w:p>
    <w:p>
      <w:pPr>
        <w:pStyle w:val="ListBullet"/>
        <w:jc w:val="both"/>
      </w:pPr>
      <w:r>
        <w:rPr>
          <w:rFonts w:ascii="Cambria" w:hAnsi="Cambria"/>
          <w:sz w:val="22"/>
        </w:rPr>
        <w:t>Ensure diversity and inclusivity in cultural representation through gender balance and regional participation.</w:t>
      </w:r>
    </w:p>
    <w:p>
      <w:pPr>
        <w:pStyle w:val="ListBullet"/>
        <w:jc w:val="both"/>
      </w:pPr>
      <w:r>
        <w:rPr>
          <w:rFonts w:ascii="Cambria" w:hAnsi="Cambria"/>
          <w:sz w:val="22"/>
        </w:rPr>
        <w:t>Engage students in awareness campaigns, cultural heritage celebrations, and national festivals.</w:t>
      </w:r>
    </w:p>
    <w:p>
      <w:pPr>
        <w:keepNext/>
        <w:spacing w:before="200" w:after="120"/>
      </w:pPr>
      <w:r>
        <w:rPr>
          <w:rFonts w:ascii="Cambria" w:hAnsi="Cambria"/>
          <w:b/>
          <w:color w:val="1F3A5F"/>
          <w:sz w:val="26"/>
        </w:rPr>
        <w:t>D. Clubs and Student-Led Initiatives</w:t>
      </w:r>
    </w:p>
    <w:p>
      <w:pPr>
        <w:pStyle w:val="ListBullet"/>
        <w:jc w:val="both"/>
      </w:pPr>
      <w:r>
        <w:rPr>
          <w:rFonts w:ascii="Cambria" w:hAnsi="Cambria"/>
          <w:sz w:val="22"/>
        </w:rPr>
        <w:t>Supervise the formation and functioning of technical, cultural, social, environmental, and hobby clubs.</w:t>
      </w:r>
    </w:p>
    <w:p>
      <w:pPr>
        <w:pStyle w:val="ListBullet"/>
        <w:jc w:val="both"/>
      </w:pPr>
      <w:r>
        <w:rPr>
          <w:rFonts w:ascii="Cambria" w:hAnsi="Cambria"/>
          <w:sz w:val="22"/>
        </w:rPr>
        <w:t>Approve club charters, membership drives, and funding requests in alignment with institutional policy.</w:t>
      </w:r>
    </w:p>
    <w:p>
      <w:pPr>
        <w:pStyle w:val="ListBullet"/>
        <w:jc w:val="both"/>
      </w:pPr>
      <w:r>
        <w:rPr>
          <w:rFonts w:ascii="Cambria" w:hAnsi="Cambria"/>
          <w:sz w:val="22"/>
        </w:rPr>
        <w:t>Promote student-led innovation, entrepreneurship, and sustainability projects.</w:t>
      </w:r>
    </w:p>
    <w:p>
      <w:pPr>
        <w:pStyle w:val="ListBullet"/>
        <w:jc w:val="both"/>
      </w:pPr>
      <w:r>
        <w:rPr>
          <w:rFonts w:ascii="Cambria" w:hAnsi="Cambria"/>
          <w:sz w:val="22"/>
        </w:rPr>
        <w:t>Monitor activity logs, annual club reports, and event outcomes for review and accreditation documentation.</w:t>
      </w:r>
    </w:p>
    <w:p>
      <w:pPr>
        <w:pStyle w:val="ListBullet"/>
        <w:jc w:val="both"/>
      </w:pPr>
      <w:r>
        <w:rPr>
          <w:rFonts w:ascii="Cambria" w:hAnsi="Cambria"/>
          <w:sz w:val="22"/>
        </w:rPr>
        <w:t>Encourage inter-club collaboration and cross-disciplinary project execution.</w:t>
      </w:r>
    </w:p>
    <w:p>
      <w:pPr>
        <w:keepNext/>
        <w:spacing w:before="200" w:after="120"/>
      </w:pPr>
      <w:r>
        <w:rPr>
          <w:rFonts w:ascii="Cambria" w:hAnsi="Cambria"/>
          <w:b/>
          <w:color w:val="1F3A5F"/>
          <w:sz w:val="26"/>
        </w:rPr>
        <w:t>E. Student Leadership and Engagement</w:t>
      </w:r>
    </w:p>
    <w:p>
      <w:pPr>
        <w:pStyle w:val="ListBullet"/>
        <w:jc w:val="both"/>
      </w:pPr>
      <w:r>
        <w:rPr>
          <w:rFonts w:ascii="Cambria" w:hAnsi="Cambria"/>
          <w:sz w:val="22"/>
        </w:rPr>
        <w:t>Establish and coordinate the Student Activity Council (SAC) for leadership and event governance.</w:t>
      </w:r>
    </w:p>
    <w:p>
      <w:pPr>
        <w:pStyle w:val="ListBullet"/>
        <w:jc w:val="both"/>
      </w:pPr>
      <w:r>
        <w:rPr>
          <w:rFonts w:ascii="Cambria" w:hAnsi="Cambria"/>
          <w:sz w:val="22"/>
        </w:rPr>
        <w:t>Conduct leadership and communication skill training workshops.</w:t>
      </w:r>
    </w:p>
    <w:p>
      <w:pPr>
        <w:pStyle w:val="ListBullet"/>
        <w:jc w:val="both"/>
      </w:pPr>
      <w:r>
        <w:rPr>
          <w:rFonts w:ascii="Cambria" w:hAnsi="Cambria"/>
          <w:sz w:val="22"/>
        </w:rPr>
        <w:t>Engage students as event coordinators, volunteers, and peer mentors.</w:t>
      </w:r>
    </w:p>
    <w:p>
      <w:pPr>
        <w:pStyle w:val="ListBullet"/>
        <w:jc w:val="both"/>
      </w:pPr>
      <w:r>
        <w:rPr>
          <w:rFonts w:ascii="Cambria" w:hAnsi="Cambria"/>
          <w:sz w:val="22"/>
        </w:rPr>
        <w:t>Encourage alumni mentorship and networking through associations and clubs.</w:t>
      </w:r>
    </w:p>
    <w:p>
      <w:pPr>
        <w:pStyle w:val="ListBullet"/>
        <w:jc w:val="both"/>
      </w:pPr>
      <w:r>
        <w:rPr>
          <w:rFonts w:ascii="Cambria" w:hAnsi="Cambria"/>
          <w:sz w:val="22"/>
        </w:rPr>
        <w:t>Recognize and award outstanding student contributors annually.</w:t>
      </w:r>
    </w:p>
    <w:p>
      <w:pPr>
        <w:keepNext/>
        <w:spacing w:before="200" w:after="120"/>
      </w:pPr>
      <w:r>
        <w:rPr>
          <w:rFonts w:ascii="Cambria" w:hAnsi="Cambria"/>
          <w:b/>
          <w:color w:val="1F3A5F"/>
          <w:sz w:val="26"/>
        </w:rPr>
        <w:t>F. Documentation, Compliance, and Quality Assurance</w:t>
      </w:r>
    </w:p>
    <w:p>
      <w:pPr>
        <w:pStyle w:val="ListBullet"/>
        <w:jc w:val="both"/>
      </w:pPr>
      <w:r>
        <w:rPr>
          <w:rFonts w:ascii="Cambria" w:hAnsi="Cambria"/>
          <w:sz w:val="22"/>
        </w:rPr>
        <w:t>Maintain records for:</w:t>
      </w:r>
    </w:p>
    <w:p>
      <w:pPr>
        <w:pStyle w:val="ListBullet2"/>
        <w:jc w:val="both"/>
      </w:pPr>
      <w:r>
        <w:rPr>
          <w:rFonts w:ascii="Cambria" w:hAnsi="Cambria"/>
          <w:sz w:val="22"/>
        </w:rPr>
        <w:t>Student association activities and outcomes.</w:t>
      </w:r>
    </w:p>
    <w:p>
      <w:pPr>
        <w:pStyle w:val="ListBullet2"/>
        <w:jc w:val="both"/>
      </w:pPr>
      <w:r>
        <w:rPr>
          <w:rFonts w:ascii="Cambria" w:hAnsi="Cambria"/>
          <w:sz w:val="22"/>
        </w:rPr>
        <w:t>Co-/extracurricular events and participation data.</w:t>
      </w:r>
    </w:p>
    <w:p>
      <w:pPr>
        <w:pStyle w:val="ListBullet2"/>
        <w:jc w:val="both"/>
      </w:pPr>
      <w:r>
        <w:rPr>
          <w:rFonts w:ascii="Cambria" w:hAnsi="Cambria"/>
          <w:sz w:val="22"/>
        </w:rPr>
        <w:t>Club establishment, reports, and recognitions.</w:t>
      </w:r>
    </w:p>
    <w:p>
      <w:pPr>
        <w:pStyle w:val="ListBullet2"/>
        <w:jc w:val="both"/>
      </w:pPr>
      <w:r>
        <w:rPr>
          <w:rFonts w:ascii="Cambria" w:hAnsi="Cambria"/>
          <w:sz w:val="22"/>
        </w:rPr>
        <w:t>Student awards, achievements, and feedback.</w:t>
      </w:r>
    </w:p>
    <w:p>
      <w:pPr>
        <w:pStyle w:val="ListBullet"/>
        <w:jc w:val="both"/>
      </w:pPr>
      <w:r>
        <w:rPr>
          <w:rFonts w:ascii="Cambria" w:hAnsi="Cambria"/>
          <w:sz w:val="22"/>
        </w:rPr>
        <w:t>Prepare quarterly and annual reports for IQAC and statutory bodies.</w:t>
      </w:r>
    </w:p>
    <w:p>
      <w:pPr>
        <w:pStyle w:val="ListBullet"/>
        <w:jc w:val="both"/>
      </w:pPr>
      <w:r>
        <w:rPr>
          <w:rFonts w:ascii="Cambria" w:hAnsi="Cambria"/>
          <w:sz w:val="22"/>
        </w:rPr>
        <w:t>Follow the Policy → Action → Evidence → Outcome (PAEO) model for transparent and traceable documentation.</w:t>
      </w:r>
    </w:p>
    <w:p>
      <w:pPr>
        <w:pStyle w:val="ListBullet"/>
        <w:jc w:val="both"/>
      </w:pPr>
      <w:r>
        <w:rPr>
          <w:rFonts w:ascii="Cambria" w:hAnsi="Cambria"/>
          <w:sz w:val="22"/>
        </w:rPr>
        <w:t>Ensure that all activities adhere to NAAC, NBA, and QS I-GAUGE standards for quality evaluation and audits.</w:t>
      </w:r>
    </w:p>
    <w:p>
      <w:pPr>
        <w:keepNext/>
        <w:spacing w:before="200" w:after="120"/>
      </w:pPr>
      <w:r>
        <w:rPr>
          <w:rFonts w:ascii="Cambria" w:hAnsi="Cambria"/>
          <w:b/>
          <w:color w:val="1F3A5F"/>
          <w:sz w:val="30"/>
        </w:rPr>
        <w:t>4. Accreditation and Framework Mapping</w:t>
      </w:r>
    </w:p>
    <w:p>
      <w:pPr>
        <w:keepNext/>
        <w:spacing w:before="200" w:after="120"/>
      </w:pPr>
      <w:r>
        <w:rPr>
          <w:rFonts w:ascii="Cambria" w:hAnsi="Cambria"/>
          <w:b/>
          <w:color w:val="1F3A5F"/>
          <w:sz w:val="26"/>
        </w:rPr>
        <w:t>A. NAAC (National Assessment and Accreditation Council)</w:t>
      </w:r>
    </w:p>
    <w:tbl>
      <w:tblPr>
        <w:tblW w:type="auto" w:w="0"/>
        <w:jc w:val="center"/>
        <w:tblLayout w:type="fixed"/>
        <w:tblLook w:firstColumn="1" w:firstRow="1" w:lastColumn="0" w:lastRow="0" w:noHBand="0" w:noVBand="1" w:val="04A0"/>
        <w:tblW w:w="8334" w:type="dxa"/>
        <w:tblLayout w:type="fixed"/>
      </w:tblPr>
      <w:tblGrid>
        <w:gridCol w:w="1134"/>
        <w:gridCol w:w="2551"/>
        <w:gridCol w:w="2551"/>
        <w:gridCol w:w="2097"/>
      </w:tblGrid>
      <w:tr>
        <w:tc>
          <w:tcPr>
            <w:tcW w:type="dxa" w:w="1134"/>
            <w:tcW w:w="1134" w:type="dxa"/>
            <w:shd w:val="clear" w:color="auto" w:fill="1F3A5F"/>
          </w:tcPr>
          <w:p>
            <w:pPr>
              <w:jc w:val="center"/>
            </w:pPr>
            <w:r/>
            <w:r>
              <w:rPr>
                <w:rFonts w:ascii="Cambria" w:hAnsi="Cambria"/>
                <w:b/>
                <w:color w:val="FFFFFF"/>
                <w:sz w:val="22"/>
              </w:rPr>
              <w:t>Criterion</w:t>
            </w:r>
          </w:p>
        </w:tc>
        <w:tc>
          <w:tcPr>
            <w:tcW w:type="dxa" w:w="2551"/>
            <w:tcW w:w="2551" w:type="dxa"/>
            <w:shd w:val="clear" w:color="auto" w:fill="1F3A5F"/>
          </w:tcPr>
          <w:p>
            <w:pPr>
              <w:jc w:val="center"/>
            </w:pPr>
            <w:r/>
            <w:r>
              <w:rPr>
                <w:rFonts w:ascii="Cambria" w:hAnsi="Cambria"/>
                <w:b/>
                <w:color w:val="FFFFFF"/>
                <w:sz w:val="22"/>
              </w:rPr>
              <w:t>Indicator / Metric</w:t>
            </w:r>
          </w:p>
        </w:tc>
        <w:tc>
          <w:tcPr>
            <w:tcW w:type="dxa" w:w="2551"/>
            <w:tcW w:w="2551" w:type="dxa"/>
            <w:shd w:val="clear" w:color="auto" w:fill="1F3A5F"/>
          </w:tcPr>
          <w:p>
            <w:pPr>
              <w:jc w:val="center"/>
            </w:pPr>
            <w:r/>
            <w:r>
              <w:rPr>
                <w:rFonts w:ascii="Cambria" w:hAnsi="Cambria"/>
                <w:b/>
                <w:color w:val="FFFFFF"/>
                <w:sz w:val="22"/>
              </w:rPr>
              <w:t>Associate Dean’s Duties</w:t>
            </w:r>
          </w:p>
        </w:tc>
        <w:tc>
          <w:tcPr>
            <w:tcW w:type="dxa" w:w="2098"/>
            <w:tcW w:w="2097" w:type="dxa"/>
            <w:shd w:val="clear" w:color="auto" w:fill="1F3A5F"/>
          </w:tcPr>
          <w:p>
            <w:pPr>
              <w:jc w:val="center"/>
            </w:pPr>
            <w:r/>
            <w:r>
              <w:rPr>
                <w:rFonts w:ascii="Cambria" w:hAnsi="Cambria"/>
                <w:b/>
                <w:color w:val="FFFFFF"/>
                <w:sz w:val="22"/>
              </w:rPr>
              <w:t>Evidence / Records</w:t>
            </w:r>
          </w:p>
        </w:tc>
      </w:tr>
      <w:tr>
        <w:tc>
          <w:tcPr>
            <w:tcW w:type="dxa" w:w="1134"/>
            <w:tcW w:w="1134" w:type="dxa"/>
          </w:tcPr>
          <w:p>
            <w:pPr>
              <w:jc w:val="left"/>
            </w:pPr>
            <w:r/>
            <w:r>
              <w:rPr>
                <w:rFonts w:ascii="Cambria" w:hAnsi="Cambria"/>
                <w:b w:val="0"/>
                <w:sz w:val="18"/>
              </w:rPr>
              <w:t>5.3.1</w:t>
            </w:r>
          </w:p>
        </w:tc>
        <w:tc>
          <w:tcPr>
            <w:tcW w:type="dxa" w:w="2551"/>
            <w:tcW w:w="2551" w:type="dxa"/>
          </w:tcPr>
          <w:p>
            <w:pPr>
              <w:jc w:val="center"/>
            </w:pPr>
            <w:r/>
            <w:r>
              <w:rPr>
                <w:rFonts w:ascii="Cambria" w:hAnsi="Cambria"/>
                <w:b w:val="0"/>
                <w:sz w:val="18"/>
              </w:rPr>
              <w:t>Number of sports, cultural, and co-curricular activities organized</w:t>
            </w:r>
          </w:p>
        </w:tc>
        <w:tc>
          <w:tcPr>
            <w:tcW w:type="dxa" w:w="2551"/>
            <w:tcW w:w="2551" w:type="dxa"/>
          </w:tcPr>
          <w:p>
            <w:pPr>
              <w:jc w:val="center"/>
            </w:pPr>
            <w:r/>
            <w:r>
              <w:rPr>
                <w:rFonts w:ascii="Cambria" w:hAnsi="Cambria"/>
                <w:b w:val="0"/>
                <w:sz w:val="18"/>
              </w:rPr>
              <w:t>Organize and document association and club events</w:t>
            </w:r>
          </w:p>
        </w:tc>
        <w:tc>
          <w:tcPr>
            <w:tcW w:type="dxa" w:w="2098"/>
            <w:tcW w:w="2097" w:type="dxa"/>
          </w:tcPr>
          <w:p>
            <w:pPr>
              <w:jc w:val="center"/>
            </w:pPr>
            <w:r/>
            <w:r>
              <w:rPr>
                <w:rFonts w:ascii="Cambria" w:hAnsi="Cambria"/>
                <w:b w:val="0"/>
                <w:sz w:val="18"/>
              </w:rPr>
              <w:t>Activity calendar, reports, photographs</w:t>
            </w:r>
          </w:p>
        </w:tc>
      </w:tr>
      <w:tr>
        <w:tc>
          <w:tcPr>
            <w:tcW w:type="dxa" w:w="1134"/>
            <w:tcW w:w="1134" w:type="dxa"/>
            <w:shd w:val="clear" w:color="auto" w:fill="DCE6F1"/>
          </w:tcPr>
          <w:p>
            <w:pPr>
              <w:jc w:val="left"/>
            </w:pPr>
            <w:r/>
            <w:r>
              <w:rPr>
                <w:rFonts w:ascii="Cambria" w:hAnsi="Cambria"/>
                <w:b w:val="0"/>
                <w:sz w:val="18"/>
              </w:rPr>
              <w:t>5.3.2</w:t>
            </w:r>
          </w:p>
        </w:tc>
        <w:tc>
          <w:tcPr>
            <w:tcW w:type="dxa" w:w="2551"/>
            <w:tcW w:w="2551" w:type="dxa"/>
            <w:shd w:val="clear" w:color="auto" w:fill="DCE6F1"/>
          </w:tcPr>
          <w:p>
            <w:pPr>
              <w:jc w:val="center"/>
            </w:pPr>
            <w:r/>
            <w:r>
              <w:rPr>
                <w:rFonts w:ascii="Cambria" w:hAnsi="Cambria"/>
                <w:b w:val="0"/>
                <w:sz w:val="18"/>
              </w:rPr>
              <w:t>Student participation in activities</w:t>
            </w:r>
          </w:p>
        </w:tc>
        <w:tc>
          <w:tcPr>
            <w:tcW w:type="dxa" w:w="2551"/>
            <w:tcW w:w="2551" w:type="dxa"/>
            <w:shd w:val="clear" w:color="auto" w:fill="DCE6F1"/>
          </w:tcPr>
          <w:p>
            <w:pPr>
              <w:jc w:val="center"/>
            </w:pPr>
            <w:r/>
            <w:r>
              <w:rPr>
                <w:rFonts w:ascii="Cambria" w:hAnsi="Cambria"/>
                <w:b w:val="0"/>
                <w:sz w:val="18"/>
              </w:rPr>
              <w:t>Track and report participation data</w:t>
            </w:r>
          </w:p>
        </w:tc>
        <w:tc>
          <w:tcPr>
            <w:tcW w:type="dxa" w:w="2098"/>
            <w:tcW w:w="2097" w:type="dxa"/>
            <w:shd w:val="clear" w:color="auto" w:fill="DCE6F1"/>
          </w:tcPr>
          <w:p>
            <w:pPr>
              <w:jc w:val="center"/>
            </w:pPr>
            <w:r/>
            <w:r>
              <w:rPr>
                <w:rFonts w:ascii="Cambria" w:hAnsi="Cambria"/>
                <w:b w:val="0"/>
                <w:sz w:val="18"/>
              </w:rPr>
              <w:t>Participation records, certificates</w:t>
            </w:r>
          </w:p>
        </w:tc>
      </w:tr>
      <w:tr>
        <w:tc>
          <w:tcPr>
            <w:tcW w:type="dxa" w:w="1134"/>
            <w:tcW w:w="1134" w:type="dxa"/>
          </w:tcPr>
          <w:p>
            <w:pPr>
              <w:jc w:val="left"/>
            </w:pPr>
            <w:r/>
            <w:r>
              <w:rPr>
                <w:rFonts w:ascii="Cambria" w:hAnsi="Cambria"/>
                <w:b w:val="0"/>
                <w:sz w:val="18"/>
              </w:rPr>
              <w:t>5.3.3</w:t>
            </w:r>
          </w:p>
        </w:tc>
        <w:tc>
          <w:tcPr>
            <w:tcW w:type="dxa" w:w="2551"/>
            <w:tcW w:w="2551" w:type="dxa"/>
          </w:tcPr>
          <w:p>
            <w:pPr>
              <w:jc w:val="center"/>
            </w:pPr>
            <w:r/>
            <w:r>
              <w:rPr>
                <w:rFonts w:ascii="Cambria" w:hAnsi="Cambria"/>
                <w:b w:val="0"/>
                <w:sz w:val="18"/>
              </w:rPr>
              <w:t>Institutional initiatives for engagement</w:t>
            </w:r>
          </w:p>
        </w:tc>
        <w:tc>
          <w:tcPr>
            <w:tcW w:type="dxa" w:w="2551"/>
            <w:tcW w:w="2551" w:type="dxa"/>
          </w:tcPr>
          <w:p>
            <w:pPr>
              <w:jc w:val="center"/>
            </w:pPr>
            <w:r/>
            <w:r>
              <w:rPr>
                <w:rFonts w:ascii="Cambria" w:hAnsi="Cambria"/>
                <w:b w:val="0"/>
                <w:sz w:val="18"/>
              </w:rPr>
              <w:t>Promote student clubs, leadership, and innovation programs</w:t>
            </w:r>
          </w:p>
        </w:tc>
        <w:tc>
          <w:tcPr>
            <w:tcW w:type="dxa" w:w="2098"/>
            <w:tcW w:w="2097" w:type="dxa"/>
          </w:tcPr>
          <w:p>
            <w:pPr>
              <w:jc w:val="center"/>
            </w:pPr>
            <w:r/>
            <w:r>
              <w:rPr>
                <w:rFonts w:ascii="Cambria" w:hAnsi="Cambria"/>
                <w:b w:val="0"/>
                <w:sz w:val="18"/>
              </w:rPr>
              <w:t>Reports, brochures, videos</w:t>
            </w:r>
          </w:p>
        </w:tc>
      </w:tr>
      <w:tr>
        <w:tc>
          <w:tcPr>
            <w:tcW w:type="dxa" w:w="1134"/>
            <w:tcW w:w="1134" w:type="dxa"/>
            <w:shd w:val="clear" w:color="auto" w:fill="DCE6F1"/>
          </w:tcPr>
          <w:p>
            <w:pPr>
              <w:jc w:val="left"/>
            </w:pPr>
            <w:r/>
            <w:r>
              <w:rPr>
                <w:rFonts w:ascii="Cambria" w:hAnsi="Cambria"/>
                <w:b w:val="0"/>
                <w:sz w:val="18"/>
              </w:rPr>
              <w:t>5.4.1</w:t>
            </w:r>
          </w:p>
        </w:tc>
        <w:tc>
          <w:tcPr>
            <w:tcW w:type="dxa" w:w="2551"/>
            <w:tcW w:w="2551" w:type="dxa"/>
            <w:shd w:val="clear" w:color="auto" w:fill="DCE6F1"/>
          </w:tcPr>
          <w:p>
            <w:pPr>
              <w:jc w:val="center"/>
            </w:pPr>
            <w:r/>
            <w:r>
              <w:rPr>
                <w:rFonts w:ascii="Cambria" w:hAnsi="Cambria"/>
                <w:b w:val="0"/>
                <w:sz w:val="18"/>
              </w:rPr>
              <w:t>Alumni engagement</w:t>
            </w:r>
          </w:p>
        </w:tc>
        <w:tc>
          <w:tcPr>
            <w:tcW w:type="dxa" w:w="2551"/>
            <w:tcW w:w="2551" w:type="dxa"/>
            <w:shd w:val="clear" w:color="auto" w:fill="DCE6F1"/>
          </w:tcPr>
          <w:p>
            <w:pPr>
              <w:jc w:val="center"/>
            </w:pPr>
            <w:r/>
            <w:r>
              <w:rPr>
                <w:rFonts w:ascii="Cambria" w:hAnsi="Cambria"/>
                <w:b w:val="0"/>
                <w:sz w:val="18"/>
              </w:rPr>
              <w:t>Collaborate with alumni in event mentoring</w:t>
            </w:r>
          </w:p>
        </w:tc>
        <w:tc>
          <w:tcPr>
            <w:tcW w:type="dxa" w:w="2098"/>
            <w:tcW w:w="2097" w:type="dxa"/>
            <w:shd w:val="clear" w:color="auto" w:fill="DCE6F1"/>
          </w:tcPr>
          <w:p>
            <w:pPr>
              <w:jc w:val="center"/>
            </w:pPr>
            <w:r/>
            <w:r>
              <w:rPr>
                <w:rFonts w:ascii="Cambria" w:hAnsi="Cambria"/>
                <w:b w:val="0"/>
                <w:sz w:val="18"/>
              </w:rPr>
              <w:t>Invitation letters, feedback forms</w:t>
            </w:r>
          </w:p>
        </w:tc>
      </w:tr>
      <w:tr>
        <w:tc>
          <w:tcPr>
            <w:tcW w:type="dxa" w:w="1134"/>
            <w:tcW w:w="1134" w:type="dxa"/>
          </w:tcPr>
          <w:p>
            <w:pPr>
              <w:jc w:val="left"/>
            </w:pPr>
            <w:r/>
            <w:r>
              <w:rPr>
                <w:rFonts w:ascii="Cambria" w:hAnsi="Cambria"/>
                <w:b w:val="0"/>
                <w:sz w:val="18"/>
              </w:rPr>
              <w:t>6.5.2</w:t>
            </w:r>
          </w:p>
        </w:tc>
        <w:tc>
          <w:tcPr>
            <w:tcW w:type="dxa" w:w="2551"/>
            <w:tcW w:w="2551" w:type="dxa"/>
          </w:tcPr>
          <w:p>
            <w:pPr>
              <w:jc w:val="center"/>
            </w:pPr>
            <w:r/>
            <w:r>
              <w:rPr>
                <w:rFonts w:ascii="Cambria" w:hAnsi="Cambria"/>
                <w:b w:val="0"/>
                <w:sz w:val="18"/>
              </w:rPr>
              <w:t>IQAC contribution</w:t>
            </w:r>
          </w:p>
        </w:tc>
        <w:tc>
          <w:tcPr>
            <w:tcW w:type="dxa" w:w="2551"/>
            <w:tcW w:w="2551" w:type="dxa"/>
          </w:tcPr>
          <w:p>
            <w:pPr>
              <w:jc w:val="center"/>
            </w:pPr>
            <w:r/>
            <w:r>
              <w:rPr>
                <w:rFonts w:ascii="Cambria" w:hAnsi="Cambria"/>
                <w:b w:val="0"/>
                <w:sz w:val="18"/>
              </w:rPr>
              <w:t>Submit engagement data for AQAR and SSR</w:t>
            </w:r>
          </w:p>
        </w:tc>
        <w:tc>
          <w:tcPr>
            <w:tcW w:type="dxa" w:w="2098"/>
            <w:tcW w:w="2097" w:type="dxa"/>
          </w:tcPr>
          <w:p>
            <w:pPr>
              <w:jc w:val="center"/>
            </w:pPr>
            <w:r/>
            <w:r>
              <w:rPr>
                <w:rFonts w:ascii="Cambria" w:hAnsi="Cambria"/>
                <w:b w:val="0"/>
                <w:sz w:val="18"/>
              </w:rPr>
              <w:t>Meeting minutes, reports</w:t>
            </w:r>
          </w:p>
        </w:tc>
      </w:tr>
      <w:tr>
        <w:tc>
          <w:tcPr>
            <w:tcW w:type="dxa" w:w="1134"/>
            <w:tcW w:w="1134" w:type="dxa"/>
            <w:shd w:val="clear" w:color="auto" w:fill="DCE6F1"/>
          </w:tcPr>
          <w:p>
            <w:pPr>
              <w:jc w:val="left"/>
            </w:pPr>
            <w:r/>
            <w:r>
              <w:rPr>
                <w:rFonts w:ascii="Cambria" w:hAnsi="Cambria"/>
                <w:b w:val="0"/>
                <w:sz w:val="18"/>
              </w:rPr>
              <w:t>7.1.6</w:t>
            </w:r>
          </w:p>
        </w:tc>
        <w:tc>
          <w:tcPr>
            <w:tcW w:type="dxa" w:w="2551"/>
            <w:tcW w:w="2551" w:type="dxa"/>
            <w:shd w:val="clear" w:color="auto" w:fill="DCE6F1"/>
          </w:tcPr>
          <w:p>
            <w:pPr>
              <w:jc w:val="center"/>
            </w:pPr>
            <w:r/>
            <w:r>
              <w:rPr>
                <w:rFonts w:ascii="Cambria" w:hAnsi="Cambria"/>
                <w:b w:val="0"/>
                <w:sz w:val="18"/>
              </w:rPr>
              <w:t>Environmental and sustainability initiatives</w:t>
            </w:r>
          </w:p>
        </w:tc>
        <w:tc>
          <w:tcPr>
            <w:tcW w:type="dxa" w:w="2551"/>
            <w:tcW w:w="2551" w:type="dxa"/>
            <w:shd w:val="clear" w:color="auto" w:fill="DCE6F1"/>
          </w:tcPr>
          <w:p>
            <w:pPr>
              <w:jc w:val="center"/>
            </w:pPr>
            <w:r/>
            <w:r>
              <w:rPr>
                <w:rFonts w:ascii="Cambria" w:hAnsi="Cambria"/>
                <w:b w:val="0"/>
                <w:sz w:val="18"/>
              </w:rPr>
              <w:t>Organize eco-club and NSS activities</w:t>
            </w:r>
          </w:p>
        </w:tc>
        <w:tc>
          <w:tcPr>
            <w:tcW w:type="dxa" w:w="2098"/>
            <w:tcW w:w="2097" w:type="dxa"/>
            <w:shd w:val="clear" w:color="auto" w:fill="DCE6F1"/>
          </w:tcPr>
          <w:p>
            <w:pPr>
              <w:jc w:val="center"/>
            </w:pPr>
            <w:r/>
            <w:r>
              <w:rPr>
                <w:rFonts w:ascii="Cambria" w:hAnsi="Cambria"/>
                <w:b w:val="0"/>
                <w:sz w:val="18"/>
              </w:rPr>
              <w:t>Sustainability reports, photographs</w:t>
            </w:r>
          </w:p>
        </w:tc>
      </w:tr>
    </w:tbl>
    <w:p>
      <w:pPr>
        <w:keepNext/>
        <w:spacing w:before="200" w:after="120"/>
      </w:pPr>
      <w:r>
        <w:rPr>
          <w:rFonts w:ascii="Cambria" w:hAnsi="Cambria"/>
          <w:b/>
          <w:color w:val="1F3A5F"/>
          <w:sz w:val="26"/>
        </w:rPr>
        <w:t>B. NBA (National Board of Accreditation)</w:t>
      </w:r>
    </w:p>
    <w:tbl>
      <w:tblPr>
        <w:tblW w:type="auto" w:w="0"/>
        <w:jc w:val="center"/>
        <w:tblLayout w:type="fixed"/>
        <w:tblLook w:firstColumn="1" w:firstRow="1" w:lastColumn="0" w:lastRow="0" w:noHBand="0" w:noVBand="1" w:val="04A0"/>
        <w:tblW w:w="8334" w:type="dxa"/>
        <w:tblLayout w:type="fixed"/>
      </w:tblPr>
      <w:tblGrid>
        <w:gridCol w:w="1134"/>
        <w:gridCol w:w="2268"/>
        <w:gridCol w:w="2835"/>
        <w:gridCol w:w="2097"/>
      </w:tblGrid>
      <w:tr>
        <w:tc>
          <w:tcPr>
            <w:tcW w:type="dxa" w:w="1134"/>
            <w:tcW w:w="1134" w:type="dxa"/>
            <w:shd w:val="clear" w:color="auto" w:fill="1F3A5F"/>
          </w:tcPr>
          <w:p>
            <w:pPr>
              <w:jc w:val="center"/>
            </w:pPr>
            <w:r/>
            <w:r>
              <w:rPr>
                <w:rFonts w:ascii="Cambria" w:hAnsi="Cambria"/>
                <w:b/>
                <w:color w:val="FFFFFF"/>
                <w:sz w:val="22"/>
              </w:rPr>
              <w:t>Criterion</w:t>
            </w:r>
          </w:p>
        </w:tc>
        <w:tc>
          <w:tcPr>
            <w:tcW w:type="dxa" w:w="2268"/>
            <w:tcW w:w="2268" w:type="dxa"/>
            <w:shd w:val="clear" w:color="auto" w:fill="1F3A5F"/>
          </w:tcPr>
          <w:p>
            <w:pPr>
              <w:jc w:val="center"/>
            </w:pPr>
            <w:r/>
            <w:r>
              <w:rPr>
                <w:rFonts w:ascii="Cambria" w:hAnsi="Cambria"/>
                <w:b/>
                <w:color w:val="FFFFFF"/>
                <w:sz w:val="22"/>
              </w:rPr>
              <w:t>Focus Area</w:t>
            </w:r>
          </w:p>
        </w:tc>
        <w:tc>
          <w:tcPr>
            <w:tcW w:type="dxa" w:w="2835"/>
            <w:tcW w:w="2835" w:type="dxa"/>
            <w:shd w:val="clear" w:color="auto" w:fill="1F3A5F"/>
          </w:tcPr>
          <w:p>
            <w:pPr>
              <w:jc w:val="center"/>
            </w:pPr>
            <w:r/>
            <w:r>
              <w:rPr>
                <w:rFonts w:ascii="Cambria" w:hAnsi="Cambria"/>
                <w:b/>
                <w:color w:val="FFFFFF"/>
                <w:sz w:val="22"/>
              </w:rPr>
              <w:t>Associate Dean’s Duties</w:t>
            </w:r>
          </w:p>
        </w:tc>
        <w:tc>
          <w:tcPr>
            <w:tcW w:type="dxa" w:w="2098"/>
            <w:tcW w:w="2097" w:type="dxa"/>
            <w:shd w:val="clear" w:color="auto" w:fill="1F3A5F"/>
          </w:tcPr>
          <w:p>
            <w:pPr>
              <w:jc w:val="center"/>
            </w:pPr>
            <w:r/>
            <w:r>
              <w:rPr>
                <w:rFonts w:ascii="Cambria" w:hAnsi="Cambria"/>
                <w:b/>
                <w:color w:val="FFFFFF"/>
                <w:sz w:val="22"/>
              </w:rPr>
              <w:t>Evidence</w:t>
            </w:r>
          </w:p>
        </w:tc>
      </w:tr>
      <w:tr>
        <w:tc>
          <w:tcPr>
            <w:tcW w:type="dxa" w:w="1134"/>
            <w:tcW w:w="1134" w:type="dxa"/>
          </w:tcPr>
          <w:p>
            <w:pPr>
              <w:jc w:val="left"/>
            </w:pPr>
            <w:r/>
            <w:r>
              <w:rPr>
                <w:rFonts w:ascii="Cambria" w:hAnsi="Cambria"/>
                <w:b w:val="0"/>
                <w:sz w:val="19"/>
              </w:rPr>
              <w:t>8</w:t>
            </w:r>
          </w:p>
        </w:tc>
        <w:tc>
          <w:tcPr>
            <w:tcW w:type="dxa" w:w="2268"/>
            <w:tcW w:w="2268" w:type="dxa"/>
          </w:tcPr>
          <w:p>
            <w:pPr>
              <w:jc w:val="center"/>
            </w:pPr>
            <w:r/>
            <w:r>
              <w:rPr>
                <w:rFonts w:ascii="Cambria" w:hAnsi="Cambria"/>
                <w:b w:val="0"/>
                <w:sz w:val="19"/>
              </w:rPr>
              <w:t>First Year Academics</w:t>
            </w:r>
          </w:p>
        </w:tc>
        <w:tc>
          <w:tcPr>
            <w:tcW w:type="dxa" w:w="2835"/>
            <w:tcW w:w="2835" w:type="dxa"/>
          </w:tcPr>
          <w:p>
            <w:pPr>
              <w:jc w:val="center"/>
            </w:pPr>
            <w:r/>
            <w:r>
              <w:rPr>
                <w:rFonts w:ascii="Cambria" w:hAnsi="Cambria"/>
                <w:b w:val="0"/>
                <w:sz w:val="19"/>
              </w:rPr>
              <w:t>Conduct orientation and club introduction sessions</w:t>
            </w:r>
          </w:p>
        </w:tc>
        <w:tc>
          <w:tcPr>
            <w:tcW w:type="dxa" w:w="2098"/>
            <w:tcW w:w="2097" w:type="dxa"/>
          </w:tcPr>
          <w:p>
            <w:pPr>
              <w:jc w:val="center"/>
            </w:pPr>
            <w:r/>
            <w:r>
              <w:rPr>
                <w:rFonts w:ascii="Cambria" w:hAnsi="Cambria"/>
                <w:b w:val="0"/>
                <w:sz w:val="19"/>
              </w:rPr>
              <w:t>Orientation schedule, attendance</w:t>
            </w:r>
          </w:p>
        </w:tc>
      </w:tr>
      <w:tr>
        <w:tc>
          <w:tcPr>
            <w:tcW w:type="dxa" w:w="1134"/>
            <w:tcW w:w="1134" w:type="dxa"/>
            <w:shd w:val="clear" w:color="auto" w:fill="DCE6F1"/>
          </w:tcPr>
          <w:p>
            <w:pPr>
              <w:jc w:val="left"/>
            </w:pPr>
            <w:r/>
            <w:r>
              <w:rPr>
                <w:rFonts w:ascii="Cambria" w:hAnsi="Cambria"/>
                <w:b w:val="0"/>
                <w:sz w:val="19"/>
              </w:rPr>
              <w:t>9</w:t>
            </w:r>
          </w:p>
        </w:tc>
        <w:tc>
          <w:tcPr>
            <w:tcW w:type="dxa" w:w="2268"/>
            <w:tcW w:w="2268" w:type="dxa"/>
            <w:shd w:val="clear" w:color="auto" w:fill="DCE6F1"/>
          </w:tcPr>
          <w:p>
            <w:pPr>
              <w:jc w:val="center"/>
            </w:pPr>
            <w:r/>
            <w:r>
              <w:rPr>
                <w:rFonts w:ascii="Cambria" w:hAnsi="Cambria"/>
                <w:b w:val="0"/>
                <w:sz w:val="19"/>
              </w:rPr>
              <w:t>Student Support Systems</w:t>
            </w:r>
          </w:p>
        </w:tc>
        <w:tc>
          <w:tcPr>
            <w:tcW w:type="dxa" w:w="2835"/>
            <w:tcW w:w="2835" w:type="dxa"/>
            <w:shd w:val="clear" w:color="auto" w:fill="DCE6F1"/>
          </w:tcPr>
          <w:p>
            <w:pPr>
              <w:jc w:val="center"/>
            </w:pPr>
            <w:r/>
            <w:r>
              <w:rPr>
                <w:rFonts w:ascii="Cambria" w:hAnsi="Cambria"/>
                <w:b w:val="0"/>
                <w:sz w:val="19"/>
              </w:rPr>
              <w:t>Facilitate academic and cultural associations</w:t>
            </w:r>
          </w:p>
        </w:tc>
        <w:tc>
          <w:tcPr>
            <w:tcW w:type="dxa" w:w="2098"/>
            <w:tcW w:w="2097" w:type="dxa"/>
            <w:shd w:val="clear" w:color="auto" w:fill="DCE6F1"/>
          </w:tcPr>
          <w:p>
            <w:pPr>
              <w:jc w:val="center"/>
            </w:pPr>
            <w:r/>
            <w:r>
              <w:rPr>
                <w:rFonts w:ascii="Cambria" w:hAnsi="Cambria"/>
                <w:b w:val="0"/>
                <w:sz w:val="19"/>
              </w:rPr>
              <w:t>Club reports, event logs</w:t>
            </w:r>
          </w:p>
        </w:tc>
      </w:tr>
      <w:tr>
        <w:tc>
          <w:tcPr>
            <w:tcW w:type="dxa" w:w="1134"/>
            <w:tcW w:w="1134" w:type="dxa"/>
          </w:tcPr>
          <w:p>
            <w:pPr>
              <w:jc w:val="left"/>
            </w:pPr>
            <w:r/>
            <w:r>
              <w:rPr>
                <w:rFonts w:ascii="Cambria" w:hAnsi="Cambria"/>
                <w:b w:val="0"/>
                <w:sz w:val="19"/>
              </w:rPr>
              <w:t>10</w:t>
            </w:r>
          </w:p>
        </w:tc>
        <w:tc>
          <w:tcPr>
            <w:tcW w:type="dxa" w:w="2268"/>
            <w:tcW w:w="2268" w:type="dxa"/>
          </w:tcPr>
          <w:p>
            <w:pPr>
              <w:jc w:val="center"/>
            </w:pPr>
            <w:r/>
            <w:r>
              <w:rPr>
                <w:rFonts w:ascii="Cambria" w:hAnsi="Cambria"/>
                <w:b w:val="0"/>
                <w:sz w:val="19"/>
              </w:rPr>
              <w:t>Continuous Improvement</w:t>
            </w:r>
          </w:p>
        </w:tc>
        <w:tc>
          <w:tcPr>
            <w:tcW w:type="dxa" w:w="2835"/>
            <w:tcW w:w="2835" w:type="dxa"/>
          </w:tcPr>
          <w:p>
            <w:pPr>
              <w:jc w:val="center"/>
            </w:pPr>
            <w:r/>
            <w:r>
              <w:rPr>
                <w:rFonts w:ascii="Cambria" w:hAnsi="Cambria"/>
                <w:b w:val="0"/>
                <w:sz w:val="19"/>
              </w:rPr>
              <w:t>Assess feedback and implement enhancements</w:t>
            </w:r>
          </w:p>
        </w:tc>
        <w:tc>
          <w:tcPr>
            <w:tcW w:type="dxa" w:w="2098"/>
            <w:tcW w:w="2097" w:type="dxa"/>
          </w:tcPr>
          <w:p>
            <w:pPr>
              <w:jc w:val="center"/>
            </w:pPr>
            <w:r/>
            <w:r>
              <w:rPr>
                <w:rFonts w:ascii="Cambria" w:hAnsi="Cambria"/>
                <w:b w:val="0"/>
                <w:sz w:val="19"/>
              </w:rPr>
              <w:t>Feedback summaries, action taken reports</w:t>
            </w:r>
          </w:p>
        </w:tc>
      </w:tr>
    </w:tbl>
    <w:p>
      <w:pPr>
        <w:keepNext/>
        <w:spacing w:before="200" w:after="120"/>
      </w:pPr>
      <w:r>
        <w:rPr>
          <w:rFonts w:ascii="Cambria" w:hAnsi="Cambria"/>
          <w:b/>
          <w:color w:val="1F3A5F"/>
          <w:sz w:val="26"/>
        </w:rPr>
        <w:t>C. QS I-GAUGE Framework</w:t>
      </w:r>
    </w:p>
    <w:tbl>
      <w:tblPr>
        <w:tblW w:type="auto" w:w="0"/>
        <w:jc w:val="center"/>
        <w:tblLayout w:type="fixed"/>
        <w:tblLook w:firstColumn="1" w:firstRow="1" w:lastColumn="0" w:lastRow="0" w:noHBand="0" w:noVBand="1" w:val="04A0"/>
        <w:tblW w:w="8334" w:type="dxa"/>
        <w:tblLayout w:type="fixed"/>
      </w:tblPr>
      <w:tblGrid>
        <w:gridCol w:w="1701"/>
        <w:gridCol w:w="1984"/>
        <w:gridCol w:w="2551"/>
        <w:gridCol w:w="2097"/>
      </w:tblGrid>
      <w:tr>
        <w:tc>
          <w:tcPr>
            <w:tcW w:type="dxa" w:w="1701"/>
            <w:tcW w:w="1701" w:type="dxa"/>
            <w:shd w:val="clear" w:color="auto" w:fill="1F3A5F"/>
          </w:tcPr>
          <w:p>
            <w:pPr>
              <w:jc w:val="center"/>
            </w:pPr>
            <w:r/>
            <w:r>
              <w:rPr>
                <w:rFonts w:ascii="Cambria" w:hAnsi="Cambria"/>
                <w:b/>
                <w:color w:val="FFFFFF"/>
                <w:sz w:val="22"/>
              </w:rPr>
              <w:t>Parameter</w:t>
            </w:r>
          </w:p>
        </w:tc>
        <w:tc>
          <w:tcPr>
            <w:tcW w:type="dxa" w:w="1984"/>
            <w:tcW w:w="1984" w:type="dxa"/>
            <w:shd w:val="clear" w:color="auto" w:fill="1F3A5F"/>
          </w:tcPr>
          <w:p>
            <w:pPr>
              <w:jc w:val="center"/>
            </w:pPr>
            <w:r/>
            <w:r>
              <w:rPr>
                <w:rFonts w:ascii="Cambria" w:hAnsi="Cambria"/>
                <w:b/>
                <w:color w:val="FFFFFF"/>
                <w:sz w:val="22"/>
              </w:rPr>
              <w:t>Indicator</w:t>
            </w:r>
          </w:p>
        </w:tc>
        <w:tc>
          <w:tcPr>
            <w:tcW w:type="dxa" w:w="2551"/>
            <w:tcW w:w="2551" w:type="dxa"/>
            <w:shd w:val="clear" w:color="auto" w:fill="1F3A5F"/>
          </w:tcPr>
          <w:p>
            <w:pPr>
              <w:jc w:val="center"/>
            </w:pPr>
            <w:r/>
            <w:r>
              <w:rPr>
                <w:rFonts w:ascii="Cambria" w:hAnsi="Cambria"/>
                <w:b/>
                <w:color w:val="FFFFFF"/>
                <w:sz w:val="22"/>
              </w:rPr>
              <w:t>Associate Dean’s Contribution</w:t>
            </w:r>
          </w:p>
        </w:tc>
        <w:tc>
          <w:tcPr>
            <w:tcW w:type="dxa" w:w="2098"/>
            <w:tcW w:w="2097" w:type="dxa"/>
            <w:shd w:val="clear" w:color="auto" w:fill="1F3A5F"/>
          </w:tcPr>
          <w:p>
            <w:pPr>
              <w:jc w:val="center"/>
            </w:pPr>
            <w:r/>
            <w:r>
              <w:rPr>
                <w:rFonts w:ascii="Cambria" w:hAnsi="Cambria"/>
                <w:b/>
                <w:color w:val="FFFFFF"/>
                <w:sz w:val="22"/>
              </w:rPr>
              <w:t>Evidence / Deliverables</w:t>
            </w:r>
          </w:p>
        </w:tc>
      </w:tr>
      <w:tr>
        <w:tc>
          <w:tcPr>
            <w:tcW w:type="dxa" w:w="1701"/>
            <w:tcW w:w="1701" w:type="dxa"/>
          </w:tcPr>
          <w:p>
            <w:pPr>
              <w:jc w:val="left"/>
            </w:pPr>
            <w:r/>
            <w:r>
              <w:rPr>
                <w:rFonts w:ascii="Cambria" w:hAnsi="Cambria"/>
                <w:b w:val="0"/>
                <w:sz w:val="18"/>
              </w:rPr>
              <w:t>TL – Teaching &amp; Learning</w:t>
            </w:r>
          </w:p>
        </w:tc>
        <w:tc>
          <w:tcPr>
            <w:tcW w:type="dxa" w:w="1984"/>
            <w:tcW w:w="1984" w:type="dxa"/>
          </w:tcPr>
          <w:p>
            <w:pPr>
              <w:jc w:val="center"/>
            </w:pPr>
            <w:r/>
            <w:r>
              <w:rPr>
                <w:rFonts w:ascii="Cambria" w:hAnsi="Cambria"/>
                <w:b w:val="0"/>
                <w:sz w:val="18"/>
              </w:rPr>
              <w:t>Holistic and experiential learning</w:t>
            </w:r>
          </w:p>
        </w:tc>
        <w:tc>
          <w:tcPr>
            <w:tcW w:type="dxa" w:w="2551"/>
            <w:tcW w:w="2551" w:type="dxa"/>
          </w:tcPr>
          <w:p>
            <w:pPr>
              <w:jc w:val="center"/>
            </w:pPr>
            <w:r/>
            <w:r>
              <w:rPr>
                <w:rFonts w:ascii="Cambria" w:hAnsi="Cambria"/>
                <w:b w:val="0"/>
                <w:sz w:val="18"/>
              </w:rPr>
              <w:t>Promote co-curricular integration</w:t>
            </w:r>
          </w:p>
        </w:tc>
        <w:tc>
          <w:tcPr>
            <w:tcW w:type="dxa" w:w="2098"/>
            <w:tcW w:w="2097" w:type="dxa"/>
          </w:tcPr>
          <w:p>
            <w:pPr>
              <w:jc w:val="center"/>
            </w:pPr>
            <w:r/>
            <w:r>
              <w:rPr>
                <w:rFonts w:ascii="Cambria" w:hAnsi="Cambria"/>
                <w:b w:val="0"/>
                <w:sz w:val="18"/>
              </w:rPr>
              <w:t>Reports, learning outcomes</w:t>
            </w:r>
          </w:p>
        </w:tc>
      </w:tr>
      <w:tr>
        <w:tc>
          <w:tcPr>
            <w:tcW w:type="dxa" w:w="1701"/>
            <w:tcW w:w="1701" w:type="dxa"/>
            <w:shd w:val="clear" w:color="auto" w:fill="DCE6F1"/>
          </w:tcPr>
          <w:p>
            <w:pPr>
              <w:jc w:val="left"/>
            </w:pPr>
            <w:r/>
            <w:r>
              <w:rPr>
                <w:rFonts w:ascii="Cambria" w:hAnsi="Cambria"/>
                <w:b w:val="0"/>
                <w:sz w:val="18"/>
              </w:rPr>
              <w:t>FC – Faculty &amp; Student Development</w:t>
            </w:r>
          </w:p>
        </w:tc>
        <w:tc>
          <w:tcPr>
            <w:tcW w:type="dxa" w:w="1984"/>
            <w:tcW w:w="1984" w:type="dxa"/>
            <w:shd w:val="clear" w:color="auto" w:fill="DCE6F1"/>
          </w:tcPr>
          <w:p>
            <w:pPr>
              <w:jc w:val="center"/>
            </w:pPr>
            <w:r/>
            <w:r>
              <w:rPr>
                <w:rFonts w:ascii="Cambria" w:hAnsi="Cambria"/>
                <w:b w:val="0"/>
                <w:sz w:val="18"/>
              </w:rPr>
              <w:t>Student leadership and mentoring</w:t>
            </w:r>
          </w:p>
        </w:tc>
        <w:tc>
          <w:tcPr>
            <w:tcW w:type="dxa" w:w="2551"/>
            <w:tcW w:w="2551" w:type="dxa"/>
            <w:shd w:val="clear" w:color="auto" w:fill="DCE6F1"/>
          </w:tcPr>
          <w:p>
            <w:pPr>
              <w:jc w:val="center"/>
            </w:pPr>
            <w:r/>
            <w:r>
              <w:rPr>
                <w:rFonts w:ascii="Cambria" w:hAnsi="Cambria"/>
                <w:b w:val="0"/>
                <w:sz w:val="18"/>
              </w:rPr>
              <w:t>Conduct leadership training</w:t>
            </w:r>
          </w:p>
        </w:tc>
        <w:tc>
          <w:tcPr>
            <w:tcW w:type="dxa" w:w="2098"/>
            <w:tcW w:w="2097" w:type="dxa"/>
            <w:shd w:val="clear" w:color="auto" w:fill="DCE6F1"/>
          </w:tcPr>
          <w:p>
            <w:pPr>
              <w:jc w:val="center"/>
            </w:pPr>
            <w:r/>
            <w:r>
              <w:rPr>
                <w:rFonts w:ascii="Cambria" w:hAnsi="Cambria"/>
                <w:b w:val="0"/>
                <w:sz w:val="18"/>
              </w:rPr>
              <w:t>Workshop reports, certificates</w:t>
            </w:r>
          </w:p>
        </w:tc>
      </w:tr>
      <w:tr>
        <w:tc>
          <w:tcPr>
            <w:tcW w:type="dxa" w:w="1701"/>
            <w:tcW w:w="1701" w:type="dxa"/>
          </w:tcPr>
          <w:p>
            <w:pPr>
              <w:jc w:val="left"/>
            </w:pPr>
            <w:r/>
            <w:r>
              <w:rPr>
                <w:rFonts w:ascii="Cambria" w:hAnsi="Cambria"/>
                <w:b w:val="0"/>
                <w:sz w:val="18"/>
              </w:rPr>
              <w:t>DA – Diversity &amp; Accessibility</w:t>
            </w:r>
          </w:p>
        </w:tc>
        <w:tc>
          <w:tcPr>
            <w:tcW w:type="dxa" w:w="1984"/>
            <w:tcW w:w="1984" w:type="dxa"/>
          </w:tcPr>
          <w:p>
            <w:pPr>
              <w:jc w:val="center"/>
            </w:pPr>
            <w:r/>
            <w:r>
              <w:rPr>
                <w:rFonts w:ascii="Cambria" w:hAnsi="Cambria"/>
                <w:b w:val="0"/>
                <w:sz w:val="18"/>
              </w:rPr>
              <w:t>Equal opportunity in student engagement</w:t>
            </w:r>
          </w:p>
        </w:tc>
        <w:tc>
          <w:tcPr>
            <w:tcW w:type="dxa" w:w="2551"/>
            <w:tcW w:w="2551" w:type="dxa"/>
          </w:tcPr>
          <w:p>
            <w:pPr>
              <w:jc w:val="center"/>
            </w:pPr>
            <w:r/>
            <w:r>
              <w:rPr>
                <w:rFonts w:ascii="Cambria" w:hAnsi="Cambria"/>
                <w:b w:val="0"/>
                <w:sz w:val="18"/>
              </w:rPr>
              <w:t>Ensure inclusivity in participation</w:t>
            </w:r>
          </w:p>
        </w:tc>
        <w:tc>
          <w:tcPr>
            <w:tcW w:type="dxa" w:w="2098"/>
            <w:tcW w:w="2097" w:type="dxa"/>
          </w:tcPr>
          <w:p>
            <w:pPr>
              <w:jc w:val="center"/>
            </w:pPr>
            <w:r/>
            <w:r>
              <w:rPr>
                <w:rFonts w:ascii="Cambria" w:hAnsi="Cambria"/>
                <w:b w:val="0"/>
                <w:sz w:val="18"/>
              </w:rPr>
              <w:t>Diversity reports, club data</w:t>
            </w:r>
          </w:p>
        </w:tc>
      </w:tr>
      <w:tr>
        <w:tc>
          <w:tcPr>
            <w:tcW w:type="dxa" w:w="1701"/>
            <w:tcW w:w="1701" w:type="dxa"/>
            <w:shd w:val="clear" w:color="auto" w:fill="DCE6F1"/>
          </w:tcPr>
          <w:p>
            <w:pPr>
              <w:jc w:val="left"/>
            </w:pPr>
            <w:r/>
            <w:r>
              <w:rPr>
                <w:rFonts w:ascii="Cambria" w:hAnsi="Cambria"/>
                <w:b w:val="0"/>
                <w:sz w:val="18"/>
              </w:rPr>
              <w:t>SL – Social Responsibility</w:t>
            </w:r>
          </w:p>
        </w:tc>
        <w:tc>
          <w:tcPr>
            <w:tcW w:type="dxa" w:w="1984"/>
            <w:tcW w:w="1984" w:type="dxa"/>
            <w:shd w:val="clear" w:color="auto" w:fill="DCE6F1"/>
          </w:tcPr>
          <w:p>
            <w:pPr>
              <w:jc w:val="center"/>
            </w:pPr>
            <w:r/>
            <w:r>
              <w:rPr>
                <w:rFonts w:ascii="Cambria" w:hAnsi="Cambria"/>
                <w:b w:val="0"/>
                <w:sz w:val="18"/>
              </w:rPr>
              <w:t>Community engagement and service</w:t>
            </w:r>
          </w:p>
        </w:tc>
        <w:tc>
          <w:tcPr>
            <w:tcW w:type="dxa" w:w="2551"/>
            <w:tcW w:w="2551" w:type="dxa"/>
            <w:shd w:val="clear" w:color="auto" w:fill="DCE6F1"/>
          </w:tcPr>
          <w:p>
            <w:pPr>
              <w:jc w:val="center"/>
            </w:pPr>
            <w:r/>
            <w:r>
              <w:rPr>
                <w:rFonts w:ascii="Cambria" w:hAnsi="Cambria"/>
                <w:b w:val="0"/>
                <w:sz w:val="18"/>
              </w:rPr>
              <w:t>Coordinate outreach through NSS/NCC clubs</w:t>
            </w:r>
          </w:p>
        </w:tc>
        <w:tc>
          <w:tcPr>
            <w:tcW w:type="dxa" w:w="2098"/>
            <w:tcW w:w="2097" w:type="dxa"/>
            <w:shd w:val="clear" w:color="auto" w:fill="DCE6F1"/>
          </w:tcPr>
          <w:p>
            <w:pPr>
              <w:jc w:val="center"/>
            </w:pPr>
            <w:r/>
            <w:r>
              <w:rPr>
                <w:rFonts w:ascii="Cambria" w:hAnsi="Cambria"/>
                <w:b w:val="0"/>
                <w:sz w:val="18"/>
              </w:rPr>
              <w:t>CSR activity reports</w:t>
            </w:r>
          </w:p>
        </w:tc>
      </w:tr>
      <w:tr>
        <w:tc>
          <w:tcPr>
            <w:tcW w:type="dxa" w:w="1701"/>
            <w:tcW w:w="1701" w:type="dxa"/>
          </w:tcPr>
          <w:p>
            <w:pPr>
              <w:jc w:val="left"/>
            </w:pPr>
            <w:r/>
            <w:r>
              <w:rPr>
                <w:rFonts w:ascii="Cambria" w:hAnsi="Cambria"/>
                <w:b w:val="0"/>
                <w:sz w:val="18"/>
              </w:rPr>
              <w:t>GS – Governance &amp; Structure</w:t>
            </w:r>
          </w:p>
        </w:tc>
        <w:tc>
          <w:tcPr>
            <w:tcW w:type="dxa" w:w="1984"/>
            <w:tcW w:w="1984" w:type="dxa"/>
          </w:tcPr>
          <w:p>
            <w:pPr>
              <w:jc w:val="center"/>
            </w:pPr>
            <w:r/>
            <w:r>
              <w:rPr>
                <w:rFonts w:ascii="Cambria" w:hAnsi="Cambria"/>
                <w:b w:val="0"/>
                <w:sz w:val="18"/>
              </w:rPr>
              <w:t>Policy and documentation</w:t>
            </w:r>
          </w:p>
        </w:tc>
        <w:tc>
          <w:tcPr>
            <w:tcW w:type="dxa" w:w="2551"/>
            <w:tcW w:w="2551" w:type="dxa"/>
          </w:tcPr>
          <w:p>
            <w:pPr>
              <w:jc w:val="center"/>
            </w:pPr>
            <w:r/>
            <w:r>
              <w:rPr>
                <w:rFonts w:ascii="Cambria" w:hAnsi="Cambria"/>
                <w:b w:val="0"/>
                <w:sz w:val="18"/>
              </w:rPr>
              <w:t>Maintain Student Association Policy</w:t>
            </w:r>
          </w:p>
        </w:tc>
        <w:tc>
          <w:tcPr>
            <w:tcW w:type="dxa" w:w="2098"/>
            <w:tcW w:w="2097" w:type="dxa"/>
          </w:tcPr>
          <w:p>
            <w:pPr>
              <w:jc w:val="center"/>
            </w:pPr>
            <w:r/>
            <w:r>
              <w:rPr>
                <w:rFonts w:ascii="Cambria" w:hAnsi="Cambria"/>
                <w:b w:val="0"/>
                <w:sz w:val="18"/>
              </w:rPr>
              <w:t>Policy files, minutes</w:t>
            </w:r>
          </w:p>
        </w:tc>
      </w:tr>
    </w:tbl>
    <w:p>
      <w:pPr>
        <w:keepNext/>
        <w:spacing w:before="200" w:after="120"/>
      </w:pPr>
      <w:r>
        <w:rPr>
          <w:rFonts w:ascii="Cambria" w:hAnsi="Cambria"/>
          <w:b/>
          <w:color w:val="1F3A5F"/>
          <w:sz w:val="30"/>
        </w:rPr>
        <w:t>5. Governance and Review Framework</w:t>
      </w:r>
    </w:p>
    <w:p>
      <w:pPr>
        <w:pStyle w:val="ListBullet"/>
        <w:jc w:val="both"/>
      </w:pPr>
      <w:r>
        <w:rPr>
          <w:rFonts w:ascii="Cambria" w:hAnsi="Cambria"/>
          <w:sz w:val="22"/>
        </w:rPr>
        <w:t>Reports directly to the Dean (Student Affairs) / Principal.</w:t>
      </w:r>
    </w:p>
    <w:p>
      <w:pPr>
        <w:pStyle w:val="ListBullet"/>
        <w:jc w:val="both"/>
      </w:pPr>
      <w:r>
        <w:rPr>
          <w:rFonts w:ascii="Cambria" w:hAnsi="Cambria"/>
          <w:sz w:val="22"/>
        </w:rPr>
        <w:t>Serves as Member Secretary of the Student Activity Council (SAC), Cultural Committee, and Association Coordination Board.</w:t>
      </w:r>
    </w:p>
    <w:p>
      <w:pPr>
        <w:pStyle w:val="ListBullet"/>
        <w:jc w:val="both"/>
      </w:pPr>
      <w:r>
        <w:rPr>
          <w:rFonts w:ascii="Cambria" w:hAnsi="Cambria"/>
          <w:sz w:val="22"/>
        </w:rPr>
        <w:t>Collaborates with IQAC, Sports Affairs, and Student Welfare offices for integrated planning.</w:t>
      </w:r>
    </w:p>
    <w:p>
      <w:pPr>
        <w:pStyle w:val="ListBullet"/>
        <w:jc w:val="both"/>
      </w:pPr>
      <w:r>
        <w:rPr>
          <w:rFonts w:ascii="Cambria" w:hAnsi="Cambria"/>
          <w:sz w:val="22"/>
        </w:rPr>
        <w:t>Conducts semester-wise performance evaluations of clubs and associations.</w:t>
      </w:r>
    </w:p>
    <w:p>
      <w:pPr>
        <w:pStyle w:val="ListBullet"/>
        <w:jc w:val="both"/>
      </w:pPr>
      <w:r>
        <w:rPr>
          <w:rFonts w:ascii="Cambria" w:hAnsi="Cambria"/>
          <w:sz w:val="22"/>
        </w:rPr>
        <w:t>Submits consolidated student engagement reports to IQAC, Academic Council, and Governing Body.</w:t>
      </w:r>
    </w:p>
    <w:p>
      <w:pPr>
        <w:keepNext/>
        <w:spacing w:before="200" w:after="120"/>
      </w:pPr>
      <w:r>
        <w:rPr>
          <w:rFonts w:ascii="Cambria" w:hAnsi="Cambria"/>
          <w:b/>
          <w:color w:val="1F3A5F"/>
          <w:sz w:val="30"/>
        </w:rPr>
        <w:t>6. Expected Outcomes</w:t>
      </w:r>
    </w:p>
    <w:p>
      <w:pPr>
        <w:pStyle w:val="ListBullet"/>
        <w:jc w:val="both"/>
      </w:pPr>
      <w:r>
        <w:rPr>
          <w:rFonts w:ascii="Cambria" w:hAnsi="Cambria"/>
          <w:sz w:val="22"/>
        </w:rPr>
        <w:t>Enhanced student engagement and leadership across academic and non-academic domains.</w:t>
      </w:r>
    </w:p>
    <w:p>
      <w:pPr>
        <w:pStyle w:val="ListBullet"/>
        <w:jc w:val="both"/>
      </w:pPr>
      <w:r>
        <w:rPr>
          <w:rFonts w:ascii="Cambria" w:hAnsi="Cambria"/>
          <w:sz w:val="22"/>
        </w:rPr>
        <w:t>Strengthened interdisciplinary collaboration and creative innovation through associations and clubs.</w:t>
      </w:r>
    </w:p>
    <w:p>
      <w:pPr>
        <w:pStyle w:val="ListBullet"/>
        <w:jc w:val="both"/>
      </w:pPr>
      <w:r>
        <w:rPr>
          <w:rFonts w:ascii="Cambria" w:hAnsi="Cambria"/>
          <w:sz w:val="22"/>
        </w:rPr>
        <w:t>Institutional recognition through participation in external cultural, academic, and technical events.</w:t>
      </w:r>
    </w:p>
    <w:p>
      <w:pPr>
        <w:pStyle w:val="ListBullet"/>
        <w:jc w:val="both"/>
      </w:pPr>
      <w:r>
        <w:rPr>
          <w:rFonts w:ascii="Cambria" w:hAnsi="Cambria"/>
          <w:sz w:val="22"/>
        </w:rPr>
        <w:t>Improved NAAC Criterion 5 and NBA Criterion 9 scores through verifiable evidence of student engagement.</w:t>
      </w:r>
    </w:p>
    <w:p>
      <w:pPr>
        <w:pStyle w:val="ListBullet"/>
        <w:jc w:val="both"/>
      </w:pPr>
      <w:r>
        <w:rPr>
          <w:rFonts w:ascii="Cambria" w:hAnsi="Cambria"/>
          <w:sz w:val="22"/>
        </w:rPr>
        <w:t>Contribution to a vibrant, inclusive, and innovative campus culture promoting both academic excellence and social responsibility.</w:t>
      </w:r>
    </w:p>
    <w:p>
      <w:pPr>
        <w:keepNext/>
        <w:spacing w:before="200" w:after="120"/>
      </w:pPr>
      <w:r>
        <w:rPr>
          <w:rFonts w:ascii="Cambria" w:hAnsi="Cambria"/>
          <w:b/>
          <w:color w:val="1F3A5F"/>
          <w:sz w:val="30"/>
        </w:rPr>
        <w:t>Documentation and Reporting Framework for the Associate Dean – Associations, Co-Curricular, Extracurricular, and Club Activities</w:t>
      </w:r>
    </w:p>
    <w:p>
      <w:pPr>
        <w:keepNext/>
        <w:spacing w:before="200" w:after="120"/>
      </w:pPr>
      <w:r>
        <w:rPr>
          <w:rFonts w:ascii="Cambria" w:hAnsi="Cambria"/>
          <w:b/>
          <w:color w:val="1F3A5F"/>
          <w:sz w:val="26"/>
        </w:rPr>
        <w:t>1. Maintain Records</w:t>
      </w:r>
    </w:p>
    <w:p>
      <w:pPr>
        <w:pStyle w:val="ListBullet"/>
        <w:jc w:val="both"/>
      </w:pPr>
      <w:r>
        <w:rPr>
          <w:rFonts w:ascii="Cambria" w:hAnsi="Cambria"/>
          <w:sz w:val="22"/>
        </w:rPr>
        <w:t>The Associate Dean is responsible for systematically collecting, updating, and preserving data on all student association and club activities. This documentation is crucial for transparency, accountability, and accreditation evidence.</w:t>
      </w:r>
    </w:p>
    <w:p>
      <w:pPr>
        <w:pStyle w:val="ListBullet"/>
        <w:jc w:val="both"/>
      </w:pPr>
      <w:r>
        <w:rPr>
          <w:rFonts w:ascii="Cambria" w:hAnsi="Cambria"/>
          <w:sz w:val="22"/>
        </w:rPr>
        <w:t>It involves several types of records:</w:t>
      </w:r>
    </w:p>
    <w:p>
      <w:pPr>
        <w:pStyle w:val="ListBullet2"/>
        <w:jc w:val="both"/>
      </w:pPr>
      <w:r>
        <w:rPr>
          <w:rFonts w:ascii="Cambria" w:hAnsi="Cambria"/>
          <w:sz w:val="22"/>
        </w:rPr>
        <w:t>Student Association Activities and Outcomes: These include seminars, student-led academic events, and inter-departmental programs organized by academic or technical associations. The outcomes document how these activities enhanced student learning, teamwork, and leadership.</w:t>
      </w:r>
    </w:p>
    <w:p>
      <w:pPr>
        <w:pStyle w:val="ListBullet2"/>
        <w:jc w:val="both"/>
      </w:pPr>
      <w:r>
        <w:rPr>
          <w:rFonts w:ascii="Cambria" w:hAnsi="Cambria"/>
          <w:sz w:val="22"/>
        </w:rPr>
        <w:t>Co-/Extracurricular Events and Participation Data: Includes academic enrichment programs (seminars, symposiums, hackathons) as well as cultural or recreational events (arts, music, dance, debates). Tracking participation ensures inclusivity and helps measure engagement and talent development.</w:t>
      </w:r>
    </w:p>
    <w:p>
      <w:pPr>
        <w:pStyle w:val="ListBullet2"/>
        <w:jc w:val="both"/>
      </w:pPr>
      <w:r>
        <w:rPr>
          <w:rFonts w:ascii="Cambria" w:hAnsi="Cambria"/>
          <w:sz w:val="22"/>
        </w:rPr>
        <w:t>Club Establishment, Reports, and Recognitions: Covers the formation and operation of student clubs (technical, cultural, social, environmental, literary, etc.), including membership, annual reports, recognitions, and awards. These records reflect the diversity and vitality of student life on campus.</w:t>
      </w:r>
    </w:p>
    <w:p>
      <w:pPr>
        <w:pStyle w:val="ListBullet2"/>
        <w:jc w:val="both"/>
      </w:pPr>
      <w:r>
        <w:rPr>
          <w:rFonts w:ascii="Cambria" w:hAnsi="Cambria"/>
          <w:sz w:val="22"/>
        </w:rPr>
        <w:t>Student Awards, Achievements, and Feedback: Involves maintaining a database of student accolades received at various levels and gathering feedback from participants to evaluate program quality and satisfaction.</w:t>
      </w:r>
    </w:p>
    <w:p>
      <w:pPr>
        <w:jc w:val="both"/>
      </w:pPr>
      <w:r>
        <w:rPr>
          <w:rFonts w:ascii="Cambria" w:hAnsi="Cambria"/>
          <w:b w:val="0"/>
          <w:i w:val="0"/>
          <w:sz w:val="22"/>
        </w:rPr>
        <w:t>Such detailed documentation helps the institution present measurable outcomes during NAAC/NBA/QS I-GAUGE audits, proving that student engagement activities are structured and impactful.</w:t>
      </w:r>
    </w:p>
    <w:p>
      <w:pPr>
        <w:keepNext/>
        <w:spacing w:before="200" w:after="120"/>
      </w:pPr>
      <w:r>
        <w:rPr>
          <w:rFonts w:ascii="Cambria" w:hAnsi="Cambria"/>
          <w:b/>
          <w:color w:val="1F3A5F"/>
          <w:sz w:val="26"/>
        </w:rPr>
        <w:t>2. Prepare Quarterly and Annual Reports</w:t>
      </w:r>
    </w:p>
    <w:p>
      <w:pPr>
        <w:pStyle w:val="ListBullet"/>
        <w:jc w:val="both"/>
      </w:pPr>
      <w:r>
        <w:rPr>
          <w:rFonts w:ascii="Cambria" w:hAnsi="Cambria"/>
          <w:sz w:val="22"/>
        </w:rPr>
        <w:t>The Associate Dean consolidates all activity data and outcomes into quarterly and annual reports.</w:t>
      </w:r>
    </w:p>
    <w:p>
      <w:pPr>
        <w:pStyle w:val="ListBullet"/>
        <w:jc w:val="both"/>
      </w:pPr>
      <w:r>
        <w:rPr>
          <w:rFonts w:ascii="Cambria" w:hAnsi="Cambria"/>
          <w:sz w:val="22"/>
        </w:rPr>
        <w:t>These reports are submitted to the Internal Quality Assurance Cell (IQAC) and serve as evidence for NAAC Criterion 5 (Student Support and Progression) and Criterion 7 (Institutional Values and Best Practices).</w:t>
      </w:r>
    </w:p>
    <w:p>
      <w:pPr>
        <w:pStyle w:val="ListBullet"/>
        <w:jc w:val="both"/>
      </w:pPr>
      <w:r>
        <w:rPr>
          <w:rFonts w:ascii="Cambria" w:hAnsi="Cambria"/>
          <w:sz w:val="22"/>
        </w:rPr>
        <w:t>The reports summarize key metrics such as number of events, participation rates, notable achievements, and feedback analysis.</w:t>
      </w:r>
    </w:p>
    <w:p>
      <w:pPr>
        <w:pStyle w:val="ListBullet"/>
        <w:jc w:val="both"/>
      </w:pPr>
      <w:r>
        <w:rPr>
          <w:rFonts w:ascii="Cambria" w:hAnsi="Cambria"/>
          <w:sz w:val="22"/>
        </w:rPr>
        <w:t>This process ensures that institutional efforts to promote student engagement and holistic development are reviewed periodically and improved continuously.</w:t>
      </w:r>
    </w:p>
    <w:p>
      <w:pPr>
        <w:keepNext/>
        <w:spacing w:before="200" w:after="120"/>
      </w:pPr>
      <w:r>
        <w:rPr>
          <w:rFonts w:ascii="Cambria" w:hAnsi="Cambria"/>
          <w:b/>
          <w:color w:val="1F3A5F"/>
          <w:sz w:val="26"/>
        </w:rPr>
        <w:t>3. Follow the Policy → Action → Evidence → Outcome (PAEO) Model</w:t>
      </w:r>
    </w:p>
    <w:p>
      <w:pPr>
        <w:pStyle w:val="ListBullet"/>
        <w:jc w:val="both"/>
      </w:pPr>
      <w:r>
        <w:rPr>
          <w:rFonts w:ascii="Cambria" w:hAnsi="Cambria"/>
          <w:sz w:val="22"/>
        </w:rPr>
        <w:t>The PAEO Framework ensures that all student engagement activities are planned, implemented, and reviewed in a systematic and auditable manner:</w:t>
      </w:r>
    </w:p>
    <w:p>
      <w:pPr>
        <w:spacing w:after="120"/>
        <w:ind w:left="1077"/>
        <w:jc w:val="both"/>
      </w:pPr>
      <w:r>
        <w:rPr>
          <w:rFonts w:ascii="Cambria" w:hAnsi="Cambria"/>
          <w:b w:val="0"/>
          <w:i w:val="0"/>
          <w:sz w:val="22"/>
        </w:rPr>
        <w:t xml:space="preserve">Policy: Refers to the approved </w:t>
      </w:r>
      <w:r>
        <w:rPr>
          <w:rFonts w:ascii="Cambria" w:hAnsi="Cambria"/>
          <w:b w:val="0"/>
          <w:i/>
          <w:sz w:val="22"/>
        </w:rPr>
        <w:t>Student Engagement, Clubs, and Association Policy</w:t>
      </w:r>
      <w:r>
        <w:rPr>
          <w:rFonts w:ascii="Cambria" w:hAnsi="Cambria"/>
          <w:b w:val="0"/>
          <w:i w:val="0"/>
          <w:sz w:val="22"/>
        </w:rPr>
        <w:t xml:space="preserve"> that guides all student activities.</w:t>
      </w:r>
    </w:p>
    <w:p>
      <w:pPr>
        <w:spacing w:after="120"/>
        <w:ind w:left="1077"/>
        <w:jc w:val="both"/>
      </w:pPr>
      <w:r>
        <w:rPr>
          <w:rFonts w:ascii="Cambria" w:hAnsi="Cambria"/>
          <w:b w:val="0"/>
          <w:i w:val="0"/>
          <w:sz w:val="22"/>
        </w:rPr>
        <w:t>Action: The execution of programs, events, or competitions that align with institutional goals.</w:t>
      </w:r>
    </w:p>
    <w:p>
      <w:pPr>
        <w:spacing w:after="120"/>
        <w:ind w:left="1077"/>
        <w:jc w:val="both"/>
      </w:pPr>
      <w:r>
        <w:rPr>
          <w:rFonts w:ascii="Cambria" w:hAnsi="Cambria"/>
          <w:b w:val="0"/>
          <w:i w:val="0"/>
          <w:sz w:val="22"/>
        </w:rPr>
        <w:t>Evidence: The documentation collected to verify that these activities took place — such as circulars, attendance records, event photos, and reports.</w:t>
      </w:r>
    </w:p>
    <w:p>
      <w:pPr>
        <w:spacing w:after="120"/>
        <w:ind w:left="1077"/>
        <w:jc w:val="both"/>
      </w:pPr>
      <w:r>
        <w:rPr>
          <w:rFonts w:ascii="Cambria" w:hAnsi="Cambria"/>
          <w:b w:val="0"/>
          <w:i w:val="0"/>
          <w:sz w:val="22"/>
        </w:rPr>
        <w:t>Outcome: The measurable results — like improved student participation, leadership development, or recognition in competitions.</w:t>
      </w:r>
    </w:p>
    <w:p>
      <w:pPr>
        <w:pStyle w:val="ListBullet"/>
        <w:jc w:val="both"/>
      </w:pPr>
      <w:r>
        <w:rPr>
          <w:rFonts w:ascii="Cambria" w:hAnsi="Cambria"/>
          <w:sz w:val="22"/>
        </w:rPr>
        <w:t>This model provides a clear trail of accountability, showing how institutional policies translate into real outcomes that benefit students.</w:t>
      </w:r>
    </w:p>
    <w:p>
      <w:pPr>
        <w:keepNext/>
        <w:spacing w:before="200" w:after="120"/>
      </w:pPr>
      <w:r>
        <w:rPr>
          <w:rFonts w:ascii="Cambria" w:hAnsi="Cambria"/>
          <w:b/>
          <w:color w:val="1F3A5F"/>
          <w:sz w:val="26"/>
        </w:rPr>
        <w:t>4. Adherence to NAAC, NBA, and QS I-GAUGE Standards</w:t>
      </w:r>
    </w:p>
    <w:p>
      <w:pPr>
        <w:pStyle w:val="ListBullet"/>
        <w:jc w:val="both"/>
      </w:pPr>
      <w:r>
        <w:rPr>
          <w:rFonts w:ascii="Cambria" w:hAnsi="Cambria"/>
          <w:sz w:val="22"/>
        </w:rPr>
        <w:t>Every activity conducted under this portfolio must align with national and international quality assurance standards:</w:t>
      </w:r>
    </w:p>
    <w:p>
      <w:pPr>
        <w:pStyle w:val="ListBullet2"/>
        <w:jc w:val="both"/>
      </w:pPr>
      <w:r>
        <w:rPr>
          <w:rFonts w:ascii="Cambria" w:hAnsi="Cambria"/>
          <w:sz w:val="22"/>
        </w:rPr>
        <w:t>NAAC: Focuses on student engagement, welfare, and institutional values (Criteria 5 and 7).</w:t>
      </w:r>
    </w:p>
    <w:p>
      <w:pPr>
        <w:pStyle w:val="ListBullet2"/>
        <w:jc w:val="both"/>
      </w:pPr>
      <w:r>
        <w:rPr>
          <w:rFonts w:ascii="Cambria" w:hAnsi="Cambria"/>
          <w:sz w:val="22"/>
        </w:rPr>
        <w:t>NBA: Emphasizes continuous improvement and co-curricular integration (Criteria 8–10).</w:t>
      </w:r>
    </w:p>
    <w:p>
      <w:pPr>
        <w:pStyle w:val="ListBullet2"/>
        <w:jc w:val="both"/>
      </w:pPr>
      <w:r>
        <w:rPr>
          <w:rFonts w:ascii="Cambria" w:hAnsi="Cambria"/>
          <w:sz w:val="22"/>
        </w:rPr>
        <w:t>QS I-GAUGE: Highlights diversity, accessibility, social responsibility, and student development.</w:t>
      </w:r>
    </w:p>
    <w:p>
      <w:pPr>
        <w:pStyle w:val="ListBullet"/>
        <w:jc w:val="both"/>
      </w:pPr>
      <w:r>
        <w:rPr>
          <w:rFonts w:ascii="Cambria" w:hAnsi="Cambria"/>
          <w:sz w:val="22"/>
        </w:rPr>
        <w:t>Proper documentation demonstrates compliance and supports strong performance during accreditation cycles.</w:t>
      </w:r>
    </w:p>
    <w:p>
      <w:pPr>
        <w:keepNext/>
        <w:spacing w:before="200" w:after="120"/>
      </w:pPr>
      <w:r>
        <w:rPr>
          <w:rFonts w:ascii="Cambria" w:hAnsi="Cambria"/>
          <w:b/>
          <w:color w:val="1F3A5F"/>
          <w:sz w:val="26"/>
        </w:rPr>
        <w:t>5. Overall Purpose</w:t>
      </w:r>
    </w:p>
    <w:p>
      <w:pPr>
        <w:pStyle w:val="ListBullet"/>
        <w:jc w:val="both"/>
      </w:pPr>
      <w:r>
        <w:rPr>
          <w:rFonts w:ascii="Cambria" w:hAnsi="Cambria"/>
          <w:sz w:val="22"/>
        </w:rPr>
        <w:t>This documentation and reporting framework ensures that student development activities are measurable, outcome-oriented, and evidence-backed.</w:t>
      </w:r>
    </w:p>
    <w:p>
      <w:pPr>
        <w:pStyle w:val="ListBullet"/>
        <w:jc w:val="both"/>
      </w:pPr>
      <w:r>
        <w:rPr>
          <w:rFonts w:ascii="Cambria" w:hAnsi="Cambria"/>
          <w:sz w:val="22"/>
        </w:rPr>
        <w:t>It establishes a culture of systematic planning, execution, and evaluation, ensuring no activity remains undocumented or unassessed.</w:t>
      </w:r>
    </w:p>
    <w:p>
      <w:pPr>
        <w:pStyle w:val="ListBullet"/>
        <w:jc w:val="both"/>
      </w:pPr>
      <w:r>
        <w:rPr>
          <w:rFonts w:ascii="Cambria" w:hAnsi="Cambria"/>
          <w:sz w:val="22"/>
        </w:rPr>
        <w:t>The process also helps the institution demonstrate its commitment to holistic education, leadership development, and quality assurance, as required by modern higher education standards.</w:t>
      </w:r>
    </w:p>
    <w:p>
      <w:r>
        <w:br w:type="page"/>
      </w:r>
    </w:p>
    <w:p>
      <w:pPr>
        <w:keepNext/>
        <w:spacing w:before="280" w:after="160"/>
      </w:pPr>
      <w:r>
        <w:rPr>
          <w:rFonts w:ascii="Cambria" w:hAnsi="Cambria"/>
          <w:b/>
          <w:color w:val="1F3A5F"/>
          <w:sz w:val="36"/>
        </w:rPr>
        <w:t>9. Associate Dean – Women’s Welfare, Women’s Forum, Grievance and Redressal</w:t>
      </w:r>
    </w:p>
    <w:p>
      <w:pPr>
        <w:jc w:val="both"/>
      </w:pPr>
      <w:r>
        <w:rPr>
          <w:rFonts w:ascii="Cambria" w:hAnsi="Cambria"/>
          <w:b w:val="0"/>
          <w:i w:val="0"/>
          <w:sz w:val="22"/>
        </w:rPr>
        <w:t>The Associate Dean – Women’s Welfare, Women’s Forum, Grievance and Redressal is a senior academic-administrative officer responsible for ensuring the safety, empowerment, equality, and holistic development of women within the institution. Working under the supervision of the Dean – Student Affairs (DoSA), this role focuses on creating a gender-sensitive and inclusive environment where women students, faculty, and staff can thrive academically, professionally, and personally. The Associate Dean leads the design and implementation of policies and initiatives that uphold the values of dignity, justice, and equal opportunity, in alignment with institutional ethics and national regulations.</w:t>
      </w:r>
    </w:p>
    <w:p>
      <w:pPr>
        <w:jc w:val="both"/>
      </w:pPr>
      <w:r>
        <w:rPr>
          <w:rFonts w:ascii="Cambria" w:hAnsi="Cambria"/>
          <w:b w:val="0"/>
          <w:i w:val="0"/>
          <w:sz w:val="22"/>
        </w:rPr>
        <w:t>This position oversees the effective functioning of the Women’s Forum and the Internal Complaints Committee (ICC) as per the UGC (Prevention, Prohibition, and Redressal of Sexual Harassment) Regulations, 2015. The Associate Dean ensures that all mechanisms related to grievance handling, harassment prevention, and gender sensitization operate with transparency, confidentiality, and fairness. In addition to managing grievance redressal, the role also includes planning and conducting awareness programs, self-defense training, leadership workshops, and health and wellness initiatives specifically aimed at women’s empowerment and participation.</w:t>
      </w:r>
    </w:p>
    <w:p>
      <w:pPr>
        <w:jc w:val="both"/>
      </w:pPr>
      <w:r>
        <w:rPr>
          <w:rFonts w:ascii="Cambria" w:hAnsi="Cambria"/>
          <w:b w:val="0"/>
          <w:i w:val="0"/>
          <w:sz w:val="22"/>
        </w:rPr>
        <w:t>The Associate Dean promotes collaboration with government organizations, NGOs, and industry partners to facilitate training in entrepreneurship, legal literacy, and professional development for women. Documentation of all women’s welfare initiatives, complaints, resolutions, and outreach programs is systematically maintained following the Policy → Action → Evidence → Outcome (PAEO) framework to ensure audit readiness and accreditation compliance.</w:t>
      </w:r>
    </w:p>
    <w:p>
      <w:pPr>
        <w:jc w:val="both"/>
      </w:pPr>
      <w:r>
        <w:rPr>
          <w:rFonts w:ascii="Cambria" w:hAnsi="Cambria"/>
          <w:b w:val="0"/>
          <w:i w:val="0"/>
          <w:sz w:val="22"/>
        </w:rPr>
        <w:t>This portfolio directly contributes to key accreditation areas such as NAAC Criterion 5 (Student Support and Progression) and Criterion 7 (Institutional Values and Best Practices), and supports institutional goals aligned with SDG-5 (Gender Equality). Through sustained advocacy, awareness, and policy enforcement, the Associate Dean – Women’s Welfare, Women’s Forum, Grievance and Redressal strengthens the institution’s commitment to building a safe, equitable, and empowering campus ecosystem that advances the values of respect, inclusivity, and gender justice.</w:t>
      </w:r>
    </w:p>
    <w:p>
      <w:pPr>
        <w:keepNext/>
        <w:spacing w:before="200" w:after="120"/>
      </w:pPr>
      <w:r>
        <w:rPr>
          <w:rFonts w:ascii="Cambria" w:hAnsi="Cambria"/>
          <w:b/>
          <w:color w:val="1F3A5F"/>
          <w:sz w:val="30"/>
        </w:rPr>
        <w:t>1. Designation and Overview</w:t>
      </w:r>
    </w:p>
    <w:p>
      <w:pPr>
        <w:jc w:val="both"/>
      </w:pPr>
      <w:r>
        <w:rPr>
          <w:rFonts w:ascii="Cambria" w:hAnsi="Cambria"/>
          <w:b w:val="0"/>
          <w:i w:val="0"/>
          <w:sz w:val="22"/>
        </w:rPr>
        <w:t>The Associate Dean – Women’s Welfare, Women’s Forum, Grievance and Redressal is a senior academic-administrative position dedicated to promoting gender equity, safety, empowerment, and inclusivity within the institution. The role ensures that all policies and programs related to women’s welfare, gender sensitization, and grievance redressal are effectively implemented and monitored in alignment with institutional values, statutory requirements, and accreditation frameworks.</w:t>
      </w:r>
    </w:p>
    <w:p>
      <w:pPr>
        <w:jc w:val="both"/>
      </w:pPr>
      <w:r>
        <w:rPr>
          <w:rFonts w:ascii="Cambria" w:hAnsi="Cambria"/>
          <w:b/>
          <w:i w:val="0"/>
          <w:sz w:val="22"/>
        </w:rPr>
        <w:t>Purpose:</w:t>
      </w:r>
    </w:p>
    <w:p>
      <w:pPr>
        <w:pStyle w:val="ListBullet"/>
        <w:jc w:val="both"/>
      </w:pPr>
      <w:r>
        <w:rPr>
          <w:rFonts w:ascii="Cambria" w:hAnsi="Cambria"/>
          <w:sz w:val="22"/>
        </w:rPr>
        <w:t>To establish a safe, inclusive, and gender-sensitive institutional environment that empowers women students, faculty, and staff.</w:t>
      </w:r>
    </w:p>
    <w:p>
      <w:pPr>
        <w:pStyle w:val="ListBullet"/>
        <w:jc w:val="both"/>
      </w:pPr>
      <w:r>
        <w:rPr>
          <w:rFonts w:ascii="Cambria" w:hAnsi="Cambria"/>
          <w:sz w:val="22"/>
        </w:rPr>
        <w:t>To implement and monitor the functioning of the Women’s Forum and Internal Complaints Committee (ICC) as per UGC (Prevention, Prohibition, and Redressal of Sexual Harassment) Regulations, 2015.</w:t>
      </w:r>
    </w:p>
    <w:p>
      <w:pPr>
        <w:pStyle w:val="ListBullet"/>
        <w:jc w:val="both"/>
      </w:pPr>
      <w:r>
        <w:rPr>
          <w:rFonts w:ascii="Cambria" w:hAnsi="Cambria"/>
          <w:sz w:val="22"/>
        </w:rPr>
        <w:t>To coordinate women’s welfare activities that promote leadership, health, skill development, and legal awareness.</w:t>
      </w:r>
    </w:p>
    <w:p>
      <w:pPr>
        <w:pStyle w:val="ListBullet"/>
        <w:jc w:val="both"/>
      </w:pPr>
      <w:r>
        <w:rPr>
          <w:rFonts w:ascii="Cambria" w:hAnsi="Cambria"/>
          <w:sz w:val="22"/>
        </w:rPr>
        <w:t>To align institutional gender initiatives with NAAC, NBA, and QS I-GAUGE standards and Sustainable Development Goal 5 (Gender Equality).</w:t>
      </w:r>
    </w:p>
    <w:p>
      <w:pPr>
        <w:keepNext/>
        <w:spacing w:before="200" w:after="120"/>
      </w:pPr>
      <w:r>
        <w:rPr>
          <w:rFonts w:ascii="Cambria" w:hAnsi="Cambria"/>
          <w:b/>
          <w:color w:val="1F3A5F"/>
          <w:sz w:val="30"/>
        </w:rPr>
        <w:t>2. Core Functions</w:t>
      </w:r>
    </w:p>
    <w:p>
      <w:pPr>
        <w:pStyle w:val="ListBullet"/>
        <w:jc w:val="both"/>
      </w:pPr>
      <w:r>
        <w:rPr>
          <w:rFonts w:ascii="Cambria" w:hAnsi="Cambria"/>
          <w:sz w:val="22"/>
        </w:rPr>
        <w:t>Oversee all women’s welfare, safety, and empowerment initiatives on campus.</w:t>
      </w:r>
    </w:p>
    <w:p>
      <w:pPr>
        <w:pStyle w:val="ListBullet"/>
        <w:jc w:val="both"/>
      </w:pPr>
      <w:r>
        <w:rPr>
          <w:rFonts w:ascii="Cambria" w:hAnsi="Cambria"/>
          <w:sz w:val="22"/>
        </w:rPr>
        <w:t>Supervise the functioning of the Women’s Forum and ensure coordination with ICC and other grievance redressal bodies.</w:t>
      </w:r>
    </w:p>
    <w:p>
      <w:pPr>
        <w:pStyle w:val="ListBullet"/>
        <w:jc w:val="both"/>
      </w:pPr>
      <w:r>
        <w:rPr>
          <w:rFonts w:ascii="Cambria" w:hAnsi="Cambria"/>
          <w:sz w:val="22"/>
        </w:rPr>
        <w:t>Develop and implement policies and awareness programs for gender equity, legal literacy, and women’s health.</w:t>
      </w:r>
    </w:p>
    <w:p>
      <w:pPr>
        <w:pStyle w:val="ListBullet"/>
        <w:jc w:val="both"/>
      </w:pPr>
      <w:r>
        <w:rPr>
          <w:rFonts w:ascii="Cambria" w:hAnsi="Cambria"/>
          <w:sz w:val="22"/>
        </w:rPr>
        <w:t>Facilitate grievance redressal mechanisms ensuring confidentiality, fairness, and timely resolution.</w:t>
      </w:r>
    </w:p>
    <w:p>
      <w:pPr>
        <w:pStyle w:val="ListBullet"/>
        <w:jc w:val="both"/>
      </w:pPr>
      <w:r>
        <w:rPr>
          <w:rFonts w:ascii="Cambria" w:hAnsi="Cambria"/>
          <w:sz w:val="22"/>
        </w:rPr>
        <w:t>Integrate gender-related initiatives into institutional planning and quality assurance systems (IQAC).</w:t>
      </w:r>
    </w:p>
    <w:p>
      <w:pPr>
        <w:keepNext/>
        <w:spacing w:before="200" w:after="120"/>
      </w:pPr>
      <w:r>
        <w:rPr>
          <w:rFonts w:ascii="Cambria" w:hAnsi="Cambria"/>
          <w:b/>
          <w:color w:val="1F3A5F"/>
          <w:sz w:val="30"/>
        </w:rPr>
        <w:t>3. Key Duties and Responsibilities</w:t>
      </w:r>
    </w:p>
    <w:p>
      <w:pPr>
        <w:keepNext/>
        <w:spacing w:before="200" w:after="120"/>
      </w:pPr>
      <w:r>
        <w:rPr>
          <w:rFonts w:ascii="Cambria" w:hAnsi="Cambria"/>
          <w:b/>
          <w:color w:val="1F3A5F"/>
          <w:sz w:val="26"/>
        </w:rPr>
        <w:t>A. Women’s Welfare and Empowerment</w:t>
      </w:r>
    </w:p>
    <w:p>
      <w:pPr>
        <w:pStyle w:val="ListBullet"/>
        <w:jc w:val="both"/>
      </w:pPr>
      <w:r>
        <w:rPr>
          <w:rFonts w:ascii="Cambria" w:hAnsi="Cambria"/>
          <w:sz w:val="22"/>
        </w:rPr>
        <w:t>Plan and implement programs that promote gender equality, women’s health, leadership, and self-defense training.</w:t>
      </w:r>
    </w:p>
    <w:p>
      <w:pPr>
        <w:pStyle w:val="ListBullet"/>
        <w:jc w:val="both"/>
      </w:pPr>
      <w:r>
        <w:rPr>
          <w:rFonts w:ascii="Cambria" w:hAnsi="Cambria"/>
          <w:sz w:val="22"/>
        </w:rPr>
        <w:t>Organize seminars, workshops, and panel discussions on women’s rights, entrepreneurship, and legal literacy.</w:t>
      </w:r>
    </w:p>
    <w:p>
      <w:pPr>
        <w:pStyle w:val="ListBullet"/>
        <w:jc w:val="both"/>
      </w:pPr>
      <w:r>
        <w:rPr>
          <w:rFonts w:ascii="Cambria" w:hAnsi="Cambria"/>
          <w:sz w:val="22"/>
        </w:rPr>
        <w:t>Collaborate with government agencies, NGOs, and corporate partners for skill-building and career advancement of women.</w:t>
      </w:r>
    </w:p>
    <w:p>
      <w:pPr>
        <w:pStyle w:val="ListBullet"/>
        <w:jc w:val="both"/>
      </w:pPr>
      <w:r>
        <w:rPr>
          <w:rFonts w:ascii="Cambria" w:hAnsi="Cambria"/>
          <w:sz w:val="22"/>
        </w:rPr>
        <w:t>Ensure representation of women in institutional committees, student councils, and academic governance.</w:t>
      </w:r>
    </w:p>
    <w:p>
      <w:pPr>
        <w:pStyle w:val="ListBullet"/>
        <w:jc w:val="both"/>
      </w:pPr>
      <w:r>
        <w:rPr>
          <w:rFonts w:ascii="Cambria" w:hAnsi="Cambria"/>
          <w:sz w:val="22"/>
        </w:rPr>
        <w:t>Conduct health camps, wellness programs, and awareness sessions on issues such as nutrition, menstrual hygiene, and mental health.</w:t>
      </w:r>
    </w:p>
    <w:p>
      <w:pPr>
        <w:pStyle w:val="ListBullet"/>
        <w:jc w:val="both"/>
      </w:pPr>
      <w:r>
        <w:rPr>
          <w:rFonts w:ascii="Cambria" w:hAnsi="Cambria"/>
          <w:sz w:val="22"/>
        </w:rPr>
        <w:t>Establish grievance support systems for issues related to gender discrimination, harassment, and safety.</w:t>
      </w:r>
    </w:p>
    <w:p>
      <w:pPr>
        <w:keepNext/>
        <w:spacing w:before="200" w:after="120"/>
      </w:pPr>
      <w:r>
        <w:rPr>
          <w:rFonts w:ascii="Cambria" w:hAnsi="Cambria"/>
          <w:b/>
          <w:color w:val="1F3A5F"/>
          <w:sz w:val="26"/>
        </w:rPr>
        <w:t>B. Women’s Forum Coordination</w:t>
      </w:r>
    </w:p>
    <w:p>
      <w:pPr>
        <w:pStyle w:val="ListBullet"/>
        <w:jc w:val="both"/>
      </w:pPr>
      <w:r>
        <w:rPr>
          <w:rFonts w:ascii="Cambria" w:hAnsi="Cambria"/>
          <w:sz w:val="22"/>
        </w:rPr>
        <w:t>Oversee the Women’s Forum as a platform for discussion, mentorship, and empowerment.</w:t>
      </w:r>
    </w:p>
    <w:p>
      <w:pPr>
        <w:pStyle w:val="ListBullet"/>
        <w:jc w:val="both"/>
      </w:pPr>
      <w:r>
        <w:rPr>
          <w:rFonts w:ascii="Cambria" w:hAnsi="Cambria"/>
          <w:sz w:val="22"/>
        </w:rPr>
        <w:t>Facilitate the formation of subcommittees focusing on leadership, outreach, and professional development.</w:t>
      </w:r>
    </w:p>
    <w:p>
      <w:pPr>
        <w:pStyle w:val="ListBullet"/>
        <w:jc w:val="both"/>
      </w:pPr>
      <w:r>
        <w:rPr>
          <w:rFonts w:ascii="Cambria" w:hAnsi="Cambria"/>
          <w:sz w:val="22"/>
        </w:rPr>
        <w:t>Encourage women faculty and students to participate in research, innovation, and community development projects.</w:t>
      </w:r>
    </w:p>
    <w:p>
      <w:pPr>
        <w:pStyle w:val="ListBullet"/>
        <w:jc w:val="both"/>
      </w:pPr>
      <w:r>
        <w:rPr>
          <w:rFonts w:ascii="Cambria" w:hAnsi="Cambria"/>
          <w:sz w:val="22"/>
        </w:rPr>
        <w:t>Promote activities aligned with SDG-5 (Gender Equality) and institutional gender policies.</w:t>
      </w:r>
    </w:p>
    <w:p>
      <w:pPr>
        <w:pStyle w:val="ListBullet"/>
        <w:jc w:val="both"/>
      </w:pPr>
      <w:r>
        <w:rPr>
          <w:rFonts w:ascii="Cambria" w:hAnsi="Cambria"/>
          <w:sz w:val="22"/>
        </w:rPr>
        <w:t>Maintain regular communication between forum members, administration, and external stakeholders.</w:t>
      </w:r>
    </w:p>
    <w:p>
      <w:pPr>
        <w:keepNext/>
        <w:spacing w:before="200" w:after="120"/>
      </w:pPr>
      <w:r>
        <w:rPr>
          <w:rFonts w:ascii="Cambria" w:hAnsi="Cambria"/>
          <w:b/>
          <w:color w:val="1F3A5F"/>
          <w:sz w:val="26"/>
        </w:rPr>
        <w:t>C. Grievance and Redressal Mechanism</w:t>
      </w:r>
    </w:p>
    <w:p>
      <w:pPr>
        <w:pStyle w:val="ListBullet"/>
        <w:jc w:val="both"/>
      </w:pPr>
      <w:r>
        <w:rPr>
          <w:rFonts w:ascii="Cambria" w:hAnsi="Cambria"/>
          <w:sz w:val="22"/>
        </w:rPr>
        <w:t>Chair or coordinate with the Internal Complaints Committee (ICC) to handle cases of sexual harassment and gender-based grievances.</w:t>
      </w:r>
    </w:p>
    <w:p>
      <w:pPr>
        <w:pStyle w:val="ListBullet"/>
        <w:jc w:val="both"/>
      </w:pPr>
      <w:r>
        <w:rPr>
          <w:rFonts w:ascii="Cambria" w:hAnsi="Cambria"/>
          <w:sz w:val="22"/>
        </w:rPr>
        <w:t>Ensure compliance with UGC and AICTE regulations on women’s safety and grievance redressal.</w:t>
      </w:r>
    </w:p>
    <w:p>
      <w:pPr>
        <w:pStyle w:val="ListBullet"/>
        <w:jc w:val="both"/>
      </w:pPr>
      <w:r>
        <w:rPr>
          <w:rFonts w:ascii="Cambria" w:hAnsi="Cambria"/>
          <w:sz w:val="22"/>
        </w:rPr>
        <w:t>Establish procedures for receiving, investigating, and resolving complaints in a time-bound and confidential manner.</w:t>
      </w:r>
    </w:p>
    <w:p>
      <w:pPr>
        <w:pStyle w:val="ListBullet"/>
        <w:jc w:val="both"/>
      </w:pPr>
      <w:r>
        <w:rPr>
          <w:rFonts w:ascii="Cambria" w:hAnsi="Cambria"/>
          <w:sz w:val="22"/>
        </w:rPr>
        <w:t>Conduct orientation sessions for students and staff regarding complaint registration and redressal rights.</w:t>
      </w:r>
    </w:p>
    <w:p>
      <w:pPr>
        <w:pStyle w:val="ListBullet"/>
        <w:jc w:val="both"/>
      </w:pPr>
      <w:r>
        <w:rPr>
          <w:rFonts w:ascii="Cambria" w:hAnsi="Cambria"/>
          <w:sz w:val="22"/>
        </w:rPr>
        <w:t>Maintain records of complaints, resolutions, and follow-up actions in strict confidentiality.</w:t>
      </w:r>
    </w:p>
    <w:p>
      <w:pPr>
        <w:pStyle w:val="ListBullet"/>
        <w:jc w:val="both"/>
      </w:pPr>
      <w:r>
        <w:rPr>
          <w:rFonts w:ascii="Cambria" w:hAnsi="Cambria"/>
          <w:sz w:val="22"/>
        </w:rPr>
        <w:t>Ensure legal compliance and periodic reporting to the governing authorities and IQAC.</w:t>
      </w:r>
    </w:p>
    <w:p>
      <w:pPr>
        <w:keepNext/>
        <w:spacing w:before="200" w:after="120"/>
      </w:pPr>
      <w:r>
        <w:rPr>
          <w:rFonts w:ascii="Cambria" w:hAnsi="Cambria"/>
          <w:b/>
          <w:color w:val="1F3A5F"/>
          <w:sz w:val="26"/>
        </w:rPr>
        <w:t>D. Policy, Compliance, and Coordination</w:t>
      </w:r>
    </w:p>
    <w:p>
      <w:pPr>
        <w:pStyle w:val="ListBullet"/>
        <w:jc w:val="both"/>
      </w:pPr>
      <w:r>
        <w:rPr>
          <w:rFonts w:ascii="Cambria" w:hAnsi="Cambria"/>
          <w:sz w:val="22"/>
        </w:rPr>
        <w:t>Develop and update the Institutional Policy on Gender Equity and Women’s Welfare.</w:t>
      </w:r>
    </w:p>
    <w:p>
      <w:pPr>
        <w:pStyle w:val="ListBullet"/>
        <w:jc w:val="both"/>
      </w:pPr>
      <w:r>
        <w:rPr>
          <w:rFonts w:ascii="Cambria" w:hAnsi="Cambria"/>
          <w:sz w:val="22"/>
        </w:rPr>
        <w:t>Coordinate with Dean (Student Affairs), Counselling Cell, and Security Office for integrated safety management.</w:t>
      </w:r>
    </w:p>
    <w:p>
      <w:pPr>
        <w:pStyle w:val="ListBullet"/>
        <w:jc w:val="both"/>
      </w:pPr>
      <w:r>
        <w:rPr>
          <w:rFonts w:ascii="Cambria" w:hAnsi="Cambria"/>
          <w:sz w:val="22"/>
        </w:rPr>
        <w:t>Represent the institution in external gender audit, accreditation, and legal compliance reviews.</w:t>
      </w:r>
    </w:p>
    <w:p>
      <w:pPr>
        <w:pStyle w:val="ListBullet"/>
        <w:jc w:val="both"/>
      </w:pPr>
      <w:r>
        <w:rPr>
          <w:rFonts w:ascii="Cambria" w:hAnsi="Cambria"/>
          <w:sz w:val="22"/>
        </w:rPr>
        <w:t>Submit periodic reports to IQAC, Governing Council, and UGC regarding implementation of women’s welfare measures.</w:t>
      </w:r>
    </w:p>
    <w:p>
      <w:pPr>
        <w:pStyle w:val="ListBullet"/>
        <w:jc w:val="both"/>
      </w:pPr>
      <w:r>
        <w:rPr>
          <w:rFonts w:ascii="Cambria" w:hAnsi="Cambria"/>
          <w:sz w:val="22"/>
        </w:rPr>
        <w:t>Conduct gender sensitization programs for all staff and students, promoting inclusivity and mutual respect.</w:t>
      </w:r>
    </w:p>
    <w:p>
      <w:pPr>
        <w:keepNext/>
        <w:spacing w:before="200" w:after="120"/>
      </w:pPr>
      <w:r>
        <w:rPr>
          <w:rFonts w:ascii="Cambria" w:hAnsi="Cambria"/>
          <w:b/>
          <w:color w:val="1F3A5F"/>
          <w:sz w:val="26"/>
        </w:rPr>
        <w:t>E. Documentation and Reporting</w:t>
      </w:r>
    </w:p>
    <w:p>
      <w:pPr>
        <w:pStyle w:val="ListBullet"/>
        <w:jc w:val="both"/>
      </w:pPr>
      <w:r>
        <w:rPr>
          <w:rFonts w:ascii="Cambria" w:hAnsi="Cambria"/>
          <w:sz w:val="22"/>
        </w:rPr>
        <w:t>Maintain registers and digital records for:</w:t>
      </w:r>
    </w:p>
    <w:p>
      <w:pPr>
        <w:pStyle w:val="ListBullet2"/>
        <w:jc w:val="both"/>
      </w:pPr>
      <w:r>
        <w:rPr>
          <w:rFonts w:ascii="Cambria" w:hAnsi="Cambria"/>
          <w:sz w:val="22"/>
        </w:rPr>
        <w:t>Women’s welfare activities and participation data.</w:t>
      </w:r>
    </w:p>
    <w:p>
      <w:pPr>
        <w:pStyle w:val="ListBullet2"/>
        <w:jc w:val="both"/>
      </w:pPr>
      <w:r>
        <w:rPr>
          <w:rFonts w:ascii="Cambria" w:hAnsi="Cambria"/>
          <w:sz w:val="22"/>
        </w:rPr>
        <w:t>Women’s Forum meetings, initiatives, and reports.</w:t>
      </w:r>
    </w:p>
    <w:p>
      <w:pPr>
        <w:pStyle w:val="ListBullet2"/>
        <w:jc w:val="both"/>
      </w:pPr>
      <w:r>
        <w:rPr>
          <w:rFonts w:ascii="Cambria" w:hAnsi="Cambria"/>
          <w:sz w:val="22"/>
        </w:rPr>
        <w:t>Complaints received and redressal outcomes.</w:t>
      </w:r>
    </w:p>
    <w:p>
      <w:pPr>
        <w:pStyle w:val="ListBullet2"/>
        <w:jc w:val="both"/>
      </w:pPr>
      <w:r>
        <w:rPr>
          <w:rFonts w:ascii="Cambria" w:hAnsi="Cambria"/>
          <w:sz w:val="22"/>
        </w:rPr>
        <w:t>Awareness and training programs on gender equality and safety.</w:t>
      </w:r>
    </w:p>
    <w:p>
      <w:pPr>
        <w:pStyle w:val="ListBullet"/>
        <w:jc w:val="both"/>
      </w:pPr>
      <w:r>
        <w:rPr>
          <w:rFonts w:ascii="Cambria" w:hAnsi="Cambria"/>
          <w:sz w:val="22"/>
        </w:rPr>
        <w:t>Prepare quarterly and annual reports for IQAC, NAAC, and other statutory bodies.</w:t>
      </w:r>
    </w:p>
    <w:p>
      <w:pPr>
        <w:pStyle w:val="ListBullet"/>
        <w:jc w:val="both"/>
      </w:pPr>
      <w:r>
        <w:rPr>
          <w:rFonts w:ascii="Cambria" w:hAnsi="Cambria"/>
          <w:sz w:val="22"/>
        </w:rPr>
        <w:t>Follow the Policy → Action → Evidence → Outcome (PAEO) model for transparent documentation.</w:t>
      </w:r>
    </w:p>
    <w:p>
      <w:pPr>
        <w:keepNext/>
        <w:spacing w:before="200" w:after="120"/>
      </w:pPr>
      <w:r>
        <w:rPr>
          <w:rFonts w:ascii="Cambria" w:hAnsi="Cambria"/>
          <w:b/>
          <w:color w:val="1F3A5F"/>
          <w:sz w:val="30"/>
        </w:rPr>
        <w:t>4. Accreditation and Framework Mapping</w:t>
      </w:r>
    </w:p>
    <w:p>
      <w:pPr>
        <w:keepNext/>
        <w:spacing w:before="200" w:after="120"/>
      </w:pPr>
      <w:r>
        <w:rPr>
          <w:rFonts w:ascii="Cambria" w:hAnsi="Cambria"/>
          <w:b/>
          <w:color w:val="1F3A5F"/>
          <w:sz w:val="26"/>
        </w:rPr>
        <w:t>A. NAAC (National Assessment and Accreditation Council)</w:t>
      </w:r>
    </w:p>
    <w:tbl>
      <w:tblPr>
        <w:tblW w:type="auto" w:w="0"/>
        <w:jc w:val="center"/>
        <w:tblLayout w:type="fixed"/>
        <w:tblLook w:firstColumn="1" w:firstRow="1" w:lastColumn="0" w:lastRow="0" w:noHBand="0" w:noVBand="1" w:val="04A0"/>
        <w:tblW w:w="8334" w:type="dxa"/>
        <w:tblLayout w:type="fixed"/>
      </w:tblPr>
      <w:tblGrid>
        <w:gridCol w:w="1134"/>
        <w:gridCol w:w="2551"/>
        <w:gridCol w:w="2551"/>
        <w:gridCol w:w="2097"/>
      </w:tblGrid>
      <w:tr>
        <w:tc>
          <w:tcPr>
            <w:tcW w:type="dxa" w:w="1134"/>
            <w:tcW w:w="1134" w:type="dxa"/>
            <w:shd w:val="clear" w:color="auto" w:fill="1F3A5F"/>
          </w:tcPr>
          <w:p>
            <w:pPr>
              <w:jc w:val="center"/>
            </w:pPr>
            <w:r/>
            <w:r>
              <w:rPr>
                <w:rFonts w:ascii="Cambria" w:hAnsi="Cambria"/>
                <w:b/>
                <w:color w:val="FFFFFF"/>
                <w:sz w:val="22"/>
              </w:rPr>
              <w:t>Criterion</w:t>
            </w:r>
          </w:p>
        </w:tc>
        <w:tc>
          <w:tcPr>
            <w:tcW w:type="dxa" w:w="2551"/>
            <w:tcW w:w="2551" w:type="dxa"/>
            <w:shd w:val="clear" w:color="auto" w:fill="1F3A5F"/>
          </w:tcPr>
          <w:p>
            <w:pPr>
              <w:jc w:val="center"/>
            </w:pPr>
            <w:r/>
            <w:r>
              <w:rPr>
                <w:rFonts w:ascii="Cambria" w:hAnsi="Cambria"/>
                <w:b/>
                <w:color w:val="FFFFFF"/>
                <w:sz w:val="22"/>
              </w:rPr>
              <w:t>Indicator / Metric</w:t>
            </w:r>
          </w:p>
        </w:tc>
        <w:tc>
          <w:tcPr>
            <w:tcW w:type="dxa" w:w="2551"/>
            <w:tcW w:w="2551" w:type="dxa"/>
            <w:shd w:val="clear" w:color="auto" w:fill="1F3A5F"/>
          </w:tcPr>
          <w:p>
            <w:pPr>
              <w:jc w:val="center"/>
            </w:pPr>
            <w:r/>
            <w:r>
              <w:rPr>
                <w:rFonts w:ascii="Cambria" w:hAnsi="Cambria"/>
                <w:b/>
                <w:color w:val="FFFFFF"/>
                <w:sz w:val="22"/>
              </w:rPr>
              <w:t>Associate Dean’s Duties</w:t>
            </w:r>
          </w:p>
        </w:tc>
        <w:tc>
          <w:tcPr>
            <w:tcW w:type="dxa" w:w="2098"/>
            <w:tcW w:w="2097" w:type="dxa"/>
            <w:shd w:val="clear" w:color="auto" w:fill="1F3A5F"/>
          </w:tcPr>
          <w:p>
            <w:pPr>
              <w:jc w:val="center"/>
            </w:pPr>
            <w:r/>
            <w:r>
              <w:rPr>
                <w:rFonts w:ascii="Cambria" w:hAnsi="Cambria"/>
                <w:b/>
                <w:color w:val="FFFFFF"/>
                <w:sz w:val="22"/>
              </w:rPr>
              <w:t>Evidence / Records</w:t>
            </w:r>
          </w:p>
        </w:tc>
      </w:tr>
      <w:tr>
        <w:tc>
          <w:tcPr>
            <w:tcW w:type="dxa" w:w="1134"/>
            <w:tcW w:w="1134" w:type="dxa"/>
          </w:tcPr>
          <w:p>
            <w:pPr>
              <w:jc w:val="left"/>
            </w:pPr>
            <w:r/>
            <w:r>
              <w:rPr>
                <w:rFonts w:ascii="Cambria" w:hAnsi="Cambria"/>
                <w:b w:val="0"/>
                <w:sz w:val="18"/>
              </w:rPr>
              <w:t>5.1.5</w:t>
            </w:r>
          </w:p>
        </w:tc>
        <w:tc>
          <w:tcPr>
            <w:tcW w:type="dxa" w:w="2551"/>
            <w:tcW w:w="2551" w:type="dxa"/>
          </w:tcPr>
          <w:p>
            <w:pPr>
              <w:jc w:val="center"/>
            </w:pPr>
            <w:r/>
            <w:r>
              <w:rPr>
                <w:rFonts w:ascii="Cambria" w:hAnsi="Cambria"/>
                <w:b w:val="0"/>
                <w:sz w:val="18"/>
              </w:rPr>
              <w:t>Institution has a mechanism for redressal of grievances</w:t>
            </w:r>
          </w:p>
        </w:tc>
        <w:tc>
          <w:tcPr>
            <w:tcW w:type="dxa" w:w="2551"/>
            <w:tcW w:w="2551" w:type="dxa"/>
          </w:tcPr>
          <w:p>
            <w:pPr>
              <w:jc w:val="center"/>
            </w:pPr>
            <w:r/>
            <w:r>
              <w:rPr>
                <w:rFonts w:ascii="Cambria" w:hAnsi="Cambria"/>
                <w:b w:val="0"/>
                <w:sz w:val="18"/>
              </w:rPr>
              <w:t>Supervise ICC and Women’s Forum for gender-related grievances</w:t>
            </w:r>
          </w:p>
        </w:tc>
        <w:tc>
          <w:tcPr>
            <w:tcW w:type="dxa" w:w="2098"/>
            <w:tcW w:w="2097" w:type="dxa"/>
          </w:tcPr>
          <w:p>
            <w:pPr>
              <w:jc w:val="center"/>
            </w:pPr>
            <w:r/>
            <w:r>
              <w:rPr>
                <w:rFonts w:ascii="Cambria" w:hAnsi="Cambria"/>
                <w:b w:val="0"/>
                <w:sz w:val="18"/>
              </w:rPr>
              <w:t>Complaint registers, action reports</w:t>
            </w:r>
          </w:p>
        </w:tc>
      </w:tr>
      <w:tr>
        <w:tc>
          <w:tcPr>
            <w:tcW w:type="dxa" w:w="1134"/>
            <w:tcW w:w="1134" w:type="dxa"/>
            <w:shd w:val="clear" w:color="auto" w:fill="DCE6F1"/>
          </w:tcPr>
          <w:p>
            <w:pPr>
              <w:jc w:val="left"/>
            </w:pPr>
            <w:r/>
            <w:r>
              <w:rPr>
                <w:rFonts w:ascii="Cambria" w:hAnsi="Cambria"/>
                <w:b w:val="0"/>
                <w:sz w:val="18"/>
              </w:rPr>
              <w:t>5.2.1</w:t>
            </w:r>
          </w:p>
        </w:tc>
        <w:tc>
          <w:tcPr>
            <w:tcW w:type="dxa" w:w="2551"/>
            <w:tcW w:w="2551" w:type="dxa"/>
            <w:shd w:val="clear" w:color="auto" w:fill="DCE6F1"/>
          </w:tcPr>
          <w:p>
            <w:pPr>
              <w:jc w:val="center"/>
            </w:pPr>
            <w:r/>
            <w:r>
              <w:rPr>
                <w:rFonts w:ascii="Cambria" w:hAnsi="Cambria"/>
                <w:b w:val="0"/>
                <w:sz w:val="18"/>
              </w:rPr>
              <w:t>Support for student progression</w:t>
            </w:r>
          </w:p>
        </w:tc>
        <w:tc>
          <w:tcPr>
            <w:tcW w:type="dxa" w:w="2551"/>
            <w:tcW w:w="2551" w:type="dxa"/>
            <w:shd w:val="clear" w:color="auto" w:fill="DCE6F1"/>
          </w:tcPr>
          <w:p>
            <w:pPr>
              <w:jc w:val="center"/>
            </w:pPr>
            <w:r/>
            <w:r>
              <w:rPr>
                <w:rFonts w:ascii="Cambria" w:hAnsi="Cambria"/>
                <w:b w:val="0"/>
                <w:sz w:val="18"/>
              </w:rPr>
              <w:t>Implement programs promoting women’s career development</w:t>
            </w:r>
          </w:p>
        </w:tc>
        <w:tc>
          <w:tcPr>
            <w:tcW w:type="dxa" w:w="2098"/>
            <w:tcW w:w="2097" w:type="dxa"/>
            <w:shd w:val="clear" w:color="auto" w:fill="DCE6F1"/>
          </w:tcPr>
          <w:p>
            <w:pPr>
              <w:jc w:val="center"/>
            </w:pPr>
            <w:r/>
            <w:r>
              <w:rPr>
                <w:rFonts w:ascii="Cambria" w:hAnsi="Cambria"/>
                <w:b w:val="0"/>
                <w:sz w:val="18"/>
              </w:rPr>
              <w:t>Participation records, workshop reports</w:t>
            </w:r>
          </w:p>
        </w:tc>
      </w:tr>
      <w:tr>
        <w:tc>
          <w:tcPr>
            <w:tcW w:type="dxa" w:w="1134"/>
            <w:tcW w:w="1134" w:type="dxa"/>
          </w:tcPr>
          <w:p>
            <w:pPr>
              <w:jc w:val="left"/>
            </w:pPr>
            <w:r/>
            <w:r>
              <w:rPr>
                <w:rFonts w:ascii="Cambria" w:hAnsi="Cambria"/>
                <w:b w:val="0"/>
                <w:sz w:val="18"/>
              </w:rPr>
              <w:t>6.5.2</w:t>
            </w:r>
          </w:p>
        </w:tc>
        <w:tc>
          <w:tcPr>
            <w:tcW w:type="dxa" w:w="2551"/>
            <w:tcW w:w="2551" w:type="dxa"/>
          </w:tcPr>
          <w:p>
            <w:pPr>
              <w:jc w:val="center"/>
            </w:pPr>
            <w:r/>
            <w:r>
              <w:rPr>
                <w:rFonts w:ascii="Cambria" w:hAnsi="Cambria"/>
                <w:b w:val="0"/>
                <w:sz w:val="18"/>
              </w:rPr>
              <w:t>Contribution to IQAC</w:t>
            </w:r>
          </w:p>
        </w:tc>
        <w:tc>
          <w:tcPr>
            <w:tcW w:type="dxa" w:w="2551"/>
            <w:tcW w:w="2551" w:type="dxa"/>
          </w:tcPr>
          <w:p>
            <w:pPr>
              <w:jc w:val="center"/>
            </w:pPr>
            <w:r/>
            <w:r>
              <w:rPr>
                <w:rFonts w:ascii="Cambria" w:hAnsi="Cambria"/>
                <w:b w:val="0"/>
                <w:sz w:val="18"/>
              </w:rPr>
              <w:t>Submit periodic gender equity and grievance reports</w:t>
            </w:r>
          </w:p>
        </w:tc>
        <w:tc>
          <w:tcPr>
            <w:tcW w:type="dxa" w:w="2098"/>
            <w:tcW w:w="2097" w:type="dxa"/>
          </w:tcPr>
          <w:p>
            <w:pPr>
              <w:jc w:val="center"/>
            </w:pPr>
            <w:r/>
            <w:r>
              <w:rPr>
                <w:rFonts w:ascii="Cambria" w:hAnsi="Cambria"/>
                <w:b w:val="0"/>
                <w:sz w:val="18"/>
              </w:rPr>
              <w:t>IQAC minutes, performance summaries</w:t>
            </w:r>
          </w:p>
        </w:tc>
      </w:tr>
      <w:tr>
        <w:tc>
          <w:tcPr>
            <w:tcW w:type="dxa" w:w="1134"/>
            <w:tcW w:w="1134" w:type="dxa"/>
            <w:shd w:val="clear" w:color="auto" w:fill="DCE6F1"/>
          </w:tcPr>
          <w:p>
            <w:pPr>
              <w:jc w:val="left"/>
            </w:pPr>
            <w:r/>
            <w:r>
              <w:rPr>
                <w:rFonts w:ascii="Cambria" w:hAnsi="Cambria"/>
                <w:b w:val="0"/>
                <w:sz w:val="18"/>
              </w:rPr>
              <w:t>7.1.2</w:t>
            </w:r>
          </w:p>
        </w:tc>
        <w:tc>
          <w:tcPr>
            <w:tcW w:type="dxa" w:w="2551"/>
            <w:tcW w:w="2551" w:type="dxa"/>
            <w:shd w:val="clear" w:color="auto" w:fill="DCE6F1"/>
          </w:tcPr>
          <w:p>
            <w:pPr>
              <w:jc w:val="center"/>
            </w:pPr>
            <w:r/>
            <w:r>
              <w:rPr>
                <w:rFonts w:ascii="Cambria" w:hAnsi="Cambria"/>
                <w:b w:val="0"/>
                <w:sz w:val="18"/>
              </w:rPr>
              <w:t>Gender equity programs</w:t>
            </w:r>
          </w:p>
        </w:tc>
        <w:tc>
          <w:tcPr>
            <w:tcW w:type="dxa" w:w="2551"/>
            <w:tcW w:w="2551" w:type="dxa"/>
            <w:shd w:val="clear" w:color="auto" w:fill="DCE6F1"/>
          </w:tcPr>
          <w:p>
            <w:pPr>
              <w:jc w:val="center"/>
            </w:pPr>
            <w:r/>
            <w:r>
              <w:rPr>
                <w:rFonts w:ascii="Cambria" w:hAnsi="Cambria"/>
                <w:b w:val="0"/>
                <w:sz w:val="18"/>
              </w:rPr>
              <w:t>Conduct workshops and campaigns on gender equality</w:t>
            </w:r>
          </w:p>
        </w:tc>
        <w:tc>
          <w:tcPr>
            <w:tcW w:type="dxa" w:w="2098"/>
            <w:tcW w:w="2097" w:type="dxa"/>
            <w:shd w:val="clear" w:color="auto" w:fill="DCE6F1"/>
          </w:tcPr>
          <w:p>
            <w:pPr>
              <w:jc w:val="center"/>
            </w:pPr>
            <w:r/>
            <w:r>
              <w:rPr>
                <w:rFonts w:ascii="Cambria" w:hAnsi="Cambria"/>
                <w:b w:val="0"/>
                <w:sz w:val="18"/>
              </w:rPr>
              <w:t>Program reports, photos, attendance</w:t>
            </w:r>
          </w:p>
        </w:tc>
      </w:tr>
      <w:tr>
        <w:tc>
          <w:tcPr>
            <w:tcW w:type="dxa" w:w="1134"/>
            <w:tcW w:w="1134" w:type="dxa"/>
          </w:tcPr>
          <w:p>
            <w:pPr>
              <w:jc w:val="left"/>
            </w:pPr>
            <w:r/>
            <w:r>
              <w:rPr>
                <w:rFonts w:ascii="Cambria" w:hAnsi="Cambria"/>
                <w:b w:val="0"/>
                <w:sz w:val="18"/>
              </w:rPr>
              <w:t>7.1.10</w:t>
            </w:r>
          </w:p>
        </w:tc>
        <w:tc>
          <w:tcPr>
            <w:tcW w:type="dxa" w:w="2551"/>
            <w:tcW w:w="2551" w:type="dxa"/>
          </w:tcPr>
          <w:p>
            <w:pPr>
              <w:jc w:val="center"/>
            </w:pPr>
            <w:r/>
            <w:r>
              <w:rPr>
                <w:rFonts w:ascii="Cambria" w:hAnsi="Cambria"/>
                <w:b w:val="0"/>
                <w:sz w:val="18"/>
              </w:rPr>
              <w:t>Institutional ethics and code of conduct</w:t>
            </w:r>
          </w:p>
        </w:tc>
        <w:tc>
          <w:tcPr>
            <w:tcW w:type="dxa" w:w="2551"/>
            <w:tcW w:w="2551" w:type="dxa"/>
          </w:tcPr>
          <w:p>
            <w:pPr>
              <w:jc w:val="center"/>
            </w:pPr>
            <w:r/>
            <w:r>
              <w:rPr>
                <w:rFonts w:ascii="Cambria" w:hAnsi="Cambria"/>
                <w:b w:val="0"/>
                <w:sz w:val="18"/>
              </w:rPr>
              <w:t>Ensure compliance with UGC gender guidelines</w:t>
            </w:r>
          </w:p>
        </w:tc>
        <w:tc>
          <w:tcPr>
            <w:tcW w:type="dxa" w:w="2098"/>
            <w:tcW w:w="2097" w:type="dxa"/>
          </w:tcPr>
          <w:p>
            <w:pPr>
              <w:jc w:val="center"/>
            </w:pPr>
            <w:r/>
            <w:r>
              <w:rPr>
                <w:rFonts w:ascii="Cambria" w:hAnsi="Cambria"/>
                <w:b w:val="0"/>
                <w:sz w:val="18"/>
              </w:rPr>
              <w:t>Policy documents, awareness certificates</w:t>
            </w:r>
          </w:p>
        </w:tc>
      </w:tr>
    </w:tbl>
    <w:p>
      <w:pPr>
        <w:keepNext/>
        <w:spacing w:before="200" w:after="120"/>
      </w:pPr>
      <w:r>
        <w:rPr>
          <w:rFonts w:ascii="Cambria" w:hAnsi="Cambria"/>
          <w:b/>
          <w:color w:val="1F3A5F"/>
          <w:sz w:val="26"/>
        </w:rPr>
        <w:t>B. NBA (National Board of Accreditation)</w:t>
      </w:r>
    </w:p>
    <w:tbl>
      <w:tblPr>
        <w:tblW w:type="auto" w:w="0"/>
        <w:jc w:val="center"/>
        <w:tblLayout w:type="fixed"/>
        <w:tblLook w:firstColumn="1" w:firstRow="1" w:lastColumn="0" w:lastRow="0" w:noHBand="0" w:noVBand="1" w:val="04A0"/>
        <w:tblW w:w="8334" w:type="dxa"/>
        <w:tblLayout w:type="fixed"/>
      </w:tblPr>
      <w:tblGrid>
        <w:gridCol w:w="1134"/>
        <w:gridCol w:w="2268"/>
        <w:gridCol w:w="2835"/>
        <w:gridCol w:w="2097"/>
      </w:tblGrid>
      <w:tr>
        <w:tc>
          <w:tcPr>
            <w:tcW w:type="dxa" w:w="1134"/>
            <w:tcW w:w="1134" w:type="dxa"/>
            <w:shd w:val="clear" w:color="auto" w:fill="1F3A5F"/>
          </w:tcPr>
          <w:p>
            <w:pPr>
              <w:jc w:val="center"/>
            </w:pPr>
            <w:r/>
            <w:r>
              <w:rPr>
                <w:rFonts w:ascii="Cambria" w:hAnsi="Cambria"/>
                <w:b/>
                <w:color w:val="FFFFFF"/>
                <w:sz w:val="22"/>
              </w:rPr>
              <w:t>Criterion</w:t>
            </w:r>
          </w:p>
        </w:tc>
        <w:tc>
          <w:tcPr>
            <w:tcW w:type="dxa" w:w="2268"/>
            <w:tcW w:w="2268" w:type="dxa"/>
            <w:shd w:val="clear" w:color="auto" w:fill="1F3A5F"/>
          </w:tcPr>
          <w:p>
            <w:pPr>
              <w:jc w:val="center"/>
            </w:pPr>
            <w:r/>
            <w:r>
              <w:rPr>
                <w:rFonts w:ascii="Cambria" w:hAnsi="Cambria"/>
                <w:b/>
                <w:color w:val="FFFFFF"/>
                <w:sz w:val="22"/>
              </w:rPr>
              <w:t>Focus Area</w:t>
            </w:r>
          </w:p>
        </w:tc>
        <w:tc>
          <w:tcPr>
            <w:tcW w:type="dxa" w:w="2835"/>
            <w:tcW w:w="2835" w:type="dxa"/>
            <w:shd w:val="clear" w:color="auto" w:fill="1F3A5F"/>
          </w:tcPr>
          <w:p>
            <w:pPr>
              <w:jc w:val="center"/>
            </w:pPr>
            <w:r/>
            <w:r>
              <w:rPr>
                <w:rFonts w:ascii="Cambria" w:hAnsi="Cambria"/>
                <w:b/>
                <w:color w:val="FFFFFF"/>
                <w:sz w:val="22"/>
              </w:rPr>
              <w:t>Associate Dean’s Duties</w:t>
            </w:r>
          </w:p>
        </w:tc>
        <w:tc>
          <w:tcPr>
            <w:tcW w:type="dxa" w:w="2098"/>
            <w:tcW w:w="2097" w:type="dxa"/>
            <w:shd w:val="clear" w:color="auto" w:fill="1F3A5F"/>
          </w:tcPr>
          <w:p>
            <w:pPr>
              <w:jc w:val="center"/>
            </w:pPr>
            <w:r/>
            <w:r>
              <w:rPr>
                <w:rFonts w:ascii="Cambria" w:hAnsi="Cambria"/>
                <w:b/>
                <w:color w:val="FFFFFF"/>
                <w:sz w:val="22"/>
              </w:rPr>
              <w:t>Evidence</w:t>
            </w:r>
          </w:p>
        </w:tc>
      </w:tr>
      <w:tr>
        <w:tc>
          <w:tcPr>
            <w:tcW w:type="dxa" w:w="1134"/>
            <w:tcW w:w="1134" w:type="dxa"/>
          </w:tcPr>
          <w:p>
            <w:pPr>
              <w:jc w:val="left"/>
            </w:pPr>
            <w:r/>
            <w:r>
              <w:rPr>
                <w:rFonts w:ascii="Cambria" w:hAnsi="Cambria"/>
                <w:b w:val="0"/>
                <w:sz w:val="19"/>
              </w:rPr>
              <w:t>8</w:t>
            </w:r>
          </w:p>
        </w:tc>
        <w:tc>
          <w:tcPr>
            <w:tcW w:type="dxa" w:w="2268"/>
            <w:tcW w:w="2268" w:type="dxa"/>
          </w:tcPr>
          <w:p>
            <w:pPr>
              <w:jc w:val="center"/>
            </w:pPr>
            <w:r/>
            <w:r>
              <w:rPr>
                <w:rFonts w:ascii="Cambria" w:hAnsi="Cambria"/>
                <w:b w:val="0"/>
                <w:sz w:val="19"/>
              </w:rPr>
              <w:t>First Year Academics</w:t>
            </w:r>
          </w:p>
        </w:tc>
        <w:tc>
          <w:tcPr>
            <w:tcW w:type="dxa" w:w="2835"/>
            <w:tcW w:w="2835" w:type="dxa"/>
          </w:tcPr>
          <w:p>
            <w:pPr>
              <w:jc w:val="center"/>
            </w:pPr>
            <w:r/>
            <w:r>
              <w:rPr>
                <w:rFonts w:ascii="Cambria" w:hAnsi="Cambria"/>
                <w:b w:val="0"/>
                <w:sz w:val="19"/>
              </w:rPr>
              <w:t>Conduct orientation programs on women’s safety and empowerment</w:t>
            </w:r>
          </w:p>
        </w:tc>
        <w:tc>
          <w:tcPr>
            <w:tcW w:type="dxa" w:w="2098"/>
            <w:tcW w:w="2097" w:type="dxa"/>
          </w:tcPr>
          <w:p>
            <w:pPr>
              <w:jc w:val="center"/>
            </w:pPr>
            <w:r/>
            <w:r>
              <w:rPr>
                <w:rFonts w:ascii="Cambria" w:hAnsi="Cambria"/>
                <w:b w:val="0"/>
                <w:sz w:val="19"/>
              </w:rPr>
              <w:t>Induction program details</w:t>
            </w:r>
          </w:p>
        </w:tc>
      </w:tr>
      <w:tr>
        <w:tc>
          <w:tcPr>
            <w:tcW w:type="dxa" w:w="1134"/>
            <w:tcW w:w="1134" w:type="dxa"/>
            <w:shd w:val="clear" w:color="auto" w:fill="DCE6F1"/>
          </w:tcPr>
          <w:p>
            <w:pPr>
              <w:jc w:val="left"/>
            </w:pPr>
            <w:r/>
            <w:r>
              <w:rPr>
                <w:rFonts w:ascii="Cambria" w:hAnsi="Cambria"/>
                <w:b w:val="0"/>
                <w:sz w:val="19"/>
              </w:rPr>
              <w:t>9</w:t>
            </w:r>
          </w:p>
        </w:tc>
        <w:tc>
          <w:tcPr>
            <w:tcW w:type="dxa" w:w="2268"/>
            <w:tcW w:w="2268" w:type="dxa"/>
            <w:shd w:val="clear" w:color="auto" w:fill="DCE6F1"/>
          </w:tcPr>
          <w:p>
            <w:pPr>
              <w:jc w:val="center"/>
            </w:pPr>
            <w:r/>
            <w:r>
              <w:rPr>
                <w:rFonts w:ascii="Cambria" w:hAnsi="Cambria"/>
                <w:b w:val="0"/>
                <w:sz w:val="19"/>
              </w:rPr>
              <w:t>Student Support Systems</w:t>
            </w:r>
          </w:p>
        </w:tc>
        <w:tc>
          <w:tcPr>
            <w:tcW w:type="dxa" w:w="2835"/>
            <w:tcW w:w="2835" w:type="dxa"/>
            <w:shd w:val="clear" w:color="auto" w:fill="DCE6F1"/>
          </w:tcPr>
          <w:p>
            <w:pPr>
              <w:jc w:val="center"/>
            </w:pPr>
            <w:r/>
            <w:r>
              <w:rPr>
                <w:rFonts w:ascii="Cambria" w:hAnsi="Cambria"/>
                <w:b w:val="0"/>
                <w:sz w:val="19"/>
              </w:rPr>
              <w:t>Manage women’s grievance and welfare mechanisms</w:t>
            </w:r>
          </w:p>
        </w:tc>
        <w:tc>
          <w:tcPr>
            <w:tcW w:type="dxa" w:w="2098"/>
            <w:tcW w:w="2097" w:type="dxa"/>
            <w:shd w:val="clear" w:color="auto" w:fill="DCE6F1"/>
          </w:tcPr>
          <w:p>
            <w:pPr>
              <w:jc w:val="center"/>
            </w:pPr>
            <w:r/>
            <w:r>
              <w:rPr>
                <w:rFonts w:ascii="Cambria" w:hAnsi="Cambria"/>
                <w:b w:val="0"/>
                <w:sz w:val="19"/>
              </w:rPr>
              <w:t>ICC records, feedback</w:t>
            </w:r>
          </w:p>
        </w:tc>
      </w:tr>
      <w:tr>
        <w:tc>
          <w:tcPr>
            <w:tcW w:type="dxa" w:w="1134"/>
            <w:tcW w:w="1134" w:type="dxa"/>
          </w:tcPr>
          <w:p>
            <w:pPr>
              <w:jc w:val="left"/>
            </w:pPr>
            <w:r/>
            <w:r>
              <w:rPr>
                <w:rFonts w:ascii="Cambria" w:hAnsi="Cambria"/>
                <w:b w:val="0"/>
                <w:sz w:val="19"/>
              </w:rPr>
              <w:t>10</w:t>
            </w:r>
          </w:p>
        </w:tc>
        <w:tc>
          <w:tcPr>
            <w:tcW w:type="dxa" w:w="2268"/>
            <w:tcW w:w="2268" w:type="dxa"/>
          </w:tcPr>
          <w:p>
            <w:pPr>
              <w:jc w:val="center"/>
            </w:pPr>
            <w:r/>
            <w:r>
              <w:rPr>
                <w:rFonts w:ascii="Cambria" w:hAnsi="Cambria"/>
                <w:b w:val="0"/>
                <w:sz w:val="19"/>
              </w:rPr>
              <w:t>Continuous Improvement</w:t>
            </w:r>
          </w:p>
        </w:tc>
        <w:tc>
          <w:tcPr>
            <w:tcW w:type="dxa" w:w="2835"/>
            <w:tcW w:w="2835" w:type="dxa"/>
          </w:tcPr>
          <w:p>
            <w:pPr>
              <w:jc w:val="center"/>
            </w:pPr>
            <w:r/>
            <w:r>
              <w:rPr>
                <w:rFonts w:ascii="Cambria" w:hAnsi="Cambria"/>
                <w:b w:val="0"/>
                <w:sz w:val="19"/>
              </w:rPr>
              <w:t>Review gender-related feedback and implement corrective actions</w:t>
            </w:r>
          </w:p>
        </w:tc>
        <w:tc>
          <w:tcPr>
            <w:tcW w:type="dxa" w:w="2098"/>
            <w:tcW w:w="2097" w:type="dxa"/>
          </w:tcPr>
          <w:p>
            <w:pPr>
              <w:jc w:val="center"/>
            </w:pPr>
            <w:r/>
            <w:r>
              <w:rPr>
                <w:rFonts w:ascii="Cambria" w:hAnsi="Cambria"/>
                <w:b w:val="0"/>
                <w:sz w:val="19"/>
              </w:rPr>
              <w:t>Audit reports, action plans</w:t>
            </w:r>
          </w:p>
        </w:tc>
      </w:tr>
    </w:tbl>
    <w:p>
      <w:pPr>
        <w:keepNext/>
        <w:spacing w:before="200" w:after="120"/>
      </w:pPr>
      <w:r>
        <w:rPr>
          <w:rFonts w:ascii="Cambria" w:hAnsi="Cambria"/>
          <w:b/>
          <w:color w:val="1F3A5F"/>
          <w:sz w:val="26"/>
        </w:rPr>
        <w:t>C. QS I-GAUGE Framework</w:t>
      </w:r>
    </w:p>
    <w:tbl>
      <w:tblPr>
        <w:tblW w:type="auto" w:w="0"/>
        <w:jc w:val="center"/>
        <w:tblLayout w:type="fixed"/>
        <w:tblLook w:firstColumn="1" w:firstRow="1" w:lastColumn="0" w:lastRow="0" w:noHBand="0" w:noVBand="1" w:val="04A0"/>
        <w:tblW w:w="8334" w:type="dxa"/>
        <w:tblLayout w:type="fixed"/>
      </w:tblPr>
      <w:tblGrid>
        <w:gridCol w:w="1701"/>
        <w:gridCol w:w="1984"/>
        <w:gridCol w:w="2551"/>
        <w:gridCol w:w="2097"/>
      </w:tblGrid>
      <w:tr>
        <w:tc>
          <w:tcPr>
            <w:tcW w:type="dxa" w:w="1701"/>
            <w:tcW w:w="1701" w:type="dxa"/>
            <w:shd w:val="clear" w:color="auto" w:fill="1F3A5F"/>
          </w:tcPr>
          <w:p>
            <w:pPr>
              <w:jc w:val="center"/>
            </w:pPr>
            <w:r/>
            <w:r>
              <w:rPr>
                <w:rFonts w:ascii="Cambria" w:hAnsi="Cambria"/>
                <w:b/>
                <w:color w:val="FFFFFF"/>
                <w:sz w:val="22"/>
              </w:rPr>
              <w:t>Parameter</w:t>
            </w:r>
          </w:p>
        </w:tc>
        <w:tc>
          <w:tcPr>
            <w:tcW w:type="dxa" w:w="1984"/>
            <w:tcW w:w="1984" w:type="dxa"/>
            <w:shd w:val="clear" w:color="auto" w:fill="1F3A5F"/>
          </w:tcPr>
          <w:p>
            <w:pPr>
              <w:jc w:val="center"/>
            </w:pPr>
            <w:r/>
            <w:r>
              <w:rPr>
                <w:rFonts w:ascii="Cambria" w:hAnsi="Cambria"/>
                <w:b/>
                <w:color w:val="FFFFFF"/>
                <w:sz w:val="22"/>
              </w:rPr>
              <w:t>Indicator</w:t>
            </w:r>
          </w:p>
        </w:tc>
        <w:tc>
          <w:tcPr>
            <w:tcW w:type="dxa" w:w="2551"/>
            <w:tcW w:w="2551" w:type="dxa"/>
            <w:shd w:val="clear" w:color="auto" w:fill="1F3A5F"/>
          </w:tcPr>
          <w:p>
            <w:pPr>
              <w:jc w:val="center"/>
            </w:pPr>
            <w:r/>
            <w:r>
              <w:rPr>
                <w:rFonts w:ascii="Cambria" w:hAnsi="Cambria"/>
                <w:b/>
                <w:color w:val="FFFFFF"/>
                <w:sz w:val="22"/>
              </w:rPr>
              <w:t>Associate Dean’s Contribution</w:t>
            </w:r>
          </w:p>
        </w:tc>
        <w:tc>
          <w:tcPr>
            <w:tcW w:type="dxa" w:w="2098"/>
            <w:tcW w:w="2097" w:type="dxa"/>
            <w:shd w:val="clear" w:color="auto" w:fill="1F3A5F"/>
          </w:tcPr>
          <w:p>
            <w:pPr>
              <w:jc w:val="center"/>
            </w:pPr>
            <w:r/>
            <w:r>
              <w:rPr>
                <w:rFonts w:ascii="Cambria" w:hAnsi="Cambria"/>
                <w:b/>
                <w:color w:val="FFFFFF"/>
                <w:sz w:val="22"/>
              </w:rPr>
              <w:t>Evidence / Deliverables</w:t>
            </w:r>
          </w:p>
        </w:tc>
      </w:tr>
      <w:tr>
        <w:tc>
          <w:tcPr>
            <w:tcW w:type="dxa" w:w="1701"/>
            <w:tcW w:w="1701" w:type="dxa"/>
          </w:tcPr>
          <w:p>
            <w:pPr>
              <w:jc w:val="left"/>
            </w:pPr>
            <w:r/>
            <w:r>
              <w:rPr>
                <w:rFonts w:ascii="Cambria" w:hAnsi="Cambria"/>
                <w:b w:val="0"/>
                <w:sz w:val="18"/>
              </w:rPr>
              <w:t>DA – Diversity &amp; Accessibility</w:t>
            </w:r>
          </w:p>
        </w:tc>
        <w:tc>
          <w:tcPr>
            <w:tcW w:type="dxa" w:w="1984"/>
            <w:tcW w:w="1984" w:type="dxa"/>
          </w:tcPr>
          <w:p>
            <w:pPr>
              <w:jc w:val="center"/>
            </w:pPr>
            <w:r/>
            <w:r>
              <w:rPr>
                <w:rFonts w:ascii="Cambria" w:hAnsi="Cambria"/>
                <w:b w:val="0"/>
                <w:sz w:val="18"/>
              </w:rPr>
              <w:t>Gender equality and representation</w:t>
            </w:r>
          </w:p>
        </w:tc>
        <w:tc>
          <w:tcPr>
            <w:tcW w:type="dxa" w:w="2551"/>
            <w:tcW w:w="2551" w:type="dxa"/>
          </w:tcPr>
          <w:p>
            <w:pPr>
              <w:jc w:val="center"/>
            </w:pPr>
            <w:r/>
            <w:r>
              <w:rPr>
                <w:rFonts w:ascii="Cambria" w:hAnsi="Cambria"/>
                <w:b w:val="0"/>
                <w:sz w:val="18"/>
              </w:rPr>
              <w:t>Promote inclusivity and equal participation</w:t>
            </w:r>
          </w:p>
        </w:tc>
        <w:tc>
          <w:tcPr>
            <w:tcW w:type="dxa" w:w="2098"/>
            <w:tcW w:w="2097" w:type="dxa"/>
          </w:tcPr>
          <w:p>
            <w:pPr>
              <w:jc w:val="center"/>
            </w:pPr>
            <w:r/>
            <w:r>
              <w:rPr>
                <w:rFonts w:ascii="Cambria" w:hAnsi="Cambria"/>
                <w:b w:val="0"/>
                <w:sz w:val="18"/>
              </w:rPr>
              <w:t>Diversity data, event reports</w:t>
            </w:r>
          </w:p>
        </w:tc>
      </w:tr>
      <w:tr>
        <w:tc>
          <w:tcPr>
            <w:tcW w:type="dxa" w:w="1701"/>
            <w:tcW w:w="1701" w:type="dxa"/>
            <w:shd w:val="clear" w:color="auto" w:fill="DCE6F1"/>
          </w:tcPr>
          <w:p>
            <w:pPr>
              <w:jc w:val="left"/>
            </w:pPr>
            <w:r/>
            <w:r>
              <w:rPr>
                <w:rFonts w:ascii="Cambria" w:hAnsi="Cambria"/>
                <w:b w:val="0"/>
                <w:sz w:val="18"/>
              </w:rPr>
              <w:t>GS – Governance &amp; Structure</w:t>
            </w:r>
          </w:p>
        </w:tc>
        <w:tc>
          <w:tcPr>
            <w:tcW w:type="dxa" w:w="1984"/>
            <w:tcW w:w="1984" w:type="dxa"/>
            <w:shd w:val="clear" w:color="auto" w:fill="DCE6F1"/>
          </w:tcPr>
          <w:p>
            <w:pPr>
              <w:jc w:val="center"/>
            </w:pPr>
            <w:r/>
            <w:r>
              <w:rPr>
                <w:rFonts w:ascii="Cambria" w:hAnsi="Cambria"/>
                <w:b w:val="0"/>
                <w:sz w:val="18"/>
              </w:rPr>
              <w:t>Gender equity and policy governance</w:t>
            </w:r>
          </w:p>
        </w:tc>
        <w:tc>
          <w:tcPr>
            <w:tcW w:type="dxa" w:w="2551"/>
            <w:tcW w:w="2551" w:type="dxa"/>
            <w:shd w:val="clear" w:color="auto" w:fill="DCE6F1"/>
          </w:tcPr>
          <w:p>
            <w:pPr>
              <w:jc w:val="center"/>
            </w:pPr>
            <w:r/>
            <w:r>
              <w:rPr>
                <w:rFonts w:ascii="Cambria" w:hAnsi="Cambria"/>
                <w:b w:val="0"/>
                <w:sz w:val="18"/>
              </w:rPr>
              <w:t>Implement and monitor institutional gender policy</w:t>
            </w:r>
          </w:p>
        </w:tc>
        <w:tc>
          <w:tcPr>
            <w:tcW w:type="dxa" w:w="2098"/>
            <w:tcW w:w="2097" w:type="dxa"/>
            <w:shd w:val="clear" w:color="auto" w:fill="DCE6F1"/>
          </w:tcPr>
          <w:p>
            <w:pPr>
              <w:jc w:val="center"/>
            </w:pPr>
            <w:r/>
            <w:r>
              <w:rPr>
                <w:rFonts w:ascii="Cambria" w:hAnsi="Cambria"/>
                <w:b w:val="0"/>
                <w:sz w:val="18"/>
              </w:rPr>
              <w:t>Policy framework, meeting minutes</w:t>
            </w:r>
          </w:p>
        </w:tc>
      </w:tr>
      <w:tr>
        <w:tc>
          <w:tcPr>
            <w:tcW w:type="dxa" w:w="1701"/>
            <w:tcW w:w="1701" w:type="dxa"/>
          </w:tcPr>
          <w:p>
            <w:pPr>
              <w:jc w:val="left"/>
            </w:pPr>
            <w:r/>
            <w:r>
              <w:rPr>
                <w:rFonts w:ascii="Cambria" w:hAnsi="Cambria"/>
                <w:b w:val="0"/>
                <w:sz w:val="18"/>
              </w:rPr>
              <w:t>SL – Social Responsibility</w:t>
            </w:r>
          </w:p>
        </w:tc>
        <w:tc>
          <w:tcPr>
            <w:tcW w:type="dxa" w:w="1984"/>
            <w:tcW w:w="1984" w:type="dxa"/>
          </w:tcPr>
          <w:p>
            <w:pPr>
              <w:jc w:val="center"/>
            </w:pPr>
            <w:r/>
            <w:r>
              <w:rPr>
                <w:rFonts w:ascii="Cambria" w:hAnsi="Cambria"/>
                <w:b w:val="0"/>
                <w:sz w:val="18"/>
              </w:rPr>
              <w:t>Women’s welfare and community outreach</w:t>
            </w:r>
          </w:p>
        </w:tc>
        <w:tc>
          <w:tcPr>
            <w:tcW w:type="dxa" w:w="2551"/>
            <w:tcW w:w="2551" w:type="dxa"/>
          </w:tcPr>
          <w:p>
            <w:pPr>
              <w:jc w:val="center"/>
            </w:pPr>
            <w:r/>
            <w:r>
              <w:rPr>
                <w:rFonts w:ascii="Cambria" w:hAnsi="Cambria"/>
                <w:b w:val="0"/>
                <w:sz w:val="18"/>
              </w:rPr>
              <w:t>Organize awareness drives and outreach programs</w:t>
            </w:r>
          </w:p>
        </w:tc>
        <w:tc>
          <w:tcPr>
            <w:tcW w:type="dxa" w:w="2098"/>
            <w:tcW w:w="2097" w:type="dxa"/>
          </w:tcPr>
          <w:p>
            <w:pPr>
              <w:jc w:val="center"/>
            </w:pPr>
            <w:r/>
            <w:r>
              <w:rPr>
                <w:rFonts w:ascii="Cambria" w:hAnsi="Cambria"/>
                <w:b w:val="0"/>
                <w:sz w:val="18"/>
              </w:rPr>
              <w:t>Photographs, CSR reports</w:t>
            </w:r>
          </w:p>
        </w:tc>
      </w:tr>
      <w:tr>
        <w:tc>
          <w:tcPr>
            <w:tcW w:type="dxa" w:w="1701"/>
            <w:tcW w:w="1701" w:type="dxa"/>
            <w:shd w:val="clear" w:color="auto" w:fill="DCE6F1"/>
          </w:tcPr>
          <w:p>
            <w:pPr>
              <w:jc w:val="left"/>
            </w:pPr>
            <w:r/>
            <w:r>
              <w:rPr>
                <w:rFonts w:ascii="Cambria" w:hAnsi="Cambria"/>
                <w:b w:val="0"/>
                <w:sz w:val="18"/>
              </w:rPr>
              <w:t>EP – Employability &amp; Entrepreneurship</w:t>
            </w:r>
          </w:p>
        </w:tc>
        <w:tc>
          <w:tcPr>
            <w:tcW w:type="dxa" w:w="1984"/>
            <w:tcW w:w="1984" w:type="dxa"/>
            <w:shd w:val="clear" w:color="auto" w:fill="DCE6F1"/>
          </w:tcPr>
          <w:p>
            <w:pPr>
              <w:jc w:val="center"/>
            </w:pPr>
            <w:r/>
            <w:r>
              <w:rPr>
                <w:rFonts w:ascii="Cambria" w:hAnsi="Cambria"/>
                <w:b w:val="0"/>
                <w:sz w:val="18"/>
              </w:rPr>
              <w:t>Women’s professional development</w:t>
            </w:r>
          </w:p>
        </w:tc>
        <w:tc>
          <w:tcPr>
            <w:tcW w:type="dxa" w:w="2551"/>
            <w:tcW w:w="2551" w:type="dxa"/>
            <w:shd w:val="clear" w:color="auto" w:fill="DCE6F1"/>
          </w:tcPr>
          <w:p>
            <w:pPr>
              <w:jc w:val="center"/>
            </w:pPr>
            <w:r/>
            <w:r>
              <w:rPr>
                <w:rFonts w:ascii="Cambria" w:hAnsi="Cambria"/>
                <w:b w:val="0"/>
                <w:sz w:val="18"/>
              </w:rPr>
              <w:t>Conduct entrepreneurship and leadership training</w:t>
            </w:r>
          </w:p>
        </w:tc>
        <w:tc>
          <w:tcPr>
            <w:tcW w:type="dxa" w:w="2098"/>
            <w:tcW w:w="2097" w:type="dxa"/>
            <w:shd w:val="clear" w:color="auto" w:fill="DCE6F1"/>
          </w:tcPr>
          <w:p>
            <w:pPr>
              <w:jc w:val="center"/>
            </w:pPr>
            <w:r/>
            <w:r>
              <w:rPr>
                <w:rFonts w:ascii="Cambria" w:hAnsi="Cambria"/>
                <w:b w:val="0"/>
                <w:sz w:val="18"/>
              </w:rPr>
              <w:t>Workshop records, attendance</w:t>
            </w:r>
          </w:p>
        </w:tc>
      </w:tr>
    </w:tbl>
    <w:p>
      <w:pPr>
        <w:keepNext/>
        <w:spacing w:before="200" w:after="120"/>
      </w:pPr>
      <w:r>
        <w:rPr>
          <w:rFonts w:ascii="Cambria" w:hAnsi="Cambria"/>
          <w:b/>
          <w:color w:val="1F3A5F"/>
          <w:sz w:val="30"/>
        </w:rPr>
        <w:t>5. Governance and Review Framework</w:t>
      </w:r>
    </w:p>
    <w:p>
      <w:pPr>
        <w:pStyle w:val="ListBullet"/>
        <w:jc w:val="both"/>
      </w:pPr>
      <w:r>
        <w:rPr>
          <w:rFonts w:ascii="Cambria" w:hAnsi="Cambria"/>
          <w:sz w:val="22"/>
        </w:rPr>
        <w:t>Reports to the Dean (Student Affairs) / Principal.</w:t>
      </w:r>
    </w:p>
    <w:p>
      <w:pPr>
        <w:pStyle w:val="ListBullet"/>
        <w:jc w:val="both"/>
      </w:pPr>
      <w:r>
        <w:rPr>
          <w:rFonts w:ascii="Cambria" w:hAnsi="Cambria"/>
          <w:sz w:val="22"/>
        </w:rPr>
        <w:t>Serves as Chairperson of the Women’s Forum and Internal Complaints Committee (ICC).</w:t>
      </w:r>
    </w:p>
    <w:p>
      <w:pPr>
        <w:pStyle w:val="ListBullet"/>
        <w:jc w:val="both"/>
      </w:pPr>
      <w:r>
        <w:rPr>
          <w:rFonts w:ascii="Cambria" w:hAnsi="Cambria"/>
          <w:sz w:val="22"/>
        </w:rPr>
        <w:t>Coordinates with IQAC, Counselling Cell, and Legal Advisor for compliance and reporting.</w:t>
      </w:r>
    </w:p>
    <w:p>
      <w:pPr>
        <w:pStyle w:val="ListBullet"/>
        <w:jc w:val="both"/>
      </w:pPr>
      <w:r>
        <w:rPr>
          <w:rFonts w:ascii="Cambria" w:hAnsi="Cambria"/>
          <w:sz w:val="22"/>
        </w:rPr>
        <w:t>Conducts biannual reviews of women’s welfare activities and redressal mechanisms.</w:t>
      </w:r>
    </w:p>
    <w:p>
      <w:pPr>
        <w:pStyle w:val="ListBullet"/>
        <w:jc w:val="both"/>
      </w:pPr>
      <w:r>
        <w:rPr>
          <w:rFonts w:ascii="Cambria" w:hAnsi="Cambria"/>
          <w:sz w:val="22"/>
        </w:rPr>
        <w:t>Submits consolidated reports to IQAC and Governing Body for institutional records and accreditation evidence.</w:t>
      </w:r>
    </w:p>
    <w:p>
      <w:pPr>
        <w:keepNext/>
        <w:spacing w:before="200" w:after="120"/>
      </w:pPr>
      <w:r>
        <w:rPr>
          <w:rFonts w:ascii="Cambria" w:hAnsi="Cambria"/>
          <w:b/>
          <w:color w:val="1F3A5F"/>
          <w:sz w:val="30"/>
        </w:rPr>
        <w:t>6. Expected Outcomes</w:t>
      </w:r>
    </w:p>
    <w:p>
      <w:pPr>
        <w:pStyle w:val="ListBullet"/>
        <w:jc w:val="both"/>
      </w:pPr>
      <w:r>
        <w:rPr>
          <w:rFonts w:ascii="Cambria" w:hAnsi="Cambria"/>
          <w:sz w:val="22"/>
        </w:rPr>
        <w:t>A safe, inclusive, and equitable campus environment that upholds women’s dignity and rights.</w:t>
      </w:r>
    </w:p>
    <w:p>
      <w:pPr>
        <w:pStyle w:val="ListBullet"/>
        <w:jc w:val="both"/>
      </w:pPr>
      <w:r>
        <w:rPr>
          <w:rFonts w:ascii="Cambria" w:hAnsi="Cambria"/>
          <w:sz w:val="22"/>
        </w:rPr>
        <w:t>Enhanced participation of women in leadership, academics, and community outreach.</w:t>
      </w:r>
    </w:p>
    <w:p>
      <w:pPr>
        <w:pStyle w:val="ListBullet"/>
        <w:jc w:val="both"/>
      </w:pPr>
      <w:r>
        <w:rPr>
          <w:rFonts w:ascii="Cambria" w:hAnsi="Cambria"/>
          <w:sz w:val="22"/>
        </w:rPr>
        <w:t>Reduction in harassment cases through preventive and awareness initiatives.</w:t>
      </w:r>
    </w:p>
    <w:p>
      <w:pPr>
        <w:pStyle w:val="ListBullet"/>
        <w:jc w:val="both"/>
      </w:pPr>
      <w:r>
        <w:rPr>
          <w:rFonts w:ascii="Cambria" w:hAnsi="Cambria"/>
          <w:sz w:val="22"/>
        </w:rPr>
        <w:t>Compliance with UGC, AICTE, and NAAC/NBA gender equity standards.</w:t>
      </w:r>
    </w:p>
    <w:p>
      <w:pPr>
        <w:pStyle w:val="ListBullet"/>
        <w:jc w:val="both"/>
      </w:pPr>
      <w:r>
        <w:rPr>
          <w:rFonts w:ascii="Cambria" w:hAnsi="Cambria"/>
          <w:sz w:val="22"/>
        </w:rPr>
        <w:t>Demonstrable contribution to SDG-5 (Gender Equality) and institutional excellence in gender responsiveness.</w:t>
      </w:r>
    </w:p>
    <w:p>
      <w:pPr>
        <w:keepNext/>
        <w:spacing w:before="200" w:after="120"/>
      </w:pPr>
      <w:r>
        <w:rPr>
          <w:rFonts w:ascii="Cambria" w:hAnsi="Cambria"/>
          <w:b/>
          <w:color w:val="1F3A5F"/>
          <w:sz w:val="30"/>
        </w:rPr>
        <w:t>Documentation and Reporting Framework for the Associate Dean – Women’s Welfare, Women’s Forum, Grievance and Redressal</w:t>
      </w:r>
    </w:p>
    <w:p>
      <w:pPr>
        <w:keepNext/>
        <w:spacing w:before="200" w:after="120"/>
      </w:pPr>
      <w:r>
        <w:rPr>
          <w:rFonts w:ascii="Cambria" w:hAnsi="Cambria"/>
          <w:b/>
          <w:color w:val="1F3A5F"/>
          <w:sz w:val="26"/>
        </w:rPr>
        <w:t>1. Maintain Registers and Digital Records</w:t>
      </w:r>
    </w:p>
    <w:p>
      <w:pPr>
        <w:pStyle w:val="ListBullet"/>
        <w:jc w:val="both"/>
      </w:pPr>
      <w:r>
        <w:rPr>
          <w:rFonts w:ascii="Cambria" w:hAnsi="Cambria"/>
          <w:sz w:val="22"/>
        </w:rPr>
        <w:t>The Associate Dean is required to maintain both physical registers and digital databases that record all women-related activities and support systems functioning under the Women’s Forum and the Internal Complaints Committee (ICC).</w:t>
      </w:r>
    </w:p>
    <w:p>
      <w:pPr>
        <w:pStyle w:val="ListBullet"/>
        <w:jc w:val="both"/>
      </w:pPr>
      <w:r>
        <w:rPr>
          <w:rFonts w:ascii="Cambria" w:hAnsi="Cambria"/>
          <w:sz w:val="22"/>
        </w:rPr>
        <w:t>This includes:</w:t>
      </w:r>
    </w:p>
    <w:p>
      <w:pPr>
        <w:pStyle w:val="ListBullet2"/>
        <w:jc w:val="both"/>
      </w:pPr>
      <w:r>
        <w:rPr>
          <w:rFonts w:ascii="Cambria" w:hAnsi="Cambria"/>
          <w:sz w:val="22"/>
        </w:rPr>
        <w:t>Women’s Welfare Activities and Participation Data: Tracking participation in health programs, leadership training, career counselling, and empowerment events to measure engagement and inclusivity.</w:t>
      </w:r>
    </w:p>
    <w:p>
      <w:pPr>
        <w:pStyle w:val="ListBullet2"/>
        <w:jc w:val="both"/>
      </w:pPr>
      <w:r>
        <w:rPr>
          <w:rFonts w:ascii="Cambria" w:hAnsi="Cambria"/>
          <w:sz w:val="22"/>
        </w:rPr>
        <w:t>Women’s Forum Meetings and Initiatives: Keeping minutes of meetings, decisions made, and follow-up actions to ensure continuity and institutional memory.</w:t>
      </w:r>
    </w:p>
    <w:p>
      <w:pPr>
        <w:pStyle w:val="ListBullet2"/>
        <w:jc w:val="both"/>
      </w:pPr>
      <w:r>
        <w:rPr>
          <w:rFonts w:ascii="Cambria" w:hAnsi="Cambria"/>
          <w:sz w:val="22"/>
        </w:rPr>
        <w:t>Complaints and Redressal Outcomes: Recording every grievance or harassment complaint received and the actions taken, maintaining confidentiality and legal compliance.</w:t>
      </w:r>
    </w:p>
    <w:p>
      <w:pPr>
        <w:pStyle w:val="ListBullet2"/>
        <w:jc w:val="both"/>
      </w:pPr>
      <w:r>
        <w:rPr>
          <w:rFonts w:ascii="Cambria" w:hAnsi="Cambria"/>
          <w:sz w:val="22"/>
        </w:rPr>
        <w:t>Awareness and Training Programs: Documenting workshops, campaigns, and sensitization drives on gender equity, workplace safety, and prevention of harassment, which serve as evidence for audits and accreditation reviews.</w:t>
      </w:r>
    </w:p>
    <w:p>
      <w:pPr>
        <w:jc w:val="both"/>
      </w:pPr>
      <w:r>
        <w:rPr>
          <w:rFonts w:ascii="Cambria" w:hAnsi="Cambria"/>
          <w:b w:val="0"/>
          <w:i w:val="0"/>
          <w:sz w:val="22"/>
        </w:rPr>
        <w:t>This systematic record-keeping ensures that all activities are verifiable, auditable, and policy-driven, supporting internal and external reviews such as IQAC audits or NAAC evaluations.</w:t>
      </w:r>
    </w:p>
    <w:p>
      <w:pPr>
        <w:keepNext/>
        <w:spacing w:before="200" w:after="120"/>
      </w:pPr>
      <w:r>
        <w:rPr>
          <w:rFonts w:ascii="Cambria" w:hAnsi="Cambria"/>
          <w:b/>
          <w:color w:val="1F3A5F"/>
          <w:sz w:val="26"/>
        </w:rPr>
        <w:t>2. Prepare Quarterly and Annual Reports</w:t>
      </w:r>
    </w:p>
    <w:p>
      <w:pPr>
        <w:pStyle w:val="ListBullet"/>
        <w:jc w:val="both"/>
      </w:pPr>
      <w:r>
        <w:rPr>
          <w:rFonts w:ascii="Cambria" w:hAnsi="Cambria"/>
          <w:sz w:val="22"/>
        </w:rPr>
        <w:t>The Associate Dean must consolidate data and prepare analytical reports that summarize key initiatives, participation statistics, grievance redressal trends, and measurable outcomes.</w:t>
      </w:r>
    </w:p>
    <w:p>
      <w:pPr>
        <w:pStyle w:val="ListBullet"/>
        <w:jc w:val="both"/>
      </w:pPr>
      <w:r>
        <w:rPr>
          <w:rFonts w:ascii="Cambria" w:hAnsi="Cambria"/>
          <w:sz w:val="22"/>
        </w:rPr>
        <w:t>These reports are submitted to:</w:t>
      </w:r>
    </w:p>
    <w:p>
      <w:pPr>
        <w:spacing w:after="120"/>
        <w:ind w:left="1077"/>
        <w:jc w:val="both"/>
      </w:pPr>
      <w:r>
        <w:rPr>
          <w:rFonts w:ascii="Cambria" w:hAnsi="Cambria"/>
          <w:b w:val="0"/>
          <w:i w:val="0"/>
          <w:sz w:val="22"/>
        </w:rPr>
        <w:t xml:space="preserve">The Internal Quality Assurance Cell (IQAC) for internal performance assessment and inclusion in the </w:t>
      </w:r>
      <w:r>
        <w:rPr>
          <w:rFonts w:ascii="Cambria" w:hAnsi="Cambria"/>
          <w:b w:val="0"/>
          <w:i/>
          <w:sz w:val="22"/>
        </w:rPr>
        <w:t>Annual Quality Assurance Report (AQAR)</w:t>
      </w:r>
      <w:r>
        <w:rPr>
          <w:rFonts w:ascii="Cambria" w:hAnsi="Cambria"/>
          <w:b w:val="0"/>
          <w:i w:val="0"/>
          <w:sz w:val="22"/>
        </w:rPr>
        <w:t>.</w:t>
      </w:r>
    </w:p>
    <w:p>
      <w:pPr>
        <w:spacing w:after="120"/>
        <w:ind w:left="1077"/>
        <w:jc w:val="both"/>
      </w:pPr>
      <w:r>
        <w:rPr>
          <w:rFonts w:ascii="Cambria" w:hAnsi="Cambria"/>
          <w:b w:val="0"/>
          <w:i w:val="0"/>
          <w:sz w:val="22"/>
        </w:rPr>
        <w:t xml:space="preserve">NAAC and other statutory bodies as part of accreditation evidence under </w:t>
      </w:r>
      <w:r>
        <w:rPr>
          <w:rFonts w:ascii="Cambria" w:hAnsi="Cambria"/>
          <w:b w:val="0"/>
          <w:i/>
          <w:sz w:val="22"/>
        </w:rPr>
        <w:t>Criterion 5 (Student Support and Progression)</w:t>
      </w:r>
      <w:r>
        <w:rPr>
          <w:rFonts w:ascii="Cambria" w:hAnsi="Cambria"/>
          <w:b w:val="0"/>
          <w:i w:val="0"/>
          <w:sz w:val="22"/>
        </w:rPr>
        <w:t xml:space="preserve"> and </w:t>
      </w:r>
      <w:r>
        <w:rPr>
          <w:rFonts w:ascii="Cambria" w:hAnsi="Cambria"/>
          <w:b w:val="0"/>
          <w:i/>
          <w:sz w:val="22"/>
        </w:rPr>
        <w:t>Criterion 7 (Institutional Values and Best Practices)</w:t>
      </w:r>
      <w:r>
        <w:rPr>
          <w:rFonts w:ascii="Cambria" w:hAnsi="Cambria"/>
          <w:b w:val="0"/>
          <w:i w:val="0"/>
          <w:sz w:val="22"/>
        </w:rPr>
        <w:t>.</w:t>
      </w:r>
    </w:p>
    <w:p>
      <w:pPr>
        <w:pStyle w:val="ListBullet"/>
        <w:jc w:val="both"/>
      </w:pPr>
      <w:r>
        <w:rPr>
          <w:rFonts w:ascii="Cambria" w:hAnsi="Cambria"/>
          <w:sz w:val="22"/>
        </w:rPr>
        <w:t>Regular reporting ensures institutional accountability, data-driven decision-making, and continuous improvement in gender welfare initiatives.</w:t>
      </w:r>
    </w:p>
    <w:p>
      <w:pPr>
        <w:keepNext/>
        <w:spacing w:before="200" w:after="120"/>
      </w:pPr>
      <w:r>
        <w:rPr>
          <w:rFonts w:ascii="Cambria" w:hAnsi="Cambria"/>
          <w:b/>
          <w:color w:val="1F3A5F"/>
          <w:sz w:val="26"/>
        </w:rPr>
        <w:t>3. Follow the Policy → Action → Evidence → Outcome (PAEO) Model</w:t>
      </w:r>
    </w:p>
    <w:p>
      <w:pPr>
        <w:pStyle w:val="ListBullet"/>
        <w:jc w:val="both"/>
      </w:pPr>
      <w:r>
        <w:rPr>
          <w:rFonts w:ascii="Cambria" w:hAnsi="Cambria"/>
          <w:sz w:val="22"/>
        </w:rPr>
        <w:t>This is a structured documentation framework that links every initiative to a logical and measurable cycle:</w:t>
      </w:r>
    </w:p>
    <w:p>
      <w:pPr>
        <w:spacing w:after="120"/>
        <w:ind w:left="1077"/>
        <w:jc w:val="both"/>
      </w:pPr>
      <w:r>
        <w:rPr>
          <w:rFonts w:ascii="Cambria" w:hAnsi="Cambria"/>
          <w:b w:val="0"/>
          <w:i w:val="0"/>
          <w:sz w:val="22"/>
        </w:rPr>
        <w:t>Policy: The institutional or statutory policy defining women’s rights, equity, and safety (e.g., ICC Policy, Gender Equity Policy).</w:t>
      </w:r>
    </w:p>
    <w:p>
      <w:pPr>
        <w:spacing w:after="120"/>
        <w:ind w:left="1077"/>
        <w:jc w:val="both"/>
      </w:pPr>
      <w:r>
        <w:rPr>
          <w:rFonts w:ascii="Cambria" w:hAnsi="Cambria"/>
          <w:b w:val="0"/>
          <w:i w:val="0"/>
          <w:sz w:val="22"/>
        </w:rPr>
        <w:t>Action: The activities or programs implemented in line with the policy (e.g., awareness drives, counselling, or grievance redressal).</w:t>
      </w:r>
    </w:p>
    <w:p>
      <w:pPr>
        <w:spacing w:after="120"/>
        <w:ind w:left="1077"/>
        <w:jc w:val="both"/>
      </w:pPr>
      <w:r>
        <w:rPr>
          <w:rFonts w:ascii="Cambria" w:hAnsi="Cambria"/>
          <w:b w:val="0"/>
          <w:i w:val="0"/>
          <w:sz w:val="22"/>
        </w:rPr>
        <w:t>Evidence: The documented proof that the activity took place (e.g., photos, attendance records, reports, and feedback).</w:t>
      </w:r>
    </w:p>
    <w:p>
      <w:pPr>
        <w:spacing w:after="120"/>
        <w:ind w:left="1077"/>
        <w:jc w:val="both"/>
      </w:pPr>
      <w:r>
        <w:rPr>
          <w:rFonts w:ascii="Cambria" w:hAnsi="Cambria"/>
          <w:b w:val="0"/>
          <w:i w:val="0"/>
          <w:sz w:val="22"/>
        </w:rPr>
        <w:t>Outcome: The measurable result or improvement (e.g., reduced complaints, increased participation, enhanced safety perceptions).</w:t>
      </w:r>
    </w:p>
    <w:p>
      <w:pPr>
        <w:jc w:val="both"/>
      </w:pPr>
      <w:r>
        <w:rPr>
          <w:rFonts w:ascii="Cambria" w:hAnsi="Cambria"/>
          <w:b w:val="0"/>
          <w:i w:val="0"/>
          <w:sz w:val="22"/>
        </w:rPr>
        <w:t>By following the PAEO model, the Associate Dean ensures transparency, accountability, and impact assessment for every initiative undertaken. It also standardizes how evidence is presented during accreditation visits or audits.</w:t>
      </w:r>
    </w:p>
    <w:p>
      <w:pPr>
        <w:keepNext/>
        <w:spacing w:before="200" w:after="120"/>
      </w:pPr>
      <w:r>
        <w:rPr>
          <w:rFonts w:ascii="Cambria" w:hAnsi="Cambria"/>
          <w:b/>
          <w:color w:val="1F3A5F"/>
          <w:sz w:val="26"/>
        </w:rPr>
        <w:t>In Summary</w:t>
      </w:r>
    </w:p>
    <w:p>
      <w:pPr>
        <w:jc w:val="both"/>
      </w:pPr>
      <w:r>
        <w:rPr>
          <w:rFonts w:ascii="Cambria" w:hAnsi="Cambria"/>
          <w:b w:val="0"/>
          <w:i w:val="0"/>
          <w:sz w:val="22"/>
        </w:rPr>
        <w:t>This documentation structure guarantees that all women’s welfare and redressal activities are not only conducted ethically and efficiently but also tracked, evaluated, and improved over time. It helps the institution demonstrate compliance with UGC, AICTE, and NAAC requirements, enhances institutional credibility, and fosters a safe, equitable, and empowering environment for women on campus.</w:t>
      </w:r>
    </w:p>
    <w:p>
      <w:r>
        <w:br w:type="page"/>
      </w:r>
    </w:p>
    <w:p>
      <w:pPr>
        <w:keepNext/>
        <w:spacing w:before="280" w:after="160"/>
      </w:pPr>
      <w:r>
        <w:rPr>
          <w:rFonts w:ascii="Cambria" w:hAnsi="Cambria"/>
          <w:b/>
          <w:color w:val="1F3A5F"/>
          <w:sz w:val="36"/>
        </w:rPr>
        <w:t>10. References</w:t>
      </w:r>
    </w:p>
    <w:p>
      <w:pPr>
        <w:keepNext/>
        <w:spacing w:before="200" w:after="120"/>
      </w:pPr>
      <w:r>
        <w:rPr>
          <w:rFonts w:ascii="Cambria" w:hAnsi="Cambria"/>
          <w:b/>
          <w:color w:val="1F3A5F"/>
          <w:sz w:val="30"/>
        </w:rPr>
        <w:t>NBA</w:t>
      </w:r>
    </w:p>
    <w:p>
      <w:pPr>
        <w:ind w:left="357" w:hanging="357"/>
        <w:jc w:val="both"/>
      </w:pPr>
      <w:r>
        <w:rPr>
          <w:rFonts w:ascii="Cambria" w:hAnsi="Cambria"/>
          <w:sz w:val="22"/>
        </w:rPr>
        <w:t xml:space="preserve">1. </w:t>
      </w:r>
      <w:r>
        <w:rPr>
          <w:rFonts w:ascii="Cambria" w:hAnsi="Cambria"/>
          <w:sz w:val="22"/>
        </w:rPr>
        <w:t>NBA Accreditation Process for Tier-1 Institutions – Criterion 1: Outcome-Based Curriculum: Vision, Mission, PEOs, Curriculum Structure, CO–PO–PSO Mapping, and Articulation Framework, Kindle Edition, ASIN: B0FPDCG13D — https://amzn.in/d/4fcc0jE</w:t>
      </w:r>
    </w:p>
    <w:p>
      <w:pPr>
        <w:ind w:left="357" w:hanging="357"/>
        <w:jc w:val="both"/>
      </w:pPr>
      <w:r>
        <w:rPr>
          <w:rFonts w:ascii="Cambria" w:hAnsi="Cambria"/>
          <w:sz w:val="22"/>
        </w:rPr>
        <w:t xml:space="preserve">2. </w:t>
      </w:r>
      <w:r>
        <w:rPr>
          <w:rFonts w:ascii="Cambria" w:hAnsi="Cambria"/>
          <w:sz w:val="22"/>
        </w:rPr>
        <w:t>NBA Accreditation Process for Tier-1 Institutions – Criterion 2: Outcome-Based Teaching–Learning (OBTL): A Framework of Systematic Processes, Evidence-Based Practices, and CQI in OBE, Kindle Edition, ASIN: B0FPG4KFB1 — https://amzn.in/d/g1bchNl</w:t>
      </w:r>
    </w:p>
    <w:p>
      <w:pPr>
        <w:ind w:left="357" w:hanging="357"/>
        <w:jc w:val="both"/>
      </w:pPr>
      <w:r>
        <w:rPr>
          <w:rFonts w:ascii="Cambria" w:hAnsi="Cambria"/>
          <w:sz w:val="22"/>
        </w:rPr>
        <w:t xml:space="preserve">3. </w:t>
      </w:r>
      <w:r>
        <w:rPr>
          <w:rFonts w:ascii="Cambria" w:hAnsi="Cambria"/>
          <w:sz w:val="22"/>
        </w:rPr>
        <w:t>NBA Accreditation Process for Tier-1 Institutions – Criterion 3: Outcome-Based Assessment: Framework for Evaluating COs, POs, and PSOs in Compliance with NBA Accreditation Standards, Kindle Edition, ASIN: B0FQBQ21S1 — https://amzn.in/d/a2nGhnx</w:t>
      </w:r>
    </w:p>
    <w:p>
      <w:pPr>
        <w:ind w:left="357" w:hanging="357"/>
        <w:jc w:val="both"/>
      </w:pPr>
      <w:r>
        <w:rPr>
          <w:rFonts w:ascii="Cambria" w:hAnsi="Cambria"/>
          <w:sz w:val="22"/>
        </w:rPr>
        <w:t xml:space="preserve">4. </w:t>
      </w:r>
      <w:r>
        <w:rPr>
          <w:rFonts w:ascii="Cambria" w:hAnsi="Cambria"/>
          <w:sz w:val="22"/>
        </w:rPr>
        <w:t>NBA Accreditation Process for Tier-1 Institutions – Criterion 4: Students’ Performance: Evaluating Enrolment, Academic Success, and Career Outcomes in Higher Education, Kindle Edition, ASIN: B0FR3JHMXS — https://amzn.in/d/dry9lRW</w:t>
      </w:r>
    </w:p>
    <w:p>
      <w:pPr>
        <w:ind w:left="357" w:hanging="357"/>
        <w:jc w:val="both"/>
      </w:pPr>
      <w:r>
        <w:rPr>
          <w:rFonts w:ascii="Cambria" w:hAnsi="Cambria"/>
          <w:sz w:val="22"/>
        </w:rPr>
        <w:t xml:space="preserve">5. </w:t>
      </w:r>
      <w:r>
        <w:rPr>
          <w:rFonts w:ascii="Cambria" w:hAnsi="Cambria"/>
          <w:sz w:val="22"/>
        </w:rPr>
        <w:t>NBA Accreditation Process for Tier-1 Institutions – Criterion 5: Faculty Information: Evaluating Faculty Strength, Qualifications, and Development in Higher Education Institutions, Kindle Edition, ASIN: B0FR3DBZ3B — https://amzn.in/d/a1344lj</w:t>
      </w:r>
    </w:p>
    <w:p>
      <w:pPr>
        <w:ind w:left="357" w:hanging="357"/>
        <w:jc w:val="both"/>
      </w:pPr>
      <w:r>
        <w:rPr>
          <w:rFonts w:ascii="Cambria" w:hAnsi="Cambria"/>
          <w:sz w:val="22"/>
        </w:rPr>
        <w:t xml:space="preserve">6. </w:t>
      </w:r>
      <w:r>
        <w:rPr>
          <w:rFonts w:ascii="Cambria" w:hAnsi="Cambria"/>
          <w:sz w:val="22"/>
        </w:rPr>
        <w:t>NBA Accreditation Process for Tier-1 Institutions – Criterion 6: Faculty Contribution: Recognizing Professional Development, Research, and Institutional Growth, Kindle Edition, ASIN: B0FR1JLR73 — https://amzn.in/d/98KXO4k</w:t>
      </w:r>
    </w:p>
    <w:p>
      <w:pPr>
        <w:ind w:left="357" w:hanging="357"/>
        <w:jc w:val="both"/>
      </w:pPr>
      <w:r>
        <w:rPr>
          <w:rFonts w:ascii="Cambria" w:hAnsi="Cambria"/>
          <w:sz w:val="22"/>
        </w:rPr>
        <w:t xml:space="preserve">7. </w:t>
      </w:r>
      <w:r>
        <w:rPr>
          <w:rFonts w:ascii="Cambria" w:hAnsi="Cambria"/>
          <w:sz w:val="22"/>
        </w:rPr>
        <w:t>NBA Accreditation Process for Tier-1 Institutions – Criterion 7: Facilities and Technical Support: A Comprehensive Guide to Facilities, Laboratories, and Technical Support in Accreditation, Kindle Edition, ASIN: B0FQPHYBRC — https://amzn.in/d/9kAkdLZ</w:t>
      </w:r>
    </w:p>
    <w:p>
      <w:pPr>
        <w:ind w:left="357" w:hanging="357"/>
        <w:jc w:val="both"/>
      </w:pPr>
      <w:r>
        <w:rPr>
          <w:rFonts w:ascii="Cambria" w:hAnsi="Cambria"/>
          <w:sz w:val="22"/>
        </w:rPr>
        <w:t xml:space="preserve">8. </w:t>
      </w:r>
      <w:r>
        <w:rPr>
          <w:rFonts w:ascii="Cambria" w:hAnsi="Cambria"/>
          <w:sz w:val="22"/>
        </w:rPr>
        <w:t>NBA Accreditation Process for Tier-1 Institutions – Criterion 8: Continuous Improvement: Closing the Loop in Outcome-Based Education for Quality Enhancement, Kindle Edition, ASIN: B0FQJ75CNV — https://amzn.in/d/1Vco5Ye</w:t>
      </w:r>
    </w:p>
    <w:p>
      <w:pPr>
        <w:ind w:left="357" w:hanging="357"/>
        <w:jc w:val="both"/>
      </w:pPr>
      <w:r>
        <w:rPr>
          <w:rFonts w:ascii="Cambria" w:hAnsi="Cambria"/>
          <w:sz w:val="22"/>
        </w:rPr>
        <w:t xml:space="preserve">9. </w:t>
      </w:r>
      <w:r>
        <w:rPr>
          <w:rFonts w:ascii="Cambria" w:hAnsi="Cambria"/>
          <w:sz w:val="22"/>
        </w:rPr>
        <w:t>NBA Accreditation Process for Tier-1 Institutions – Criterion 9: Student Support System and Governance: A Framework for Student Support, Governance, and Institutional Accountability in HEIs, Kindle Edition, ASIN: B0FQJ2KHPC — https://amzn.in/d/dYBQik0</w:t>
      </w:r>
    </w:p>
    <w:p>
      <w:pPr>
        <w:ind w:left="357" w:hanging="357"/>
        <w:jc w:val="both"/>
      </w:pPr>
      <w:r>
        <w:rPr>
          <w:rFonts w:ascii="Cambria" w:hAnsi="Cambria"/>
          <w:sz w:val="22"/>
        </w:rPr>
        <w:t xml:space="preserve">10. </w:t>
      </w:r>
      <w:r>
        <w:rPr>
          <w:rFonts w:ascii="Cambria" w:hAnsi="Cambria"/>
          <w:sz w:val="22"/>
        </w:rPr>
        <w:t>Comprehensive Program-Specific Documentation Framework for National Board of Accreditation (NBA) Accreditation and Re-Accreditation, Kindle Edition, ASIN: B0FVLH85V1 — https://amzn.in/d/2l7EdeP</w:t>
      </w:r>
    </w:p>
    <w:p>
      <w:pPr>
        <w:ind w:left="357" w:hanging="357"/>
        <w:jc w:val="both"/>
      </w:pPr>
      <w:r>
        <w:rPr>
          <w:rFonts w:ascii="Cambria" w:hAnsi="Cambria"/>
          <w:sz w:val="22"/>
        </w:rPr>
        <w:t xml:space="preserve">11. </w:t>
      </w:r>
      <w:r>
        <w:rPr>
          <w:rFonts w:ascii="Cambria" w:hAnsi="Cambria"/>
          <w:sz w:val="22"/>
        </w:rPr>
        <w:t>Comprehensive Institute-Specific Documentation Framework for National Board of Accreditation (NBA) Accreditation and Re-Accreditation, Kindle Edition, ASIN: B0FVMFJR9R — https://amzn.in/d/h1lRju3</w:t>
      </w:r>
    </w:p>
    <w:p>
      <w:pPr>
        <w:ind w:left="357" w:hanging="357"/>
        <w:jc w:val="both"/>
      </w:pPr>
      <w:r>
        <w:rPr>
          <w:rFonts w:ascii="Cambria" w:hAnsi="Cambria"/>
          <w:sz w:val="22"/>
        </w:rPr>
        <w:t xml:space="preserve">12. </w:t>
      </w:r>
      <w:r>
        <w:rPr>
          <w:rFonts w:ascii="Cambria" w:hAnsi="Cambria"/>
          <w:sz w:val="22"/>
        </w:rPr>
        <w:t>NBA Accreditation Process for Tier-2 Institutions – Criterion 8: FIRST YEAR ACADEMICS: Assessment, Evidence Framework, and Continuous Improvement Mechanisms in Foundational Engineering Education, Kindle Edition, ASIN: B0FW4RHR56 — https://amzn.in/d/fWEyfEf</w:t>
      </w:r>
    </w:p>
    <w:p>
      <w:pPr>
        <w:keepNext/>
        <w:spacing w:before="200" w:after="120"/>
      </w:pPr>
      <w:r>
        <w:rPr>
          <w:rFonts w:ascii="Cambria" w:hAnsi="Cambria"/>
          <w:b/>
          <w:color w:val="1F3A5F"/>
          <w:sz w:val="30"/>
        </w:rPr>
        <w:t>NAAC</w:t>
      </w:r>
    </w:p>
    <w:p>
      <w:pPr>
        <w:ind w:left="357" w:hanging="357"/>
        <w:jc w:val="both"/>
      </w:pPr>
      <w:r>
        <w:rPr>
          <w:rFonts w:ascii="Cambria" w:hAnsi="Cambria"/>
          <w:sz w:val="22"/>
        </w:rPr>
        <w:t xml:space="preserve">13. </w:t>
      </w:r>
      <w:r>
        <w:rPr>
          <w:rFonts w:ascii="Cambria" w:hAnsi="Cambria"/>
          <w:sz w:val="22"/>
        </w:rPr>
        <w:t>Curricular Aspects under NAAC Accreditation – Criterion 1 for Higher Education Institutions: Ensuring Academic Flexibility, Curriculum Enrichment, and Alignment with NEP 2020, Kindle Edition, ASIN: B0FPR342MM — https://amzn.in/d/0S10khp</w:t>
      </w:r>
    </w:p>
    <w:p>
      <w:pPr>
        <w:ind w:left="357" w:hanging="357"/>
        <w:jc w:val="both"/>
      </w:pPr>
      <w:r>
        <w:rPr>
          <w:rFonts w:ascii="Cambria" w:hAnsi="Cambria"/>
          <w:sz w:val="22"/>
        </w:rPr>
        <w:t xml:space="preserve">14. </w:t>
      </w:r>
      <w:r>
        <w:rPr>
          <w:rFonts w:ascii="Cambria" w:hAnsi="Cambria"/>
          <w:sz w:val="22"/>
        </w:rPr>
        <w:t>Comprehensive Guide for Teaching-Learning and Evaluation under NAAC Accreditation – Criterion 2 for Higher Education Institutions, Kindle Edition, ASIN: B0FPRBZ2JH — https://amzn.in/d/37LtI4z</w:t>
      </w:r>
    </w:p>
    <w:p>
      <w:pPr>
        <w:ind w:left="357" w:hanging="357"/>
        <w:jc w:val="both"/>
      </w:pPr>
      <w:r>
        <w:rPr>
          <w:rFonts w:ascii="Cambria" w:hAnsi="Cambria"/>
          <w:sz w:val="22"/>
        </w:rPr>
        <w:t xml:space="preserve">15. </w:t>
      </w:r>
      <w:r>
        <w:rPr>
          <w:rFonts w:ascii="Cambria" w:hAnsi="Cambria"/>
          <w:sz w:val="22"/>
        </w:rPr>
        <w:t>Comprehensive Guide for Research, Innovations, and Extension under NAAC Accreditation – Criterion 3 for Higher Education Institutions: Quality Assurance in Research, Innovation, and Extension, Kindle Edition, ASIN: B0FR9GFTST — https://amzn.in/d/06MFYRq</w:t>
      </w:r>
    </w:p>
    <w:p>
      <w:pPr>
        <w:ind w:left="357" w:hanging="357"/>
        <w:jc w:val="both"/>
      </w:pPr>
      <w:r>
        <w:rPr>
          <w:rFonts w:ascii="Cambria" w:hAnsi="Cambria"/>
          <w:sz w:val="22"/>
        </w:rPr>
        <w:t xml:space="preserve">16. </w:t>
      </w:r>
      <w:r>
        <w:rPr>
          <w:rFonts w:ascii="Cambria" w:hAnsi="Cambria"/>
          <w:sz w:val="22"/>
        </w:rPr>
        <w:t>Comprehensive Guide for Infrastructure and Learning Resources under NAAC Accreditation – Criterion 4 for Higher Education Institutions: Sustainable, Inclusive, and Future-Ready Learning Ecosystems, Kindle Edition, ASIN: B0FRFFRDPB — https://amzn.in/d/5xlUunj</w:t>
      </w:r>
    </w:p>
    <w:p>
      <w:pPr>
        <w:ind w:left="357" w:hanging="357"/>
        <w:jc w:val="both"/>
      </w:pPr>
      <w:r>
        <w:rPr>
          <w:rFonts w:ascii="Cambria" w:hAnsi="Cambria"/>
          <w:sz w:val="22"/>
        </w:rPr>
        <w:t xml:space="preserve">17. </w:t>
      </w:r>
      <w:r>
        <w:rPr>
          <w:rFonts w:ascii="Cambria" w:hAnsi="Cambria"/>
          <w:sz w:val="22"/>
        </w:rPr>
        <w:t>Comprehensive Guide for Student Support and Progression under NAAC Accreditation – Criterion 5 for Higher Education Institutions, Kindle Edition, ASIN: B0FRDZKYNG — https://amzn.in/d/3zP8hvF</w:t>
      </w:r>
    </w:p>
    <w:p>
      <w:pPr>
        <w:ind w:left="357" w:hanging="357"/>
        <w:jc w:val="both"/>
      </w:pPr>
      <w:r>
        <w:rPr>
          <w:rFonts w:ascii="Cambria" w:hAnsi="Cambria"/>
          <w:sz w:val="22"/>
        </w:rPr>
        <w:t xml:space="preserve">18. </w:t>
      </w:r>
      <w:r>
        <w:rPr>
          <w:rFonts w:ascii="Cambria" w:hAnsi="Cambria"/>
          <w:sz w:val="22"/>
        </w:rPr>
        <w:t>Comprehensive Guide for Governance, Leadership and Management under NAAC Accreditation – Criterion 6 for Higher Education Institutions, Kindle Edition, ASIN: B0FR8KKXS4 — https://amzn.in/d/5dscvoN</w:t>
      </w:r>
    </w:p>
    <w:p>
      <w:pPr>
        <w:ind w:left="357" w:hanging="357"/>
        <w:jc w:val="both"/>
      </w:pPr>
      <w:r>
        <w:rPr>
          <w:rFonts w:ascii="Cambria" w:hAnsi="Cambria"/>
          <w:sz w:val="22"/>
        </w:rPr>
        <w:t xml:space="preserve">19. </w:t>
      </w:r>
      <w:r>
        <w:rPr>
          <w:rFonts w:ascii="Cambria" w:hAnsi="Cambria"/>
          <w:sz w:val="22"/>
        </w:rPr>
        <w:t>Comprehensive Guide for Institutional Values and Best Practices under NAAC Accreditation – Criterion 7 for Higher Education Institutions: Frameworks, Case Studies, and Evidence for Quality Assurance, Kindle Edition, ASIN: B0FR7WJQJ2 — https://amzn.in/d/6gMGSy4</w:t>
      </w:r>
    </w:p>
    <w:p>
      <w:pPr>
        <w:keepNext/>
        <w:spacing w:before="200" w:after="120"/>
      </w:pPr>
      <w:r>
        <w:rPr>
          <w:rFonts w:ascii="Cambria" w:hAnsi="Cambria"/>
          <w:b/>
          <w:color w:val="1F3A5F"/>
          <w:sz w:val="30"/>
        </w:rPr>
        <w:t>QS I GUAGE</w:t>
      </w:r>
    </w:p>
    <w:p>
      <w:pPr>
        <w:ind w:left="357" w:hanging="357"/>
        <w:jc w:val="both"/>
      </w:pPr>
      <w:r>
        <w:rPr>
          <w:rFonts w:ascii="Cambria" w:hAnsi="Cambria"/>
          <w:sz w:val="22"/>
        </w:rPr>
        <w:t xml:space="preserve">20. </w:t>
      </w:r>
      <w:r>
        <w:rPr>
          <w:rFonts w:ascii="Cambria" w:hAnsi="Cambria"/>
          <w:sz w:val="22"/>
        </w:rPr>
        <w:t>QS I-GAUGE: An Independent Rating Framework for Indian Higher Education, Kindle Edition, ASIN: B0FN4WBGLT — https://amzn.in/d/2mlYjez</w:t>
      </w:r>
    </w:p>
    <w:p>
      <w:pPr>
        <w:keepNext/>
        <w:spacing w:before="200" w:after="120"/>
      </w:pPr>
      <w:r>
        <w:rPr>
          <w:rFonts w:ascii="Cambria" w:hAnsi="Cambria"/>
          <w:b/>
          <w:color w:val="1F3A5F"/>
          <w:sz w:val="30"/>
        </w:rPr>
        <w:t>NIRF</w:t>
      </w:r>
    </w:p>
    <w:p>
      <w:pPr>
        <w:ind w:left="357" w:hanging="357"/>
        <w:jc w:val="both"/>
      </w:pPr>
      <w:r>
        <w:rPr>
          <w:rFonts w:ascii="Cambria" w:hAnsi="Cambria"/>
          <w:sz w:val="22"/>
        </w:rPr>
        <w:t xml:space="preserve">21. </w:t>
      </w:r>
      <w:r>
        <w:rPr>
          <w:rFonts w:ascii="Cambria" w:hAnsi="Cambria"/>
          <w:sz w:val="22"/>
        </w:rPr>
        <w:t>National Institutional Ranking Framework (NIRF): Transforming Indian Higher Education: A Comprehensive Analysis of Methodology, Parameters, and Impact, Kindle Edition, ASIN: B0FQ5MNVGR — https://amzn.in/d/hhrZvux</w:t>
      </w:r>
    </w:p>
    <w:p>
      <w:pPr>
        <w:keepNext/>
        <w:spacing w:before="200" w:after="120"/>
      </w:pPr>
      <w:r>
        <w:rPr>
          <w:rFonts w:ascii="Cambria" w:hAnsi="Cambria"/>
          <w:b/>
          <w:color w:val="1F3A5F"/>
          <w:sz w:val="30"/>
        </w:rPr>
        <w:t>NEP2020</w:t>
      </w:r>
    </w:p>
    <w:p>
      <w:pPr>
        <w:ind w:left="357" w:hanging="357"/>
        <w:jc w:val="both"/>
      </w:pPr>
      <w:r>
        <w:rPr>
          <w:rFonts w:ascii="Cambria" w:hAnsi="Cambria"/>
          <w:sz w:val="22"/>
        </w:rPr>
        <w:t xml:space="preserve">22. </w:t>
      </w:r>
      <w:r>
        <w:rPr>
          <w:rFonts w:ascii="Cambria" w:hAnsi="Cambria"/>
          <w:sz w:val="22"/>
        </w:rPr>
        <w:t>National Education Policy 2020: A Transformative Roadmap for Holistic, Inclusive, and Future-Ready Learning in India, Kindle Edition, ASIN: B0F1L321B6 — https://amzn.in/d/eugIo4y</w:t>
      </w:r>
    </w:p>
    <w:p>
      <w:pPr>
        <w:keepNext/>
        <w:spacing w:before="200" w:after="120"/>
      </w:pPr>
      <w:r>
        <w:rPr>
          <w:rFonts w:ascii="Cambria" w:hAnsi="Cambria"/>
          <w:b/>
          <w:color w:val="1F3A5F"/>
          <w:sz w:val="30"/>
        </w:rPr>
        <w:t>IQAC</w:t>
      </w:r>
    </w:p>
    <w:p>
      <w:pPr>
        <w:ind w:left="357" w:hanging="357"/>
        <w:jc w:val="both"/>
      </w:pPr>
      <w:r>
        <w:rPr>
          <w:rFonts w:ascii="Cambria" w:hAnsi="Cambria"/>
          <w:sz w:val="22"/>
        </w:rPr>
        <w:t xml:space="preserve">23. </w:t>
      </w:r>
      <w:r>
        <w:rPr>
          <w:rFonts w:ascii="Cambria" w:hAnsi="Cambria"/>
          <w:sz w:val="22"/>
        </w:rPr>
        <w:t>Internal Quality Assurance Cell (IQAC): A Framework for Sustaining and Enhancing Quality in Higher Education, Kindle Edition, ASIN: B0FPLRX4YF — https://amzn.in/d/8n5aQRb</w:t>
      </w:r>
    </w:p>
    <w:p>
      <w:pPr>
        <w:ind w:left="357" w:hanging="357"/>
        <w:jc w:val="both"/>
      </w:pPr>
      <w:r>
        <w:rPr>
          <w:rFonts w:ascii="Cambria" w:hAnsi="Cambria"/>
          <w:sz w:val="22"/>
        </w:rPr>
        <w:t xml:space="preserve">24. </w:t>
      </w:r>
      <w:r>
        <w:rPr>
          <w:rFonts w:ascii="Cambria" w:hAnsi="Cambria"/>
          <w:sz w:val="22"/>
        </w:rPr>
        <w:t>Systematic and Transparent Feedback Mechanism in Higher Education Institutions: Ensuring Continuous Quality Improvement (CQI) and Strengthening NAAC/NBA Accreditation, Kindle Edition, ASIN: B0FPGJ77RC — https://amzn.in/d/emeRiJ3</w:t>
      </w:r>
    </w:p>
    <w:p>
      <w:pPr>
        <w:ind w:left="357" w:hanging="357"/>
        <w:jc w:val="both"/>
      </w:pPr>
      <w:r>
        <w:rPr>
          <w:rFonts w:ascii="Cambria" w:hAnsi="Cambria"/>
          <w:sz w:val="22"/>
        </w:rPr>
        <w:t xml:space="preserve">25. </w:t>
      </w:r>
      <w:r>
        <w:rPr>
          <w:rFonts w:ascii="Cambria" w:hAnsi="Cambria"/>
          <w:sz w:val="22"/>
        </w:rPr>
        <w:t>Qualitative Metrics (QlM) and Quantitative Metrics (QnM) in Higher Educational Institutions (HEIs): As Applied in NAAC, NBA, and NIRF Frameworks, Kindle Edition, ASIN: B0F6CR212X — https://amzn.in/d/gUWl02e</w:t>
      </w:r>
    </w:p>
    <w:p>
      <w:pPr>
        <w:ind w:left="357" w:hanging="357"/>
        <w:jc w:val="both"/>
      </w:pPr>
      <w:r>
        <w:rPr>
          <w:rFonts w:ascii="Cambria" w:hAnsi="Cambria"/>
          <w:sz w:val="22"/>
        </w:rPr>
        <w:t xml:space="preserve">26. </w:t>
      </w:r>
      <w:r>
        <w:rPr>
          <w:rFonts w:ascii="Cambria" w:hAnsi="Cambria"/>
          <w:sz w:val="22"/>
        </w:rPr>
        <w:t>Statutory and Non-Statutory Committees in Higher Educational Institutions (HEIs): Mandatory by regulatory bodies like AICTE, UGC, NAAC, NBA, etc. Kindle Edition, ASIN: B0F7GHJ863 — https://amzn.in/d/gf0LiBn</w:t>
      </w:r>
    </w:p>
    <w:p>
      <w:pPr>
        <w:ind w:left="357" w:hanging="357"/>
        <w:jc w:val="both"/>
      </w:pPr>
      <w:r>
        <w:rPr>
          <w:rFonts w:ascii="Cambria" w:hAnsi="Cambria"/>
          <w:sz w:val="22"/>
        </w:rPr>
        <w:t xml:space="preserve">27. </w:t>
      </w:r>
      <w:r>
        <w:rPr>
          <w:rFonts w:ascii="Cambria" w:hAnsi="Cambria"/>
          <w:sz w:val="22"/>
        </w:rPr>
        <w:t>Empowering Academic Skilling and Mathematical Modelling through Technical Computing Languages in Higher Education Institutions, Kindle Edition, ASIN: B0FC7TNZNG — https://amzn.in/d/brIlQwZ</w:t>
      </w:r>
    </w:p>
    <w:p>
      <w:pPr>
        <w:ind w:left="357" w:hanging="357"/>
        <w:jc w:val="both"/>
      </w:pPr>
      <w:r>
        <w:rPr>
          <w:rFonts w:ascii="Cambria" w:hAnsi="Cambria"/>
          <w:sz w:val="22"/>
        </w:rPr>
        <w:t xml:space="preserve">28. </w:t>
      </w:r>
      <w:r>
        <w:rPr>
          <w:rFonts w:ascii="Cambria" w:hAnsi="Cambria"/>
          <w:sz w:val="22"/>
        </w:rPr>
        <w:t>Research and Development Transformation in Higher Education Institutions, Kindle Edition, ASIN: B0FB9QFS88 — https://amzn.in/d/1uOQZ0o</w:t>
      </w:r>
    </w:p>
    <w:p>
      <w:pPr>
        <w:ind w:left="357" w:hanging="357"/>
        <w:jc w:val="both"/>
      </w:pPr>
      <w:r>
        <w:rPr>
          <w:rFonts w:ascii="Cambria" w:hAnsi="Cambria"/>
          <w:sz w:val="22"/>
        </w:rPr>
        <w:t xml:space="preserve">29. </w:t>
      </w:r>
      <w:r>
        <w:rPr>
          <w:rFonts w:ascii="Cambria" w:hAnsi="Cambria"/>
          <w:sz w:val="22"/>
        </w:rPr>
        <w:t>Institutional Development Plans in Higher Education: Empowering Institutions for the 21st Century, Kindle Edition, ASIN: B0FDBV6D47 — https://amzn.in/d/ckm98I2</w:t>
      </w:r>
    </w:p>
    <w:p>
      <w:pPr>
        <w:ind w:left="357" w:hanging="357"/>
        <w:jc w:val="both"/>
      </w:pPr>
      <w:r>
        <w:rPr>
          <w:rFonts w:ascii="Cambria" w:hAnsi="Cambria"/>
          <w:sz w:val="22"/>
        </w:rPr>
        <w:t xml:space="preserve">30. </w:t>
      </w:r>
      <w:r>
        <w:rPr>
          <w:rFonts w:ascii="Cambria" w:hAnsi="Cambria"/>
          <w:sz w:val="22"/>
        </w:rPr>
        <w:t>Comprehensive Academic System in Higher Education Institutions, Kindle Edition, ASIN: B0FF2HDMSG — https://amzn.in/d/dbPMaVL</w:t>
      </w:r>
    </w:p>
    <w:p>
      <w:pPr>
        <w:ind w:left="357" w:hanging="357"/>
        <w:jc w:val="both"/>
      </w:pPr>
      <w:r>
        <w:rPr>
          <w:rFonts w:ascii="Cambria" w:hAnsi="Cambria"/>
          <w:sz w:val="22"/>
        </w:rPr>
        <w:t xml:space="preserve">31. </w:t>
      </w:r>
      <w:r>
        <w:rPr>
          <w:rFonts w:ascii="Cambria" w:hAnsi="Cambria"/>
          <w:sz w:val="22"/>
        </w:rPr>
        <w:t>Structured Approaches to Teaching, Learning, and Student Engagement in HEIs, Kindle Edition, ASIN: B0DB8QK1B4 — https://amzn.in/d/7jNZrQo</w:t>
      </w:r>
    </w:p>
    <w:p>
      <w:pPr>
        <w:ind w:left="357" w:hanging="357"/>
        <w:jc w:val="both"/>
      </w:pPr>
      <w:r>
        <w:rPr>
          <w:rFonts w:ascii="Cambria" w:hAnsi="Cambria"/>
          <w:sz w:val="22"/>
        </w:rPr>
        <w:t xml:space="preserve">32. </w:t>
      </w:r>
      <w:r>
        <w:rPr>
          <w:rFonts w:ascii="Cambria" w:hAnsi="Cambria"/>
          <w:sz w:val="22"/>
        </w:rPr>
        <w:t>Admission Process in Indian Higher Education: A Comprehensive Institutional Guide, Kindle Edition, ASIN: B0FFNCPP6P — https://amzn.in/d/0XO6APq</w:t>
      </w:r>
    </w:p>
    <w:p>
      <w:pPr>
        <w:ind w:left="357" w:hanging="357"/>
        <w:jc w:val="both"/>
      </w:pPr>
      <w:r>
        <w:rPr>
          <w:rFonts w:ascii="Cambria" w:hAnsi="Cambria"/>
          <w:sz w:val="22"/>
        </w:rPr>
        <w:t xml:space="preserve">33. </w:t>
      </w:r>
      <w:r>
        <w:rPr>
          <w:rFonts w:ascii="Cambria" w:hAnsi="Cambria"/>
          <w:sz w:val="22"/>
        </w:rPr>
        <w:t>Strategic Implementation of Best Practices in HEIs: Enhancing Quality, Innovation, and Impact, Kindle Edition, ASIN: B0CZP85QK7 — https://amzn.in/d/5uj5Lkb</w:t>
      </w:r>
    </w:p>
    <w:p>
      <w:pPr>
        <w:ind w:left="357" w:hanging="357"/>
        <w:jc w:val="both"/>
      </w:pPr>
      <w:r>
        <w:rPr>
          <w:rFonts w:ascii="Cambria" w:hAnsi="Cambria"/>
          <w:sz w:val="22"/>
        </w:rPr>
        <w:t xml:space="preserve">34. </w:t>
      </w:r>
      <w:r>
        <w:rPr>
          <w:rFonts w:ascii="Cambria" w:hAnsi="Cambria"/>
          <w:sz w:val="22"/>
        </w:rPr>
        <w:t>Outcome-Based Education in Higher Learning: Philosophy, Design, and Impact, Kindle Edition, ASIN: B0FPCB5GHH — https://amzn.in/d/3oGmnue</w:t>
      </w:r>
    </w:p>
    <w:p>
      <w:pPr>
        <w:ind w:left="357" w:hanging="357"/>
        <w:jc w:val="both"/>
      </w:pPr>
      <w:r>
        <w:rPr>
          <w:rFonts w:ascii="Cambria" w:hAnsi="Cambria"/>
          <w:sz w:val="22"/>
        </w:rPr>
        <w:t xml:space="preserve">35. </w:t>
      </w:r>
      <w:r>
        <w:rPr>
          <w:rFonts w:ascii="Cambria" w:hAnsi="Cambria"/>
          <w:sz w:val="22"/>
        </w:rPr>
        <w:t>Holistic Performance Appraisal and Development: Driving Continuous Quality in Higher Education Institutions, Kindle Edition, ASIN: B0FQN2S8WH — https://amzn.in/d/bipHsu8</w:t>
      </w:r>
    </w:p>
    <w:p>
      <w:pPr>
        <w:ind w:left="357" w:hanging="357"/>
        <w:jc w:val="both"/>
      </w:pPr>
      <w:r>
        <w:rPr>
          <w:rFonts w:ascii="Cambria" w:hAnsi="Cambria"/>
          <w:sz w:val="22"/>
        </w:rPr>
        <w:t xml:space="preserve">36. </w:t>
      </w:r>
      <w:r>
        <w:rPr>
          <w:rFonts w:ascii="Cambria" w:hAnsi="Cambria"/>
          <w:sz w:val="22"/>
        </w:rPr>
        <w:t>Comprehensive Code of Ethics and Conduct for Students in Higher Education Institutions, Kindle Edition, ASIN: B0FQS7V248 — https://amzn.in/d/6jfKQnI</w:t>
      </w:r>
    </w:p>
    <w:p>
      <w:pPr>
        <w:ind w:left="357" w:hanging="357"/>
        <w:jc w:val="both"/>
      </w:pPr>
      <w:r>
        <w:rPr>
          <w:rFonts w:ascii="Cambria" w:hAnsi="Cambria"/>
          <w:sz w:val="22"/>
        </w:rPr>
        <w:t xml:space="preserve">37. </w:t>
      </w:r>
      <w:r>
        <w:rPr>
          <w:rFonts w:ascii="Cambria" w:hAnsi="Cambria"/>
          <w:sz w:val="22"/>
        </w:rPr>
        <w:t>Industry Internship Program: Structure, Guidelines, and Evaluation Framework: Enhancing Employability and Industry Linkages in HEIs, Kindle Edition, ASIN: B0FQLF8385 — https://amzn.in/d/8scRAIj</w:t>
      </w:r>
    </w:p>
    <w:p>
      <w:pPr>
        <w:ind w:left="357" w:hanging="357"/>
        <w:jc w:val="both"/>
      </w:pPr>
      <w:r>
        <w:rPr>
          <w:rFonts w:ascii="Cambria" w:hAnsi="Cambria"/>
          <w:sz w:val="22"/>
        </w:rPr>
        <w:t xml:space="preserve">38. </w:t>
      </w:r>
      <w:r>
        <w:rPr>
          <w:rFonts w:ascii="Cambria" w:hAnsi="Cambria"/>
          <w:sz w:val="22"/>
        </w:rPr>
        <w:t>Energy Management and Audit in Indian Educational Institutions: A Blueprint for Sustainable Growth: Mapping Institutional Energy Management to NAAC Criteria, SDG Goals, and QS I-GAUGE Standards, Kindle Edition, ASIN: B0FQZNSBJ5 — https://amzn.in/d/eKx5NC9</w:t>
      </w:r>
    </w:p>
    <w:p>
      <w:pPr>
        <w:ind w:left="357" w:hanging="357"/>
        <w:jc w:val="both"/>
      </w:pPr>
      <w:r>
        <w:rPr>
          <w:rFonts w:ascii="Cambria" w:hAnsi="Cambria"/>
          <w:sz w:val="22"/>
        </w:rPr>
        <w:t xml:space="preserve">39. </w:t>
      </w:r>
      <w:r>
        <w:rPr>
          <w:rFonts w:ascii="Cambria" w:hAnsi="Cambria"/>
          <w:sz w:val="22"/>
        </w:rPr>
        <w:t>Financial Operations and Management Policy in Higher Education Institutions: A Comprehensive Framework Linking Finance Policy to NAAC, NBA, NIRF, QS I-GAUGE, and SDGs, Kindle Edition, ASIN: B0FR1P216J — https://amzn.in/d/8st88zc</w:t>
      </w:r>
    </w:p>
    <w:p>
      <w:pPr>
        <w:ind w:left="357" w:hanging="357"/>
        <w:jc w:val="both"/>
      </w:pPr>
      <w:r>
        <w:rPr>
          <w:rFonts w:ascii="Cambria" w:hAnsi="Cambria"/>
          <w:sz w:val="22"/>
        </w:rPr>
        <w:t xml:space="preserve">40. </w:t>
      </w:r>
      <w:r>
        <w:rPr>
          <w:rFonts w:ascii="Cambria" w:hAnsi="Cambria"/>
          <w:sz w:val="22"/>
        </w:rPr>
        <w:t>Comprehensive Policy Framework for Sustainable Water Management, Conservation, and Auditing in Higher Education Institutions, Kindle Edition, ASIN: B0FR31X1BC — https://amzn.in/d/3i4OLf1</w:t>
      </w:r>
    </w:p>
    <w:p>
      <w:pPr>
        <w:ind w:left="357" w:hanging="357"/>
        <w:jc w:val="both"/>
      </w:pPr>
      <w:r>
        <w:rPr>
          <w:rFonts w:ascii="Cambria" w:hAnsi="Cambria"/>
          <w:sz w:val="22"/>
        </w:rPr>
        <w:t xml:space="preserve">41. </w:t>
      </w:r>
      <w:r>
        <w:rPr>
          <w:rFonts w:ascii="Cambria" w:hAnsi="Cambria"/>
          <w:sz w:val="22"/>
        </w:rPr>
        <w:t>Comprehensive Framework for Student Grievance, Counselling, Anti-Ragging, and Internal Complaints in HEIs: Mapping Student Support and Protection Mechanisms to NAAC, NBA, NIRF, QS I-GAUGE, and SDGs, Kindle Edition, ASIN: B0FR58L1G8 — https://amzn.in/d/gXvdCpx</w:t>
      </w:r>
    </w:p>
    <w:p>
      <w:pPr>
        <w:ind w:left="357" w:hanging="357"/>
        <w:jc w:val="both"/>
      </w:pPr>
      <w:r>
        <w:rPr>
          <w:rFonts w:ascii="Cambria" w:hAnsi="Cambria"/>
          <w:sz w:val="22"/>
        </w:rPr>
        <w:t xml:space="preserve">42. </w:t>
      </w:r>
      <w:r>
        <w:rPr>
          <w:rFonts w:ascii="Cambria" w:hAnsi="Cambria"/>
          <w:sz w:val="22"/>
        </w:rPr>
        <w:t>Student Affairs Policy for Higher Education Institutions (HEIs): Aligning Student Development with NAAC, NBA, NIRF, QS I-GAUGE, and SDG Standards, Kindle Edition, ASIN: B0FR4GW6RB — https://amzn.in/d/2zTHV0B</w:t>
      </w:r>
    </w:p>
    <w:p>
      <w:pPr>
        <w:ind w:left="357" w:hanging="357"/>
        <w:jc w:val="both"/>
      </w:pPr>
      <w:r>
        <w:rPr>
          <w:rFonts w:ascii="Cambria" w:hAnsi="Cambria"/>
          <w:sz w:val="22"/>
        </w:rPr>
        <w:t xml:space="preserve">43. </w:t>
      </w:r>
      <w:r>
        <w:rPr>
          <w:rFonts w:ascii="Cambria" w:hAnsi="Cambria"/>
          <w:sz w:val="22"/>
        </w:rPr>
        <w:t>Extension and Outreach Services in Higher Education: Leadership, Governance, and Community Engagement Strategies, Kindle Edition, ASIN: B0FRLHXR1G — https://amzn.in/d/9NE2wGs</w:t>
      </w:r>
    </w:p>
    <w:p>
      <w:pPr>
        <w:ind w:left="357" w:hanging="357"/>
        <w:jc w:val="both"/>
      </w:pPr>
      <w:r>
        <w:rPr>
          <w:rFonts w:ascii="Cambria" w:hAnsi="Cambria"/>
          <w:sz w:val="22"/>
        </w:rPr>
        <w:t xml:space="preserve">44. </w:t>
      </w:r>
      <w:r>
        <w:rPr>
          <w:rFonts w:ascii="Cambria" w:hAnsi="Cambria"/>
          <w:sz w:val="22"/>
        </w:rPr>
        <w:t>Central Library: Policies, Procedures, and Best Practices in Higher Education Institutions: Aligning with NAAC, NIRF, NBA, and QS-I Gauge Standards, Kindle Edition, ASIN: B0FRMKX2BX — https://amzn.in/d/9Qfr8S0</w:t>
      </w:r>
    </w:p>
    <w:p>
      <w:pPr>
        <w:ind w:left="357" w:hanging="357"/>
        <w:jc w:val="both"/>
      </w:pPr>
      <w:r>
        <w:rPr>
          <w:rFonts w:ascii="Cambria" w:hAnsi="Cambria"/>
          <w:sz w:val="22"/>
        </w:rPr>
        <w:t xml:space="preserve">45. </w:t>
      </w:r>
      <w:r>
        <w:rPr>
          <w:rFonts w:ascii="Cambria" w:hAnsi="Cambria"/>
          <w:sz w:val="22"/>
        </w:rPr>
        <w:t>Institutional Policy on Publishing in Higher Education Institutions: Frameworks, Standards, and Best Practices for NAAC, NBA, NIRF, and QS I-GAUGE Compliance, Kindle Edition, ASIN: B0FRRBM6HD — https://amzn.in/d/0bYPpGu</w:t>
      </w:r>
    </w:p>
    <w:p>
      <w:pPr>
        <w:ind w:left="357" w:hanging="357"/>
        <w:jc w:val="both"/>
      </w:pPr>
      <w:r>
        <w:rPr>
          <w:rFonts w:ascii="Cambria" w:hAnsi="Cambria"/>
          <w:sz w:val="22"/>
        </w:rPr>
        <w:t xml:space="preserve">46. </w:t>
      </w:r>
      <w:r>
        <w:rPr>
          <w:rFonts w:ascii="Cambria" w:hAnsi="Cambria"/>
          <w:sz w:val="22"/>
        </w:rPr>
        <w:t>IT Services in Higher Education Institutions (HEIs): Policies, Registers, and Best Practices: Aligning IT Services in HEIs with NAAC, NBA, NIRF, and QS I-GAUGE Accreditation Frameworks, Kindle Edition, ASIN: B0FRRD3W8C — https://amzn.in/d/5wXPUFs</w:t>
      </w:r>
    </w:p>
    <w:p>
      <w:pPr>
        <w:ind w:left="357" w:hanging="357"/>
        <w:jc w:val="both"/>
      </w:pPr>
      <w:r>
        <w:rPr>
          <w:rFonts w:ascii="Cambria" w:hAnsi="Cambria"/>
          <w:sz w:val="22"/>
        </w:rPr>
        <w:t xml:space="preserve">47. </w:t>
      </w:r>
      <w:r>
        <w:rPr>
          <w:rFonts w:ascii="Cambria" w:hAnsi="Cambria"/>
          <w:sz w:val="22"/>
        </w:rPr>
        <w:t>Physical Facilities, Maintenance, and Construction in Higher Education Institutions (HEIs): Registers, Audit Frameworks, and Accreditation Evidence for NAAC, NIRF, QS I-GAUGE, and NBA, Kindle Edition, ASIN: B0FRYFGLHC — https://amzn.in/d/fdm0ipL</w:t>
      </w:r>
    </w:p>
    <w:p>
      <w:pPr>
        <w:ind w:left="357" w:hanging="357"/>
        <w:jc w:val="both"/>
      </w:pPr>
      <w:r>
        <w:rPr>
          <w:rFonts w:ascii="Cambria" w:hAnsi="Cambria"/>
          <w:sz w:val="22"/>
        </w:rPr>
        <w:t xml:space="preserve">48. </w:t>
      </w:r>
      <w:r>
        <w:rPr>
          <w:rFonts w:ascii="Cambria" w:hAnsi="Cambria"/>
          <w:sz w:val="22"/>
        </w:rPr>
        <w:t>Strategic Development Plan for Higher Education Institutions: Aligning with NEP 2020, SDGs, NAAC, NBA, NIRF, and QS I-GAUGE, Kindle Edition, ASIN: B0FSCTT9ZP — https://amzn.in/d/hGqn55l</w:t>
      </w:r>
    </w:p>
    <w:p>
      <w:pPr>
        <w:ind w:left="357" w:hanging="357"/>
        <w:jc w:val="both"/>
      </w:pPr>
      <w:r>
        <w:rPr>
          <w:rFonts w:ascii="Cambria" w:hAnsi="Cambria"/>
          <w:sz w:val="22"/>
        </w:rPr>
        <w:t xml:space="preserve">49. </w:t>
      </w:r>
      <w:r>
        <w:rPr>
          <w:rFonts w:ascii="Cambria" w:hAnsi="Cambria"/>
          <w:sz w:val="22"/>
        </w:rPr>
        <w:t>Dean of Planning &amp; Development (DoPD): Architect of Institutional Growth in Higher Education: Institutional Planning, Sustainability, and Accreditation Alignment with NAAC, NBA, NIRF, and QS I-GAUGE, Kindle Edition, ASIN: B0FRZZGMF8 — https://amzn.in/d/cbSxKTJ</w:t>
      </w:r>
    </w:p>
    <w:p>
      <w:pPr>
        <w:ind w:left="357" w:hanging="357"/>
        <w:jc w:val="both"/>
      </w:pPr>
      <w:r>
        <w:rPr>
          <w:rFonts w:ascii="Cambria" w:hAnsi="Cambria"/>
          <w:sz w:val="22"/>
        </w:rPr>
        <w:t xml:space="preserve">50. </w:t>
      </w:r>
      <w:r>
        <w:rPr>
          <w:rFonts w:ascii="Cambria" w:hAnsi="Cambria"/>
          <w:sz w:val="22"/>
        </w:rPr>
        <w:t>Dean – IQA and Ranking (DoIQAR): Leadership in Accreditation, Quality Assurance, and Global Benchmarking in Higher Education: Mapping of DoIQAR &amp; Associate Deans to NBA, NAAC, NIRF, and QS I-GAUGE, Kindle Edition, ASIN: B0FS5W7JYP — https://amzn.in/d/aqwjhkT</w:t>
      </w:r>
    </w:p>
    <w:p>
      <w:pPr>
        <w:ind w:left="357" w:hanging="357"/>
        <w:jc w:val="both"/>
      </w:pPr>
      <w:r>
        <w:rPr>
          <w:rFonts w:ascii="Cambria" w:hAnsi="Cambria"/>
          <w:sz w:val="22"/>
        </w:rPr>
        <w:t xml:space="preserve">51. </w:t>
      </w:r>
      <w:r>
        <w:rPr>
          <w:rFonts w:ascii="Cambria" w:hAnsi="Cambria"/>
          <w:sz w:val="22"/>
        </w:rPr>
        <w:t>Dean – Research &amp; Development (R&amp;D): Leadership in Knowledge Creation and Innovation in Higher Education: Mapping of R&amp;D Leadership to NBA, NAAC, NIRF, and QS I-GAUGE, Kindle Edition, ASIN: B0FS5K7G27 — https://amzn.in/d/9Ffj30s</w:t>
      </w:r>
    </w:p>
    <w:p>
      <w:pPr>
        <w:ind w:left="357" w:hanging="357"/>
        <w:jc w:val="both"/>
      </w:pPr>
      <w:r>
        <w:rPr>
          <w:rFonts w:ascii="Cambria" w:hAnsi="Cambria"/>
          <w:sz w:val="22"/>
        </w:rPr>
        <w:t xml:space="preserve">52. </w:t>
      </w:r>
      <w:r>
        <w:rPr>
          <w:rFonts w:ascii="Cambria" w:hAnsi="Cambria"/>
          <w:sz w:val="22"/>
        </w:rPr>
        <w:t>Dean of Academic Affairs: Custodian of Academic Excellence: The Role of the Dean and Associate Deans in Governance, Quality, and Global Benchmarks, Kindle Edition, ASIN: B0FRY8N2SD — https://amzn.in/d/6Fh0u3l</w:t>
      </w:r>
    </w:p>
    <w:p>
      <w:pPr>
        <w:ind w:left="357" w:hanging="357"/>
        <w:jc w:val="both"/>
      </w:pPr>
      <w:r>
        <w:rPr>
          <w:rFonts w:ascii="Cambria" w:hAnsi="Cambria"/>
          <w:sz w:val="22"/>
        </w:rPr>
        <w:t xml:space="preserve">53. </w:t>
      </w:r>
      <w:r>
        <w:rPr>
          <w:rFonts w:ascii="Cambria" w:hAnsi="Cambria"/>
          <w:sz w:val="22"/>
        </w:rPr>
        <w:t>Skilling Engineers in Civil and Architecture Disciplines: Advancing Academic Competence in Geometric Modeling for Higher Education Institutions, Kindle Edition, ASIN: B0FSJHSSGL — https://a.co/d/9t8kspY</w:t>
      </w:r>
    </w:p>
    <w:p>
      <w:pPr>
        <w:ind w:left="357" w:hanging="357"/>
        <w:jc w:val="both"/>
      </w:pPr>
      <w:r>
        <w:rPr>
          <w:rFonts w:ascii="Cambria" w:hAnsi="Cambria"/>
          <w:sz w:val="22"/>
        </w:rPr>
        <w:t xml:space="preserve">54. </w:t>
      </w:r>
      <w:r>
        <w:rPr>
          <w:rFonts w:ascii="Cambria" w:hAnsi="Cambria"/>
          <w:sz w:val="22"/>
        </w:rPr>
        <w:t>Environmental and Green Audits in Higher Education Institutions: Aligning with NEP 2020, SDGs, NAAC, NBA, NIRF, and QS I-GAUGE, Kindle Edition, ASIN: B0FSX25SNW — https://amzn.in/d/5ZRbuMt</w:t>
      </w:r>
    </w:p>
    <w:p>
      <w:pPr>
        <w:ind w:left="357" w:hanging="357"/>
        <w:jc w:val="both"/>
      </w:pPr>
      <w:r>
        <w:rPr>
          <w:rFonts w:ascii="Cambria" w:hAnsi="Cambria"/>
          <w:sz w:val="22"/>
        </w:rPr>
        <w:t xml:space="preserve">55. </w:t>
      </w:r>
      <w:r>
        <w:rPr>
          <w:rFonts w:ascii="Cambria" w:hAnsi="Cambria"/>
          <w:sz w:val="22"/>
        </w:rPr>
        <w:t>Head of the Department (HoD) in Higher Education Institutions: Roles and Responsibilities in Academic Activities: Mapping Academic Leadership to NBA, NAAC, NIRF, and QS I-GAUGE Frameworks, Kindle Edition, ASIN: B0FSZL68RT — https://amzn.in/d/hdb0Dsf</w:t>
      </w:r>
    </w:p>
    <w:p>
      <w:pPr>
        <w:ind w:left="357" w:hanging="357"/>
        <w:jc w:val="both"/>
      </w:pPr>
      <w:r>
        <w:rPr>
          <w:rFonts w:ascii="Cambria" w:hAnsi="Cambria"/>
          <w:sz w:val="22"/>
        </w:rPr>
        <w:t xml:space="preserve">56. </w:t>
      </w:r>
      <w:r>
        <w:rPr>
          <w:rFonts w:ascii="Cambria" w:hAnsi="Cambria"/>
          <w:sz w:val="22"/>
        </w:rPr>
        <w:t>Head of the Department (HoD) in Higher Education Institutions: Roles and Responsibilities in R&amp;D Activities: Mapping R&amp;D Leadership to NBA, NAAC, NIRF, and QS I-GAUGE Frameworks, Kindle Edition, ASIN: B0FT3HSTPR — https://amzn.in/d/7R8kSFY</w:t>
      </w:r>
    </w:p>
    <w:p>
      <w:pPr>
        <w:ind w:left="357" w:hanging="357"/>
        <w:jc w:val="both"/>
      </w:pPr>
      <w:r>
        <w:rPr>
          <w:rFonts w:ascii="Cambria" w:hAnsi="Cambria"/>
          <w:sz w:val="22"/>
        </w:rPr>
        <w:t xml:space="preserve">57. </w:t>
      </w:r>
      <w:r>
        <w:rPr>
          <w:rFonts w:ascii="Cambria" w:hAnsi="Cambria"/>
          <w:sz w:val="22"/>
        </w:rPr>
        <w:t>Head of the Department (HoD) in Higher Education Institutions: Roles and Responsibilities in Industry Relations, Placements (IRP), and Consultancy Activities, Kindle Edition, ASIN: B0FT5CG3F7 — https://amzn.in/d/1NcElZa</w:t>
      </w:r>
    </w:p>
    <w:p>
      <w:pPr>
        <w:ind w:left="357" w:hanging="357"/>
        <w:jc w:val="both"/>
      </w:pPr>
      <w:r>
        <w:rPr>
          <w:rFonts w:ascii="Cambria" w:hAnsi="Cambria"/>
          <w:sz w:val="22"/>
        </w:rPr>
        <w:t xml:space="preserve">58. </w:t>
      </w:r>
      <w:r>
        <w:rPr>
          <w:rFonts w:ascii="Cambria" w:hAnsi="Cambria"/>
          <w:sz w:val="22"/>
        </w:rPr>
        <w:t>Executive and Leadership Structure of Universities: Strategic Responsibilities in Higher Education Administration in India, Kindle Edition, ASIN: B0FT626567 — https://amzn.in/d/6CmlGtm</w:t>
      </w:r>
    </w:p>
    <w:p>
      <w:pPr>
        <w:keepNext/>
        <w:spacing w:before="200" w:after="120"/>
      </w:pPr>
      <w:r>
        <w:rPr>
          <w:rFonts w:ascii="Cambria" w:hAnsi="Cambria"/>
          <w:b/>
          <w:color w:val="1F3A5F"/>
          <w:sz w:val="30"/>
        </w:rPr>
        <w:t>SDGs</w:t>
      </w:r>
    </w:p>
    <w:p>
      <w:pPr>
        <w:ind w:left="357" w:hanging="357"/>
        <w:jc w:val="both"/>
      </w:pPr>
      <w:r>
        <w:rPr>
          <w:rFonts w:ascii="Cambria" w:hAnsi="Cambria"/>
          <w:sz w:val="22"/>
        </w:rPr>
        <w:t xml:space="preserve">59. </w:t>
      </w:r>
      <w:r>
        <w:rPr>
          <w:rFonts w:ascii="Cambria" w:hAnsi="Cambria"/>
          <w:sz w:val="22"/>
        </w:rPr>
        <w:t>SDG-1: No Poverty in Higher Education Institutions: Aligning with NAAC, NIRF, NBA, and QS I-GAUGE Frameworks, Kindle Edition, ASIN: B0FRYTT6B1 — https://amzn.in/d/1oTu188</w:t>
      </w:r>
    </w:p>
    <w:p>
      <w:pPr>
        <w:ind w:left="357" w:hanging="357"/>
        <w:jc w:val="both"/>
      </w:pPr>
      <w:r>
        <w:rPr>
          <w:rFonts w:ascii="Cambria" w:hAnsi="Cambria"/>
          <w:sz w:val="22"/>
        </w:rPr>
        <w:t xml:space="preserve">60. </w:t>
      </w:r>
      <w:r>
        <w:rPr>
          <w:rFonts w:ascii="Cambria" w:hAnsi="Cambria"/>
          <w:sz w:val="22"/>
        </w:rPr>
        <w:t>SDG-2: Zero Hunger in Higher Education Institutions: Aligning with NAAC, NIRF, NBA, and QS I-GAUGE Frameworks, Kindle Edition, ASIN: B0FRYWPQ1N — https://amzn.in/d/2RlKCrz</w:t>
      </w:r>
    </w:p>
    <w:p>
      <w:pPr>
        <w:ind w:left="357" w:hanging="357"/>
        <w:jc w:val="both"/>
      </w:pPr>
      <w:r>
        <w:rPr>
          <w:rFonts w:ascii="Cambria" w:hAnsi="Cambria"/>
          <w:sz w:val="22"/>
        </w:rPr>
        <w:t xml:space="preserve">61. </w:t>
      </w:r>
      <w:r>
        <w:rPr>
          <w:rFonts w:ascii="Cambria" w:hAnsi="Cambria"/>
          <w:sz w:val="22"/>
        </w:rPr>
        <w:t>SDG-3: Good Health and Well-Being in Higher Education Institutions: Aligning with NAAC, NIRF, NBA, and QS I-GAUGE Frameworks, Kindle Edition, ASIN: B0FWJQS1DK — https://amzn.in/d/7dbK89Z</w:t>
      </w:r>
    </w:p>
    <w:p>
      <w:pPr>
        <w:ind w:left="357" w:hanging="357"/>
        <w:jc w:val="both"/>
      </w:pPr>
      <w:r>
        <w:rPr>
          <w:rFonts w:ascii="Cambria" w:hAnsi="Cambria"/>
          <w:sz w:val="22"/>
        </w:rPr>
        <w:t xml:space="preserve">62. </w:t>
      </w:r>
      <w:r>
        <w:rPr>
          <w:rFonts w:ascii="Cambria" w:hAnsi="Cambria"/>
          <w:sz w:val="22"/>
        </w:rPr>
        <w:t>SDG-4: Quality Education in Higher Education Institutions: Aligning with NAAC, NIRF, NBA, and QS I-GAUGE Frameworks, Kindle Edition, ASIN: B0FVDRFW1R — https://amzn.in/d/aRKVWFv</w:t>
      </w:r>
    </w:p>
    <w:p>
      <w:pPr>
        <w:ind w:left="357" w:hanging="357"/>
        <w:jc w:val="both"/>
      </w:pPr>
      <w:r>
        <w:rPr>
          <w:rFonts w:ascii="Cambria" w:hAnsi="Cambria"/>
          <w:sz w:val="22"/>
        </w:rPr>
        <w:t xml:space="preserve">63. </w:t>
      </w:r>
      <w:r>
        <w:rPr>
          <w:rFonts w:ascii="Cambria" w:hAnsi="Cambria"/>
          <w:sz w:val="22"/>
        </w:rPr>
        <w:t>SDG-5: Gender Equality in Higher Education Institutions: Aligning with NAAC, NIRF, NBA, and QS I-GAUGE Frameworks, Kindle Edition, ASIN: B0FVS6QH5H — https://amzn.in/d/bZdzy2n</w:t>
      </w:r>
    </w:p>
    <w:p>
      <w:pPr>
        <w:ind w:left="357" w:hanging="357"/>
        <w:jc w:val="both"/>
      </w:pPr>
      <w:r>
        <w:rPr>
          <w:rFonts w:ascii="Cambria" w:hAnsi="Cambria"/>
          <w:sz w:val="22"/>
        </w:rPr>
        <w:t xml:space="preserve">64. </w:t>
      </w:r>
      <w:r>
        <w:rPr>
          <w:rFonts w:ascii="Cambria" w:hAnsi="Cambria"/>
          <w:sz w:val="22"/>
        </w:rPr>
        <w:t>SDG-6: Clean Water and Sanitation in Higher Education Institutions: Aligning with NAAC, NIRF, NBA, and QS I-GAUGE Frameworks, Kindle Edition, ASIN: B0FSCB6SDL — https://amzn.in/d/gX6SiHT</w:t>
      </w:r>
    </w:p>
    <w:p>
      <w:pPr>
        <w:ind w:left="357" w:hanging="357"/>
        <w:jc w:val="both"/>
      </w:pPr>
      <w:r>
        <w:rPr>
          <w:rFonts w:ascii="Cambria" w:hAnsi="Cambria"/>
          <w:sz w:val="22"/>
        </w:rPr>
        <w:t xml:space="preserve">65. </w:t>
      </w:r>
      <w:r>
        <w:rPr>
          <w:rFonts w:ascii="Cambria" w:hAnsi="Cambria"/>
          <w:sz w:val="22"/>
        </w:rPr>
        <w:t>SDG-7: Affordable and Clean Energy in Higher Education Institutions: Aligning with NAAC, NIRF, NBA, and QS I-GAUGE Frameworks, Kindle Edition, ASIN: B0FS9SYXC7 — https://amzn.in/d/bErE7x8</w:t>
      </w:r>
    </w:p>
    <w:p>
      <w:pPr>
        <w:ind w:left="357" w:hanging="357"/>
        <w:jc w:val="both"/>
      </w:pPr>
      <w:r>
        <w:rPr>
          <w:rFonts w:ascii="Cambria" w:hAnsi="Cambria"/>
          <w:sz w:val="22"/>
        </w:rPr>
        <w:t xml:space="preserve">66. </w:t>
      </w:r>
      <w:r>
        <w:rPr>
          <w:rFonts w:ascii="Cambria" w:hAnsi="Cambria"/>
          <w:sz w:val="22"/>
        </w:rPr>
        <w:t>SDG-11: Sustainable Cities and Communities in Higher Education Institutions: Aligning with NAAC, NIRF, NBA, and QS I-GAUGE Frameworks, Kindle Edition, ASIN: B0FS181BL2 — https://amzn.in/d/3sv8FFT</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mbria" w:hAnsi="Cambria"/>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mbria" w:hAnsi="Cambria" w:eastAsia="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