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mbria" w:hAnsi="Cambria"/>
          <w:b/>
          <w:color w:val="FF0000"/>
          <w:sz w:val="44"/>
        </w:rPr>
        <w:t>Head of the Department (HoD) in Higher Education Institutions: A Comprehensive Framework for Faculty and Staff Management, Student Counselling, Academic Auditing, Grievance Redressal, and Departmental Governance</w:t>
      </w:r>
    </w:p>
    <w:p>
      <w:pPr>
        <w:spacing w:before="200"/>
        <w:jc w:val="center"/>
      </w:pPr>
      <w:r>
        <w:rPr>
          <w:rFonts w:ascii="Cambria" w:hAnsi="Cambria"/>
          <w:b/>
          <w:sz w:val="26"/>
        </w:rPr>
        <w:t>Aligning Departmental Leadership Practices to NBA, NAAC, NIRF, and QS I-GAUGE Quality Frameworks</w:t>
      </w:r>
    </w:p>
    <w:p/>
    <w:p/>
    <w:p/>
    <w:p>
      <w:pPr>
        <w:jc w:val="left"/>
      </w:pPr>
      <w:r>
        <w:rPr>
          <w:rFonts w:ascii="Cambria" w:hAnsi="Cambria"/>
          <w:b/>
          <w:sz w:val="24"/>
        </w:rPr>
        <w:t>Dr Venkata Rama Krishna Tottempudi</w:t>
      </w:r>
    </w:p>
    <w:p>
      <w:r>
        <w:rPr>
          <w:rFonts w:ascii="Cambria" w:hAnsi="Cambria"/>
          <w:b/>
          <w:sz w:val="24"/>
        </w:rPr>
        <w:t>Professor, Avanthi Institute of Engineering &amp; Technology</w:t>
      </w:r>
    </w:p>
    <w:p/>
    <w:p>
      <w:r>
        <w:rPr>
          <w:rFonts w:ascii="Cambria" w:hAnsi="Cambria"/>
          <w:b/>
          <w:sz w:val="24"/>
        </w:rPr>
        <w:t>Sai Saran Tottempudi</w:t>
      </w:r>
    </w:p>
    <w:p>
      <w:r>
        <w:rPr>
          <w:rFonts w:ascii="Cambria" w:hAnsi="Cambria"/>
          <w:b/>
          <w:sz w:val="24"/>
        </w:rPr>
        <w:t>Lecturer, Avanthi Institute of Engineering &amp; Technology</w:t>
      </w:r>
    </w:p>
    <w:p>
      <w:r>
        <w:br w:type="page"/>
      </w:r>
    </w:p>
    <w:p>
      <w:pPr>
        <w:keepNext/>
        <w:spacing w:before="200" w:after="160"/>
      </w:pPr>
      <w:r>
        <w:rPr>
          <w:rFonts w:ascii="Cambria" w:hAnsi="Cambria"/>
          <w:b/>
          <w:color w:val="1F3A5F"/>
          <w:sz w:val="30"/>
        </w:rPr>
        <w:t>ACKNOWLEDGEMENT</w:t>
      </w:r>
    </w:p>
    <w:p>
      <w:pPr>
        <w:jc w:val="both"/>
      </w:pPr>
      <w:r>
        <w:rPr>
          <w:rFonts w:ascii="Cambria" w:hAnsi="Cambria"/>
          <w:b w:val="0"/>
          <w:i w:val="0"/>
          <w:sz w:val="22"/>
        </w:rPr>
        <w:t>The author expresses sincere gratitude to all those who contributed to the successful completion of the work titled "Head of the Department (HoD) in Higher Education Institutions: A Comprehensive Framework for Faculty and Staff Management, Student Counselling, Academic Auditing, Grievance Redressal, and Departmental Governance." Deep appreciation is extended to academic leaders, institutional administrators, and quality assurance experts whose guidance, feedback, and insights greatly influenced the development of this framework. The author gratefully acknowledges the structured quality standards provided by NBA, NAAC, NIRF, and QS I-GAUGE, which served as guiding benchmarks for aligning departmental processes and academic governance mechanisms.</w:t>
      </w:r>
    </w:p>
    <w:p>
      <w:pPr>
        <w:jc w:val="both"/>
      </w:pPr>
      <w:r>
        <w:rPr>
          <w:rFonts w:ascii="Cambria" w:hAnsi="Cambria"/>
          <w:b w:val="0"/>
          <w:i w:val="0"/>
          <w:sz w:val="22"/>
        </w:rPr>
        <w:t>Special thanks are due to the Heads of Departments, faculty members, and IQAC coordinators from various higher education institutions for their valuable experiences, inputs, and recommendations that enriched the practical applicability of this document. The author also acknowledges the continued support and encouragement of Principals, Deans, and Institutional Quality Assurance Cells (IQACs) for fostering a culture of excellence, accountability, and continuous quality improvement within the academic ecosystem.</w:t>
      </w:r>
    </w:p>
    <w:p>
      <w:pPr>
        <w:jc w:val="both"/>
      </w:pPr>
      <w:r>
        <w:rPr>
          <w:rFonts w:ascii="Cambria" w:hAnsi="Cambria"/>
          <w:b w:val="0"/>
          <w:i w:val="0"/>
          <w:sz w:val="22"/>
        </w:rPr>
        <w:t xml:space="preserve">My heartfelt thanks to </w:t>
      </w:r>
      <w:r>
        <w:rPr>
          <w:rFonts w:ascii="Cambria" w:hAnsi="Cambria"/>
          <w:b/>
          <w:i w:val="0"/>
          <w:sz w:val="22"/>
        </w:rPr>
        <w:t>Smt. M. Gnaneshwari, Chairperson -AIET,</w:t>
      </w:r>
      <w:r>
        <w:rPr>
          <w:rFonts w:ascii="Cambria" w:hAnsi="Cambria"/>
          <w:b w:val="0"/>
          <w:i w:val="0"/>
          <w:sz w:val="22"/>
        </w:rPr>
        <w:t xml:space="preserve"> for his constant encouragement, and to </w:t>
      </w:r>
      <w:r>
        <w:rPr>
          <w:rFonts w:ascii="Cambria" w:hAnsi="Cambria"/>
          <w:b/>
          <w:i w:val="0"/>
          <w:sz w:val="22"/>
        </w:rPr>
        <w:t>Sri. M. Srinivasa Rao,</w:t>
      </w:r>
      <w:r>
        <w:rPr>
          <w:rFonts w:ascii="Cambria" w:hAnsi="Cambria"/>
          <w:b w:val="0"/>
          <w:i w:val="0"/>
          <w:sz w:val="22"/>
        </w:rPr>
        <w:t xml:space="preserve"> Ex Minister Govt. Of AP, Member of Legislative Assembly, Bheemili., for providing the necessary facilities and support to bring this book to completion.</w:t>
      </w:r>
    </w:p>
    <w:p>
      <w:pPr>
        <w:jc w:val="both"/>
      </w:pPr>
      <w:r>
        <w:rPr>
          <w:rFonts w:ascii="Cambria" w:hAnsi="Cambria"/>
          <w:b w:val="0"/>
          <w:i w:val="0"/>
          <w:sz w:val="22"/>
        </w:rPr>
        <w:t xml:space="preserve">In addition, I gratefully acknowledge the support of </w:t>
      </w:r>
      <w:r>
        <w:rPr>
          <w:rFonts w:ascii="Cambria" w:hAnsi="Cambria"/>
          <w:b/>
          <w:i w:val="0"/>
          <w:sz w:val="22"/>
        </w:rPr>
        <w:t>Dr. A.Chandra Sekhar and  Dr.B.Murali Krishna</w:t>
      </w:r>
      <w:r>
        <w:rPr>
          <w:rFonts w:ascii="Cambria" w:hAnsi="Cambria"/>
          <w:b w:val="0"/>
          <w:i w:val="0"/>
          <w:sz w:val="22"/>
        </w:rPr>
        <w:t>, whose contributions have been invaluable.</w:t>
      </w:r>
    </w:p>
    <w:p>
      <w:pPr>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p>
      <w:r>
        <w:rPr>
          <w:rFonts w:ascii="Cambria" w:hAnsi="Cambria"/>
          <w:b/>
          <w:i w:val="0"/>
          <w:sz w:val="22"/>
        </w:rPr>
        <w:t>Dr. V. Rama Krishna Tottempudi</w:t>
      </w:r>
    </w:p>
    <w:p>
      <w:r>
        <w:rPr>
          <w:rFonts w:ascii="Cambria" w:hAnsi="Cambria"/>
          <w:b/>
          <w:i w:val="0"/>
          <w:sz w:val="22"/>
        </w:rPr>
        <w:t>Sai Saran Tottempudi</w:t>
      </w:r>
    </w:p>
    <w:p/>
    <w:p>
      <w:pPr>
        <w:keepNext/>
        <w:spacing w:before="200" w:after="160"/>
      </w:pPr>
      <w:r>
        <w:rPr>
          <w:rFonts w:ascii="Cambria" w:hAnsi="Cambria"/>
          <w:b/>
          <w:color w:val="1F3A5F"/>
          <w:sz w:val="30"/>
        </w:rPr>
        <w:t>About Dr. T. V. Rama Krishna</w:t>
      </w:r>
    </w:p>
    <w:p>
      <w:pPr>
        <w:jc w:val="both"/>
      </w:pPr>
      <w:r>
        <w:rPr>
          <w:rFonts w:ascii="Cambria" w:hAnsi="Cambria"/>
          <w:b w:val="0"/>
          <w:i w:val="0"/>
          <w:sz w:val="22"/>
        </w:rPr>
        <w:t>Dr. T. V. Rama Krishna is a distinguished academician, researcher, and administrator with 25 years of teaching experience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jc w:val="both"/>
      </w:pPr>
      <w:r>
        <w:rPr>
          <w:rFonts w:ascii="Cambria" w:hAnsi="Cambria"/>
          <w:b w:val="0"/>
          <w:i w:val="0"/>
          <w:sz w:val="22"/>
        </w:rPr>
        <w:t>He has successfully guided 5 Ph.D. scholars and continues to serve as a recognized research supervisor at Andhra University, JNTU Ananthapuram, Koneru Lakshmaiah Education Foundation (KLEF) University, and Sri Chandrasekharendra Saraswathi Viswa Mahavidyalaya University. His supervision has fostered high-quality research outcomes in engineering, technology, and applied sciences.</w:t>
      </w:r>
    </w:p>
    <w:p>
      <w:pPr>
        <w:jc w:val="both"/>
      </w:pPr>
      <w:r>
        <w:rPr>
          <w:rFonts w:ascii="Cambria" w:hAnsi="Cambria"/>
          <w:b w:val="0"/>
          <w:i w:val="0"/>
          <w:sz w:val="22"/>
        </w:rPr>
        <w:t>Dr. Rama Krishna is a prolific researcher with an extensive publication record of 97 research papers, including 50 indexed in Scopus and 3 in SCI journals. His research expertise is widely recognized, and his profile can be accessed here: Scopus Author ID – 56397099300.</w:t>
      </w:r>
    </w:p>
    <w:p>
      <w:pPr>
        <w:jc w:val="both"/>
      </w:pPr>
      <w:r>
        <w:rPr>
          <w:rFonts w:ascii="Cambria" w:hAnsi="Cambria"/>
          <w:b w:val="0"/>
          <w:i w:val="0"/>
          <w:sz w:val="22"/>
        </w:rPr>
        <w:t>Dr. T. V. Rama Krishna has held several distinguished academic and administrative positions across reputed institutions in Andhra Pradesh and Telangana. At Sanketika Vidya Parishad Engineering College (SVPEC), he served as the Ratified Principal from Andhra University, where he also took on responsibilities as Dean of Academics, Ratified Professor, and Member Secretary of the Governing Body, a statutory body under UGC. He later contributed as the Ratified Principal from JNTU, Hyderabad at Bharat Institute of Engineering and Technology (BIET), where his primary duties included serving as Dean of Academics and Member Secretary of the Governing Body.</w:t>
      </w:r>
    </w:p>
    <w:p>
      <w:pPr>
        <w:jc w:val="both"/>
      </w:pPr>
      <w:r>
        <w:rPr>
          <w:rFonts w:ascii="Cambria" w:hAnsi="Cambria"/>
          <w:b w:val="0"/>
          <w:i w:val="0"/>
          <w:sz w:val="22"/>
        </w:rPr>
        <w:t>At Sasi Institute of Technology and Engineering (SITE), he functioned as a Ratified Professor from JNTUK, Kakinada, while also serving as Principal and Dean of Academics. His statutory and governance roles at SITE included Governing Body Member, Academic Council Member Secretary, BoS Member, Finance Committee Coordinator, Planning &amp; Development Committee Coordinator, NAAC Coordinator, IQAC Coordinator, and NBA Coordinator, reflecting his extensive expertise in quality assurance and institutional governance.</w:t>
      </w:r>
    </w:p>
    <w:p>
      <w:pPr>
        <w:jc w:val="both"/>
      </w:pPr>
      <w:r>
        <w:rPr>
          <w:rFonts w:ascii="Cambria" w:hAnsi="Cambria"/>
          <w:b w:val="0"/>
          <w:i w:val="0"/>
          <w:sz w:val="22"/>
        </w:rPr>
        <w:t>At Koneru Lakshmaiah College of Engineering (KLCE) / KLEF University, Dr. Rama Krishna contributed as a Ratified Professor, Director of e-Resources, Associate Dean of Academics, and Associate Dean of Library Resources &amp; Technical Services and Certificate Courses. Additionally, he served as Professor In-Charge of Certificate Courses and the Central Library, while also holding statutory roles as Academic Council Member and BoS Member under UGC guidelines.</w:t>
      </w:r>
    </w:p>
    <w:p>
      <w:pPr>
        <w:jc w:val="both"/>
      </w:pPr>
      <w:r>
        <w:rPr>
          <w:rFonts w:ascii="Cambria" w:hAnsi="Cambria"/>
          <w:b w:val="0"/>
          <w:i w:val="0"/>
          <w:sz w:val="22"/>
        </w:rPr>
        <w:t>Earlier in his career, at R.V.R. &amp; J.C. College of Engineering, he was ratified as an Assistant Professor and subsequently promoted to Associate Professor under Acharya Nagarjuna University. During this period, he also served as NBA Criterion 7 In-Charge, focusing on infrastructure, facilities, and sustainability in accreditation processes.</w:t>
      </w:r>
    </w:p>
    <w:p>
      <w:pPr>
        <w:jc w:val="both"/>
      </w:pPr>
      <w:r>
        <w:rPr>
          <w:rFonts w:ascii="Cambria" w:hAnsi="Cambria"/>
          <w:b w:val="0"/>
          <w:i w:val="0"/>
          <w:sz w:val="22"/>
        </w:rPr>
        <w:t>With his 25 years of teaching, 5 awarded Ph.D.s, 97 publications,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r>
        <w:br w:type="page"/>
      </w:r>
    </w:p>
    <w:p>
      <w:pPr>
        <w:keepNext/>
        <w:spacing w:before="200" w:after="160"/>
      </w:pPr>
      <w:r>
        <w:rPr>
          <w:rFonts w:ascii="Cambria" w:hAnsi="Cambria"/>
          <w:b/>
          <w:color w:val="1F3A5F"/>
          <w:sz w:val="30"/>
        </w:rPr>
        <w:t>Abstract</w:t>
      </w:r>
    </w:p>
    <w:p>
      <w:pPr>
        <w:jc w:val="both"/>
      </w:pPr>
      <w:r>
        <w:rPr>
          <w:rFonts w:ascii="Cambria" w:hAnsi="Cambria"/>
          <w:b w:val="0"/>
          <w:i w:val="0"/>
          <w:sz w:val="22"/>
        </w:rPr>
        <w:t>The role of the Head of the Department (HoD) in higher education institutions is pivotal to achieving academic excellence, administrative efficiency, and institutional quality assurance. This comprehensive framework outlines the multifaceted responsibilities of HoDs in areas such as faculty and staff management, student counselling, academic and administrative auditing, grievance redressal, and digital departmental governance. By integrating structured procedures, monitoring mechanisms, and reporting systems, the framework aims to strengthen transparency, accountability, and continuous improvement at the departmental level.</w:t>
      </w:r>
    </w:p>
    <w:p>
      <w:pPr>
        <w:jc w:val="both"/>
      </w:pPr>
      <w:r>
        <w:rPr>
          <w:rFonts w:ascii="Cambria" w:hAnsi="Cambria"/>
          <w:b w:val="0"/>
          <w:i w:val="0"/>
          <w:sz w:val="22"/>
        </w:rPr>
        <w:t>The document emphasizes the HoD's leadership role in planning faculty resources, managing workload, mentoring students, conducting academic audits, and ensuring the effective functioning of grievance mechanisms and feedback systems. It also highlights the importance of maintaining and updating the department website as a tool for transparency and stakeholder engagement. The framework aligns closely with national and international quality assurance systems including NBA, NAAC, NIRF, and QS I-GAUGE, ensuring that departmental operations are consistent with outcome-based education (OBE) principles and institutional benchmarking standards.</w:t>
      </w:r>
    </w:p>
    <w:p>
      <w:pPr>
        <w:jc w:val="both"/>
      </w:pPr>
      <w:r>
        <w:rPr>
          <w:rFonts w:ascii="Cambria" w:hAnsi="Cambria"/>
          <w:b w:val="0"/>
          <w:i w:val="0"/>
          <w:sz w:val="22"/>
        </w:rPr>
        <w:t>Through a systematic approach to documentation, performance evaluation, and continuous quality improvement (CQI), this framework provides a standardized guide for Heads of Departments to manage academic, administrative, and student-centric functions efficiently. Ultimately, it aims to empower HoDs to act as transformational academic leaders, fostering excellence, innovation, and integrity within their departments while contributing meaningfully to the overall vision and mission of the institution.</w:t>
      </w:r>
    </w:p>
    <w:p>
      <w:r>
        <w:br w:type="page"/>
      </w:r>
    </w:p>
    <w:p>
      <w:pPr>
        <w:keepNext/>
        <w:spacing w:before="200" w:after="160"/>
      </w:pPr>
      <w:r>
        <w:rPr>
          <w:rFonts w:ascii="Cambria" w:hAnsi="Cambria"/>
          <w:b/>
          <w:color w:val="1F3A5F"/>
          <w:sz w:val="30"/>
        </w:rPr>
        <w:t>Table of Contents</w:t>
      </w:r>
    </w:p>
    <w:tbl>
      <w:tblPr>
        <w:tblW w:type="auto" w:w="0"/>
        <w:jc w:val="center"/>
        <w:tblLayout w:type="fixed"/>
        <w:tblLook w:firstColumn="1" w:firstRow="1" w:lastColumn="0" w:lastRow="0" w:noHBand="0" w:noVBand="1" w:val="04A0"/>
        <w:tblW w:w="9412" w:type="dxa"/>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 No</w:t>
            </w:r>
          </w:p>
        </w:tc>
        <w:tc>
          <w:tcPr>
            <w:tcW w:type="dxa" w:w="7540"/>
            <w:shd w:val="clear" w:color="auto" w:fill="1F3A5F"/>
            <w:tcW w:w="7541" w:type="dxa"/>
          </w:tcPr>
          <w:p>
            <w:pPr>
              <w:jc w:val="center"/>
            </w:pPr>
            <w:r/>
            <w:r>
              <w:rPr>
                <w:rFonts w:ascii="Cambria" w:hAnsi="Cambria"/>
                <w:b/>
                <w:color w:val="FFFFFF"/>
                <w:sz w:val="22"/>
              </w:rPr>
              <w:t>Content</w:t>
            </w:r>
          </w:p>
        </w:tc>
        <w:tc>
          <w:tcPr>
            <w:tcW w:type="dxa" w:w="1020"/>
            <w:shd w:val="clear" w:color="auto" w:fill="1F3A5F"/>
            <w:tcW w:w="1020" w:type="dxa"/>
          </w:tcPr>
          <w:p>
            <w:pPr>
              <w:jc w:val="center"/>
            </w:pPr>
            <w:r/>
            <w:r>
              <w:rPr>
                <w:rFonts w:ascii="Cambria" w:hAnsi="Cambria"/>
                <w:b/>
                <w:color w:val="FFFFFF"/>
                <w:sz w:val="22"/>
              </w:rPr>
              <w:t>Pg. No</w:t>
            </w:r>
          </w:p>
        </w:tc>
      </w:tr>
      <w:tr>
        <w:tc>
          <w:tcPr>
            <w:tcW w:type="dxa" w:w="850"/>
            <w:tcW w:w="850" w:type="dxa"/>
          </w:tcPr>
          <w:p>
            <w:pPr>
              <w:jc w:val="center"/>
            </w:pPr>
            <w:r/>
            <w:r>
              <w:rPr>
                <w:rFonts w:ascii="Cambria" w:hAnsi="Cambria"/>
                <w:b w:val="0"/>
                <w:sz w:val="21"/>
              </w:rPr>
              <w:t>1</w:t>
            </w:r>
          </w:p>
        </w:tc>
        <w:tc>
          <w:tcPr>
            <w:tcW w:type="dxa" w:w="7540"/>
            <w:tcW w:w="7541" w:type="dxa"/>
          </w:tcPr>
          <w:p>
            <w:r/>
            <w:r>
              <w:rPr>
                <w:rFonts w:ascii="Cambria" w:hAnsi="Cambria"/>
                <w:b w:val="0"/>
                <w:sz w:val="21"/>
              </w:rPr>
              <w:t>Introduction</w:t>
            </w:r>
          </w:p>
        </w:tc>
        <w:tc>
          <w:tcPr>
            <w:tcW w:type="dxa" w:w="1020"/>
            <w:tcW w:w="1020" w:type="dxa"/>
          </w:tcPr>
          <w:p>
            <w:r/>
            <w:r>
              <w:rPr>
                <w:rFonts w:ascii="Cambria" w:hAnsi="Cambria"/>
                <w:b w:val="0"/>
                <w:sz w:val="21"/>
              </w:rPr>
              <w:t>01</w:t>
            </w:r>
          </w:p>
        </w:tc>
      </w:tr>
      <w:tr>
        <w:tc>
          <w:tcPr>
            <w:tcW w:type="dxa" w:w="850"/>
            <w:tcW w:w="850" w:type="dxa"/>
            <w:shd w:val="clear" w:color="auto" w:fill="EDF2F8"/>
          </w:tcPr>
          <w:p>
            <w:pPr>
              <w:jc w:val="center"/>
            </w:pPr>
            <w:r/>
            <w:r>
              <w:rPr>
                <w:rFonts w:ascii="Cambria" w:hAnsi="Cambria"/>
                <w:b w:val="0"/>
                <w:sz w:val="21"/>
              </w:rPr>
              <w:t>2</w:t>
            </w:r>
          </w:p>
        </w:tc>
        <w:tc>
          <w:tcPr>
            <w:tcW w:type="dxa" w:w="7540"/>
            <w:tcW w:w="7541" w:type="dxa"/>
            <w:shd w:val="clear" w:color="auto" w:fill="EDF2F8"/>
          </w:tcPr>
          <w:p>
            <w:r/>
            <w:r>
              <w:rPr>
                <w:rFonts w:ascii="Cambria" w:hAnsi="Cambria"/>
                <w:b w:val="0"/>
                <w:sz w:val="21"/>
              </w:rPr>
              <w:t>Responsibilities of Head of Department (HoD) Related to Faculty and Staff</w:t>
            </w:r>
          </w:p>
        </w:tc>
        <w:tc>
          <w:tcPr>
            <w:tcW w:type="dxa" w:w="1020"/>
            <w:tcW w:w="1020" w:type="dxa"/>
            <w:shd w:val="clear" w:color="auto" w:fill="EDF2F8"/>
          </w:tcPr>
          <w:p>
            <w:r/>
            <w:r>
              <w:rPr>
                <w:rFonts w:ascii="Cambria" w:hAnsi="Cambria"/>
                <w:b w:val="0"/>
                <w:sz w:val="21"/>
              </w:rPr>
              <w:t>04</w:t>
            </w:r>
          </w:p>
        </w:tc>
      </w:tr>
      <w:tr>
        <w:tc>
          <w:tcPr>
            <w:tcW w:type="dxa" w:w="850"/>
            <w:tcW w:w="850" w:type="dxa"/>
          </w:tcPr>
          <w:p>
            <w:pPr>
              <w:jc w:val="center"/>
            </w:pPr>
            <w:r/>
            <w:r>
              <w:rPr>
                <w:rFonts w:ascii="Cambria" w:hAnsi="Cambria"/>
                <w:b w:val="0"/>
                <w:sz w:val="21"/>
              </w:rPr>
              <w:t>3</w:t>
            </w:r>
          </w:p>
        </w:tc>
        <w:tc>
          <w:tcPr>
            <w:tcW w:type="dxa" w:w="7540"/>
            <w:tcW w:w="7541" w:type="dxa"/>
          </w:tcPr>
          <w:p>
            <w:r/>
            <w:r>
              <w:rPr>
                <w:rFonts w:ascii="Cambria" w:hAnsi="Cambria"/>
                <w:b w:val="0"/>
                <w:sz w:val="21"/>
              </w:rPr>
              <w:t>Responsibilities of Head of Department (HoD) Related to Counselling</w:t>
            </w:r>
          </w:p>
        </w:tc>
        <w:tc>
          <w:tcPr>
            <w:tcW w:type="dxa" w:w="1020"/>
            <w:tcW w:w="1020" w:type="dxa"/>
          </w:tcPr>
          <w:p>
            <w:r/>
            <w:r>
              <w:rPr>
                <w:rFonts w:ascii="Cambria" w:hAnsi="Cambria"/>
                <w:b w:val="0"/>
                <w:sz w:val="21"/>
              </w:rPr>
              <w:t>18</w:t>
            </w:r>
          </w:p>
        </w:tc>
      </w:tr>
      <w:tr>
        <w:tc>
          <w:tcPr>
            <w:tcW w:type="dxa" w:w="850"/>
            <w:tcW w:w="850" w:type="dxa"/>
            <w:shd w:val="clear" w:color="auto" w:fill="EDF2F8"/>
          </w:tcPr>
          <w:p>
            <w:pPr>
              <w:jc w:val="center"/>
            </w:pPr>
            <w:r/>
            <w:r>
              <w:rPr>
                <w:rFonts w:ascii="Cambria" w:hAnsi="Cambria"/>
                <w:b w:val="0"/>
                <w:sz w:val="21"/>
              </w:rPr>
              <w:t>4</w:t>
            </w:r>
          </w:p>
        </w:tc>
        <w:tc>
          <w:tcPr>
            <w:tcW w:type="dxa" w:w="7540"/>
            <w:tcW w:w="7541" w:type="dxa"/>
            <w:shd w:val="clear" w:color="auto" w:fill="EDF2F8"/>
          </w:tcPr>
          <w:p>
            <w:r/>
            <w:r>
              <w:rPr>
                <w:rFonts w:ascii="Cambria" w:hAnsi="Cambria"/>
                <w:b w:val="0"/>
                <w:sz w:val="21"/>
              </w:rPr>
              <w:t>Responsibilities of Head of Department (HoD) Related to Students</w:t>
            </w:r>
          </w:p>
        </w:tc>
        <w:tc>
          <w:tcPr>
            <w:tcW w:type="dxa" w:w="1020"/>
            <w:tcW w:w="1020" w:type="dxa"/>
            <w:shd w:val="clear" w:color="auto" w:fill="EDF2F8"/>
          </w:tcPr>
          <w:p>
            <w:r/>
            <w:r>
              <w:rPr>
                <w:rFonts w:ascii="Cambria" w:hAnsi="Cambria"/>
                <w:b w:val="0"/>
                <w:sz w:val="21"/>
              </w:rPr>
              <w:t>26</w:t>
            </w:r>
          </w:p>
        </w:tc>
      </w:tr>
      <w:tr>
        <w:tc>
          <w:tcPr>
            <w:tcW w:type="dxa" w:w="850"/>
            <w:tcW w:w="850" w:type="dxa"/>
          </w:tcPr>
          <w:p>
            <w:pPr>
              <w:jc w:val="center"/>
            </w:pPr>
            <w:r/>
            <w:r>
              <w:rPr>
                <w:rFonts w:ascii="Cambria" w:hAnsi="Cambria"/>
                <w:b w:val="0"/>
                <w:sz w:val="21"/>
              </w:rPr>
              <w:t>5</w:t>
            </w:r>
          </w:p>
        </w:tc>
        <w:tc>
          <w:tcPr>
            <w:tcW w:type="dxa" w:w="7540"/>
            <w:tcW w:w="7541" w:type="dxa"/>
          </w:tcPr>
          <w:p>
            <w:r/>
            <w:r>
              <w:rPr>
                <w:rFonts w:ascii="Cambria" w:hAnsi="Cambria"/>
                <w:b w:val="0"/>
                <w:sz w:val="21"/>
              </w:rPr>
              <w:t>Section-Wise Student Interaction and Problem Resolution Report</w:t>
            </w:r>
          </w:p>
        </w:tc>
        <w:tc>
          <w:tcPr>
            <w:tcW w:type="dxa" w:w="1020"/>
            <w:tcW w:w="1020" w:type="dxa"/>
          </w:tcPr>
          <w:p>
            <w:r/>
            <w:r>
              <w:rPr>
                <w:rFonts w:ascii="Cambria" w:hAnsi="Cambria"/>
                <w:b w:val="0"/>
                <w:sz w:val="21"/>
              </w:rPr>
              <w:t>35</w:t>
            </w:r>
          </w:p>
        </w:tc>
      </w:tr>
      <w:tr>
        <w:tc>
          <w:tcPr>
            <w:tcW w:type="dxa" w:w="850"/>
            <w:tcW w:w="850" w:type="dxa"/>
            <w:shd w:val="clear" w:color="auto" w:fill="EDF2F8"/>
          </w:tcPr>
          <w:p>
            <w:pPr>
              <w:jc w:val="center"/>
            </w:pPr>
            <w:r/>
            <w:r>
              <w:rPr>
                <w:rFonts w:ascii="Cambria" w:hAnsi="Cambria"/>
                <w:b w:val="0"/>
                <w:sz w:val="21"/>
              </w:rPr>
              <w:t>6</w:t>
            </w:r>
          </w:p>
        </w:tc>
        <w:tc>
          <w:tcPr>
            <w:tcW w:type="dxa" w:w="7540"/>
            <w:tcW w:w="7541" w:type="dxa"/>
            <w:shd w:val="clear" w:color="auto" w:fill="EDF2F8"/>
          </w:tcPr>
          <w:p>
            <w:r/>
            <w:r>
              <w:rPr>
                <w:rFonts w:ascii="Cambria" w:hAnsi="Cambria"/>
                <w:b w:val="0"/>
                <w:sz w:val="21"/>
              </w:rPr>
              <w:t>Responsibilities of Head of Department (HoD) Related to Suggestion–Complaints Book</w:t>
            </w:r>
          </w:p>
        </w:tc>
        <w:tc>
          <w:tcPr>
            <w:tcW w:type="dxa" w:w="1020"/>
            <w:tcW w:w="1020" w:type="dxa"/>
            <w:shd w:val="clear" w:color="auto" w:fill="EDF2F8"/>
          </w:tcPr>
          <w:p>
            <w:r/>
            <w:r>
              <w:rPr>
                <w:rFonts w:ascii="Cambria" w:hAnsi="Cambria"/>
                <w:b w:val="0"/>
                <w:sz w:val="21"/>
              </w:rPr>
              <w:t>37</w:t>
            </w:r>
          </w:p>
        </w:tc>
      </w:tr>
      <w:tr>
        <w:tc>
          <w:tcPr>
            <w:tcW w:type="dxa" w:w="850"/>
            <w:tcW w:w="850" w:type="dxa"/>
          </w:tcPr>
          <w:p>
            <w:pPr>
              <w:jc w:val="center"/>
            </w:pPr>
            <w:r/>
            <w:r>
              <w:rPr>
                <w:rFonts w:ascii="Cambria" w:hAnsi="Cambria"/>
                <w:b w:val="0"/>
                <w:sz w:val="21"/>
              </w:rPr>
              <w:t>7</w:t>
            </w:r>
          </w:p>
        </w:tc>
        <w:tc>
          <w:tcPr>
            <w:tcW w:type="dxa" w:w="7540"/>
            <w:tcW w:w="7541" w:type="dxa"/>
          </w:tcPr>
          <w:p>
            <w:r/>
            <w:r>
              <w:rPr>
                <w:rFonts w:ascii="Cambria" w:hAnsi="Cambria"/>
                <w:b w:val="0"/>
                <w:sz w:val="21"/>
              </w:rPr>
              <w:t>Responsibilities of Head of Department (HoD) Related to Suggestion–Complaints Book: Escalation and Resolution Process</w:t>
            </w:r>
          </w:p>
        </w:tc>
        <w:tc>
          <w:tcPr>
            <w:tcW w:type="dxa" w:w="1020"/>
            <w:tcW w:w="1020" w:type="dxa"/>
          </w:tcPr>
          <w:p>
            <w:r/>
            <w:r>
              <w:rPr>
                <w:rFonts w:ascii="Cambria" w:hAnsi="Cambria"/>
                <w:b w:val="0"/>
                <w:sz w:val="21"/>
              </w:rPr>
              <w:t>39</w:t>
            </w:r>
          </w:p>
        </w:tc>
      </w:tr>
      <w:tr>
        <w:tc>
          <w:tcPr>
            <w:tcW w:type="dxa" w:w="850"/>
            <w:tcW w:w="850" w:type="dxa"/>
            <w:shd w:val="clear" w:color="auto" w:fill="EDF2F8"/>
          </w:tcPr>
          <w:p>
            <w:pPr>
              <w:jc w:val="center"/>
            </w:pPr>
            <w:r/>
            <w:r>
              <w:rPr>
                <w:rFonts w:ascii="Cambria" w:hAnsi="Cambria"/>
                <w:b w:val="0"/>
                <w:sz w:val="21"/>
              </w:rPr>
              <w:t>8</w:t>
            </w:r>
          </w:p>
        </w:tc>
        <w:tc>
          <w:tcPr>
            <w:tcW w:type="dxa" w:w="7540"/>
            <w:tcW w:w="7541" w:type="dxa"/>
            <w:shd w:val="clear" w:color="auto" w:fill="EDF2F8"/>
          </w:tcPr>
          <w:p>
            <w:r/>
            <w:r>
              <w:rPr>
                <w:rFonts w:ascii="Cambria" w:hAnsi="Cambria"/>
                <w:b w:val="0"/>
                <w:sz w:val="21"/>
              </w:rPr>
              <w:t>Responsibilities of Head of Department (HoD) Related to Suggestion–Complaints Book: Quarterly Reporting to the Principal</w:t>
            </w:r>
          </w:p>
        </w:tc>
        <w:tc>
          <w:tcPr>
            <w:tcW w:type="dxa" w:w="1020"/>
            <w:tcW w:w="1020" w:type="dxa"/>
            <w:shd w:val="clear" w:color="auto" w:fill="EDF2F8"/>
          </w:tcPr>
          <w:p>
            <w:r/>
            <w:r>
              <w:rPr>
                <w:rFonts w:ascii="Cambria" w:hAnsi="Cambria"/>
                <w:b w:val="0"/>
                <w:sz w:val="21"/>
              </w:rPr>
              <w:t>41</w:t>
            </w:r>
          </w:p>
        </w:tc>
      </w:tr>
      <w:tr>
        <w:tc>
          <w:tcPr>
            <w:tcW w:type="dxa" w:w="850"/>
            <w:tcW w:w="850" w:type="dxa"/>
          </w:tcPr>
          <w:p>
            <w:pPr>
              <w:jc w:val="center"/>
            </w:pPr>
            <w:r/>
            <w:r>
              <w:rPr>
                <w:rFonts w:ascii="Cambria" w:hAnsi="Cambria"/>
                <w:b w:val="0"/>
                <w:sz w:val="21"/>
              </w:rPr>
              <w:t>9</w:t>
            </w:r>
          </w:p>
        </w:tc>
        <w:tc>
          <w:tcPr>
            <w:tcW w:type="dxa" w:w="7540"/>
            <w:tcW w:w="7541" w:type="dxa"/>
          </w:tcPr>
          <w:p>
            <w:r/>
            <w:r>
              <w:rPr>
                <w:rFonts w:ascii="Cambria" w:hAnsi="Cambria"/>
                <w:b w:val="0"/>
                <w:sz w:val="21"/>
              </w:rPr>
              <w:t>Responsibilities of Head of Department (HoD) Related to Academic &amp; Administrative Audit</w:t>
            </w:r>
          </w:p>
        </w:tc>
        <w:tc>
          <w:tcPr>
            <w:tcW w:type="dxa" w:w="1020"/>
            <w:tcW w:w="1020" w:type="dxa"/>
          </w:tcPr>
          <w:p>
            <w:r/>
            <w:r>
              <w:rPr>
                <w:rFonts w:ascii="Cambria" w:hAnsi="Cambria"/>
                <w:b w:val="0"/>
                <w:sz w:val="21"/>
              </w:rPr>
              <w:t>43</w:t>
            </w:r>
          </w:p>
        </w:tc>
      </w:tr>
      <w:tr>
        <w:tc>
          <w:tcPr>
            <w:tcW w:type="dxa" w:w="850"/>
            <w:tcW w:w="850" w:type="dxa"/>
            <w:shd w:val="clear" w:color="auto" w:fill="EDF2F8"/>
          </w:tcPr>
          <w:p>
            <w:pPr>
              <w:jc w:val="center"/>
            </w:pPr>
            <w:r/>
            <w:r>
              <w:rPr>
                <w:rFonts w:ascii="Cambria" w:hAnsi="Cambria"/>
                <w:b w:val="0"/>
                <w:sz w:val="21"/>
              </w:rPr>
              <w:t>10</w:t>
            </w:r>
          </w:p>
        </w:tc>
        <w:tc>
          <w:tcPr>
            <w:tcW w:type="dxa" w:w="7540"/>
            <w:tcW w:w="7541" w:type="dxa"/>
            <w:shd w:val="clear" w:color="auto" w:fill="EDF2F8"/>
          </w:tcPr>
          <w:p>
            <w:r/>
            <w:r>
              <w:rPr>
                <w:rFonts w:ascii="Cambria" w:hAnsi="Cambria"/>
                <w:b w:val="0"/>
                <w:sz w:val="21"/>
              </w:rPr>
              <w:t>Responsibilities of Head of Department (HoD) Related to Academic &amp; Administrative Audit: Monthly Reporting to the Principal</w:t>
            </w:r>
          </w:p>
        </w:tc>
        <w:tc>
          <w:tcPr>
            <w:tcW w:type="dxa" w:w="1020"/>
            <w:tcW w:w="1020" w:type="dxa"/>
            <w:shd w:val="clear" w:color="auto" w:fill="EDF2F8"/>
          </w:tcPr>
          <w:p>
            <w:r/>
            <w:r>
              <w:rPr>
                <w:rFonts w:ascii="Cambria" w:hAnsi="Cambria"/>
                <w:b w:val="0"/>
                <w:sz w:val="21"/>
              </w:rPr>
              <w:t>45</w:t>
            </w:r>
          </w:p>
        </w:tc>
      </w:tr>
      <w:tr>
        <w:tc>
          <w:tcPr>
            <w:tcW w:type="dxa" w:w="850"/>
            <w:tcW w:w="850" w:type="dxa"/>
          </w:tcPr>
          <w:p>
            <w:pPr>
              <w:jc w:val="center"/>
            </w:pPr>
            <w:r/>
            <w:r>
              <w:rPr>
                <w:rFonts w:ascii="Cambria" w:hAnsi="Cambria"/>
                <w:b w:val="0"/>
                <w:sz w:val="21"/>
              </w:rPr>
              <w:t>11</w:t>
            </w:r>
          </w:p>
        </w:tc>
        <w:tc>
          <w:tcPr>
            <w:tcW w:type="dxa" w:w="7540"/>
            <w:tcW w:w="7541" w:type="dxa"/>
          </w:tcPr>
          <w:p>
            <w:r/>
            <w:r>
              <w:rPr>
                <w:rFonts w:ascii="Cambria" w:hAnsi="Cambria"/>
                <w:b w:val="0"/>
                <w:sz w:val="21"/>
              </w:rPr>
              <w:t>Responsibilities of Head of Department (HoD) Related to Monitoring Through Department Website</w:t>
            </w:r>
          </w:p>
        </w:tc>
        <w:tc>
          <w:tcPr>
            <w:tcW w:type="dxa" w:w="1020"/>
            <w:tcW w:w="1020" w:type="dxa"/>
          </w:tcPr>
          <w:p>
            <w:r/>
            <w:r>
              <w:rPr>
                <w:rFonts w:ascii="Cambria" w:hAnsi="Cambria"/>
                <w:b w:val="0"/>
                <w:sz w:val="21"/>
              </w:rPr>
              <w:t>47</w:t>
            </w:r>
          </w:p>
        </w:tc>
      </w:tr>
      <w:tr>
        <w:tc>
          <w:tcPr>
            <w:tcW w:type="dxa" w:w="850"/>
            <w:tcW w:w="850" w:type="dxa"/>
            <w:shd w:val="clear" w:color="auto" w:fill="EDF2F8"/>
          </w:tcPr>
          <w:p>
            <w:pPr>
              <w:jc w:val="center"/>
            </w:pPr>
            <w:r/>
            <w:r>
              <w:rPr>
                <w:rFonts w:ascii="Cambria" w:hAnsi="Cambria"/>
                <w:b w:val="0"/>
                <w:sz w:val="21"/>
              </w:rPr>
              <w:t>12</w:t>
            </w:r>
          </w:p>
        </w:tc>
        <w:tc>
          <w:tcPr>
            <w:tcW w:type="dxa" w:w="7540"/>
            <w:tcW w:w="7541" w:type="dxa"/>
            <w:shd w:val="clear" w:color="auto" w:fill="EDF2F8"/>
          </w:tcPr>
          <w:p>
            <w:r/>
            <w:r>
              <w:rPr>
                <w:rFonts w:ascii="Cambria" w:hAnsi="Cambria"/>
                <w:b w:val="0"/>
                <w:sz w:val="21"/>
              </w:rPr>
              <w:t>References</w:t>
            </w:r>
          </w:p>
        </w:tc>
        <w:tc>
          <w:tcPr>
            <w:tcW w:type="dxa" w:w="1020"/>
            <w:tcW w:w="1020" w:type="dxa"/>
            <w:shd w:val="clear" w:color="auto" w:fill="EDF2F8"/>
          </w:tcPr>
          <w:p>
            <w:r/>
            <w:r>
              <w:rPr>
                <w:rFonts w:ascii="Cambria" w:hAnsi="Cambria"/>
                <w:b w:val="0"/>
                <w:sz w:val="21"/>
              </w:rPr>
              <w:t>51</w:t>
            </w:r>
          </w:p>
        </w:tc>
      </w:tr>
    </w:tbl>
    <w:p>
      <w:r>
        <w:br w:type="page"/>
      </w:r>
    </w:p>
    <w:p>
      <w:pPr>
        <w:keepNext/>
        <w:spacing w:before="280" w:after="160"/>
      </w:pPr>
      <w:r>
        <w:rPr>
          <w:rFonts w:ascii="Cambria" w:hAnsi="Cambria"/>
          <w:b/>
          <w:color w:val="1F3A5F"/>
          <w:sz w:val="36"/>
        </w:rPr>
        <w:t>1. Introduction</w:t>
      </w:r>
    </w:p>
    <w:p>
      <w:pPr>
        <w:jc w:val="both"/>
      </w:pPr>
      <w:r>
        <w:rPr>
          <w:rFonts w:ascii="Cambria" w:hAnsi="Cambria"/>
          <w:b w:val="0"/>
          <w:i w:val="0"/>
          <w:sz w:val="22"/>
        </w:rPr>
        <w:t>The Head of the Department (HoD) holds a central and transformative position within any higher education institution (HEI). As the academic and administrative leader, the HoD acts as a bridge between the institutional vision and the operational realities of teaching, learning, research, and governance at the departmental level. This role demands a balance of leadership, coordination, and strategic planning to ensure that academic quality, faculty performance, student development, and administrative compliance operate in perfect alignment with the goals of the university and the national regulatory frameworks. The HoD is not merely a manager of departmental affairs but a visionary academic leader responsible for translating institutional objectives into measurable academic outcomes, fostering innovation, and maintaining a culture of excellence, ethics, and accountability.</w:t>
      </w:r>
    </w:p>
    <w:p>
      <w:pPr>
        <w:jc w:val="both"/>
      </w:pPr>
      <w:r>
        <w:rPr>
          <w:rFonts w:ascii="Cambria" w:hAnsi="Cambria"/>
          <w:b w:val="0"/>
          <w:i w:val="0"/>
          <w:sz w:val="22"/>
        </w:rPr>
        <w:t>In contemporary higher education, the responsibilities of the HoD have evolved far beyond routine academic coordination. Modern HEIs function within a highly dynamic ecosystem influenced by rapid technological advancements, globalization, outcome-based education (OBE) models, and accreditation-driven accountability systems such as NBA, NAAC, NIRF, and QS I-GAUGE. Consequently, the HoD is expected to demonstrate administrative competence, academic leadership, and strategic foresight to uphold quality benchmarks and ensure continuous quality improvement (CQI). Under frameworks like NAAC's Criterion 6 (Governance and Leadership) and NBA's Criterion 5 (Faculty Information), the HoD's effectiveness is directly linked to institutional performance indicators. Thus, a clearly defined framework for HoD roles and responsibilities becomes essential for achieving excellence in faculty management, student welfare, academic governance, and institutional sustainability.</w:t>
      </w:r>
    </w:p>
    <w:p>
      <w:pPr>
        <w:jc w:val="both"/>
      </w:pPr>
      <w:r>
        <w:rPr>
          <w:rFonts w:ascii="Cambria" w:hAnsi="Cambria"/>
          <w:b w:val="0"/>
          <w:i w:val="0"/>
          <w:sz w:val="22"/>
        </w:rPr>
        <w:t>One of the primary responsibilities of the HoD lies in faculty and staff management. The department's academic output and reputation depend on the quality, motivation, and preparedness of its faculty. The HoD must forecast human resource requirements based on new courses, curriculum revisions, and increased student intake, ensuring compliance with prescribed faculty–student ratios. Effective manpower planning involves evaluating the department's workload, preparing proposals for recruitment, and participating in the selection process to ensure merit-based, transparent hiring. Once appointed, faculty members require continual mentoring, performance evaluation, and opportunities for professional growth. The HoD ensures this through systematic self-appraisal evaluations, feedback sessions, and recommendations for faculty development programs (FDPs), workshops, and advanced research initiatives. Faculty development is not merely a statutory requirement but a cornerstone for academic innovation, research excellence, and teaching quality.</w:t>
      </w:r>
    </w:p>
    <w:p>
      <w:pPr>
        <w:jc w:val="both"/>
      </w:pPr>
      <w:r>
        <w:rPr>
          <w:rFonts w:ascii="Cambria" w:hAnsi="Cambria"/>
          <w:b w:val="0"/>
          <w:i w:val="0"/>
          <w:sz w:val="22"/>
        </w:rPr>
        <w:t>Alongside recruitment and development, workload management and faculty–student ratio maintenance are integral aspects of departmental governance. The HoD must ensure equitable distribution of teaching, research, and administrative responsibilities, aligning with AICTE and UGC norms. Proper documentation, including workload registers, timetables, and compliance reports, is vital for transparency and accreditation audits. Furthermore, maintaining an optimal faculty–student ratio ensures personalized learning, effective mentoring, and enhanced student outcomes. The HoD also oversees recordkeeping related to staff attendance, service files, and performance appraisals—these records serve as critical evidence for audits, internal quality assurance cell (IQAC) reviews, and institutional ranking submissions.</w:t>
      </w:r>
    </w:p>
    <w:p>
      <w:pPr>
        <w:jc w:val="both"/>
      </w:pPr>
      <w:r>
        <w:rPr>
          <w:rFonts w:ascii="Cambria" w:hAnsi="Cambria"/>
          <w:b w:val="0"/>
          <w:i w:val="0"/>
          <w:sz w:val="22"/>
        </w:rPr>
        <w:t>In parallel to faculty management, the counselling and mentoring of students form another crucial dimension of the HoD's responsibilities. The HoD plays an active role in ensuring the holistic development of students—academically, emotionally, and professionally. In collaboration with faculty mentors and counsellors, the HoD supervises counselling programs that address academic performance, personal well-being, and social adjustment. Regular interaction with students and parents helps identify learning gaps, attendance issues, and behavioral challenges, allowing the department to intervene through timely remedial measures. The HoD ensures that counselling activities are documented systematically, with follow-up mechanisms for improvement.</w:t>
      </w:r>
    </w:p>
    <w:p>
      <w:pPr>
        <w:jc w:val="both"/>
      </w:pPr>
      <w:r>
        <w:rPr>
          <w:rFonts w:ascii="Cambria" w:hAnsi="Cambria"/>
          <w:b w:val="0"/>
          <w:i w:val="0"/>
          <w:sz w:val="22"/>
        </w:rPr>
        <w:t>Career guidance and ethical counselling also fall under the HoD's purview. Departments led effectively by proactive HoDs tend to foster a career-oriented mindset among students by integrating professional ethics, employability skills, and global awareness into academic programs. The HoD coordinates career counselling, competitive examination preparation, and interaction with alumni and industry experts. In doing so, they bridge the gap between academic learning and industry expectations while reinforcing moral and ethical conduct. This not only aligns with NAAC Criterion 5 (Student Support and Progression) but also contributes to sustainable student success metrics in frameworks like NIRF and QS I-GAUGE.</w:t>
      </w:r>
    </w:p>
    <w:p>
      <w:pPr>
        <w:jc w:val="both"/>
      </w:pPr>
      <w:r>
        <w:rPr>
          <w:rFonts w:ascii="Cambria" w:hAnsi="Cambria"/>
          <w:b w:val="0"/>
          <w:i w:val="0"/>
          <w:sz w:val="22"/>
        </w:rPr>
        <w:t>An effective HoD must also focus on academic and administrative discipline. This includes monitoring dress code compliance, attendance tracking, and communication of academic progress to parents. The HoD must ensure that attendance registers are updated weekly, verified regularly, and forwarded for institutional review. Furthermore, the HoD ensures that internal marks and attendance data are transparently shared with parents through appropriate communication channels. When students exhibit irregular attendance or poor performance, the HoD conducts counselling sessions, arranges remedial classes, and coordinates with faculty and parents for corrective action. The emphasis on documentation—such as attendance verification logs, counselling registers, and remedial class reports—ensures audit readiness and continuous quality assurance.</w:t>
      </w:r>
    </w:p>
    <w:p>
      <w:pPr>
        <w:jc w:val="both"/>
      </w:pPr>
      <w:r>
        <w:rPr>
          <w:rFonts w:ascii="Cambria" w:hAnsi="Cambria"/>
          <w:b w:val="0"/>
          <w:i w:val="0"/>
          <w:sz w:val="22"/>
        </w:rPr>
        <w:t>Beyond academic and student-related functions, the HoD is also a custodian of departmental grievance mechanisms. The Suggestion–Complaints Book serves as a formal platform for receiving feedback, complaints, and suggestions from students and staff. The HoD must review entries regularly, take departmental-level actions, and escalate unresolved issues to the Principal or management as necessary. Quarterly complaint summary reports, complete with action-taken details, form part of institutional transparency and responsiveness. This structured grievance redressal mechanism promotes trust, fairness, and ethical governance within the department while aligning with statutory frameworks like UGC's Student Grievance Redressal Regulations (2019) and NAAC's Criterion 7 (Institutional Values and Best Practices).</w:t>
      </w:r>
    </w:p>
    <w:p>
      <w:pPr>
        <w:jc w:val="both"/>
      </w:pPr>
      <w:r>
        <w:rPr>
          <w:rFonts w:ascii="Cambria" w:hAnsi="Cambria"/>
          <w:b w:val="0"/>
          <w:i w:val="0"/>
          <w:sz w:val="22"/>
        </w:rPr>
        <w:t>The Academic and Administrative Audit (AAA) is another area where the HoD's role is critical. Regular academic audits ensure that teaching-learning processes adhere to institutional timelines, that syllabus coverage and lesson plans are consistent, and that assessment and evaluation procedures are transparent. The HoD must verify faculty records such as attendance, course files, and internal marks, ensuring that deviations are addressed through corrective and preventive actions. Monthly audit reports submitted to the Principal and IQAC not only reinforce accountability but also serve as measurable evidence of CQI. Administrative audits—covering office records, lab equipment maintenance, and document compliance—ensure that departmental operations remain efficient and audit-ready.</w:t>
      </w:r>
    </w:p>
    <w:p>
      <w:pPr>
        <w:jc w:val="both"/>
      </w:pPr>
      <w:r>
        <w:rPr>
          <w:rFonts w:ascii="Cambria" w:hAnsi="Cambria"/>
          <w:b w:val="0"/>
          <w:i w:val="0"/>
          <w:sz w:val="22"/>
        </w:rPr>
        <w:t>In the digital era, the department website serves as a vital platform for communication, transparency, and stakeholder engagement. The HoD is responsible for ensuring that the website reflects real-time information on academic schedules, attendance, internal marks, examination results, and departmental activities. Regular updates, verified data, and timely uploads enhance accessibility for students, parents, and auditors. The department website acts as a repository of evidence supporting accreditation, audits, and institutional rankings. By maintaining digital governance through structured monitoring and checklists, the HoD strengthens the department's visibility and credibility.</w:t>
      </w:r>
    </w:p>
    <w:p>
      <w:pPr>
        <w:jc w:val="both"/>
      </w:pPr>
      <w:r>
        <w:rPr>
          <w:rFonts w:ascii="Cambria" w:hAnsi="Cambria"/>
          <w:b w:val="0"/>
          <w:i w:val="0"/>
          <w:sz w:val="22"/>
        </w:rPr>
        <w:t>The overarching theme across all these responsibilities is documentation, accountability, and alignment with quality frameworks. The HoD ensures that every academic and administrative process—whether related to faculty, students, or governance—is systematically recorded and reviewed. This data-driven approach supports compliance with NBA's outcome-based criteria, NAAC's quality benchmarks, and NIRF's performance indicators. The integration of institutional mechanisms such as IQAC, feedback systems, and audit processes transforms the HoD's role from mere supervision to evidence-based leadership.</w:t>
      </w:r>
    </w:p>
    <w:p>
      <w:pPr>
        <w:jc w:val="both"/>
      </w:pPr>
      <w:r>
        <w:rPr>
          <w:rFonts w:ascii="Cambria" w:hAnsi="Cambria"/>
          <w:b w:val="0"/>
          <w:i w:val="0"/>
          <w:sz w:val="22"/>
        </w:rPr>
        <w:t>In essence, the Head of the Department functions as the academic anchor, administrative coordinator, and quality leader within an institution. Through strategic planning, empathetic leadership, and diligent documentation, the HoD ensures that departmental activities contribute meaningfully to institutional growth and national educational objectives such as NEP 2020 and the UN Sustainable Development Goals (SDG 4 – Quality Education). By embedding outcome-based, transparent, and participatory management practices, the HoD shapes the academic environment into one that fosters innovation, accountability, and excellence.</w:t>
      </w:r>
    </w:p>
    <w:p>
      <w:pPr>
        <w:jc w:val="both"/>
      </w:pPr>
      <w:r>
        <w:rPr>
          <w:rFonts w:ascii="Cambria" w:hAnsi="Cambria"/>
          <w:b w:val="0"/>
          <w:i w:val="0"/>
          <w:sz w:val="22"/>
        </w:rPr>
        <w:t>Thus, this comprehensive framework recognizes the HoD not merely as an administrative authority but as a transformational leader—one who integrates people, processes, and purpose to uphold the institution's mission of delivering quality education, ensuring student success, and achieving global benchmarks in higher education governance.</w:t>
      </w:r>
    </w:p>
    <w:p>
      <w:r>
        <w:br w:type="page"/>
      </w:r>
    </w:p>
    <w:p>
      <w:pPr>
        <w:keepNext/>
        <w:spacing w:before="280" w:after="160"/>
      </w:pPr>
      <w:r>
        <w:rPr>
          <w:rFonts w:ascii="Cambria" w:hAnsi="Cambria"/>
          <w:b/>
          <w:color w:val="1F3A5F"/>
          <w:sz w:val="36"/>
        </w:rPr>
        <w:t>2. Responsibilities of Head of Department (HoD) Related to Faculty and Staff</w:t>
      </w:r>
    </w:p>
    <w:p>
      <w:pPr>
        <w:keepNext/>
        <w:spacing w:before="200" w:after="160"/>
      </w:pPr>
      <w:r>
        <w:rPr>
          <w:rFonts w:ascii="Cambria" w:hAnsi="Cambria"/>
          <w:b/>
          <w:color w:val="1F3A5F"/>
          <w:sz w:val="30"/>
        </w:rPr>
        <w:t>Planning for Faculty and Staff Resources Based on New Courses and Increase in Intake</w:t>
      </w:r>
    </w:p>
    <w:p>
      <w:pPr>
        <w:keepNext/>
        <w:spacing w:before="200" w:after="160"/>
      </w:pPr>
      <w:r>
        <w:rPr>
          <w:rFonts w:ascii="Cambria" w:hAnsi="Cambria"/>
          <w:b/>
          <w:color w:val="1F3A5F"/>
          <w:sz w:val="26"/>
        </w:rPr>
        <w:t>1. Manpower Planning and Forecasting</w:t>
      </w:r>
    </w:p>
    <w:p>
      <w:pPr>
        <w:pStyle w:val="ListBullet"/>
        <w:spacing w:after="80"/>
      </w:pPr>
      <w:r>
        <w:rPr>
          <w:rFonts w:ascii="Cambria" w:hAnsi="Cambria"/>
          <w:sz w:val="22"/>
        </w:rPr>
        <w:t>The HoD is responsible for evaluating the department's current human resource capacity in line with academic and administrative requirements.</w:t>
      </w:r>
    </w:p>
    <w:p>
      <w:pPr>
        <w:pStyle w:val="ListBullet"/>
        <w:spacing w:after="80"/>
      </w:pPr>
      <w:r>
        <w:rPr>
          <w:rFonts w:ascii="Cambria" w:hAnsi="Cambria"/>
          <w:sz w:val="22"/>
        </w:rPr>
        <w:t>Conducts periodic assessments to understand staffing needs when introducing new programs, electives, or interdisciplinary courses.</w:t>
      </w:r>
    </w:p>
    <w:p>
      <w:pPr>
        <w:pStyle w:val="ListBullet"/>
        <w:spacing w:after="80"/>
      </w:pPr>
      <w:r>
        <w:rPr>
          <w:rFonts w:ascii="Cambria" w:hAnsi="Cambria"/>
          <w:sz w:val="22"/>
        </w:rPr>
        <w:t>Uses student–faculty ratio guidelines (as per AICTE/UGC norms) to calculate additional faculty or support staff required.</w:t>
      </w:r>
    </w:p>
    <w:p>
      <w:pPr>
        <w:pStyle w:val="ListBullet"/>
        <w:spacing w:after="80"/>
      </w:pPr>
      <w:r>
        <w:rPr>
          <w:rFonts w:ascii="Cambria" w:hAnsi="Cambria"/>
          <w:sz w:val="22"/>
        </w:rPr>
        <w:t>Develops short-term and long-term manpower plans, forecasting retirements, resignations, or transfers to ensure continuity.</w:t>
      </w:r>
    </w:p>
    <w:p>
      <w:pPr>
        <w:pStyle w:val="ListBullet"/>
        <w:spacing w:after="80"/>
      </w:pPr>
      <w:r>
        <w:rPr>
          <w:rFonts w:ascii="Cambria" w:hAnsi="Cambria"/>
          <w:sz w:val="22"/>
        </w:rPr>
        <w:t>Collaborates with the Dean/Principal to prepare faculty requirement projections during curriculum expansion or intake growth.</w:t>
      </w:r>
    </w:p>
    <w:p>
      <w:pPr>
        <w:keepNext/>
        <w:spacing w:before="200" w:after="160"/>
      </w:pPr>
      <w:r>
        <w:rPr>
          <w:rFonts w:ascii="Cambria" w:hAnsi="Cambria"/>
          <w:b/>
          <w:color w:val="1F3A5F"/>
          <w:sz w:val="26"/>
        </w:rPr>
        <w:t>2. Recruitment, Selection, and Induction</w:t>
      </w:r>
    </w:p>
    <w:p>
      <w:pPr>
        <w:pStyle w:val="ListBullet"/>
        <w:spacing w:after="80"/>
      </w:pPr>
      <w:r>
        <w:rPr>
          <w:rFonts w:ascii="Cambria" w:hAnsi="Cambria"/>
          <w:sz w:val="22"/>
        </w:rPr>
        <w:t>Prepares detailed proposals for new faculty and staff appointments, highlighting justification based on workload analysis and course expansion.</w:t>
      </w:r>
    </w:p>
    <w:p>
      <w:pPr>
        <w:pStyle w:val="ListBullet"/>
        <w:spacing w:after="80"/>
      </w:pPr>
      <w:r>
        <w:rPr>
          <w:rFonts w:ascii="Cambria" w:hAnsi="Cambria"/>
          <w:sz w:val="22"/>
        </w:rPr>
        <w:t>Participates in recruitment processes — from drafting job descriptions and qualifications to shortlisting and interviewing candidates.</w:t>
      </w:r>
    </w:p>
    <w:p>
      <w:pPr>
        <w:pStyle w:val="ListBullet"/>
        <w:spacing w:after="80"/>
      </w:pPr>
      <w:r>
        <w:rPr>
          <w:rFonts w:ascii="Cambria" w:hAnsi="Cambria"/>
          <w:sz w:val="22"/>
        </w:rPr>
        <w:t>Ensures alignment of recruitment with institutional quality standards, accreditation criteria (NAAC/NBA), and subject specialization needs.</w:t>
      </w:r>
    </w:p>
    <w:p>
      <w:pPr>
        <w:pStyle w:val="ListBullet"/>
        <w:spacing w:after="80"/>
      </w:pPr>
      <w:r>
        <w:rPr>
          <w:rFonts w:ascii="Cambria" w:hAnsi="Cambria"/>
          <w:sz w:val="22"/>
        </w:rPr>
        <w:t>Facilitates smooth onboarding and induction programs for new faculty, helping them understand institutional policies, curriculum structure, and teaching methodologies.</w:t>
      </w:r>
    </w:p>
    <w:p>
      <w:pPr>
        <w:keepNext/>
        <w:spacing w:before="200" w:after="160"/>
      </w:pPr>
      <w:r>
        <w:rPr>
          <w:rFonts w:ascii="Cambria" w:hAnsi="Cambria"/>
          <w:b/>
          <w:color w:val="1F3A5F"/>
          <w:sz w:val="26"/>
        </w:rPr>
        <w:t>3. Workload Analysis and Allocation</w:t>
      </w:r>
    </w:p>
    <w:p>
      <w:pPr>
        <w:pStyle w:val="ListBullet"/>
        <w:spacing w:after="80"/>
      </w:pPr>
      <w:r>
        <w:rPr>
          <w:rFonts w:ascii="Cambria" w:hAnsi="Cambria"/>
          <w:sz w:val="22"/>
        </w:rPr>
        <w:t>Conducts a comprehensive analysis of teaching hours, lab sessions, tutorials, and mentoring responsibilities for equitable workload distribution.</w:t>
      </w:r>
    </w:p>
    <w:p>
      <w:pPr>
        <w:pStyle w:val="ListBullet"/>
        <w:spacing w:after="80"/>
      </w:pPr>
      <w:r>
        <w:rPr>
          <w:rFonts w:ascii="Cambria" w:hAnsi="Cambria"/>
          <w:sz w:val="22"/>
        </w:rPr>
        <w:t>Ensures compliance with UGC/AICTE-prescribed workload norms (e.g., 16 hours/week for Assistant Professors, etc.).</w:t>
      </w:r>
    </w:p>
    <w:p>
      <w:pPr>
        <w:pStyle w:val="ListBullet"/>
        <w:spacing w:after="80"/>
      </w:pPr>
      <w:r>
        <w:rPr>
          <w:rFonts w:ascii="Cambria" w:hAnsi="Cambria"/>
          <w:sz w:val="22"/>
        </w:rPr>
        <w:t>Allocates subjects to faculty based on expertise, experience, and research interests to enhance learning outcomes.</w:t>
      </w:r>
    </w:p>
    <w:p>
      <w:pPr>
        <w:pStyle w:val="ListBullet"/>
        <w:spacing w:after="80"/>
      </w:pPr>
      <w:r>
        <w:rPr>
          <w:rFonts w:ascii="Cambria" w:hAnsi="Cambria"/>
          <w:sz w:val="22"/>
        </w:rPr>
        <w:t>Periodically reviews workload to address issues such as increased intake, faculty leave, or new course additions.</w:t>
      </w:r>
    </w:p>
    <w:p>
      <w:pPr>
        <w:keepNext/>
        <w:spacing w:before="200" w:after="160"/>
      </w:pPr>
      <w:r>
        <w:rPr>
          <w:rFonts w:ascii="Cambria" w:hAnsi="Cambria"/>
          <w:b/>
          <w:color w:val="1F3A5F"/>
          <w:sz w:val="26"/>
        </w:rPr>
        <w:t>4. Faculty and Staff Development</w:t>
      </w:r>
    </w:p>
    <w:p>
      <w:pPr>
        <w:pStyle w:val="ListBullet"/>
        <w:spacing w:after="80"/>
      </w:pPr>
      <w:r>
        <w:rPr>
          <w:rFonts w:ascii="Cambria" w:hAnsi="Cambria"/>
          <w:sz w:val="22"/>
        </w:rPr>
        <w:t>Identifies training and upskilling needs for faculty and technical staff to align with evolving curriculum trends and technology.</w:t>
      </w:r>
    </w:p>
    <w:p>
      <w:pPr>
        <w:pStyle w:val="ListBullet"/>
        <w:spacing w:after="80"/>
      </w:pPr>
      <w:r>
        <w:rPr>
          <w:rFonts w:ascii="Cambria" w:hAnsi="Cambria"/>
          <w:sz w:val="22"/>
        </w:rPr>
        <w:t>Organizes Faculty Development Programs (FDPs), workshops, and seminars to improve teaching pedagogy, assessment techniques, and research skills.</w:t>
      </w:r>
    </w:p>
    <w:p>
      <w:pPr>
        <w:pStyle w:val="ListBullet"/>
        <w:spacing w:after="80"/>
      </w:pPr>
      <w:r>
        <w:rPr>
          <w:rFonts w:ascii="Cambria" w:hAnsi="Cambria"/>
          <w:sz w:val="22"/>
        </w:rPr>
        <w:t>Encourages faculty to participate in national/international conferences, MOOCs, and collaborative research projects.</w:t>
      </w:r>
    </w:p>
    <w:p>
      <w:pPr>
        <w:pStyle w:val="ListBullet"/>
        <w:spacing w:after="80"/>
      </w:pPr>
      <w:r>
        <w:rPr>
          <w:rFonts w:ascii="Cambria" w:hAnsi="Cambria"/>
          <w:sz w:val="22"/>
        </w:rPr>
        <w:t>Supports administrative and technical staff in developing IT, lab, and management competencies.</w:t>
      </w:r>
    </w:p>
    <w:p>
      <w:pPr>
        <w:keepNext/>
        <w:spacing w:before="200" w:after="160"/>
      </w:pPr>
      <w:r>
        <w:rPr>
          <w:rFonts w:ascii="Cambria" w:hAnsi="Cambria"/>
          <w:b/>
          <w:color w:val="1F3A5F"/>
          <w:sz w:val="26"/>
        </w:rPr>
        <w:t>5. Performance Management and Appraisal</w:t>
      </w:r>
    </w:p>
    <w:p>
      <w:pPr>
        <w:pStyle w:val="ListBullet"/>
        <w:spacing w:after="80"/>
      </w:pPr>
      <w:r>
        <w:rPr>
          <w:rFonts w:ascii="Cambria" w:hAnsi="Cambria"/>
          <w:sz w:val="22"/>
        </w:rPr>
        <w:t>Establishes clear Key Performance Indicators (KPIs) for faculty such as teaching quality, publications, student feedback, and innovation.</w:t>
      </w:r>
    </w:p>
    <w:p>
      <w:pPr>
        <w:pStyle w:val="ListBullet"/>
        <w:spacing w:after="80"/>
      </w:pPr>
      <w:r>
        <w:rPr>
          <w:rFonts w:ascii="Cambria" w:hAnsi="Cambria"/>
          <w:sz w:val="22"/>
        </w:rPr>
        <w:t>Conducts annual performance appraisals and submits evaluation reports to higher administration.</w:t>
      </w:r>
    </w:p>
    <w:p>
      <w:pPr>
        <w:pStyle w:val="ListBullet"/>
        <w:spacing w:after="80"/>
      </w:pPr>
      <w:r>
        <w:rPr>
          <w:rFonts w:ascii="Cambria" w:hAnsi="Cambria"/>
          <w:sz w:val="22"/>
        </w:rPr>
        <w:t>Provides mentoring and feedback sessions for underperforming faculty and staff to enhance efficiency.</w:t>
      </w:r>
    </w:p>
    <w:p>
      <w:pPr>
        <w:pStyle w:val="ListBullet"/>
        <w:spacing w:after="80"/>
      </w:pPr>
      <w:r>
        <w:rPr>
          <w:rFonts w:ascii="Cambria" w:hAnsi="Cambria"/>
          <w:sz w:val="22"/>
        </w:rPr>
        <w:t>Recognizes and recommends high-performing faculty for awards, promotions, or incentives.</w:t>
      </w:r>
    </w:p>
    <w:p>
      <w:pPr>
        <w:keepNext/>
        <w:spacing w:before="200" w:after="160"/>
      </w:pPr>
      <w:r>
        <w:rPr>
          <w:rFonts w:ascii="Cambria" w:hAnsi="Cambria"/>
          <w:b/>
          <w:color w:val="1F3A5F"/>
          <w:sz w:val="26"/>
        </w:rPr>
        <w:t>6. Succession and Career Planning</w:t>
      </w:r>
    </w:p>
    <w:p>
      <w:pPr>
        <w:pStyle w:val="ListBullet"/>
        <w:spacing w:after="80"/>
      </w:pPr>
      <w:r>
        <w:rPr>
          <w:rFonts w:ascii="Cambria" w:hAnsi="Cambria"/>
          <w:sz w:val="22"/>
        </w:rPr>
        <w:t>Plans for faculty succession to ensure leadership continuity in academic and administrative roles.</w:t>
      </w:r>
    </w:p>
    <w:p>
      <w:pPr>
        <w:pStyle w:val="ListBullet"/>
        <w:spacing w:after="80"/>
      </w:pPr>
      <w:r>
        <w:rPr>
          <w:rFonts w:ascii="Cambria" w:hAnsi="Cambria"/>
          <w:sz w:val="22"/>
        </w:rPr>
        <w:t>Identifies potential leaders within the department and provides them with mentoring and growth opportunities.</w:t>
      </w:r>
    </w:p>
    <w:p>
      <w:pPr>
        <w:pStyle w:val="ListBullet"/>
        <w:spacing w:after="80"/>
      </w:pPr>
      <w:r>
        <w:rPr>
          <w:rFonts w:ascii="Cambria" w:hAnsi="Cambria"/>
          <w:sz w:val="22"/>
        </w:rPr>
        <w:t>Encourages faculty to pursue Ph.D., postdoctoral research, or advanced training programs to strengthen academic depth.</w:t>
      </w:r>
    </w:p>
    <w:p>
      <w:pPr>
        <w:pStyle w:val="ListBullet"/>
        <w:spacing w:after="80"/>
      </w:pPr>
      <w:r>
        <w:rPr>
          <w:rFonts w:ascii="Cambria" w:hAnsi="Cambria"/>
          <w:sz w:val="22"/>
        </w:rPr>
        <w:t>Aligns career progression plans with institutional HR policies and performance outcomes.</w:t>
      </w:r>
    </w:p>
    <w:p>
      <w:pPr>
        <w:keepNext/>
        <w:spacing w:before="200" w:after="160"/>
      </w:pPr>
      <w:r>
        <w:rPr>
          <w:rFonts w:ascii="Cambria" w:hAnsi="Cambria"/>
          <w:b/>
          <w:color w:val="1F3A5F"/>
          <w:sz w:val="26"/>
        </w:rPr>
        <w:t>7. Budgeting and Resource Allocation</w:t>
      </w:r>
    </w:p>
    <w:p>
      <w:pPr>
        <w:pStyle w:val="ListBullet"/>
        <w:spacing w:after="80"/>
      </w:pPr>
      <w:r>
        <w:rPr>
          <w:rFonts w:ascii="Cambria" w:hAnsi="Cambria"/>
          <w:sz w:val="22"/>
        </w:rPr>
        <w:t>Prepares annual budget proposals covering salaries, new recruitments, FDPs, and administrative support needs.</w:t>
      </w:r>
    </w:p>
    <w:p>
      <w:pPr>
        <w:pStyle w:val="ListBullet"/>
        <w:spacing w:after="80"/>
      </w:pPr>
      <w:r>
        <w:rPr>
          <w:rFonts w:ascii="Cambria" w:hAnsi="Cambria"/>
          <w:sz w:val="22"/>
        </w:rPr>
        <w:t>Justifies additional funding based on student intake increase, program expansion, or research infrastructure needs.</w:t>
      </w:r>
    </w:p>
    <w:p>
      <w:pPr>
        <w:pStyle w:val="ListBullet"/>
        <w:spacing w:after="80"/>
      </w:pPr>
      <w:r>
        <w:rPr>
          <w:rFonts w:ascii="Cambria" w:hAnsi="Cambria"/>
          <w:sz w:val="22"/>
        </w:rPr>
        <w:t>Monitors budget utilization to ensure cost-effectiveness and transparency in staff-related expenditures.</w:t>
      </w:r>
    </w:p>
    <w:p>
      <w:pPr>
        <w:keepNext/>
        <w:spacing w:before="200" w:after="160"/>
      </w:pPr>
      <w:r>
        <w:rPr>
          <w:rFonts w:ascii="Cambria" w:hAnsi="Cambria"/>
          <w:b/>
          <w:color w:val="1F3A5F"/>
          <w:sz w:val="26"/>
        </w:rPr>
        <w:t>8. Compliance, Accreditation, and Reporting</w:t>
      </w:r>
    </w:p>
    <w:p>
      <w:pPr>
        <w:pStyle w:val="ListBullet"/>
        <w:spacing w:after="80"/>
      </w:pPr>
      <w:r>
        <w:rPr>
          <w:rFonts w:ascii="Cambria" w:hAnsi="Cambria"/>
          <w:sz w:val="22"/>
        </w:rPr>
        <w:t>Ensures adherence to AICTE, UGC, NAAC, and NBA norms related to faculty qualifications, student–faculty ratio, and research output.</w:t>
      </w:r>
    </w:p>
    <w:p>
      <w:pPr>
        <w:pStyle w:val="ListBullet"/>
        <w:spacing w:after="80"/>
      </w:pPr>
      <w:r>
        <w:rPr>
          <w:rFonts w:ascii="Cambria" w:hAnsi="Cambria"/>
          <w:sz w:val="22"/>
        </w:rPr>
        <w:t>Maintains up-to-date faculty records such as degrees, publications, workload, and approvals for audits and accreditation purposes.</w:t>
      </w:r>
    </w:p>
    <w:p>
      <w:pPr>
        <w:pStyle w:val="ListBullet"/>
        <w:spacing w:after="80"/>
      </w:pPr>
      <w:r>
        <w:rPr>
          <w:rFonts w:ascii="Cambria" w:hAnsi="Cambria"/>
          <w:sz w:val="22"/>
        </w:rPr>
        <w:t>Submits periodic reports to IQAC and HR departments on faculty adequacy and staff deployment.</w:t>
      </w:r>
    </w:p>
    <w:p>
      <w:pPr>
        <w:pStyle w:val="ListBullet"/>
        <w:spacing w:after="80"/>
      </w:pPr>
      <w:r>
        <w:rPr>
          <w:rFonts w:ascii="Cambria" w:hAnsi="Cambria"/>
          <w:sz w:val="22"/>
        </w:rPr>
        <w:t>Coordinates with the Institutional Accreditation Cell to provide evidence during audits and inspections.</w:t>
      </w:r>
    </w:p>
    <w:p>
      <w:pPr>
        <w:keepNext/>
        <w:spacing w:before="200" w:after="160"/>
      </w:pPr>
      <w:r>
        <w:rPr>
          <w:rFonts w:ascii="Cambria" w:hAnsi="Cambria"/>
          <w:b/>
          <w:color w:val="1F3A5F"/>
          <w:sz w:val="26"/>
        </w:rPr>
        <w:t>9. Faculty and Staff Welfare</w:t>
      </w:r>
    </w:p>
    <w:p>
      <w:pPr>
        <w:pStyle w:val="ListBullet"/>
        <w:spacing w:after="80"/>
      </w:pPr>
      <w:r>
        <w:rPr>
          <w:rFonts w:ascii="Cambria" w:hAnsi="Cambria"/>
          <w:sz w:val="22"/>
        </w:rPr>
        <w:t>Promotes a healthy and motivating work environment that fosters collaboration, innovation, and job satisfaction.</w:t>
      </w:r>
    </w:p>
    <w:p>
      <w:pPr>
        <w:pStyle w:val="ListBullet"/>
        <w:spacing w:after="80"/>
      </w:pPr>
      <w:r>
        <w:rPr>
          <w:rFonts w:ascii="Cambria" w:hAnsi="Cambria"/>
          <w:sz w:val="22"/>
        </w:rPr>
        <w:t>Addresses grievances, welfare needs, and professional concerns of faculty and staff members.</w:t>
      </w:r>
    </w:p>
    <w:p>
      <w:pPr>
        <w:pStyle w:val="ListBullet"/>
        <w:spacing w:after="80"/>
      </w:pPr>
      <w:r>
        <w:rPr>
          <w:rFonts w:ascii="Cambria" w:hAnsi="Cambria"/>
          <w:sz w:val="22"/>
        </w:rPr>
        <w:t>Facilitates work-life balance through flexible scheduling and support during research or administrative overload periods.</w:t>
      </w:r>
    </w:p>
    <w:p>
      <w:pPr>
        <w:keepNext/>
        <w:spacing w:before="200" w:after="160"/>
      </w:pPr>
      <w:r>
        <w:rPr>
          <w:rFonts w:ascii="Cambria" w:hAnsi="Cambria"/>
          <w:b/>
          <w:color w:val="1F3A5F"/>
          <w:sz w:val="26"/>
        </w:rPr>
        <w:t>10. Strategic Academic Planning</w:t>
      </w:r>
    </w:p>
    <w:p>
      <w:pPr>
        <w:pStyle w:val="ListBullet"/>
        <w:spacing w:after="80"/>
      </w:pPr>
      <w:r>
        <w:rPr>
          <w:rFonts w:ascii="Cambria" w:hAnsi="Cambria"/>
          <w:sz w:val="22"/>
        </w:rPr>
        <w:t>Integrates faculty resource planning with the department's strategic growth plan, aligning with institutional goals and NEP 2020 vision.</w:t>
      </w:r>
    </w:p>
    <w:p>
      <w:pPr>
        <w:pStyle w:val="ListBullet"/>
        <w:spacing w:after="80"/>
      </w:pPr>
      <w:r>
        <w:rPr>
          <w:rFonts w:ascii="Cambria" w:hAnsi="Cambria"/>
          <w:sz w:val="22"/>
        </w:rPr>
        <w:t>Ensures faculty recruitment and development align with emerging fields such as AI, Data Science, Green Technologies, etc.</w:t>
      </w:r>
    </w:p>
    <w:p>
      <w:pPr>
        <w:pStyle w:val="ListBullet"/>
        <w:spacing w:after="80"/>
      </w:pPr>
      <w:r>
        <w:rPr>
          <w:rFonts w:ascii="Cambria" w:hAnsi="Cambria"/>
          <w:sz w:val="22"/>
        </w:rPr>
        <w:t>Strengthens industry-academia collaboration by appointing adjunct/visiting faculty from industry backgrounds to enhance applied learning.</w:t>
      </w:r>
    </w:p>
    <w:p>
      <w:pPr>
        <w:keepNext/>
        <w:spacing w:before="200" w:after="160"/>
      </w:pPr>
      <w:r>
        <w:rPr>
          <w:rFonts w:ascii="Cambria" w:hAnsi="Cambria"/>
          <w:b/>
          <w:color w:val="1F3A5F"/>
          <w:sz w:val="30"/>
        </w:rPr>
        <w:t>Responsibilities of Head of Department (HoD) Related to Faculty and Staff</w:t>
      </w:r>
    </w:p>
    <w:p>
      <w:pPr>
        <w:keepNext/>
        <w:spacing w:before="200" w:after="160"/>
      </w:pPr>
      <w:r>
        <w:rPr>
          <w:rFonts w:ascii="Cambria" w:hAnsi="Cambria"/>
          <w:b/>
          <w:color w:val="1F3A5F"/>
          <w:sz w:val="30"/>
        </w:rPr>
        <w:t>Making Proposals for Recruitment</w:t>
      </w:r>
    </w:p>
    <w:p>
      <w:pPr>
        <w:keepNext/>
        <w:spacing w:before="200" w:after="160"/>
      </w:pPr>
      <w:r>
        <w:rPr>
          <w:rFonts w:ascii="Cambria" w:hAnsi="Cambria"/>
          <w:b/>
          <w:color w:val="1F3A5F"/>
          <w:sz w:val="26"/>
        </w:rPr>
        <w:t>1. Identification of Faculty and Staff Requirements</w:t>
      </w:r>
    </w:p>
    <w:p>
      <w:pPr>
        <w:pStyle w:val="ListBullet"/>
        <w:spacing w:after="80"/>
      </w:pPr>
      <w:r>
        <w:rPr>
          <w:rFonts w:ascii="Cambria" w:hAnsi="Cambria"/>
          <w:sz w:val="22"/>
        </w:rPr>
        <w:t>Analyze existing faculty strength against sanctioned posts, course offerings, and student intake.</w:t>
      </w:r>
    </w:p>
    <w:p>
      <w:pPr>
        <w:pStyle w:val="ListBullet"/>
        <w:spacing w:after="80"/>
      </w:pPr>
      <w:r>
        <w:rPr>
          <w:rFonts w:ascii="Cambria" w:hAnsi="Cambria"/>
          <w:sz w:val="22"/>
        </w:rPr>
        <w:t>Assess future requirements based on proposed new programs, electives, or increased enrollment.</w:t>
      </w:r>
    </w:p>
    <w:p>
      <w:pPr>
        <w:pStyle w:val="ListBullet"/>
        <w:spacing w:after="80"/>
      </w:pPr>
      <w:r>
        <w:rPr>
          <w:rFonts w:ascii="Cambria" w:hAnsi="Cambria"/>
          <w:sz w:val="22"/>
        </w:rPr>
        <w:t>Evaluate support staff needs for laboratories, administration, and technical maintenance.</w:t>
      </w:r>
    </w:p>
    <w:p>
      <w:pPr>
        <w:pStyle w:val="ListBullet"/>
        <w:spacing w:after="80"/>
      </w:pPr>
      <w:r>
        <w:rPr>
          <w:rFonts w:ascii="Cambria" w:hAnsi="Cambria"/>
          <w:sz w:val="22"/>
        </w:rPr>
        <w:t>Ensure that requirements align with AICTE/UGC norms for faculty–student ratios and staff adequacy.</w:t>
      </w:r>
    </w:p>
    <w:p>
      <w:pPr>
        <w:keepNext/>
        <w:spacing w:before="200" w:after="160"/>
      </w:pPr>
      <w:r>
        <w:rPr>
          <w:rFonts w:ascii="Cambria" w:hAnsi="Cambria"/>
          <w:b/>
          <w:color w:val="1F3A5F"/>
          <w:sz w:val="26"/>
        </w:rPr>
        <w:t>2. Workload and Gap Analysis</w:t>
      </w:r>
    </w:p>
    <w:p>
      <w:pPr>
        <w:pStyle w:val="ListBullet"/>
        <w:spacing w:after="80"/>
      </w:pPr>
      <w:r>
        <w:rPr>
          <w:rFonts w:ascii="Cambria" w:hAnsi="Cambria"/>
          <w:sz w:val="22"/>
        </w:rPr>
        <w:t>Conduct workload distribution studies to determine subject-wise teaching requirements.</w:t>
      </w:r>
    </w:p>
    <w:p>
      <w:pPr>
        <w:pStyle w:val="ListBullet"/>
        <w:spacing w:after="80"/>
      </w:pPr>
      <w:r>
        <w:rPr>
          <w:rFonts w:ascii="Cambria" w:hAnsi="Cambria"/>
          <w:sz w:val="22"/>
        </w:rPr>
        <w:t>Identify faculty gaps due to resignations, retirements, study leave, or new course additions.</w:t>
      </w:r>
    </w:p>
    <w:p>
      <w:pPr>
        <w:pStyle w:val="ListBullet"/>
        <w:spacing w:after="80"/>
      </w:pPr>
      <w:r>
        <w:rPr>
          <w:rFonts w:ascii="Cambria" w:hAnsi="Cambria"/>
          <w:sz w:val="22"/>
        </w:rPr>
        <w:t>Prepare a departmental staffing matrix showing sanctioned, filled, and vacant positions.</w:t>
      </w:r>
    </w:p>
    <w:p>
      <w:pPr>
        <w:pStyle w:val="ListBullet"/>
        <w:spacing w:after="80"/>
      </w:pPr>
      <w:r>
        <w:rPr>
          <w:rFonts w:ascii="Cambria" w:hAnsi="Cambria"/>
          <w:sz w:val="22"/>
        </w:rPr>
        <w:t>Recommend positions to be filled on permanent, contractual, or visiting basis depending on academic demand.</w:t>
      </w:r>
    </w:p>
    <w:p>
      <w:pPr>
        <w:keepNext/>
        <w:spacing w:before="200" w:after="160"/>
      </w:pPr>
      <w:r>
        <w:rPr>
          <w:rFonts w:ascii="Cambria" w:hAnsi="Cambria"/>
          <w:b/>
          <w:color w:val="1F3A5F"/>
          <w:sz w:val="26"/>
        </w:rPr>
        <w:t>3. Preparation of Recruitment Proposal</w:t>
      </w:r>
    </w:p>
    <w:p>
      <w:pPr>
        <w:pStyle w:val="ListBullet"/>
        <w:spacing w:after="80"/>
      </w:pPr>
      <w:r>
        <w:rPr>
          <w:rFonts w:ascii="Cambria" w:hAnsi="Cambria"/>
          <w:sz w:val="22"/>
        </w:rPr>
        <w:t>Draft a formal recruitment proposal containing:</w:t>
      </w:r>
    </w:p>
    <w:p>
      <w:pPr>
        <w:pStyle w:val="ListBullet2"/>
        <w:spacing w:after="80"/>
      </w:pPr>
      <w:r>
        <w:rPr>
          <w:rFonts w:ascii="Cambria" w:hAnsi="Cambria"/>
          <w:sz w:val="22"/>
        </w:rPr>
        <w:t>Justification for the new position (e.g., increased intake, new specialization).</w:t>
      </w:r>
    </w:p>
    <w:p>
      <w:pPr>
        <w:pStyle w:val="ListBullet2"/>
        <w:spacing w:after="80"/>
      </w:pPr>
      <w:r>
        <w:rPr>
          <w:rFonts w:ascii="Cambria" w:hAnsi="Cambria"/>
          <w:sz w:val="22"/>
        </w:rPr>
        <w:t>Details of subject area, qualification, and experience required.</w:t>
      </w:r>
    </w:p>
    <w:p>
      <w:pPr>
        <w:pStyle w:val="ListBullet2"/>
        <w:spacing w:after="80"/>
      </w:pPr>
      <w:r>
        <w:rPr>
          <w:rFonts w:ascii="Cambria" w:hAnsi="Cambria"/>
          <w:sz w:val="22"/>
        </w:rPr>
        <w:t>Nature of appointment (temporary/permanent/visiting).</w:t>
      </w:r>
    </w:p>
    <w:p>
      <w:pPr>
        <w:pStyle w:val="ListBullet2"/>
        <w:spacing w:after="80"/>
      </w:pPr>
      <w:r>
        <w:rPr>
          <w:rFonts w:ascii="Cambria" w:hAnsi="Cambria"/>
          <w:sz w:val="22"/>
        </w:rPr>
        <w:t>Estimated financial implications (salary, benefits, etc.).</w:t>
      </w:r>
    </w:p>
    <w:p>
      <w:pPr>
        <w:pStyle w:val="ListBullet2"/>
        <w:spacing w:after="80"/>
      </w:pPr>
      <w:r>
        <w:rPr>
          <w:rFonts w:ascii="Cambria" w:hAnsi="Cambria"/>
          <w:sz w:val="22"/>
        </w:rPr>
        <w:t>Alignment with institutional goals and accreditation standards.</w:t>
      </w:r>
    </w:p>
    <w:p>
      <w:pPr>
        <w:pStyle w:val="ListBullet"/>
        <w:spacing w:after="80"/>
      </w:pPr>
      <w:r>
        <w:rPr>
          <w:rFonts w:ascii="Cambria" w:hAnsi="Cambria"/>
          <w:sz w:val="22"/>
        </w:rPr>
        <w:t>Include supporting data such as student–faculty ratios, program expansion plans, and course workload sheets.</w:t>
      </w:r>
    </w:p>
    <w:p>
      <w:pPr>
        <w:keepNext/>
        <w:spacing w:before="200" w:after="160"/>
      </w:pPr>
      <w:r>
        <w:rPr>
          <w:rFonts w:ascii="Cambria" w:hAnsi="Cambria"/>
          <w:b/>
          <w:color w:val="1F3A5F"/>
          <w:sz w:val="26"/>
        </w:rPr>
        <w:t>4. Coordination with Higher Authorities</w:t>
      </w:r>
    </w:p>
    <w:p>
      <w:pPr>
        <w:pStyle w:val="ListBullet"/>
        <w:spacing w:after="80"/>
      </w:pPr>
      <w:r>
        <w:rPr>
          <w:rFonts w:ascii="Cambria" w:hAnsi="Cambria"/>
          <w:sz w:val="22"/>
        </w:rPr>
        <w:t>Submit recruitment proposals to the Dean, Principal, or HR Department for review and approval.</w:t>
      </w:r>
    </w:p>
    <w:p>
      <w:pPr>
        <w:pStyle w:val="ListBullet"/>
        <w:spacing w:after="80"/>
      </w:pPr>
      <w:r>
        <w:rPr>
          <w:rFonts w:ascii="Cambria" w:hAnsi="Cambria"/>
          <w:sz w:val="22"/>
        </w:rPr>
        <w:t>Collaborate with the Recruitment Committee to finalize post requirements and budgetary provisions.</w:t>
      </w:r>
    </w:p>
    <w:p>
      <w:pPr>
        <w:pStyle w:val="ListBullet"/>
        <w:spacing w:after="80"/>
      </w:pPr>
      <w:r>
        <w:rPr>
          <w:rFonts w:ascii="Cambria" w:hAnsi="Cambria"/>
          <w:sz w:val="22"/>
        </w:rPr>
        <w:t>Present the proposal during Board of Studies (BoS) or Academic Council meetings for endorsement if needed.</w:t>
      </w:r>
    </w:p>
    <w:p>
      <w:pPr>
        <w:keepNext/>
        <w:spacing w:before="200" w:after="160"/>
      </w:pPr>
      <w:r>
        <w:rPr>
          <w:rFonts w:ascii="Cambria" w:hAnsi="Cambria"/>
          <w:b/>
          <w:color w:val="1F3A5F"/>
          <w:sz w:val="26"/>
        </w:rPr>
        <w:t>5. Compliance with Regulatory Norms</w:t>
      </w:r>
    </w:p>
    <w:p>
      <w:pPr>
        <w:pStyle w:val="ListBullet"/>
        <w:spacing w:after="80"/>
      </w:pPr>
      <w:r>
        <w:rPr>
          <w:rFonts w:ascii="Cambria" w:hAnsi="Cambria"/>
          <w:sz w:val="22"/>
        </w:rPr>
        <w:t>Ensure recruitment proposals meet UGC/AICTE/University guidelines on minimum qualifications, pay scales, and cadre ratios.</w:t>
      </w:r>
    </w:p>
    <w:p>
      <w:pPr>
        <w:pStyle w:val="ListBullet"/>
        <w:spacing w:after="80"/>
      </w:pPr>
      <w:r>
        <w:rPr>
          <w:rFonts w:ascii="Cambria" w:hAnsi="Cambria"/>
          <w:sz w:val="22"/>
        </w:rPr>
        <w:t>Include category-wise reservation details as per government or institutional norms.</w:t>
      </w:r>
    </w:p>
    <w:p>
      <w:pPr>
        <w:pStyle w:val="ListBullet"/>
        <w:spacing w:after="80"/>
      </w:pPr>
      <w:r>
        <w:rPr>
          <w:rFonts w:ascii="Cambria" w:hAnsi="Cambria"/>
          <w:sz w:val="22"/>
        </w:rPr>
        <w:t>Maintain transparency and documentation for audit and accreditation reviews (NAAC/NBA).</w:t>
      </w:r>
    </w:p>
    <w:p>
      <w:pPr>
        <w:keepNext/>
        <w:spacing w:before="200" w:after="160"/>
      </w:pPr>
      <w:r>
        <w:rPr>
          <w:rFonts w:ascii="Cambria" w:hAnsi="Cambria"/>
          <w:b/>
          <w:color w:val="1F3A5F"/>
          <w:sz w:val="26"/>
        </w:rPr>
        <w:t>6. Drafting of Job Descriptions and Specifications</w:t>
      </w:r>
    </w:p>
    <w:p>
      <w:pPr>
        <w:pStyle w:val="ListBullet"/>
        <w:spacing w:after="80"/>
      </w:pPr>
      <w:r>
        <w:rPr>
          <w:rFonts w:ascii="Cambria" w:hAnsi="Cambria"/>
          <w:sz w:val="22"/>
        </w:rPr>
        <w:t>Prepare clear job descriptions outlining teaching areas, research expectations, and administrative duties.</w:t>
      </w:r>
    </w:p>
    <w:p>
      <w:pPr>
        <w:pStyle w:val="ListBullet"/>
        <w:spacing w:after="80"/>
      </w:pPr>
      <w:r>
        <w:rPr>
          <w:rFonts w:ascii="Cambria" w:hAnsi="Cambria"/>
          <w:sz w:val="22"/>
        </w:rPr>
        <w:t>Define qualification criteria, experience level, and specialization areas for each post.</w:t>
      </w:r>
    </w:p>
    <w:p>
      <w:pPr>
        <w:pStyle w:val="ListBullet"/>
        <w:spacing w:after="80"/>
      </w:pPr>
      <w:r>
        <w:rPr>
          <w:rFonts w:ascii="Cambria" w:hAnsi="Cambria"/>
          <w:sz w:val="22"/>
        </w:rPr>
        <w:t>Coordinate with HR to ensure advertisements reflect departmental needs and attract qualified applicants.</w:t>
      </w:r>
    </w:p>
    <w:p>
      <w:pPr>
        <w:keepNext/>
        <w:spacing w:before="200" w:after="160"/>
      </w:pPr>
      <w:r>
        <w:rPr>
          <w:rFonts w:ascii="Cambria" w:hAnsi="Cambria"/>
          <w:b/>
          <w:color w:val="1F3A5F"/>
          <w:sz w:val="26"/>
        </w:rPr>
        <w:t>7. Recruitment Planning and Timeline</w:t>
      </w:r>
    </w:p>
    <w:p>
      <w:pPr>
        <w:pStyle w:val="ListBullet"/>
        <w:spacing w:after="80"/>
      </w:pPr>
      <w:r>
        <w:rPr>
          <w:rFonts w:ascii="Cambria" w:hAnsi="Cambria"/>
          <w:sz w:val="22"/>
        </w:rPr>
        <w:t>Create a timeline for each stage of recruitment — approval, advertisement, interview, and joining.</w:t>
      </w:r>
    </w:p>
    <w:p>
      <w:pPr>
        <w:pStyle w:val="ListBullet"/>
        <w:spacing w:after="80"/>
      </w:pPr>
      <w:r>
        <w:rPr>
          <w:rFonts w:ascii="Cambria" w:hAnsi="Cambria"/>
          <w:sz w:val="22"/>
        </w:rPr>
        <w:t>Propose selection committees including internal and external experts as per institutional norms.</w:t>
      </w:r>
    </w:p>
    <w:p>
      <w:pPr>
        <w:pStyle w:val="ListBullet"/>
        <w:spacing w:after="80"/>
      </w:pPr>
      <w:r>
        <w:rPr>
          <w:rFonts w:ascii="Cambria" w:hAnsi="Cambria"/>
          <w:sz w:val="22"/>
        </w:rPr>
        <w:t>Ensure timely recruitment to avoid disruption in academic schedules.</w:t>
      </w:r>
    </w:p>
    <w:p>
      <w:pPr>
        <w:keepNext/>
        <w:spacing w:before="200" w:after="160"/>
      </w:pPr>
      <w:r>
        <w:rPr>
          <w:rFonts w:ascii="Cambria" w:hAnsi="Cambria"/>
          <w:b/>
          <w:color w:val="1F3A5F"/>
          <w:sz w:val="26"/>
        </w:rPr>
        <w:t>8. Documentation and Reporting</w:t>
      </w:r>
    </w:p>
    <w:p>
      <w:pPr>
        <w:pStyle w:val="ListBullet"/>
        <w:spacing w:after="80"/>
      </w:pPr>
      <w:r>
        <w:rPr>
          <w:rFonts w:ascii="Cambria" w:hAnsi="Cambria"/>
          <w:sz w:val="22"/>
        </w:rPr>
        <w:t>Maintain records of:</w:t>
      </w:r>
    </w:p>
    <w:p>
      <w:pPr>
        <w:pStyle w:val="ListBullet2"/>
        <w:spacing w:after="80"/>
      </w:pPr>
      <w:r>
        <w:rPr>
          <w:rFonts w:ascii="Cambria" w:hAnsi="Cambria"/>
          <w:sz w:val="22"/>
        </w:rPr>
        <w:t>Faculty requirement justification reports.</w:t>
      </w:r>
    </w:p>
    <w:p>
      <w:pPr>
        <w:pStyle w:val="ListBullet2"/>
        <w:spacing w:after="80"/>
      </w:pPr>
      <w:r>
        <w:rPr>
          <w:rFonts w:ascii="Cambria" w:hAnsi="Cambria"/>
          <w:sz w:val="22"/>
        </w:rPr>
        <w:t>Approved proposals and communication with administration.</w:t>
      </w:r>
    </w:p>
    <w:p>
      <w:pPr>
        <w:pStyle w:val="ListBullet2"/>
        <w:spacing w:after="80"/>
      </w:pPr>
      <w:r>
        <w:rPr>
          <w:rFonts w:ascii="Cambria" w:hAnsi="Cambria"/>
          <w:sz w:val="22"/>
        </w:rPr>
        <w:t>Recruitment notifications and panel approvals.</w:t>
      </w:r>
    </w:p>
    <w:p>
      <w:pPr>
        <w:pStyle w:val="ListBullet"/>
        <w:spacing w:after="80"/>
      </w:pPr>
      <w:r>
        <w:rPr>
          <w:rFonts w:ascii="Cambria" w:hAnsi="Cambria"/>
          <w:sz w:val="22"/>
        </w:rPr>
        <w:t>Submit annual reports on faculty recruitment and retention status to IQAC and HR.</w:t>
      </w:r>
    </w:p>
    <w:p>
      <w:pPr>
        <w:keepNext/>
        <w:spacing w:before="200" w:after="160"/>
      </w:pPr>
      <w:r>
        <w:rPr>
          <w:rFonts w:ascii="Cambria" w:hAnsi="Cambria"/>
          <w:b/>
          <w:color w:val="1F3A5F"/>
          <w:sz w:val="26"/>
        </w:rPr>
        <w:t>9. Alignment with Departmental and Institutional Goals</w:t>
      </w:r>
    </w:p>
    <w:p>
      <w:pPr>
        <w:pStyle w:val="ListBullet"/>
        <w:spacing w:after="80"/>
      </w:pPr>
      <w:r>
        <w:rPr>
          <w:rFonts w:ascii="Cambria" w:hAnsi="Cambria"/>
          <w:sz w:val="22"/>
        </w:rPr>
        <w:t>Ensure recruitment aligns with the department's long-term vision, including strengthening research, innovation, and new academic areas.</w:t>
      </w:r>
    </w:p>
    <w:p>
      <w:pPr>
        <w:pStyle w:val="ListBullet"/>
        <w:spacing w:after="80"/>
      </w:pPr>
      <w:r>
        <w:rPr>
          <w:rFonts w:ascii="Cambria" w:hAnsi="Cambria"/>
          <w:sz w:val="22"/>
        </w:rPr>
        <w:t>Recommend candidates who can contribute to interdisciplinary programs, accreditation goals, and societal impact initiatives.</w:t>
      </w:r>
    </w:p>
    <w:p>
      <w:pPr>
        <w:pStyle w:val="ListBullet"/>
        <w:spacing w:after="80"/>
      </w:pPr>
      <w:r>
        <w:rPr>
          <w:rFonts w:ascii="Cambria" w:hAnsi="Cambria"/>
          <w:sz w:val="22"/>
        </w:rPr>
        <w:t>Promote diversity, inclusion, and gender balance in faculty recruitment.</w:t>
      </w:r>
    </w:p>
    <w:p>
      <w:pPr>
        <w:keepNext/>
        <w:spacing w:before="200" w:after="160"/>
      </w:pPr>
      <w:r>
        <w:rPr>
          <w:rFonts w:ascii="Cambria" w:hAnsi="Cambria"/>
          <w:b/>
          <w:color w:val="1F3A5F"/>
          <w:sz w:val="30"/>
        </w:rPr>
        <w:t>Documentation and Reporting Responsibilities of HoD in Faculty and Staff Recruitment</w:t>
      </w:r>
    </w:p>
    <w:p>
      <w:pPr>
        <w:keepNext/>
        <w:spacing w:before="200" w:after="160"/>
      </w:pPr>
      <w:r>
        <w:rPr>
          <w:rFonts w:ascii="Cambria" w:hAnsi="Cambria"/>
          <w:b/>
          <w:color w:val="1F3A5F"/>
          <w:sz w:val="26"/>
        </w:rPr>
        <w:t>1. Record Maintenance and Data Management</w:t>
      </w:r>
    </w:p>
    <w:p>
      <w:pPr>
        <w:pStyle w:val="ListBullet"/>
        <w:spacing w:after="80"/>
      </w:pPr>
      <w:r>
        <w:rPr>
          <w:rFonts w:ascii="Cambria" w:hAnsi="Cambria"/>
          <w:sz w:val="22"/>
        </w:rPr>
        <w:t>Maintain systematic and updated records of all faculty and staff recruitment activities in both digital and physical formats.</w:t>
      </w:r>
    </w:p>
    <w:p>
      <w:pPr>
        <w:pStyle w:val="ListBullet"/>
        <w:spacing w:after="80"/>
      </w:pPr>
      <w:r>
        <w:rPr>
          <w:rFonts w:ascii="Cambria" w:hAnsi="Cambria"/>
          <w:sz w:val="22"/>
        </w:rPr>
        <w:t>Ensure documentation includes justification notes, approval letters, advertisement copies, interview schedules, and selection committee reports.</w:t>
      </w:r>
    </w:p>
    <w:p>
      <w:pPr>
        <w:pStyle w:val="ListBullet"/>
        <w:spacing w:after="80"/>
      </w:pPr>
      <w:r>
        <w:rPr>
          <w:rFonts w:ascii="Cambria" w:hAnsi="Cambria"/>
          <w:sz w:val="22"/>
        </w:rPr>
        <w:t>Store all records securely for future audit verification, accreditation review (NAAC/NBA), and institutional reporting.</w:t>
      </w:r>
    </w:p>
    <w:p>
      <w:pPr>
        <w:keepNext/>
        <w:spacing w:before="200" w:after="160"/>
      </w:pPr>
      <w:r>
        <w:rPr>
          <w:rFonts w:ascii="Cambria" w:hAnsi="Cambria"/>
          <w:b/>
          <w:color w:val="1F3A5F"/>
          <w:sz w:val="26"/>
        </w:rPr>
        <w:t>2. Faculty Requirement Justification Reports</w:t>
      </w:r>
    </w:p>
    <w:p>
      <w:pPr>
        <w:pStyle w:val="ListBullet"/>
        <w:spacing w:after="80"/>
      </w:pPr>
      <w:r>
        <w:rPr>
          <w:rFonts w:ascii="Cambria" w:hAnsi="Cambria"/>
          <w:sz w:val="22"/>
        </w:rPr>
        <w:t>Prepare detailed reports explaining why new recruitment is necessary, supported by data such as:</w:t>
      </w:r>
    </w:p>
    <w:p>
      <w:pPr>
        <w:pStyle w:val="ListBullet2"/>
        <w:spacing w:after="80"/>
      </w:pPr>
      <w:r>
        <w:rPr>
          <w:rFonts w:ascii="Cambria" w:hAnsi="Cambria"/>
          <w:sz w:val="22"/>
        </w:rPr>
        <w:t>Increase in student intake or number of sections.</w:t>
      </w:r>
    </w:p>
    <w:p>
      <w:pPr>
        <w:pStyle w:val="ListBullet2"/>
        <w:spacing w:after="80"/>
      </w:pPr>
      <w:r>
        <w:rPr>
          <w:rFonts w:ascii="Cambria" w:hAnsi="Cambria"/>
          <w:sz w:val="22"/>
        </w:rPr>
        <w:t>Introduction of new courses or specializations.</w:t>
      </w:r>
    </w:p>
    <w:p>
      <w:pPr>
        <w:pStyle w:val="ListBullet2"/>
        <w:spacing w:after="80"/>
      </w:pPr>
      <w:r>
        <w:rPr>
          <w:rFonts w:ascii="Cambria" w:hAnsi="Cambria"/>
          <w:sz w:val="22"/>
        </w:rPr>
        <w:t>Faculty attrition, retirements, or sabbaticals.</w:t>
      </w:r>
    </w:p>
    <w:p>
      <w:pPr>
        <w:pStyle w:val="ListBullet"/>
        <w:spacing w:after="80"/>
      </w:pPr>
      <w:r>
        <w:rPr>
          <w:rFonts w:ascii="Cambria" w:hAnsi="Cambria"/>
          <w:sz w:val="22"/>
        </w:rPr>
        <w:t>Include workload analysis sheets showing current vs. required teaching capacity.</w:t>
      </w:r>
    </w:p>
    <w:p>
      <w:pPr>
        <w:pStyle w:val="ListBullet"/>
        <w:spacing w:after="80"/>
      </w:pPr>
      <w:r>
        <w:rPr>
          <w:rFonts w:ascii="Cambria" w:hAnsi="Cambria"/>
          <w:sz w:val="22"/>
        </w:rPr>
        <w:t>Forward these reports to Dean/Principal and HR for inclusion in annual manpower planning.</w:t>
      </w:r>
    </w:p>
    <w:p>
      <w:pPr>
        <w:keepNext/>
        <w:spacing w:before="200" w:after="160"/>
      </w:pPr>
      <w:r>
        <w:rPr>
          <w:rFonts w:ascii="Cambria" w:hAnsi="Cambria"/>
          <w:b/>
          <w:color w:val="1F3A5F"/>
          <w:sz w:val="26"/>
        </w:rPr>
        <w:t>3. Approved Proposals and Administrative Communication</w:t>
      </w:r>
    </w:p>
    <w:p>
      <w:pPr>
        <w:pStyle w:val="ListBullet"/>
        <w:spacing w:after="80"/>
      </w:pPr>
      <w:r>
        <w:rPr>
          <w:rFonts w:ascii="Cambria" w:hAnsi="Cambria"/>
          <w:sz w:val="22"/>
        </w:rPr>
        <w:t>Maintain copies of all recruitment proposals submitted and their corresponding administrative approvals or remarks.</w:t>
      </w:r>
    </w:p>
    <w:p>
      <w:pPr>
        <w:pStyle w:val="ListBullet"/>
        <w:spacing w:after="80"/>
      </w:pPr>
      <w:r>
        <w:rPr>
          <w:rFonts w:ascii="Cambria" w:hAnsi="Cambria"/>
          <w:sz w:val="22"/>
        </w:rPr>
        <w:t>Record communication with higher authorities, including notes, memos, or emails, for traceability and transparency.</w:t>
      </w:r>
    </w:p>
    <w:p>
      <w:pPr>
        <w:pStyle w:val="ListBullet"/>
        <w:spacing w:after="80"/>
      </w:pPr>
      <w:r>
        <w:rPr>
          <w:rFonts w:ascii="Cambria" w:hAnsi="Cambria"/>
          <w:sz w:val="22"/>
        </w:rPr>
        <w:t>Ensure the final approved version of each proposal is stored in the Departmental Master File and shared with IQAC.</w:t>
      </w:r>
    </w:p>
    <w:p>
      <w:pPr>
        <w:keepNext/>
        <w:spacing w:before="200" w:after="160"/>
      </w:pPr>
      <w:r>
        <w:rPr>
          <w:rFonts w:ascii="Cambria" w:hAnsi="Cambria"/>
          <w:b/>
          <w:color w:val="1F3A5F"/>
          <w:sz w:val="26"/>
        </w:rPr>
        <w:t>4. Recruitment Notifications and Selection Panel Records</w:t>
      </w:r>
    </w:p>
    <w:p>
      <w:pPr>
        <w:pStyle w:val="ListBullet"/>
        <w:spacing w:after="80"/>
      </w:pPr>
      <w:r>
        <w:rPr>
          <w:rFonts w:ascii="Cambria" w:hAnsi="Cambria"/>
          <w:sz w:val="22"/>
        </w:rPr>
        <w:t>Archive copies of advertisements and notifications issued for faculty and staff recruitment (print and digital formats).</w:t>
      </w:r>
    </w:p>
    <w:p>
      <w:pPr>
        <w:pStyle w:val="ListBullet"/>
        <w:spacing w:after="80"/>
      </w:pPr>
      <w:r>
        <w:rPr>
          <w:rFonts w:ascii="Cambria" w:hAnsi="Cambria"/>
          <w:sz w:val="22"/>
        </w:rPr>
        <w:t>Keep records of shortlisted candidates, interview minutes, and selection committee recommendations.</w:t>
      </w:r>
    </w:p>
    <w:p>
      <w:pPr>
        <w:pStyle w:val="ListBullet"/>
        <w:spacing w:after="80"/>
      </w:pPr>
      <w:r>
        <w:rPr>
          <w:rFonts w:ascii="Cambria" w:hAnsi="Cambria"/>
          <w:sz w:val="22"/>
        </w:rPr>
        <w:t>Preserve panel approvals, appointment letters, and offer correspondences for compliance and HR documentation.</w:t>
      </w:r>
    </w:p>
    <w:p>
      <w:pPr>
        <w:keepNext/>
        <w:spacing w:before="200" w:after="160"/>
      </w:pPr>
      <w:r>
        <w:rPr>
          <w:rFonts w:ascii="Cambria" w:hAnsi="Cambria"/>
          <w:b/>
          <w:color w:val="1F3A5F"/>
          <w:sz w:val="26"/>
        </w:rPr>
        <w:t>5. Annual Faculty Recruitment and Retention Reports</w:t>
      </w:r>
    </w:p>
    <w:p>
      <w:pPr>
        <w:pStyle w:val="ListBullet"/>
        <w:spacing w:after="80"/>
      </w:pPr>
      <w:r>
        <w:rPr>
          <w:rFonts w:ascii="Cambria" w:hAnsi="Cambria"/>
          <w:sz w:val="22"/>
        </w:rPr>
        <w:t>Prepare and submit an Annual Recruitment Summary Report to the IQAC and HR Department, covering:</w:t>
      </w:r>
    </w:p>
    <w:p>
      <w:pPr>
        <w:pStyle w:val="ListBullet2"/>
        <w:spacing w:after="80"/>
      </w:pPr>
      <w:r>
        <w:rPr>
          <w:rFonts w:ascii="Cambria" w:hAnsi="Cambria"/>
          <w:sz w:val="22"/>
        </w:rPr>
        <w:t>Number of positions advertised, interviewed, and filled.</w:t>
      </w:r>
    </w:p>
    <w:p>
      <w:pPr>
        <w:pStyle w:val="ListBullet2"/>
        <w:spacing w:after="80"/>
      </w:pPr>
      <w:r>
        <w:rPr>
          <w:rFonts w:ascii="Cambria" w:hAnsi="Cambria"/>
          <w:sz w:val="22"/>
        </w:rPr>
        <w:t>Status of unfilled vacancies with reasons.</w:t>
      </w:r>
    </w:p>
    <w:p>
      <w:pPr>
        <w:pStyle w:val="ListBullet2"/>
        <w:spacing w:after="80"/>
      </w:pPr>
      <w:r>
        <w:rPr>
          <w:rFonts w:ascii="Cambria" w:hAnsi="Cambria"/>
          <w:sz w:val="22"/>
        </w:rPr>
        <w:t>Faculty turnover rate and retention statistics.</w:t>
      </w:r>
    </w:p>
    <w:p>
      <w:pPr>
        <w:pStyle w:val="ListBullet2"/>
        <w:spacing w:after="80"/>
      </w:pPr>
      <w:r>
        <w:rPr>
          <w:rFonts w:ascii="Cambria" w:hAnsi="Cambria"/>
          <w:sz w:val="22"/>
        </w:rPr>
        <w:t>Summary of faculty promotions, transfers, and contract renewals.</w:t>
      </w:r>
    </w:p>
    <w:p>
      <w:pPr>
        <w:pStyle w:val="ListBullet"/>
        <w:spacing w:after="80"/>
      </w:pPr>
      <w:r>
        <w:rPr>
          <w:rFonts w:ascii="Cambria" w:hAnsi="Cambria"/>
          <w:sz w:val="22"/>
        </w:rPr>
        <w:t>Include analysis of recruitment trends to support strategic workforce planning.</w:t>
      </w:r>
    </w:p>
    <w:p>
      <w:pPr>
        <w:keepNext/>
        <w:spacing w:before="200" w:after="160"/>
      </w:pPr>
      <w:r>
        <w:rPr>
          <w:rFonts w:ascii="Cambria" w:hAnsi="Cambria"/>
          <w:b/>
          <w:color w:val="1F3A5F"/>
          <w:sz w:val="26"/>
        </w:rPr>
        <w:t>6. Compliance and Accreditation Evidence</w:t>
      </w:r>
    </w:p>
    <w:p>
      <w:pPr>
        <w:pStyle w:val="ListBullet"/>
        <w:spacing w:after="80"/>
      </w:pPr>
      <w:r>
        <w:rPr>
          <w:rFonts w:ascii="Cambria" w:hAnsi="Cambria"/>
          <w:sz w:val="22"/>
        </w:rPr>
        <w:t>Ensure all documentation is aligned with institutional and statutory norms (UGC/AICTE/University).</w:t>
      </w:r>
    </w:p>
    <w:p>
      <w:pPr>
        <w:pStyle w:val="ListBullet"/>
        <w:spacing w:after="80"/>
      </w:pPr>
      <w:r>
        <w:rPr>
          <w:rFonts w:ascii="Cambria" w:hAnsi="Cambria"/>
          <w:sz w:val="22"/>
        </w:rPr>
        <w:t>Maintain ready-to-present evidence folders for NAAC/NBA or internal quality audits.</w:t>
      </w:r>
    </w:p>
    <w:p>
      <w:pPr>
        <w:pStyle w:val="ListBullet"/>
        <w:spacing w:after="80"/>
      </w:pPr>
      <w:r>
        <w:rPr>
          <w:rFonts w:ascii="Cambria" w:hAnsi="Cambria"/>
          <w:sz w:val="22"/>
        </w:rPr>
        <w:t>Support institutional KPIs by providing accurate recruitment and retention data during audits.</w:t>
      </w:r>
    </w:p>
    <w:p>
      <w:pPr>
        <w:keepNext/>
        <w:spacing w:before="200" w:after="160"/>
      </w:pPr>
      <w:r>
        <w:rPr>
          <w:rFonts w:ascii="Cambria" w:hAnsi="Cambria"/>
          <w:b/>
          <w:color w:val="1F3A5F"/>
          <w:sz w:val="30"/>
        </w:rPr>
        <w:t>Participation as Member in the Selection Committee</w:t>
      </w:r>
    </w:p>
    <w:p>
      <w:pPr>
        <w:keepNext/>
        <w:spacing w:before="200" w:after="160"/>
      </w:pPr>
      <w:r>
        <w:rPr>
          <w:rFonts w:ascii="Cambria" w:hAnsi="Cambria"/>
          <w:b/>
          <w:color w:val="1F3A5F"/>
          <w:sz w:val="26"/>
        </w:rPr>
        <w:t>1. Representation and Departmental Leadership</w:t>
      </w:r>
    </w:p>
    <w:p>
      <w:pPr>
        <w:pStyle w:val="ListBullet"/>
        <w:spacing w:after="80"/>
      </w:pPr>
      <w:r>
        <w:rPr>
          <w:rFonts w:ascii="Cambria" w:hAnsi="Cambria"/>
          <w:sz w:val="22"/>
        </w:rPr>
        <w:t>Serve as the official representative of the department in the faculty and staff selection process.</w:t>
      </w:r>
    </w:p>
    <w:p>
      <w:pPr>
        <w:pStyle w:val="ListBullet"/>
        <w:spacing w:after="80"/>
      </w:pPr>
      <w:r>
        <w:rPr>
          <w:rFonts w:ascii="Cambria" w:hAnsi="Cambria"/>
          <w:sz w:val="22"/>
        </w:rPr>
        <w:t>Provide inputs on discipline-specific requirements, such as specialization, pedagogical expertise, and research focus areas.</w:t>
      </w:r>
    </w:p>
    <w:p>
      <w:pPr>
        <w:pStyle w:val="ListBullet"/>
        <w:spacing w:after="80"/>
      </w:pPr>
      <w:r>
        <w:rPr>
          <w:rFonts w:ascii="Cambria" w:hAnsi="Cambria"/>
          <w:sz w:val="22"/>
        </w:rPr>
        <w:t>Ensure that departmental academic priorities are reflected in the selection and recruitment decisions.</w:t>
      </w:r>
    </w:p>
    <w:p>
      <w:pPr>
        <w:keepNext/>
        <w:spacing w:before="200" w:after="160"/>
      </w:pPr>
      <w:r>
        <w:rPr>
          <w:rFonts w:ascii="Cambria" w:hAnsi="Cambria"/>
          <w:b/>
          <w:color w:val="1F3A5F"/>
          <w:sz w:val="26"/>
        </w:rPr>
        <w:t>2. Pre-Selection Preparation</w:t>
      </w:r>
    </w:p>
    <w:p>
      <w:pPr>
        <w:pStyle w:val="ListBullet"/>
        <w:spacing w:after="80"/>
      </w:pPr>
      <w:r>
        <w:rPr>
          <w:rFonts w:ascii="Cambria" w:hAnsi="Cambria"/>
          <w:sz w:val="22"/>
        </w:rPr>
        <w:t>Review approved recruitment proposals, job descriptions, and eligibility criteria prior to the interview process.</w:t>
      </w:r>
    </w:p>
    <w:p>
      <w:pPr>
        <w:pStyle w:val="ListBullet"/>
        <w:spacing w:after="80"/>
      </w:pPr>
      <w:r>
        <w:rPr>
          <w:rFonts w:ascii="Cambria" w:hAnsi="Cambria"/>
          <w:sz w:val="22"/>
        </w:rPr>
        <w:t>Participate in shortlisting applications, verifying candidate credentials, qualifications, and experience against advertised norms.</w:t>
      </w:r>
    </w:p>
    <w:p>
      <w:pPr>
        <w:pStyle w:val="ListBullet"/>
        <w:spacing w:after="80"/>
      </w:pPr>
      <w:r>
        <w:rPr>
          <w:rFonts w:ascii="Cambria" w:hAnsi="Cambria"/>
          <w:sz w:val="22"/>
        </w:rPr>
        <w:t>Prepare subject-wise evaluation parameters (teaching experience, research output, industry exposure, etc.) for fair assessment.</w:t>
      </w:r>
    </w:p>
    <w:p>
      <w:pPr>
        <w:pStyle w:val="ListBullet"/>
        <w:spacing w:after="80"/>
      </w:pPr>
      <w:r>
        <w:rPr>
          <w:rFonts w:ascii="Cambria" w:hAnsi="Cambria"/>
          <w:sz w:val="22"/>
        </w:rPr>
        <w:t>Coordinate with HR or administrative officers to ensure all relevant documents and applicant dossiers are available for the committee.</w:t>
      </w:r>
    </w:p>
    <w:p>
      <w:pPr>
        <w:keepNext/>
        <w:spacing w:before="200" w:after="160"/>
      </w:pPr>
      <w:r>
        <w:rPr>
          <w:rFonts w:ascii="Cambria" w:hAnsi="Cambria"/>
          <w:b/>
          <w:color w:val="1F3A5F"/>
          <w:sz w:val="26"/>
        </w:rPr>
        <w:t>3. Active Role During the Selection Process</w:t>
      </w:r>
    </w:p>
    <w:p>
      <w:pPr>
        <w:pStyle w:val="ListBullet"/>
        <w:spacing w:after="80"/>
      </w:pPr>
      <w:r>
        <w:rPr>
          <w:rFonts w:ascii="Cambria" w:hAnsi="Cambria"/>
          <w:sz w:val="22"/>
        </w:rPr>
        <w:t>Take part in interview panels, demonstration sessions, and technical assessments as per institutional norms.</w:t>
      </w:r>
    </w:p>
    <w:p>
      <w:pPr>
        <w:pStyle w:val="ListBullet"/>
        <w:spacing w:after="80"/>
      </w:pPr>
      <w:r>
        <w:rPr>
          <w:rFonts w:ascii="Cambria" w:hAnsi="Cambria"/>
          <w:sz w:val="22"/>
        </w:rPr>
        <w:t>Evaluate candidates objectively based on:</w:t>
      </w:r>
    </w:p>
    <w:p>
      <w:pPr>
        <w:pStyle w:val="ListBullet2"/>
        <w:spacing w:after="80"/>
      </w:pPr>
      <w:r>
        <w:rPr>
          <w:rFonts w:ascii="Cambria" w:hAnsi="Cambria"/>
          <w:sz w:val="22"/>
        </w:rPr>
        <w:t>Teaching competence and subject expertise.</w:t>
      </w:r>
    </w:p>
    <w:p>
      <w:pPr>
        <w:pStyle w:val="ListBullet2"/>
        <w:spacing w:after="80"/>
      </w:pPr>
      <w:r>
        <w:rPr>
          <w:rFonts w:ascii="Cambria" w:hAnsi="Cambria"/>
          <w:sz w:val="22"/>
        </w:rPr>
        <w:t>Research contributions, publications, and project experience.</w:t>
      </w:r>
    </w:p>
    <w:p>
      <w:pPr>
        <w:pStyle w:val="ListBullet2"/>
        <w:spacing w:after="80"/>
      </w:pPr>
      <w:r>
        <w:rPr>
          <w:rFonts w:ascii="Cambria" w:hAnsi="Cambria"/>
          <w:sz w:val="22"/>
        </w:rPr>
        <w:t>Communication skills, ethics, and fit with departmental culture.</w:t>
      </w:r>
    </w:p>
    <w:p>
      <w:pPr>
        <w:pStyle w:val="ListBullet"/>
        <w:spacing w:after="80"/>
      </w:pPr>
      <w:r>
        <w:rPr>
          <w:rFonts w:ascii="Cambria" w:hAnsi="Cambria"/>
          <w:sz w:val="22"/>
        </w:rPr>
        <w:t>Ensure that all candidates are evaluated on uniform criteria and that the process remains transparent and merit-based.</w:t>
      </w:r>
    </w:p>
    <w:p>
      <w:pPr>
        <w:pStyle w:val="ListBullet"/>
        <w:spacing w:after="80"/>
      </w:pPr>
      <w:r>
        <w:rPr>
          <w:rFonts w:ascii="Cambria" w:hAnsi="Cambria"/>
          <w:sz w:val="22"/>
        </w:rPr>
        <w:t>Provide subject-specific queries or classroom scenario questions to assess the applicant's teaching methodology.</w:t>
      </w:r>
    </w:p>
    <w:p>
      <w:pPr>
        <w:keepNext/>
        <w:spacing w:before="200" w:after="160"/>
      </w:pPr>
      <w:r>
        <w:rPr>
          <w:rFonts w:ascii="Cambria" w:hAnsi="Cambria"/>
          <w:b/>
          <w:color w:val="1F3A5F"/>
          <w:sz w:val="26"/>
        </w:rPr>
        <w:t>4. Evaluation and Recommendation</w:t>
      </w:r>
    </w:p>
    <w:p>
      <w:pPr>
        <w:pStyle w:val="ListBullet"/>
        <w:spacing w:after="80"/>
      </w:pPr>
      <w:r>
        <w:rPr>
          <w:rFonts w:ascii="Cambria" w:hAnsi="Cambria"/>
          <w:sz w:val="22"/>
        </w:rPr>
        <w:t>Contribute to marking and scoring candidates using standardized evaluation sheets.</w:t>
      </w:r>
    </w:p>
    <w:p>
      <w:pPr>
        <w:pStyle w:val="ListBullet"/>
        <w:spacing w:after="80"/>
      </w:pPr>
      <w:r>
        <w:rPr>
          <w:rFonts w:ascii="Cambria" w:hAnsi="Cambria"/>
          <w:sz w:val="22"/>
        </w:rPr>
        <w:t>Participate in deliberations with committee members to finalize the merit list or panel of selected candidates.</w:t>
      </w:r>
    </w:p>
    <w:p>
      <w:pPr>
        <w:pStyle w:val="ListBullet"/>
        <w:spacing w:after="80"/>
      </w:pPr>
      <w:r>
        <w:rPr>
          <w:rFonts w:ascii="Cambria" w:hAnsi="Cambria"/>
          <w:sz w:val="22"/>
        </w:rPr>
        <w:t>Support the preparation of Selection Committee Minutes, ensuring decisions are well justified and properly documented.</w:t>
      </w:r>
    </w:p>
    <w:p>
      <w:pPr>
        <w:pStyle w:val="ListBullet"/>
        <w:spacing w:after="80"/>
      </w:pPr>
      <w:r>
        <w:rPr>
          <w:rFonts w:ascii="Cambria" w:hAnsi="Cambria"/>
          <w:sz w:val="22"/>
        </w:rPr>
        <w:t>Recommend alternate candidates or maintain a waitlist if suitable candidates are unavailable for specific posts.</w:t>
      </w:r>
    </w:p>
    <w:p>
      <w:pPr>
        <w:keepNext/>
        <w:spacing w:before="200" w:after="160"/>
      </w:pPr>
      <w:r>
        <w:rPr>
          <w:rFonts w:ascii="Cambria" w:hAnsi="Cambria"/>
          <w:b/>
          <w:color w:val="1F3A5F"/>
          <w:sz w:val="26"/>
        </w:rPr>
        <w:t>5. Compliance and Ethical Conduct</w:t>
      </w:r>
    </w:p>
    <w:p>
      <w:pPr>
        <w:pStyle w:val="ListBullet"/>
        <w:spacing w:after="80"/>
      </w:pPr>
      <w:r>
        <w:rPr>
          <w:rFonts w:ascii="Cambria" w:hAnsi="Cambria"/>
          <w:sz w:val="22"/>
        </w:rPr>
        <w:t>Ensure the selection process adheres to UGC/AICTE/University guidelines regarding qualifications, experience, and reservation norms.</w:t>
      </w:r>
    </w:p>
    <w:p>
      <w:pPr>
        <w:pStyle w:val="ListBullet"/>
        <w:spacing w:after="80"/>
      </w:pPr>
      <w:r>
        <w:rPr>
          <w:rFonts w:ascii="Cambria" w:hAnsi="Cambria"/>
          <w:sz w:val="22"/>
        </w:rPr>
        <w:t>Uphold principles of fairness, integrity, and confidentiality throughout the recruitment process.</w:t>
      </w:r>
    </w:p>
    <w:p>
      <w:pPr>
        <w:pStyle w:val="ListBullet"/>
        <w:spacing w:after="80"/>
      </w:pPr>
      <w:r>
        <w:rPr>
          <w:rFonts w:ascii="Cambria" w:hAnsi="Cambria"/>
          <w:sz w:val="22"/>
        </w:rPr>
        <w:t>Declare any conflict of interest (if the candidate is a known associate or former student) and recuse if necessary.</w:t>
      </w:r>
    </w:p>
    <w:p>
      <w:pPr>
        <w:pStyle w:val="ListBullet"/>
        <w:spacing w:after="80"/>
      </w:pPr>
      <w:r>
        <w:rPr>
          <w:rFonts w:ascii="Cambria" w:hAnsi="Cambria"/>
          <w:sz w:val="22"/>
        </w:rPr>
        <w:t>Safeguard all interview data and documentation until officially handed over to HR or administration.</w:t>
      </w:r>
    </w:p>
    <w:p>
      <w:pPr>
        <w:keepNext/>
        <w:spacing w:before="200" w:after="160"/>
      </w:pPr>
      <w:r>
        <w:rPr>
          <w:rFonts w:ascii="Cambria" w:hAnsi="Cambria"/>
          <w:b/>
          <w:color w:val="1F3A5F"/>
          <w:sz w:val="26"/>
        </w:rPr>
        <w:t>6. Post-Selection Follow-Up</w:t>
      </w:r>
    </w:p>
    <w:p>
      <w:pPr>
        <w:pStyle w:val="ListBullet"/>
        <w:spacing w:after="80"/>
      </w:pPr>
      <w:r>
        <w:rPr>
          <w:rFonts w:ascii="Cambria" w:hAnsi="Cambria"/>
          <w:sz w:val="22"/>
        </w:rPr>
        <w:t>Review and sign off on final selection reports and panel recommendations before submission to higher authorities.</w:t>
      </w:r>
    </w:p>
    <w:p>
      <w:pPr>
        <w:pStyle w:val="ListBullet"/>
        <w:spacing w:after="80"/>
      </w:pPr>
      <w:r>
        <w:rPr>
          <w:rFonts w:ascii="Cambria" w:hAnsi="Cambria"/>
          <w:sz w:val="22"/>
        </w:rPr>
        <w:t>Provide feedback to HR on discipline-specific observations that may inform future recruitment cycles.</w:t>
      </w:r>
    </w:p>
    <w:p>
      <w:pPr>
        <w:pStyle w:val="ListBullet"/>
        <w:spacing w:after="80"/>
      </w:pPr>
      <w:r>
        <w:rPr>
          <w:rFonts w:ascii="Cambria" w:hAnsi="Cambria"/>
          <w:sz w:val="22"/>
        </w:rPr>
        <w:t>Assist in ensuring smooth onboarding and academic integration of newly appointed faculty.</w:t>
      </w:r>
    </w:p>
    <w:p>
      <w:pPr>
        <w:keepNext/>
        <w:spacing w:before="200" w:after="160"/>
      </w:pPr>
      <w:r>
        <w:rPr>
          <w:rFonts w:ascii="Cambria" w:hAnsi="Cambria"/>
          <w:b/>
          <w:color w:val="1F3A5F"/>
          <w:sz w:val="26"/>
        </w:rPr>
        <w:t>7. Contribution to Quality and Institutional Goals</w:t>
      </w:r>
    </w:p>
    <w:p>
      <w:pPr>
        <w:pStyle w:val="ListBullet"/>
        <w:spacing w:after="80"/>
      </w:pPr>
      <w:r>
        <w:rPr>
          <w:rFonts w:ascii="Cambria" w:hAnsi="Cambria"/>
          <w:sz w:val="22"/>
        </w:rPr>
        <w:t>Ensure selected faculty meet the department's academic standards and contribute to research, innovation, and accreditation goals.</w:t>
      </w:r>
    </w:p>
    <w:p>
      <w:pPr>
        <w:pStyle w:val="ListBullet"/>
        <w:spacing w:after="80"/>
      </w:pPr>
      <w:r>
        <w:rPr>
          <w:rFonts w:ascii="Cambria" w:hAnsi="Cambria"/>
          <w:sz w:val="22"/>
        </w:rPr>
        <w:t>Recommend candidates who can enhance the department's teaching–learning quality, research collaborations, and community outreach.</w:t>
      </w:r>
    </w:p>
    <w:p>
      <w:pPr>
        <w:pStyle w:val="ListBullet"/>
        <w:spacing w:after="80"/>
      </w:pPr>
      <w:r>
        <w:rPr>
          <w:rFonts w:ascii="Cambria" w:hAnsi="Cambria"/>
          <w:sz w:val="22"/>
        </w:rPr>
        <w:t>Align selection outcomes with the strategic objectives of the institution and departmental growth plan.</w:t>
      </w:r>
    </w:p>
    <w:p>
      <w:pPr>
        <w:keepNext/>
        <w:spacing w:before="200" w:after="160"/>
      </w:pPr>
      <w:r>
        <w:rPr>
          <w:rFonts w:ascii="Cambria" w:hAnsi="Cambria"/>
          <w:b/>
          <w:color w:val="1F3A5F"/>
          <w:sz w:val="30"/>
        </w:rPr>
        <w:t>Evaluation of Faculty Self-Appraisal</w:t>
      </w:r>
    </w:p>
    <w:p>
      <w:pPr>
        <w:keepNext/>
        <w:spacing w:before="200" w:after="160"/>
      </w:pPr>
      <w:r>
        <w:rPr>
          <w:rFonts w:ascii="Cambria" w:hAnsi="Cambria"/>
          <w:b/>
          <w:color w:val="1F3A5F"/>
          <w:sz w:val="26"/>
        </w:rPr>
        <w:t>1. Oversight of Faculty Performance Review Process</w:t>
      </w:r>
    </w:p>
    <w:p>
      <w:pPr>
        <w:pStyle w:val="ListBullet"/>
        <w:spacing w:after="80"/>
      </w:pPr>
      <w:r>
        <w:rPr>
          <w:rFonts w:ascii="Cambria" w:hAnsi="Cambria"/>
          <w:sz w:val="22"/>
        </w:rPr>
        <w:t>Ensure that the faculty self-appraisal process is conducted annually as per institutional guidelines.</w:t>
      </w:r>
    </w:p>
    <w:p>
      <w:pPr>
        <w:pStyle w:val="ListBullet"/>
        <w:spacing w:after="80"/>
      </w:pPr>
      <w:r>
        <w:rPr>
          <w:rFonts w:ascii="Cambria" w:hAnsi="Cambria"/>
          <w:sz w:val="22"/>
        </w:rPr>
        <w:t>Communicate timelines, formats, and submission requirements to all faculty members in the department.</w:t>
      </w:r>
    </w:p>
    <w:p>
      <w:pPr>
        <w:pStyle w:val="ListBullet"/>
        <w:spacing w:after="80"/>
      </w:pPr>
      <w:r>
        <w:rPr>
          <w:rFonts w:ascii="Cambria" w:hAnsi="Cambria"/>
          <w:sz w:val="22"/>
        </w:rPr>
        <w:t>Verify that each self-appraisal form includes all necessary sections such as teaching, research, publications, extension activities, and administrative work.</w:t>
      </w:r>
    </w:p>
    <w:p>
      <w:pPr>
        <w:keepNext/>
        <w:spacing w:before="200" w:after="160"/>
      </w:pPr>
      <w:r>
        <w:rPr>
          <w:rFonts w:ascii="Cambria" w:hAnsi="Cambria"/>
          <w:b/>
          <w:color w:val="1F3A5F"/>
          <w:sz w:val="26"/>
        </w:rPr>
        <w:t>2. Verification of Submitted Information</w:t>
      </w:r>
    </w:p>
    <w:p>
      <w:pPr>
        <w:pStyle w:val="ListBullet"/>
        <w:spacing w:after="80"/>
      </w:pPr>
      <w:r>
        <w:rPr>
          <w:rFonts w:ascii="Cambria" w:hAnsi="Cambria"/>
          <w:sz w:val="22"/>
        </w:rPr>
        <w:t>Examine each self-appraisal form for accuracy and completeness of the reported data.</w:t>
      </w:r>
    </w:p>
    <w:p>
      <w:pPr>
        <w:pStyle w:val="ListBullet"/>
        <w:spacing w:after="80"/>
      </w:pPr>
      <w:r>
        <w:rPr>
          <w:rFonts w:ascii="Cambria" w:hAnsi="Cambria"/>
          <w:sz w:val="22"/>
        </w:rPr>
        <w:t>Validate supporting documents such as:</w:t>
      </w:r>
    </w:p>
    <w:p>
      <w:pPr>
        <w:pStyle w:val="ListBullet2"/>
        <w:spacing w:after="80"/>
      </w:pPr>
      <w:r>
        <w:rPr>
          <w:rFonts w:ascii="Cambria" w:hAnsi="Cambria"/>
          <w:sz w:val="22"/>
        </w:rPr>
        <w:t>Course files, teaching plans, and student feedback summaries.</w:t>
      </w:r>
    </w:p>
    <w:p>
      <w:pPr>
        <w:pStyle w:val="ListBullet2"/>
        <w:spacing w:after="80"/>
      </w:pPr>
      <w:r>
        <w:rPr>
          <w:rFonts w:ascii="Cambria" w:hAnsi="Cambria"/>
          <w:sz w:val="22"/>
        </w:rPr>
        <w:t>Research papers, conference proceedings, patents, and project reports.</w:t>
      </w:r>
    </w:p>
    <w:p>
      <w:pPr>
        <w:pStyle w:val="ListBullet2"/>
        <w:spacing w:after="80"/>
      </w:pPr>
      <w:r>
        <w:rPr>
          <w:rFonts w:ascii="Cambria" w:hAnsi="Cambria"/>
          <w:sz w:val="22"/>
        </w:rPr>
        <w:t>Certificates of participation in FDPs, workshops, or community outreach.</w:t>
      </w:r>
    </w:p>
    <w:p>
      <w:pPr>
        <w:pStyle w:val="ListBullet"/>
        <w:spacing w:after="80"/>
      </w:pPr>
      <w:r>
        <w:rPr>
          <w:rFonts w:ascii="Cambria" w:hAnsi="Cambria"/>
          <w:sz w:val="22"/>
        </w:rPr>
        <w:t>Cross-check data with institutional records, IQAC data, and departmental logs to ensure authenticity.</w:t>
      </w:r>
    </w:p>
    <w:p>
      <w:pPr>
        <w:keepNext/>
        <w:spacing w:before="200" w:after="160"/>
      </w:pPr>
      <w:r>
        <w:rPr>
          <w:rFonts w:ascii="Cambria" w:hAnsi="Cambria"/>
          <w:b/>
          <w:color w:val="1F3A5F"/>
          <w:sz w:val="26"/>
        </w:rPr>
        <w:t>3. Performance Evaluation and Scoring</w:t>
      </w:r>
    </w:p>
    <w:p>
      <w:pPr>
        <w:pStyle w:val="ListBullet"/>
        <w:spacing w:after="80"/>
      </w:pPr>
      <w:r>
        <w:rPr>
          <w:rFonts w:ascii="Cambria" w:hAnsi="Cambria"/>
          <w:sz w:val="22"/>
        </w:rPr>
        <w:t>Assess faculty performance using predefined criteria and Key Performance Indicators (KPIs) such as:</w:t>
      </w:r>
    </w:p>
    <w:p>
      <w:pPr>
        <w:pStyle w:val="ListBullet2"/>
        <w:spacing w:after="80"/>
      </w:pPr>
      <w:r>
        <w:rPr>
          <w:rFonts w:ascii="Cambria" w:hAnsi="Cambria"/>
          <w:sz w:val="22"/>
        </w:rPr>
        <w:t>Teaching effectiveness (student feedback, innovative pedagogy).</w:t>
      </w:r>
    </w:p>
    <w:p>
      <w:pPr>
        <w:pStyle w:val="ListBullet2"/>
        <w:spacing w:after="80"/>
      </w:pPr>
      <w:r>
        <w:rPr>
          <w:rFonts w:ascii="Cambria" w:hAnsi="Cambria"/>
          <w:sz w:val="22"/>
        </w:rPr>
        <w:t>Research output (publications, funded projects, citations).</w:t>
      </w:r>
    </w:p>
    <w:p>
      <w:pPr>
        <w:pStyle w:val="ListBullet2"/>
        <w:spacing w:after="80"/>
      </w:pPr>
      <w:r>
        <w:rPr>
          <w:rFonts w:ascii="Cambria" w:hAnsi="Cambria"/>
          <w:sz w:val="22"/>
        </w:rPr>
        <w:t>Institutional contribution (committee work, mentorship, event coordination).</w:t>
      </w:r>
    </w:p>
    <w:p>
      <w:pPr>
        <w:pStyle w:val="ListBullet2"/>
        <w:spacing w:after="80"/>
      </w:pPr>
      <w:r>
        <w:rPr>
          <w:rFonts w:ascii="Cambria" w:hAnsi="Cambria"/>
          <w:sz w:val="22"/>
        </w:rPr>
        <w:t>Professional development and societal engagement.</w:t>
      </w:r>
    </w:p>
    <w:p>
      <w:pPr>
        <w:pStyle w:val="ListBullet"/>
        <w:spacing w:after="80"/>
      </w:pPr>
      <w:r>
        <w:rPr>
          <w:rFonts w:ascii="Cambria" w:hAnsi="Cambria"/>
          <w:sz w:val="22"/>
        </w:rPr>
        <w:t>Assign performance grades or scores according to institutional norms and ensure objectivity in evaluation.</w:t>
      </w:r>
    </w:p>
    <w:p>
      <w:pPr>
        <w:keepNext/>
        <w:spacing w:before="200" w:after="160"/>
      </w:pPr>
      <w:r>
        <w:rPr>
          <w:rFonts w:ascii="Cambria" w:hAnsi="Cambria"/>
          <w:b/>
          <w:color w:val="1F3A5F"/>
          <w:sz w:val="26"/>
        </w:rPr>
        <w:t>4. Providing Constructive Feedback</w:t>
      </w:r>
    </w:p>
    <w:p>
      <w:pPr>
        <w:pStyle w:val="ListBullet"/>
        <w:spacing w:after="80"/>
      </w:pPr>
      <w:r>
        <w:rPr>
          <w:rFonts w:ascii="Cambria" w:hAnsi="Cambria"/>
          <w:sz w:val="22"/>
        </w:rPr>
        <w:t>Conduct one-to-one review meetings with each faculty member to discuss strengths, areas for improvement, and career goals.</w:t>
      </w:r>
    </w:p>
    <w:p>
      <w:pPr>
        <w:pStyle w:val="ListBullet"/>
        <w:spacing w:after="80"/>
      </w:pPr>
      <w:r>
        <w:rPr>
          <w:rFonts w:ascii="Cambria" w:hAnsi="Cambria"/>
          <w:sz w:val="22"/>
        </w:rPr>
        <w:t>Offer constructive feedback on teaching methods, research direction, and professional behavior.</w:t>
      </w:r>
    </w:p>
    <w:p>
      <w:pPr>
        <w:pStyle w:val="ListBullet"/>
        <w:spacing w:after="80"/>
      </w:pPr>
      <w:r>
        <w:rPr>
          <w:rFonts w:ascii="Cambria" w:hAnsi="Cambria"/>
          <w:sz w:val="22"/>
        </w:rPr>
        <w:t>Encourage faculty to set SMART goals (Specific, Measurable, Achievable, Relevant, Time-bound) for the upcoming academic year.</w:t>
      </w:r>
    </w:p>
    <w:p>
      <w:pPr>
        <w:keepNext/>
        <w:spacing w:before="200" w:after="160"/>
      </w:pPr>
      <w:r>
        <w:rPr>
          <w:rFonts w:ascii="Cambria" w:hAnsi="Cambria"/>
          <w:b/>
          <w:color w:val="1F3A5F"/>
          <w:sz w:val="26"/>
        </w:rPr>
        <w:t>5. Documentation and Reporting</w:t>
      </w:r>
    </w:p>
    <w:p>
      <w:pPr>
        <w:pStyle w:val="ListBullet"/>
        <w:spacing w:after="80"/>
      </w:pPr>
      <w:r>
        <w:rPr>
          <w:rFonts w:ascii="Cambria" w:hAnsi="Cambria"/>
          <w:sz w:val="22"/>
        </w:rPr>
        <w:t>Compile all evaluated self-appraisal forms and submit a Departmental Performance Summary Report to IQAC or HR.</w:t>
      </w:r>
    </w:p>
    <w:p>
      <w:pPr>
        <w:pStyle w:val="ListBullet"/>
        <w:spacing w:after="80"/>
      </w:pPr>
      <w:r>
        <w:rPr>
          <w:rFonts w:ascii="Cambria" w:hAnsi="Cambria"/>
          <w:sz w:val="22"/>
        </w:rPr>
        <w:t>Maintain records of:</w:t>
      </w:r>
    </w:p>
    <w:p>
      <w:pPr>
        <w:pStyle w:val="ListBullet2"/>
        <w:spacing w:after="80"/>
      </w:pPr>
      <w:r>
        <w:rPr>
          <w:rFonts w:ascii="Cambria" w:hAnsi="Cambria"/>
          <w:sz w:val="22"/>
        </w:rPr>
        <w:t>Individual self-appraisal forms (signed and dated).</w:t>
      </w:r>
    </w:p>
    <w:p>
      <w:pPr>
        <w:pStyle w:val="ListBullet2"/>
        <w:spacing w:after="80"/>
      </w:pPr>
      <w:r>
        <w:rPr>
          <w:rFonts w:ascii="Cambria" w:hAnsi="Cambria"/>
          <w:sz w:val="22"/>
        </w:rPr>
        <w:t>Departmental evaluation sheets and remarks.</w:t>
      </w:r>
    </w:p>
    <w:p>
      <w:pPr>
        <w:pStyle w:val="ListBullet2"/>
        <w:spacing w:after="80"/>
      </w:pPr>
      <w:r>
        <w:rPr>
          <w:rFonts w:ascii="Cambria" w:hAnsi="Cambria"/>
          <w:sz w:val="22"/>
        </w:rPr>
        <w:t>Summary statistics of faculty performance across categories.</w:t>
      </w:r>
    </w:p>
    <w:p>
      <w:pPr>
        <w:pStyle w:val="ListBullet"/>
        <w:spacing w:after="80"/>
      </w:pPr>
      <w:r>
        <w:rPr>
          <w:rFonts w:ascii="Cambria" w:hAnsi="Cambria"/>
          <w:sz w:val="22"/>
        </w:rPr>
        <w:t>Ensure confidentiality and proper archiving of all appraisal documents for audit and accreditation purposes.</w:t>
      </w:r>
    </w:p>
    <w:p>
      <w:pPr>
        <w:keepNext/>
        <w:spacing w:before="200" w:after="160"/>
      </w:pPr>
      <w:r>
        <w:rPr>
          <w:rFonts w:ascii="Cambria" w:hAnsi="Cambria"/>
          <w:b/>
          <w:color w:val="1F3A5F"/>
          <w:sz w:val="26"/>
        </w:rPr>
        <w:t>6. Linkage with Career Progression and Incentives</w:t>
      </w:r>
    </w:p>
    <w:p>
      <w:pPr>
        <w:pStyle w:val="ListBullet"/>
        <w:spacing w:after="80"/>
      </w:pPr>
      <w:r>
        <w:rPr>
          <w:rFonts w:ascii="Cambria" w:hAnsi="Cambria"/>
          <w:sz w:val="22"/>
        </w:rPr>
        <w:t>Use evaluation results to support Annual Performance Appraisal Reports (APAR) or Career Advancement Scheme (CAS) recommendations.</w:t>
      </w:r>
    </w:p>
    <w:p>
      <w:pPr>
        <w:pStyle w:val="ListBullet"/>
        <w:spacing w:after="80"/>
      </w:pPr>
      <w:r>
        <w:rPr>
          <w:rFonts w:ascii="Cambria" w:hAnsi="Cambria"/>
          <w:sz w:val="22"/>
        </w:rPr>
        <w:t>Identify faculty eligible for promotion, increments, or rewards based on merit and performance.</w:t>
      </w:r>
    </w:p>
    <w:p>
      <w:pPr>
        <w:pStyle w:val="ListBullet"/>
        <w:spacing w:after="80"/>
      </w:pPr>
      <w:r>
        <w:rPr>
          <w:rFonts w:ascii="Cambria" w:hAnsi="Cambria"/>
          <w:sz w:val="22"/>
        </w:rPr>
        <w:t>Recommend faculty for training or mentoring programs to enhance underperforming areas.</w:t>
      </w:r>
    </w:p>
    <w:p>
      <w:pPr>
        <w:keepNext/>
        <w:spacing w:before="200" w:after="160"/>
      </w:pPr>
      <w:r>
        <w:rPr>
          <w:rFonts w:ascii="Cambria" w:hAnsi="Cambria"/>
          <w:b/>
          <w:color w:val="1F3A5F"/>
          <w:sz w:val="26"/>
        </w:rPr>
        <w:t>7. Alignment with Institutional Quality Goals</w:t>
      </w:r>
    </w:p>
    <w:p>
      <w:pPr>
        <w:pStyle w:val="ListBullet"/>
        <w:spacing w:after="80"/>
      </w:pPr>
      <w:r>
        <w:rPr>
          <w:rFonts w:ascii="Cambria" w:hAnsi="Cambria"/>
          <w:sz w:val="22"/>
        </w:rPr>
        <w:t>Ensure faculty evaluation contributes to continuous improvement in teaching-learning quality, research productivity, and community engagement.</w:t>
      </w:r>
    </w:p>
    <w:p>
      <w:pPr>
        <w:pStyle w:val="ListBullet"/>
        <w:spacing w:after="80"/>
      </w:pPr>
      <w:r>
        <w:rPr>
          <w:rFonts w:ascii="Cambria" w:hAnsi="Cambria"/>
          <w:sz w:val="22"/>
        </w:rPr>
        <w:t>Submit consolidated feedback to IQAC for inclusion in Quality Assurance and Annual Reports.</w:t>
      </w:r>
    </w:p>
    <w:p>
      <w:pPr>
        <w:pStyle w:val="ListBullet"/>
        <w:spacing w:after="80"/>
      </w:pPr>
      <w:r>
        <w:rPr>
          <w:rFonts w:ascii="Cambria" w:hAnsi="Cambria"/>
          <w:sz w:val="22"/>
        </w:rPr>
        <w:t>Align faculty performance with institutional targets in NAAC/NBA accreditation metrics and SDG/ESDG outcomes.</w:t>
      </w:r>
    </w:p>
    <w:p>
      <w:pPr>
        <w:keepNext/>
        <w:spacing w:before="200" w:after="160"/>
      </w:pPr>
      <w:r>
        <w:rPr>
          <w:rFonts w:ascii="Cambria" w:hAnsi="Cambria"/>
          <w:b/>
          <w:color w:val="1F3A5F"/>
          <w:sz w:val="30"/>
        </w:rPr>
        <w:t>Making Recommendations for Faculty Development</w:t>
      </w:r>
    </w:p>
    <w:p>
      <w:pPr>
        <w:keepNext/>
        <w:spacing w:before="200" w:after="160"/>
      </w:pPr>
      <w:r>
        <w:rPr>
          <w:rFonts w:ascii="Cambria" w:hAnsi="Cambria"/>
          <w:b/>
          <w:color w:val="1F3A5F"/>
          <w:sz w:val="26"/>
        </w:rPr>
        <w:t>1. Identification of Faculty Development Needs</w:t>
      </w:r>
    </w:p>
    <w:p>
      <w:pPr>
        <w:pStyle w:val="ListBullet"/>
        <w:spacing w:after="80"/>
      </w:pPr>
      <w:r>
        <w:rPr>
          <w:rFonts w:ascii="Cambria" w:hAnsi="Cambria"/>
          <w:sz w:val="22"/>
        </w:rPr>
        <w:t>Conduct periodic assessments to identify faculty skill gaps in teaching, research, and technology integration.</w:t>
      </w:r>
    </w:p>
    <w:p>
      <w:pPr>
        <w:pStyle w:val="ListBullet"/>
        <w:spacing w:after="80"/>
      </w:pPr>
      <w:r>
        <w:rPr>
          <w:rFonts w:ascii="Cambria" w:hAnsi="Cambria"/>
          <w:sz w:val="22"/>
        </w:rPr>
        <w:t>Review self-appraisal reports, student feedback, and performance evaluations to pinpoint areas requiring improvement.</w:t>
      </w:r>
    </w:p>
    <w:p>
      <w:pPr>
        <w:pStyle w:val="ListBullet"/>
        <w:spacing w:after="80"/>
      </w:pPr>
      <w:r>
        <w:rPr>
          <w:rFonts w:ascii="Cambria" w:hAnsi="Cambria"/>
          <w:sz w:val="22"/>
        </w:rPr>
        <w:t>Align development needs with institutional objectives, accreditation criteria (NBA/NAAC), and emerging trends in higher education.</w:t>
      </w:r>
    </w:p>
    <w:p>
      <w:pPr>
        <w:pStyle w:val="ListBullet"/>
        <w:spacing w:after="80"/>
      </w:pPr>
      <w:r>
        <w:rPr>
          <w:rFonts w:ascii="Cambria" w:hAnsi="Cambria"/>
          <w:sz w:val="22"/>
        </w:rPr>
        <w:t>Recognize specific faculty members who would benefit from training, mentorship, or specialized exposure.</w:t>
      </w:r>
    </w:p>
    <w:p>
      <w:pPr>
        <w:keepNext/>
        <w:spacing w:before="200" w:after="160"/>
      </w:pPr>
      <w:r>
        <w:rPr>
          <w:rFonts w:ascii="Cambria" w:hAnsi="Cambria"/>
          <w:b/>
          <w:color w:val="1F3A5F"/>
          <w:sz w:val="26"/>
        </w:rPr>
        <w:t>2. Planning and Prioritizing Development Activities</w:t>
      </w:r>
    </w:p>
    <w:p>
      <w:pPr>
        <w:pStyle w:val="ListBullet"/>
        <w:spacing w:after="80"/>
      </w:pPr>
      <w:r>
        <w:rPr>
          <w:rFonts w:ascii="Cambria" w:hAnsi="Cambria"/>
          <w:sz w:val="22"/>
        </w:rPr>
        <w:t>Develop a Faculty Development Plan (FDP) for the academic year in consultation with the Dean/Principal and IQAC.</w:t>
      </w:r>
    </w:p>
    <w:p>
      <w:pPr>
        <w:pStyle w:val="ListBullet"/>
        <w:spacing w:after="80"/>
      </w:pPr>
      <w:r>
        <w:rPr>
          <w:rFonts w:ascii="Cambria" w:hAnsi="Cambria"/>
          <w:sz w:val="22"/>
        </w:rPr>
        <w:t>Prioritize initiatives such as:</w:t>
      </w:r>
    </w:p>
    <w:p>
      <w:pPr>
        <w:pStyle w:val="ListBullet2"/>
        <w:spacing w:after="80"/>
      </w:pPr>
      <w:r>
        <w:rPr>
          <w:rFonts w:ascii="Cambria" w:hAnsi="Cambria"/>
          <w:sz w:val="22"/>
        </w:rPr>
        <w:t>Faculty Development Programs (FDPs) and workshops.</w:t>
      </w:r>
    </w:p>
    <w:p>
      <w:pPr>
        <w:pStyle w:val="ListBullet2"/>
        <w:spacing w:after="80"/>
      </w:pPr>
      <w:r>
        <w:rPr>
          <w:rFonts w:ascii="Cambria" w:hAnsi="Cambria"/>
          <w:sz w:val="22"/>
        </w:rPr>
        <w:t>Research methodology and publication training.</w:t>
      </w:r>
    </w:p>
    <w:p>
      <w:pPr>
        <w:pStyle w:val="ListBullet2"/>
        <w:spacing w:after="80"/>
      </w:pPr>
      <w:r>
        <w:rPr>
          <w:rFonts w:ascii="Cambria" w:hAnsi="Cambria"/>
          <w:sz w:val="22"/>
        </w:rPr>
        <w:t>Pedagogical innovation and ICT-based teaching training.</w:t>
      </w:r>
    </w:p>
    <w:p>
      <w:pPr>
        <w:pStyle w:val="ListBullet2"/>
        <w:spacing w:after="80"/>
      </w:pPr>
      <w:r>
        <w:rPr>
          <w:rFonts w:ascii="Cambria" w:hAnsi="Cambria"/>
          <w:sz w:val="22"/>
        </w:rPr>
        <w:t>Industrial training or consultancy exposure for practical enhancement.</w:t>
      </w:r>
    </w:p>
    <w:p>
      <w:pPr>
        <w:pStyle w:val="ListBullet"/>
        <w:spacing w:after="80"/>
      </w:pPr>
      <w:r>
        <w:rPr>
          <w:rFonts w:ascii="Cambria" w:hAnsi="Cambria"/>
          <w:sz w:val="22"/>
        </w:rPr>
        <w:t>Balance departmental workload to allow faculty participation without disrupting academic schedules.</w:t>
      </w:r>
    </w:p>
    <w:p>
      <w:pPr>
        <w:keepNext/>
        <w:spacing w:before="200" w:after="160"/>
      </w:pPr>
      <w:r>
        <w:rPr>
          <w:rFonts w:ascii="Cambria" w:hAnsi="Cambria"/>
          <w:b/>
          <w:color w:val="1F3A5F"/>
          <w:sz w:val="26"/>
        </w:rPr>
        <w:t>3. Recommending Training and Capacity Building Programs</w:t>
      </w:r>
    </w:p>
    <w:p>
      <w:pPr>
        <w:pStyle w:val="ListBullet"/>
        <w:spacing w:after="80"/>
      </w:pPr>
      <w:r>
        <w:rPr>
          <w:rFonts w:ascii="Cambria" w:hAnsi="Cambria"/>
          <w:sz w:val="22"/>
        </w:rPr>
        <w:t>Recommend faculty participation in internal or external FDPs, refresher courses, and orientation programs (UGC-HRDC, AICTE ATAL, NITTTR, etc.).</w:t>
      </w:r>
    </w:p>
    <w:p>
      <w:pPr>
        <w:pStyle w:val="ListBullet"/>
        <w:spacing w:after="80"/>
      </w:pPr>
      <w:r>
        <w:rPr>
          <w:rFonts w:ascii="Cambria" w:hAnsi="Cambria"/>
          <w:sz w:val="22"/>
        </w:rPr>
        <w:t>Suggest suitable programs based on faculty discipline, career stage, and specialization.</w:t>
      </w:r>
    </w:p>
    <w:p>
      <w:pPr>
        <w:pStyle w:val="ListBullet"/>
        <w:spacing w:after="80"/>
      </w:pPr>
      <w:r>
        <w:rPr>
          <w:rFonts w:ascii="Cambria" w:hAnsi="Cambria"/>
          <w:sz w:val="22"/>
        </w:rPr>
        <w:t>Encourage participation in MOOCs, online certifications (SWAYAM, NPTEL, Coursera, etc.), and international exchange programs.</w:t>
      </w:r>
    </w:p>
    <w:p>
      <w:pPr>
        <w:pStyle w:val="ListBullet"/>
        <w:spacing w:after="80"/>
      </w:pPr>
      <w:r>
        <w:rPr>
          <w:rFonts w:ascii="Cambria" w:hAnsi="Cambria"/>
          <w:sz w:val="22"/>
        </w:rPr>
        <w:t>Promote interdisciplinary learning by recommending cross-departmental or multi-institutional training opportunities.</w:t>
      </w:r>
    </w:p>
    <w:p>
      <w:pPr>
        <w:keepNext/>
        <w:spacing w:before="200" w:after="160"/>
      </w:pPr>
      <w:r>
        <w:rPr>
          <w:rFonts w:ascii="Cambria" w:hAnsi="Cambria"/>
          <w:b/>
          <w:color w:val="1F3A5F"/>
          <w:sz w:val="26"/>
        </w:rPr>
        <w:t>4. Research and Academic Growth Recommendations</w:t>
      </w:r>
    </w:p>
    <w:p>
      <w:pPr>
        <w:pStyle w:val="ListBullet"/>
        <w:spacing w:after="80"/>
      </w:pPr>
      <w:r>
        <w:rPr>
          <w:rFonts w:ascii="Cambria" w:hAnsi="Cambria"/>
          <w:sz w:val="22"/>
        </w:rPr>
        <w:t>Identify and recommend faculty for:</w:t>
      </w:r>
    </w:p>
    <w:p>
      <w:pPr>
        <w:pStyle w:val="ListBullet2"/>
        <w:spacing w:after="80"/>
      </w:pPr>
      <w:r>
        <w:rPr>
          <w:rFonts w:ascii="Cambria" w:hAnsi="Cambria"/>
          <w:sz w:val="22"/>
        </w:rPr>
        <w:t>Research collaborations, funded projects, or Ph.D. pursuits.</w:t>
      </w:r>
    </w:p>
    <w:p>
      <w:pPr>
        <w:pStyle w:val="ListBullet2"/>
        <w:spacing w:after="80"/>
      </w:pPr>
      <w:r>
        <w:rPr>
          <w:rFonts w:ascii="Cambria" w:hAnsi="Cambria"/>
          <w:sz w:val="22"/>
        </w:rPr>
        <w:t>Patent filing, innovation, and incubation activities.</w:t>
      </w:r>
    </w:p>
    <w:p>
      <w:pPr>
        <w:pStyle w:val="ListBullet2"/>
        <w:spacing w:after="80"/>
      </w:pPr>
      <w:r>
        <w:rPr>
          <w:rFonts w:ascii="Cambria" w:hAnsi="Cambria"/>
          <w:sz w:val="22"/>
        </w:rPr>
        <w:t>Participation in national and international conferences, seminars, and symposiums.</w:t>
      </w:r>
    </w:p>
    <w:p>
      <w:pPr>
        <w:pStyle w:val="ListBullet"/>
        <w:spacing w:after="80"/>
      </w:pPr>
      <w:r>
        <w:rPr>
          <w:rFonts w:ascii="Cambria" w:hAnsi="Cambria"/>
          <w:sz w:val="22"/>
        </w:rPr>
        <w:t>Support and recommend faculty for journal editorial boards, review committees, or professional society memberships.</w:t>
      </w:r>
    </w:p>
    <w:p>
      <w:pPr>
        <w:keepNext/>
        <w:spacing w:before="200" w:after="160"/>
      </w:pPr>
      <w:r>
        <w:rPr>
          <w:rFonts w:ascii="Cambria" w:hAnsi="Cambria"/>
          <w:b/>
          <w:color w:val="1F3A5F"/>
          <w:sz w:val="26"/>
        </w:rPr>
        <w:t>5. Mentoring and Career Advancement</w:t>
      </w:r>
    </w:p>
    <w:p>
      <w:pPr>
        <w:pStyle w:val="ListBullet"/>
        <w:spacing w:after="80"/>
      </w:pPr>
      <w:r>
        <w:rPr>
          <w:rFonts w:ascii="Cambria" w:hAnsi="Cambria"/>
          <w:sz w:val="22"/>
        </w:rPr>
        <w:t>Pair junior faculty with senior mentors for guidance on teaching methods, research writing, and career growth.</w:t>
      </w:r>
    </w:p>
    <w:p>
      <w:pPr>
        <w:pStyle w:val="ListBullet"/>
        <w:spacing w:after="80"/>
      </w:pPr>
      <w:r>
        <w:rPr>
          <w:rFonts w:ascii="Cambria" w:hAnsi="Cambria"/>
          <w:sz w:val="22"/>
        </w:rPr>
        <w:t>Recommend faculty for Career Advancement Scheme (CAS) or promotions based on achievements and appraisal outcomes.</w:t>
      </w:r>
    </w:p>
    <w:p>
      <w:pPr>
        <w:pStyle w:val="ListBullet"/>
        <w:spacing w:after="80"/>
      </w:pPr>
      <w:r>
        <w:rPr>
          <w:rFonts w:ascii="Cambria" w:hAnsi="Cambria"/>
          <w:sz w:val="22"/>
        </w:rPr>
        <w:t>Encourage leadership and administrative skill development through participation in committees, boards, and university-level bodies.</w:t>
      </w:r>
    </w:p>
    <w:p>
      <w:pPr>
        <w:keepNext/>
        <w:spacing w:before="200" w:after="160"/>
      </w:pPr>
      <w:r>
        <w:rPr>
          <w:rFonts w:ascii="Cambria" w:hAnsi="Cambria"/>
          <w:b/>
          <w:color w:val="1F3A5F"/>
          <w:sz w:val="26"/>
        </w:rPr>
        <w:t>6. Resource Allocation and Support</w:t>
      </w:r>
    </w:p>
    <w:p>
      <w:pPr>
        <w:pStyle w:val="ListBullet"/>
        <w:spacing w:after="80"/>
      </w:pPr>
      <w:r>
        <w:rPr>
          <w:rFonts w:ascii="Cambria" w:hAnsi="Cambria"/>
          <w:sz w:val="22"/>
        </w:rPr>
        <w:t>Recommend budget allocations for training, travel grants, and professional development.</w:t>
      </w:r>
    </w:p>
    <w:p>
      <w:pPr>
        <w:pStyle w:val="ListBullet"/>
        <w:spacing w:after="80"/>
      </w:pPr>
      <w:r>
        <w:rPr>
          <w:rFonts w:ascii="Cambria" w:hAnsi="Cambria"/>
          <w:sz w:val="22"/>
        </w:rPr>
        <w:t>Ensure funding proposals for faculty participation in national or international development programs are properly documented.</w:t>
      </w:r>
    </w:p>
    <w:p>
      <w:pPr>
        <w:pStyle w:val="ListBullet"/>
        <w:spacing w:after="80"/>
      </w:pPr>
      <w:r>
        <w:rPr>
          <w:rFonts w:ascii="Cambria" w:hAnsi="Cambria"/>
          <w:sz w:val="22"/>
        </w:rPr>
        <w:t>Facilitate access to learning resources, journals, and software tools essential for academic growth.</w:t>
      </w:r>
    </w:p>
    <w:p>
      <w:pPr>
        <w:keepNext/>
        <w:spacing w:before="200" w:after="160"/>
      </w:pPr>
      <w:r>
        <w:rPr>
          <w:rFonts w:ascii="Cambria" w:hAnsi="Cambria"/>
          <w:b/>
          <w:color w:val="1F3A5F"/>
          <w:sz w:val="26"/>
        </w:rPr>
        <w:t>7. Documentation and Reporting</w:t>
      </w:r>
    </w:p>
    <w:p>
      <w:pPr>
        <w:pStyle w:val="ListBullet"/>
        <w:spacing w:after="80"/>
      </w:pPr>
      <w:r>
        <w:rPr>
          <w:rFonts w:ascii="Cambria" w:hAnsi="Cambria"/>
          <w:sz w:val="22"/>
        </w:rPr>
        <w:t>Maintain records of all faculty development recommendations, approvals, and participation reports.</w:t>
      </w:r>
    </w:p>
    <w:p>
      <w:pPr>
        <w:pStyle w:val="ListBullet"/>
        <w:spacing w:after="80"/>
      </w:pPr>
      <w:r>
        <w:rPr>
          <w:rFonts w:ascii="Cambria" w:hAnsi="Cambria"/>
          <w:sz w:val="22"/>
        </w:rPr>
        <w:t>Submit periodic reports to IQAC/HRD Cell highlighting faculty achievements and completed development activities.</w:t>
      </w:r>
    </w:p>
    <w:p>
      <w:pPr>
        <w:pStyle w:val="ListBullet"/>
        <w:spacing w:after="80"/>
      </w:pPr>
      <w:r>
        <w:rPr>
          <w:rFonts w:ascii="Cambria" w:hAnsi="Cambria"/>
          <w:sz w:val="22"/>
        </w:rPr>
        <w:t>Track the impact of development programs on teaching quality, research output, and student performance.</w:t>
      </w:r>
    </w:p>
    <w:p>
      <w:pPr>
        <w:keepNext/>
        <w:spacing w:before="200" w:after="160"/>
      </w:pPr>
      <w:r>
        <w:rPr>
          <w:rFonts w:ascii="Cambria" w:hAnsi="Cambria"/>
          <w:b/>
          <w:color w:val="1F3A5F"/>
          <w:sz w:val="26"/>
        </w:rPr>
        <w:t>8. Alignment with Institutional and Accreditation Goals</w:t>
      </w:r>
    </w:p>
    <w:p>
      <w:pPr>
        <w:pStyle w:val="ListBullet"/>
        <w:spacing w:after="80"/>
      </w:pPr>
      <w:r>
        <w:rPr>
          <w:rFonts w:ascii="Cambria" w:hAnsi="Cambria"/>
          <w:sz w:val="22"/>
        </w:rPr>
        <w:t>Ensure that recommendations support the institution's goals for continuous quality improvement, innovation, and global competency building.</w:t>
      </w:r>
    </w:p>
    <w:p>
      <w:pPr>
        <w:pStyle w:val="ListBullet"/>
        <w:spacing w:after="80"/>
      </w:pPr>
      <w:r>
        <w:rPr>
          <w:rFonts w:ascii="Cambria" w:hAnsi="Cambria"/>
          <w:sz w:val="22"/>
        </w:rPr>
        <w:t>Align faculty development initiatives with SDG-4 (Quality Education) and national policy frameworks such as NEP-2020.</w:t>
      </w:r>
    </w:p>
    <w:p>
      <w:pPr>
        <w:pStyle w:val="ListBullet"/>
        <w:spacing w:after="80"/>
      </w:pPr>
      <w:r>
        <w:rPr>
          <w:rFonts w:ascii="Cambria" w:hAnsi="Cambria"/>
          <w:sz w:val="22"/>
        </w:rPr>
        <w:t>Support evidence requirements for NAAC Criterion 6 (Governance and Leadership) and Criterion 7 (Institutional Values and Best Practices).</w:t>
      </w:r>
    </w:p>
    <w:p>
      <w:pPr>
        <w:keepNext/>
        <w:spacing w:before="200" w:after="160"/>
      </w:pPr>
      <w:r>
        <w:rPr>
          <w:rFonts w:ascii="Cambria" w:hAnsi="Cambria"/>
          <w:b/>
          <w:color w:val="1F3A5F"/>
          <w:sz w:val="30"/>
        </w:rPr>
        <w:t>Faculty and Staff Workload Management</w:t>
      </w:r>
    </w:p>
    <w:p>
      <w:pPr>
        <w:keepNext/>
        <w:spacing w:before="200" w:after="160"/>
      </w:pPr>
      <w:r>
        <w:rPr>
          <w:rFonts w:ascii="Cambria" w:hAnsi="Cambria"/>
          <w:b/>
          <w:color w:val="1F3A5F"/>
          <w:sz w:val="26"/>
        </w:rPr>
        <w:t>1. Planning and Allocation of Workload</w:t>
      </w:r>
    </w:p>
    <w:p>
      <w:pPr>
        <w:pStyle w:val="ListBullet"/>
        <w:spacing w:after="80"/>
      </w:pPr>
      <w:r>
        <w:rPr>
          <w:rFonts w:ascii="Cambria" w:hAnsi="Cambria"/>
          <w:sz w:val="22"/>
        </w:rPr>
        <w:t>Prepare a comprehensive workload distribution plan at the beginning of each semester or academic year.</w:t>
      </w:r>
    </w:p>
    <w:p>
      <w:pPr>
        <w:pStyle w:val="ListBullet"/>
        <w:spacing w:after="80"/>
      </w:pPr>
      <w:r>
        <w:rPr>
          <w:rFonts w:ascii="Cambria" w:hAnsi="Cambria"/>
          <w:sz w:val="22"/>
        </w:rPr>
        <w:t>Allocate teaching, laboratory, research, and administrative duties to faculty members based on:</w:t>
      </w:r>
    </w:p>
    <w:p>
      <w:pPr>
        <w:pStyle w:val="ListBullet2"/>
        <w:spacing w:after="80"/>
      </w:pPr>
      <w:r>
        <w:rPr>
          <w:rFonts w:ascii="Cambria" w:hAnsi="Cambria"/>
          <w:sz w:val="22"/>
        </w:rPr>
        <w:t>Subject expertise and specialization.</w:t>
      </w:r>
    </w:p>
    <w:p>
      <w:pPr>
        <w:pStyle w:val="ListBullet2"/>
        <w:spacing w:after="80"/>
      </w:pPr>
      <w:r>
        <w:rPr>
          <w:rFonts w:ascii="Cambria" w:hAnsi="Cambria"/>
          <w:sz w:val="22"/>
        </w:rPr>
        <w:t>Academic experience and rank.</w:t>
      </w:r>
    </w:p>
    <w:p>
      <w:pPr>
        <w:pStyle w:val="ListBullet2"/>
        <w:spacing w:after="80"/>
      </w:pPr>
      <w:r>
        <w:rPr>
          <w:rFonts w:ascii="Cambria" w:hAnsi="Cambria"/>
          <w:sz w:val="22"/>
        </w:rPr>
        <w:t>Institutional norms for workload (UGC/AICTE/University).</w:t>
      </w:r>
    </w:p>
    <w:p>
      <w:pPr>
        <w:pStyle w:val="ListBullet"/>
        <w:spacing w:after="80"/>
      </w:pPr>
      <w:r>
        <w:rPr>
          <w:rFonts w:ascii="Cambria" w:hAnsi="Cambria"/>
          <w:sz w:val="22"/>
        </w:rPr>
        <w:t>Ensure fair and equitable distribution of responsibilities among faculty and staff to avoid overburdening or underutilization.</w:t>
      </w:r>
    </w:p>
    <w:p>
      <w:pPr>
        <w:keepNext/>
        <w:spacing w:before="200" w:after="160"/>
      </w:pPr>
      <w:r>
        <w:rPr>
          <w:rFonts w:ascii="Cambria" w:hAnsi="Cambria"/>
          <w:b/>
          <w:color w:val="1F3A5F"/>
          <w:sz w:val="26"/>
        </w:rPr>
        <w:t>2. Compliance with Regulatory Norms</w:t>
      </w:r>
    </w:p>
    <w:p>
      <w:pPr>
        <w:pStyle w:val="ListBullet"/>
        <w:spacing w:after="80"/>
      </w:pPr>
      <w:r>
        <w:rPr>
          <w:rFonts w:ascii="Cambria" w:hAnsi="Cambria"/>
          <w:sz w:val="22"/>
        </w:rPr>
        <w:t>Follow the prescribed teaching load norms (e.g., Assistant Professor: 16 hrs/week, Associate Professor: 14 hrs/week, Professor: 12 hrs/week).</w:t>
      </w:r>
    </w:p>
    <w:p>
      <w:pPr>
        <w:pStyle w:val="ListBullet"/>
        <w:spacing w:after="80"/>
      </w:pPr>
      <w:r>
        <w:rPr>
          <w:rFonts w:ascii="Cambria" w:hAnsi="Cambria"/>
          <w:sz w:val="22"/>
        </w:rPr>
        <w:t>Maintain faculty–student ratios and laboratory staff ratios as per AICTE/UGC regulations.</w:t>
      </w:r>
    </w:p>
    <w:p>
      <w:pPr>
        <w:pStyle w:val="ListBullet"/>
        <w:spacing w:after="80"/>
      </w:pPr>
      <w:r>
        <w:rPr>
          <w:rFonts w:ascii="Cambria" w:hAnsi="Cambria"/>
          <w:sz w:val="22"/>
        </w:rPr>
        <w:t>Ensure workload assignment supports the requirements of NBA, NAAC, and institutional audit standards.</w:t>
      </w:r>
    </w:p>
    <w:p>
      <w:pPr>
        <w:keepNext/>
        <w:spacing w:before="200" w:after="160"/>
      </w:pPr>
      <w:r>
        <w:rPr>
          <w:rFonts w:ascii="Cambria" w:hAnsi="Cambria"/>
          <w:b/>
          <w:color w:val="1F3A5F"/>
          <w:sz w:val="26"/>
        </w:rPr>
        <w:t>3. Integration of Academic and Non-Academic Duties</w:t>
      </w:r>
    </w:p>
    <w:p>
      <w:pPr>
        <w:pStyle w:val="ListBullet"/>
        <w:spacing w:after="80"/>
      </w:pPr>
      <w:r>
        <w:rPr>
          <w:rFonts w:ascii="Cambria" w:hAnsi="Cambria"/>
          <w:sz w:val="22"/>
        </w:rPr>
        <w:t>Distribute additional responsibilities such as:</w:t>
      </w:r>
    </w:p>
    <w:p>
      <w:pPr>
        <w:pStyle w:val="ListBullet2"/>
        <w:spacing w:after="80"/>
      </w:pPr>
      <w:r>
        <w:rPr>
          <w:rFonts w:ascii="Cambria" w:hAnsi="Cambria"/>
          <w:sz w:val="22"/>
        </w:rPr>
        <w:t>Mentorship and student counseling.</w:t>
      </w:r>
    </w:p>
    <w:p>
      <w:pPr>
        <w:pStyle w:val="ListBullet2"/>
        <w:spacing w:after="80"/>
      </w:pPr>
      <w:r>
        <w:rPr>
          <w:rFonts w:ascii="Cambria" w:hAnsi="Cambria"/>
          <w:sz w:val="22"/>
        </w:rPr>
        <w:t>Project guidance and research supervision.</w:t>
      </w:r>
    </w:p>
    <w:p>
      <w:pPr>
        <w:pStyle w:val="ListBullet2"/>
        <w:spacing w:after="80"/>
      </w:pPr>
      <w:r>
        <w:rPr>
          <w:rFonts w:ascii="Cambria" w:hAnsi="Cambria"/>
          <w:sz w:val="22"/>
        </w:rPr>
        <w:t>Committee memberships, departmental coordination, and accreditation work.</w:t>
      </w:r>
    </w:p>
    <w:p>
      <w:pPr>
        <w:pStyle w:val="ListBullet"/>
        <w:spacing w:after="80"/>
      </w:pPr>
      <w:r>
        <w:rPr>
          <w:rFonts w:ascii="Cambria" w:hAnsi="Cambria"/>
          <w:sz w:val="22"/>
        </w:rPr>
        <w:t>Ensure that such additional duties are balanced with teaching responsibilities for effective performance.</w:t>
      </w:r>
    </w:p>
    <w:p>
      <w:pPr>
        <w:keepNext/>
        <w:spacing w:before="200" w:after="160"/>
      </w:pPr>
      <w:r>
        <w:rPr>
          <w:rFonts w:ascii="Cambria" w:hAnsi="Cambria"/>
          <w:b/>
          <w:color w:val="1F3A5F"/>
          <w:sz w:val="26"/>
        </w:rPr>
        <w:t>4. Laboratory and Technical Staff Workload Management</w:t>
      </w:r>
    </w:p>
    <w:p>
      <w:pPr>
        <w:pStyle w:val="ListBullet"/>
        <w:spacing w:after="80"/>
      </w:pPr>
      <w:r>
        <w:rPr>
          <w:rFonts w:ascii="Cambria" w:hAnsi="Cambria"/>
          <w:sz w:val="22"/>
        </w:rPr>
        <w:t>Assign technical staff duties based on the number of labs, equipment handling, and maintenance schedules.</w:t>
      </w:r>
    </w:p>
    <w:p>
      <w:pPr>
        <w:pStyle w:val="ListBullet"/>
        <w:spacing w:after="80"/>
      </w:pPr>
      <w:r>
        <w:rPr>
          <w:rFonts w:ascii="Cambria" w:hAnsi="Cambria"/>
          <w:sz w:val="22"/>
        </w:rPr>
        <w:t>Prepare weekly lab rosters to ensure smooth conduct of experiments and practical sessions.</w:t>
      </w:r>
    </w:p>
    <w:p>
      <w:pPr>
        <w:pStyle w:val="ListBullet"/>
        <w:spacing w:after="80"/>
      </w:pPr>
      <w:r>
        <w:rPr>
          <w:rFonts w:ascii="Cambria" w:hAnsi="Cambria"/>
          <w:sz w:val="22"/>
        </w:rPr>
        <w:t>Include support staff in workload documentation for transparency and performance evaluation.</w:t>
      </w:r>
    </w:p>
    <w:p>
      <w:pPr>
        <w:keepNext/>
        <w:spacing w:before="200" w:after="160"/>
      </w:pPr>
      <w:r>
        <w:rPr>
          <w:rFonts w:ascii="Cambria" w:hAnsi="Cambria"/>
          <w:b/>
          <w:color w:val="1F3A5F"/>
          <w:sz w:val="26"/>
        </w:rPr>
        <w:t>5. Monitoring and Adjustments</w:t>
      </w:r>
    </w:p>
    <w:p>
      <w:pPr>
        <w:pStyle w:val="ListBullet"/>
        <w:spacing w:after="80"/>
      </w:pPr>
      <w:r>
        <w:rPr>
          <w:rFonts w:ascii="Cambria" w:hAnsi="Cambria"/>
          <w:sz w:val="22"/>
        </w:rPr>
        <w:t>Regularly review and update workload distribution in case of faculty leave, resignation, or changes in intake/course structure.</w:t>
      </w:r>
    </w:p>
    <w:p>
      <w:pPr>
        <w:pStyle w:val="ListBullet"/>
        <w:spacing w:after="80"/>
      </w:pPr>
      <w:r>
        <w:rPr>
          <w:rFonts w:ascii="Cambria" w:hAnsi="Cambria"/>
          <w:sz w:val="22"/>
        </w:rPr>
        <w:t>Reallocate classes or lab duties promptly to maintain the continuity of academic delivery.</w:t>
      </w:r>
    </w:p>
    <w:p>
      <w:pPr>
        <w:pStyle w:val="ListBullet"/>
        <w:spacing w:after="80"/>
      </w:pPr>
      <w:r>
        <w:rPr>
          <w:rFonts w:ascii="Cambria" w:hAnsi="Cambria"/>
          <w:sz w:val="22"/>
        </w:rPr>
        <w:t>Conduct mid-semester workload reviews to identify imbalances and resolve scheduling issues.</w:t>
      </w:r>
    </w:p>
    <w:p>
      <w:pPr>
        <w:keepNext/>
        <w:spacing w:before="200" w:after="160"/>
      </w:pPr>
      <w:r>
        <w:rPr>
          <w:rFonts w:ascii="Cambria" w:hAnsi="Cambria"/>
          <w:b/>
          <w:color w:val="1F3A5F"/>
          <w:sz w:val="26"/>
        </w:rPr>
        <w:t>6. Documentation and Reporting</w:t>
      </w:r>
    </w:p>
    <w:p>
      <w:pPr>
        <w:pStyle w:val="ListBullet"/>
        <w:spacing w:after="80"/>
      </w:pPr>
      <w:r>
        <w:rPr>
          <w:rFonts w:ascii="Cambria" w:hAnsi="Cambria"/>
          <w:sz w:val="22"/>
        </w:rPr>
        <w:t>Maintain a Faculty Workload Register or digital record indicating course codes, hours/week, and assigned faculty.</w:t>
      </w:r>
    </w:p>
    <w:p>
      <w:pPr>
        <w:pStyle w:val="ListBullet"/>
        <w:spacing w:after="80"/>
      </w:pPr>
      <w:r>
        <w:rPr>
          <w:rFonts w:ascii="Cambria" w:hAnsi="Cambria"/>
          <w:sz w:val="22"/>
        </w:rPr>
        <w:t>Keep copies of timetables, lab schedules, and workload summary sheets for audits and accreditation purposes.</w:t>
      </w:r>
    </w:p>
    <w:p>
      <w:pPr>
        <w:pStyle w:val="ListBullet"/>
        <w:spacing w:after="80"/>
      </w:pPr>
      <w:r>
        <w:rPr>
          <w:rFonts w:ascii="Cambria" w:hAnsi="Cambria"/>
          <w:sz w:val="22"/>
        </w:rPr>
        <w:t>Submit semester-wise workload statements to the Dean/Principal and IQAC for approval and quality monitoring.</w:t>
      </w:r>
    </w:p>
    <w:p>
      <w:pPr>
        <w:keepNext/>
        <w:spacing w:before="200" w:after="160"/>
      </w:pPr>
      <w:r>
        <w:rPr>
          <w:rFonts w:ascii="Cambria" w:hAnsi="Cambria"/>
          <w:b/>
          <w:color w:val="1F3A5F"/>
          <w:sz w:val="26"/>
        </w:rPr>
        <w:t>7. Optimization and Efficiency</w:t>
      </w:r>
    </w:p>
    <w:p>
      <w:pPr>
        <w:pStyle w:val="ListBullet"/>
        <w:spacing w:after="80"/>
      </w:pPr>
      <w:r>
        <w:rPr>
          <w:rFonts w:ascii="Cambria" w:hAnsi="Cambria"/>
          <w:sz w:val="22"/>
        </w:rPr>
        <w:t>Use workload data to identify gaps or overlaps in teaching and lab sessions.</w:t>
      </w:r>
    </w:p>
    <w:p>
      <w:pPr>
        <w:pStyle w:val="ListBullet"/>
        <w:spacing w:after="80"/>
      </w:pPr>
      <w:r>
        <w:rPr>
          <w:rFonts w:ascii="Cambria" w:hAnsi="Cambria"/>
          <w:sz w:val="22"/>
        </w:rPr>
        <w:t>Optimize available faculty resources by introducing team teaching, blended learning, or co-supervision models.</w:t>
      </w:r>
    </w:p>
    <w:p>
      <w:pPr>
        <w:pStyle w:val="ListBullet"/>
        <w:spacing w:after="80"/>
      </w:pPr>
      <w:r>
        <w:rPr>
          <w:rFonts w:ascii="Cambria" w:hAnsi="Cambria"/>
          <w:sz w:val="22"/>
        </w:rPr>
        <w:t>Ensure teaching–research balance, enabling faculty to contribute effectively to both domains.</w:t>
      </w:r>
    </w:p>
    <w:p>
      <w:pPr>
        <w:keepNext/>
        <w:spacing w:before="200" w:after="160"/>
      </w:pPr>
      <w:r>
        <w:rPr>
          <w:rFonts w:ascii="Cambria" w:hAnsi="Cambria"/>
          <w:b/>
          <w:color w:val="1F3A5F"/>
          <w:sz w:val="26"/>
        </w:rPr>
        <w:t>8. Transparency and Fairness</w:t>
      </w:r>
    </w:p>
    <w:p>
      <w:pPr>
        <w:pStyle w:val="ListBullet"/>
        <w:spacing w:after="80"/>
      </w:pPr>
      <w:r>
        <w:rPr>
          <w:rFonts w:ascii="Cambria" w:hAnsi="Cambria"/>
          <w:sz w:val="22"/>
        </w:rPr>
        <w:t>Maintain openness in workload allocation, discussing responsibilities in departmental meetings before finalization.</w:t>
      </w:r>
    </w:p>
    <w:p>
      <w:pPr>
        <w:pStyle w:val="ListBullet"/>
        <w:spacing w:after="80"/>
      </w:pPr>
      <w:r>
        <w:rPr>
          <w:rFonts w:ascii="Cambria" w:hAnsi="Cambria"/>
          <w:sz w:val="22"/>
        </w:rPr>
        <w:t>Address any faculty grievances regarding workload distribution promptly and fairly.</w:t>
      </w:r>
    </w:p>
    <w:p>
      <w:pPr>
        <w:pStyle w:val="ListBullet"/>
        <w:spacing w:after="80"/>
      </w:pPr>
      <w:r>
        <w:rPr>
          <w:rFonts w:ascii="Cambria" w:hAnsi="Cambria"/>
          <w:sz w:val="22"/>
        </w:rPr>
        <w:t>Encourage feedback and promote a culture of collaboration and mutual support among faculty and staff.</w:t>
      </w:r>
    </w:p>
    <w:p>
      <w:pPr>
        <w:keepNext/>
        <w:spacing w:before="200" w:after="160"/>
      </w:pPr>
      <w:r>
        <w:rPr>
          <w:rFonts w:ascii="Cambria" w:hAnsi="Cambria"/>
          <w:b/>
          <w:color w:val="1F3A5F"/>
          <w:sz w:val="26"/>
        </w:rPr>
        <w:t>9. Strategic and Long-Term Planning</w:t>
      </w:r>
    </w:p>
    <w:p>
      <w:pPr>
        <w:pStyle w:val="ListBullet"/>
        <w:spacing w:after="80"/>
      </w:pPr>
      <w:r>
        <w:rPr>
          <w:rFonts w:ascii="Cambria" w:hAnsi="Cambria"/>
          <w:sz w:val="22"/>
        </w:rPr>
        <w:t>Use workload data to forecast future faculty and staff requirements in case of new course launches or student intake increases.</w:t>
      </w:r>
    </w:p>
    <w:p>
      <w:pPr>
        <w:pStyle w:val="ListBullet"/>
        <w:spacing w:after="80"/>
      </w:pPr>
      <w:r>
        <w:rPr>
          <w:rFonts w:ascii="Cambria" w:hAnsi="Cambria"/>
          <w:sz w:val="22"/>
        </w:rPr>
        <w:t>Recommend additional recruitments or guest faculty appointments when workload exceeds permissible limits.</w:t>
      </w:r>
    </w:p>
    <w:p>
      <w:pPr>
        <w:pStyle w:val="ListBullet"/>
        <w:spacing w:after="80"/>
      </w:pPr>
      <w:r>
        <w:rPr>
          <w:rFonts w:ascii="Cambria" w:hAnsi="Cambria"/>
          <w:sz w:val="22"/>
        </w:rPr>
        <w:t>Align workload management with institutional goals of efficiency, quality teaching, and academic excellence.</w:t>
      </w:r>
    </w:p>
    <w:p>
      <w:pPr>
        <w:keepNext/>
        <w:spacing w:before="200" w:after="160"/>
      </w:pPr>
      <w:r>
        <w:rPr>
          <w:rFonts w:ascii="Cambria" w:hAnsi="Cambria"/>
          <w:b/>
          <w:color w:val="1F3A5F"/>
          <w:sz w:val="30"/>
        </w:rPr>
        <w:t>Documentation and Reporting Responsibilities of HoD in Faculty and Staff Workload Management</w:t>
      </w:r>
    </w:p>
    <w:p>
      <w:pPr>
        <w:keepNext/>
        <w:spacing w:before="200" w:after="160"/>
      </w:pPr>
      <w:r>
        <w:rPr>
          <w:rFonts w:ascii="Cambria" w:hAnsi="Cambria"/>
          <w:b/>
          <w:color w:val="1F3A5F"/>
          <w:sz w:val="26"/>
        </w:rPr>
        <w:t>1. Maintenance of Faculty Workload Records</w:t>
      </w:r>
    </w:p>
    <w:p>
      <w:pPr>
        <w:pStyle w:val="ListBullet"/>
        <w:spacing w:after="80"/>
      </w:pPr>
      <w:r>
        <w:rPr>
          <w:rFonts w:ascii="Cambria" w:hAnsi="Cambria"/>
          <w:sz w:val="22"/>
        </w:rPr>
        <w:t>Maintain a Faculty Workload Register or a digital workload management system that captures:</w:t>
      </w:r>
    </w:p>
    <w:p>
      <w:pPr>
        <w:pStyle w:val="ListBullet2"/>
        <w:spacing w:after="80"/>
      </w:pPr>
      <w:r>
        <w:rPr>
          <w:rFonts w:ascii="Cambria" w:hAnsi="Cambria"/>
          <w:sz w:val="22"/>
        </w:rPr>
        <w:t>Course code, title, and credit structure.</w:t>
      </w:r>
    </w:p>
    <w:p>
      <w:pPr>
        <w:pStyle w:val="ListBullet2"/>
        <w:spacing w:after="80"/>
      </w:pPr>
      <w:r>
        <w:rPr>
          <w:rFonts w:ascii="Cambria" w:hAnsi="Cambria"/>
          <w:sz w:val="22"/>
        </w:rPr>
        <w:t>Faculty name and designation.</w:t>
      </w:r>
    </w:p>
    <w:p>
      <w:pPr>
        <w:pStyle w:val="ListBullet2"/>
        <w:spacing w:after="80"/>
      </w:pPr>
      <w:r>
        <w:rPr>
          <w:rFonts w:ascii="Cambria" w:hAnsi="Cambria"/>
          <w:sz w:val="22"/>
        </w:rPr>
        <w:t>Number of lecture, tutorial, and lab hours per week.</w:t>
      </w:r>
    </w:p>
    <w:p>
      <w:pPr>
        <w:pStyle w:val="ListBullet2"/>
        <w:spacing w:after="80"/>
      </w:pPr>
      <w:r>
        <w:rPr>
          <w:rFonts w:ascii="Cambria" w:hAnsi="Cambria"/>
          <w:sz w:val="22"/>
        </w:rPr>
        <w:t>Assigned sections or student groups.</w:t>
      </w:r>
    </w:p>
    <w:p>
      <w:pPr>
        <w:pStyle w:val="ListBullet"/>
        <w:spacing w:after="80"/>
      </w:pPr>
      <w:r>
        <w:rPr>
          <w:rFonts w:ascii="Cambria" w:hAnsi="Cambria"/>
          <w:sz w:val="22"/>
        </w:rPr>
        <w:t>Update the register each semester to reflect any modifications in course allocation, timetable, or faculty assignments.</w:t>
      </w:r>
    </w:p>
    <w:p>
      <w:pPr>
        <w:pStyle w:val="ListBullet"/>
        <w:spacing w:after="80"/>
      </w:pPr>
      <w:r>
        <w:rPr>
          <w:rFonts w:ascii="Cambria" w:hAnsi="Cambria"/>
          <w:sz w:val="22"/>
        </w:rPr>
        <w:t>Ensure the record is authenticated with faculty signatures and verified by the HoD for accuracy and accountability.</w:t>
      </w:r>
    </w:p>
    <w:p>
      <w:pPr>
        <w:keepNext/>
        <w:spacing w:before="200" w:after="160"/>
      </w:pPr>
      <w:r>
        <w:rPr>
          <w:rFonts w:ascii="Cambria" w:hAnsi="Cambria"/>
          <w:b/>
          <w:color w:val="1F3A5F"/>
          <w:sz w:val="26"/>
        </w:rPr>
        <w:t>2. Documentation of Supporting Evidence</w:t>
      </w:r>
    </w:p>
    <w:p>
      <w:pPr>
        <w:pStyle w:val="ListBullet"/>
        <w:spacing w:after="80"/>
      </w:pPr>
      <w:r>
        <w:rPr>
          <w:rFonts w:ascii="Cambria" w:hAnsi="Cambria"/>
          <w:sz w:val="22"/>
        </w:rPr>
        <w:t>Keep organized copies of department timetables, lab schedules, and workload summary sheets in both physical and digital formats.</w:t>
      </w:r>
    </w:p>
    <w:p>
      <w:pPr>
        <w:pStyle w:val="ListBullet"/>
        <w:spacing w:after="80"/>
      </w:pPr>
      <w:r>
        <w:rPr>
          <w:rFonts w:ascii="Cambria" w:hAnsi="Cambria"/>
          <w:sz w:val="22"/>
        </w:rPr>
        <w:t>Include faculty substitution logs, leave adjustments, and additional academic assignments (e.g., mentoring, committee work).</w:t>
      </w:r>
    </w:p>
    <w:p>
      <w:pPr>
        <w:pStyle w:val="ListBullet"/>
        <w:spacing w:after="80"/>
      </w:pPr>
      <w:r>
        <w:rPr>
          <w:rFonts w:ascii="Cambria" w:hAnsi="Cambria"/>
          <w:sz w:val="22"/>
        </w:rPr>
        <w:t>Archive records of guest faculty engagements, visiting lecturers, and adjunct faculty schedules for audit reference.</w:t>
      </w:r>
    </w:p>
    <w:p>
      <w:pPr>
        <w:pStyle w:val="ListBullet"/>
        <w:spacing w:after="80"/>
      </w:pPr>
      <w:r>
        <w:rPr>
          <w:rFonts w:ascii="Cambria" w:hAnsi="Cambria"/>
          <w:sz w:val="22"/>
        </w:rPr>
        <w:t>Ensure all documents are aligned with AICTE/UGC norms and institutional audit templates.</w:t>
      </w:r>
    </w:p>
    <w:p>
      <w:pPr>
        <w:keepNext/>
        <w:spacing w:before="200" w:after="160"/>
      </w:pPr>
      <w:r>
        <w:rPr>
          <w:rFonts w:ascii="Cambria" w:hAnsi="Cambria"/>
          <w:b/>
          <w:color w:val="1F3A5F"/>
          <w:sz w:val="26"/>
        </w:rPr>
        <w:t>3. Semester-Wise Reporting and Submission</w:t>
      </w:r>
    </w:p>
    <w:p>
      <w:pPr>
        <w:pStyle w:val="ListBullet"/>
        <w:spacing w:after="80"/>
      </w:pPr>
      <w:r>
        <w:rPr>
          <w:rFonts w:ascii="Cambria" w:hAnsi="Cambria"/>
          <w:sz w:val="22"/>
        </w:rPr>
        <w:t>Prepare and submit semester-wise workload statements to:</w:t>
      </w:r>
    </w:p>
    <w:p>
      <w:pPr>
        <w:pStyle w:val="ListBullet2"/>
        <w:spacing w:after="80"/>
      </w:pPr>
      <w:r>
        <w:rPr>
          <w:rFonts w:ascii="Cambria" w:hAnsi="Cambria"/>
          <w:sz w:val="22"/>
        </w:rPr>
        <w:t>Dean/Principal – for administrative approval and verification of teaching load compliance.</w:t>
      </w:r>
    </w:p>
    <w:p>
      <w:pPr>
        <w:pStyle w:val="ListBullet2"/>
        <w:spacing w:after="80"/>
      </w:pPr>
      <w:r>
        <w:rPr>
          <w:rFonts w:ascii="Cambria" w:hAnsi="Cambria"/>
          <w:sz w:val="22"/>
        </w:rPr>
        <w:t>IQAC (Internal Quality Assurance Cell) – for inclusion in institutional quality and accreditation reports.</w:t>
      </w:r>
    </w:p>
    <w:p>
      <w:pPr>
        <w:pStyle w:val="ListBullet"/>
        <w:spacing w:after="80"/>
      </w:pPr>
      <w:r>
        <w:rPr>
          <w:rFonts w:ascii="Cambria" w:hAnsi="Cambria"/>
          <w:sz w:val="22"/>
        </w:rPr>
        <w:t>Ensure reports include:</w:t>
      </w:r>
    </w:p>
    <w:p>
      <w:pPr>
        <w:pStyle w:val="ListBullet2"/>
        <w:spacing w:after="80"/>
      </w:pPr>
      <w:r>
        <w:rPr>
          <w:rFonts w:ascii="Cambria" w:hAnsi="Cambria"/>
          <w:sz w:val="22"/>
        </w:rPr>
        <w:t>Faculty–course mapping summary.</w:t>
      </w:r>
    </w:p>
    <w:p>
      <w:pPr>
        <w:pStyle w:val="ListBullet2"/>
        <w:spacing w:after="80"/>
      </w:pPr>
      <w:r>
        <w:rPr>
          <w:rFonts w:ascii="Cambria" w:hAnsi="Cambria"/>
          <w:sz w:val="22"/>
        </w:rPr>
        <w:t>Compliance with prescribed workload norms.</w:t>
      </w:r>
    </w:p>
    <w:p>
      <w:pPr>
        <w:pStyle w:val="ListBullet2"/>
        <w:spacing w:after="80"/>
      </w:pPr>
      <w:r>
        <w:rPr>
          <w:rFonts w:ascii="Cambria" w:hAnsi="Cambria"/>
          <w:sz w:val="22"/>
        </w:rPr>
        <w:t>Remarks on workload deviations, if any, and corrective actions taken.</w:t>
      </w:r>
    </w:p>
    <w:p>
      <w:pPr>
        <w:pStyle w:val="ListBullet"/>
        <w:spacing w:after="80"/>
      </w:pPr>
      <w:r>
        <w:rPr>
          <w:rFonts w:ascii="Cambria" w:hAnsi="Cambria"/>
          <w:sz w:val="22"/>
        </w:rPr>
        <w:t>Maintain submission receipts and approval copies in the departmental documentation file.</w:t>
      </w:r>
    </w:p>
    <w:p>
      <w:pPr>
        <w:keepNext/>
        <w:spacing w:before="200" w:after="160"/>
      </w:pPr>
      <w:r>
        <w:rPr>
          <w:rFonts w:ascii="Cambria" w:hAnsi="Cambria"/>
          <w:b/>
          <w:color w:val="1F3A5F"/>
          <w:sz w:val="26"/>
        </w:rPr>
        <w:t>4. Data Integration for Quality and Accreditation</w:t>
      </w:r>
    </w:p>
    <w:p>
      <w:pPr>
        <w:pStyle w:val="ListBullet"/>
        <w:spacing w:after="80"/>
      </w:pPr>
      <w:r>
        <w:rPr>
          <w:rFonts w:ascii="Cambria" w:hAnsi="Cambria"/>
          <w:sz w:val="22"/>
        </w:rPr>
        <w:t>Provide verified workload data during NAAC, NBA, or internal academic audits as evidence for compliance.</w:t>
      </w:r>
    </w:p>
    <w:p>
      <w:pPr>
        <w:pStyle w:val="ListBullet"/>
        <w:spacing w:after="80"/>
      </w:pPr>
      <w:r>
        <w:rPr>
          <w:rFonts w:ascii="Cambria" w:hAnsi="Cambria"/>
          <w:sz w:val="22"/>
        </w:rPr>
        <w:t>Ensure workload documentation contributes to Criterion 2 (Teaching–Learning and Evaluation) and Criterion 6 (Governance and Leadership) in accreditation frameworks.</w:t>
      </w:r>
    </w:p>
    <w:p>
      <w:pPr>
        <w:pStyle w:val="ListBullet"/>
        <w:spacing w:after="80"/>
      </w:pPr>
      <w:r>
        <w:rPr>
          <w:rFonts w:ascii="Cambria" w:hAnsi="Cambria"/>
          <w:sz w:val="22"/>
        </w:rPr>
        <w:t>Collaborate with IQAC to update institutional dashboards or MIS systems with accurate faculty load data.</w:t>
      </w:r>
    </w:p>
    <w:p>
      <w:pPr>
        <w:keepNext/>
        <w:spacing w:before="200" w:after="160"/>
      </w:pPr>
      <w:r>
        <w:rPr>
          <w:rFonts w:ascii="Cambria" w:hAnsi="Cambria"/>
          <w:b/>
          <w:color w:val="1F3A5F"/>
          <w:sz w:val="26"/>
        </w:rPr>
        <w:t>5. Record Retention and Review</w:t>
      </w:r>
    </w:p>
    <w:p>
      <w:pPr>
        <w:pStyle w:val="ListBullet"/>
        <w:spacing w:after="80"/>
      </w:pPr>
      <w:r>
        <w:rPr>
          <w:rFonts w:ascii="Cambria" w:hAnsi="Cambria"/>
          <w:sz w:val="22"/>
        </w:rPr>
        <w:t>Retain workload documents for a minimum of five academic years or as per institutional record retention policy.</w:t>
      </w:r>
    </w:p>
    <w:p>
      <w:pPr>
        <w:pStyle w:val="ListBullet"/>
        <w:spacing w:after="80"/>
      </w:pPr>
      <w:r>
        <w:rPr>
          <w:rFonts w:ascii="Cambria" w:hAnsi="Cambria"/>
          <w:sz w:val="22"/>
        </w:rPr>
        <w:t>Conduct periodic reviews to ensure all files are complete, signed, and cross-referenced with course outcomes and student performance data.</w:t>
      </w:r>
    </w:p>
    <w:p>
      <w:pPr>
        <w:pStyle w:val="ListBullet"/>
        <w:spacing w:after="80"/>
      </w:pPr>
      <w:r>
        <w:rPr>
          <w:rFonts w:ascii="Cambria" w:hAnsi="Cambria"/>
          <w:sz w:val="22"/>
        </w:rPr>
        <w:t>Facilitate easy retrieval of records during inspections, audits, or annual performance appraisals.</w:t>
      </w:r>
    </w:p>
    <w:p>
      <w:pPr>
        <w:keepNext/>
        <w:spacing w:before="200" w:after="160"/>
      </w:pPr>
      <w:r>
        <w:rPr>
          <w:rFonts w:ascii="Cambria" w:hAnsi="Cambria"/>
          <w:b/>
          <w:color w:val="1F3A5F"/>
          <w:sz w:val="30"/>
        </w:rPr>
        <w:t>Maintenance of Faculty–Student Ratio</w:t>
      </w:r>
    </w:p>
    <w:p>
      <w:pPr>
        <w:keepNext/>
        <w:spacing w:before="200" w:after="160"/>
      </w:pPr>
      <w:r>
        <w:rPr>
          <w:rFonts w:ascii="Cambria" w:hAnsi="Cambria"/>
          <w:b/>
          <w:color w:val="1F3A5F"/>
          <w:sz w:val="26"/>
        </w:rPr>
        <w:t>1. Ensuring Compliance with Regulatory Norms</w:t>
      </w:r>
    </w:p>
    <w:p>
      <w:pPr>
        <w:pStyle w:val="ListBullet"/>
        <w:spacing w:after="80"/>
      </w:pPr>
      <w:r>
        <w:rPr>
          <w:rFonts w:ascii="Cambria" w:hAnsi="Cambria"/>
          <w:sz w:val="22"/>
        </w:rPr>
        <w:t>Maintain the faculty–student ratio as prescribed by AICTE, UGC, or University norms (e.g., 1:15 for UG programs, 1:12 for PG programs).</w:t>
      </w:r>
    </w:p>
    <w:p>
      <w:pPr>
        <w:pStyle w:val="ListBullet"/>
        <w:spacing w:after="80"/>
      </w:pPr>
      <w:r>
        <w:rPr>
          <w:rFonts w:ascii="Cambria" w:hAnsi="Cambria"/>
          <w:sz w:val="22"/>
        </w:rPr>
        <w:t>Continuously monitor changes in student intake, course expansion, and faculty strength to ensure ratio compliance.</w:t>
      </w:r>
    </w:p>
    <w:p>
      <w:pPr>
        <w:pStyle w:val="ListBullet"/>
        <w:spacing w:after="80"/>
      </w:pPr>
      <w:r>
        <w:rPr>
          <w:rFonts w:ascii="Cambria" w:hAnsi="Cambria"/>
          <w:sz w:val="22"/>
        </w:rPr>
        <w:t>Align departmental ratios with accreditation benchmarks (NBA, NAAC, NIRF, QS I-GAUGE) to sustain institutional eligibility and ranking.</w:t>
      </w:r>
    </w:p>
    <w:p>
      <w:pPr>
        <w:keepNext/>
        <w:spacing w:before="200" w:after="160"/>
      </w:pPr>
      <w:r>
        <w:rPr>
          <w:rFonts w:ascii="Cambria" w:hAnsi="Cambria"/>
          <w:b/>
          <w:color w:val="1F3A5F"/>
          <w:sz w:val="26"/>
        </w:rPr>
        <w:t>2. Continuous Monitoring and Data Maintenance</w:t>
      </w:r>
    </w:p>
    <w:p>
      <w:pPr>
        <w:pStyle w:val="ListBullet"/>
        <w:spacing w:after="80"/>
      </w:pPr>
      <w:r>
        <w:rPr>
          <w:rFonts w:ascii="Cambria" w:hAnsi="Cambria"/>
          <w:sz w:val="22"/>
        </w:rPr>
        <w:t>Maintain a Faculty–Student Ratio Register or digital dashboard that records:</w:t>
      </w:r>
    </w:p>
    <w:p>
      <w:pPr>
        <w:pStyle w:val="ListBullet2"/>
        <w:spacing w:after="80"/>
      </w:pPr>
      <w:r>
        <w:rPr>
          <w:rFonts w:ascii="Cambria" w:hAnsi="Cambria"/>
          <w:sz w:val="22"/>
        </w:rPr>
        <w:t>Total number of students enrolled (per batch and overall).</w:t>
      </w:r>
    </w:p>
    <w:p>
      <w:pPr>
        <w:pStyle w:val="ListBullet2"/>
        <w:spacing w:after="80"/>
      </w:pPr>
      <w:r>
        <w:rPr>
          <w:rFonts w:ascii="Cambria" w:hAnsi="Cambria"/>
          <w:sz w:val="22"/>
        </w:rPr>
        <w:t>Number of full-time, part-time, and contractual faculty members.</w:t>
      </w:r>
    </w:p>
    <w:p>
      <w:pPr>
        <w:pStyle w:val="ListBullet2"/>
        <w:spacing w:after="80"/>
      </w:pPr>
      <w:r>
        <w:rPr>
          <w:rFonts w:ascii="Cambria" w:hAnsi="Cambria"/>
          <w:sz w:val="22"/>
        </w:rPr>
        <w:t>Calculation of the current faculty–student ratio for each program.</w:t>
      </w:r>
    </w:p>
    <w:p>
      <w:pPr>
        <w:pStyle w:val="ListBullet"/>
        <w:spacing w:after="80"/>
      </w:pPr>
      <w:r>
        <w:rPr>
          <w:rFonts w:ascii="Cambria" w:hAnsi="Cambria"/>
          <w:sz w:val="22"/>
        </w:rPr>
        <w:t>Update the data at the beginning of every semester and whenever new admissions or withdrawals occur.</w:t>
      </w:r>
    </w:p>
    <w:p>
      <w:pPr>
        <w:pStyle w:val="ListBullet"/>
        <w:spacing w:after="80"/>
      </w:pPr>
      <w:r>
        <w:rPr>
          <w:rFonts w:ascii="Cambria" w:hAnsi="Cambria"/>
          <w:sz w:val="22"/>
        </w:rPr>
        <w:t>Verify data accuracy with Admission Office and HR Department before submission to higher authorities.</w:t>
      </w:r>
    </w:p>
    <w:p>
      <w:pPr>
        <w:keepNext/>
        <w:spacing w:before="200" w:after="160"/>
      </w:pPr>
      <w:r>
        <w:rPr>
          <w:rFonts w:ascii="Cambria" w:hAnsi="Cambria"/>
          <w:b/>
          <w:color w:val="1F3A5F"/>
          <w:sz w:val="26"/>
        </w:rPr>
        <w:t>3. Planning and Resource Adjustment</w:t>
      </w:r>
    </w:p>
    <w:p>
      <w:pPr>
        <w:pStyle w:val="ListBullet"/>
        <w:spacing w:after="80"/>
      </w:pPr>
      <w:r>
        <w:rPr>
          <w:rFonts w:ascii="Cambria" w:hAnsi="Cambria"/>
          <w:sz w:val="22"/>
        </w:rPr>
        <w:t>Forecast future staffing requirements based on expected increases in student intake, new programs, or sections.</w:t>
      </w:r>
    </w:p>
    <w:p>
      <w:pPr>
        <w:pStyle w:val="ListBullet"/>
        <w:spacing w:after="80"/>
      </w:pPr>
      <w:r>
        <w:rPr>
          <w:rFonts w:ascii="Cambria" w:hAnsi="Cambria"/>
          <w:sz w:val="22"/>
        </w:rPr>
        <w:t>Recommend faculty recruitment proposals to maintain or improve the approved ratio.</w:t>
      </w:r>
    </w:p>
    <w:p>
      <w:pPr>
        <w:pStyle w:val="ListBullet"/>
        <w:spacing w:after="80"/>
      </w:pPr>
      <w:r>
        <w:rPr>
          <w:rFonts w:ascii="Cambria" w:hAnsi="Cambria"/>
          <w:sz w:val="22"/>
        </w:rPr>
        <w:t>Optimize available resources through balanced workload allocation and temporary appointments (guest/adjunct faculty) when required.</w:t>
      </w:r>
    </w:p>
    <w:p>
      <w:pPr>
        <w:keepNext/>
        <w:spacing w:before="200" w:after="160"/>
      </w:pPr>
      <w:r>
        <w:rPr>
          <w:rFonts w:ascii="Cambria" w:hAnsi="Cambria"/>
          <w:b/>
          <w:color w:val="1F3A5F"/>
          <w:sz w:val="26"/>
        </w:rPr>
        <w:t>4. Coordination with Administrative Departments</w:t>
      </w:r>
    </w:p>
    <w:p>
      <w:pPr>
        <w:pStyle w:val="ListBullet"/>
        <w:spacing w:after="80"/>
      </w:pPr>
      <w:r>
        <w:rPr>
          <w:rFonts w:ascii="Cambria" w:hAnsi="Cambria"/>
          <w:sz w:val="22"/>
        </w:rPr>
        <w:t>Collaborate with the Dean, Principal, and HR Department to ensure sanctioned posts match current and projected student strength.</w:t>
      </w:r>
    </w:p>
    <w:p>
      <w:pPr>
        <w:pStyle w:val="ListBullet"/>
        <w:spacing w:after="80"/>
      </w:pPr>
      <w:r>
        <w:rPr>
          <w:rFonts w:ascii="Cambria" w:hAnsi="Cambria"/>
          <w:sz w:val="22"/>
        </w:rPr>
        <w:t>Provide verified data to the IQAC and Institutional Planning Committee for academic and budget planning.</w:t>
      </w:r>
    </w:p>
    <w:p>
      <w:pPr>
        <w:pStyle w:val="ListBullet"/>
        <w:spacing w:after="80"/>
      </w:pPr>
      <w:r>
        <w:rPr>
          <w:rFonts w:ascii="Cambria" w:hAnsi="Cambria"/>
          <w:sz w:val="22"/>
        </w:rPr>
        <w:t>Participate in institutional meetings to justify faculty requirements based on ratio analysis.</w:t>
      </w:r>
    </w:p>
    <w:p>
      <w:pPr>
        <w:keepNext/>
        <w:spacing w:before="200" w:after="160"/>
      </w:pPr>
      <w:r>
        <w:rPr>
          <w:rFonts w:ascii="Cambria" w:hAnsi="Cambria"/>
          <w:b/>
          <w:color w:val="1F3A5F"/>
          <w:sz w:val="26"/>
        </w:rPr>
        <w:t>5. Documentation and Reporting</w:t>
      </w:r>
    </w:p>
    <w:p>
      <w:pPr>
        <w:pStyle w:val="ListBullet"/>
        <w:spacing w:after="80"/>
      </w:pPr>
      <w:r>
        <w:rPr>
          <w:rFonts w:ascii="Cambria" w:hAnsi="Cambria"/>
          <w:sz w:val="22"/>
        </w:rPr>
        <w:t>Maintain comprehensive documentation including:</w:t>
      </w:r>
    </w:p>
    <w:p>
      <w:pPr>
        <w:pStyle w:val="ListBullet2"/>
        <w:spacing w:after="80"/>
      </w:pPr>
      <w:r>
        <w:rPr>
          <w:rFonts w:ascii="Cambria" w:hAnsi="Cambria"/>
          <w:sz w:val="22"/>
        </w:rPr>
        <w:t>Faculty–Student Ratio Calculation Sheet for each program.</w:t>
      </w:r>
    </w:p>
    <w:p>
      <w:pPr>
        <w:pStyle w:val="ListBullet2"/>
        <w:spacing w:after="80"/>
      </w:pPr>
      <w:r>
        <w:rPr>
          <w:rFonts w:ascii="Cambria" w:hAnsi="Cambria"/>
          <w:sz w:val="22"/>
        </w:rPr>
        <w:t>Supporting evidence (faculty approval letters, student enrollment lists).</w:t>
      </w:r>
    </w:p>
    <w:p>
      <w:pPr>
        <w:pStyle w:val="ListBullet2"/>
        <w:spacing w:after="80"/>
      </w:pPr>
      <w:r>
        <w:rPr>
          <w:rFonts w:ascii="Cambria" w:hAnsi="Cambria"/>
          <w:sz w:val="22"/>
        </w:rPr>
        <w:t>Semester-wise reports submitted to IQAC and accreditation bodies.</w:t>
      </w:r>
    </w:p>
    <w:p>
      <w:pPr>
        <w:pStyle w:val="ListBullet"/>
        <w:spacing w:after="80"/>
      </w:pPr>
      <w:r>
        <w:rPr>
          <w:rFonts w:ascii="Cambria" w:hAnsi="Cambria"/>
          <w:sz w:val="22"/>
        </w:rPr>
        <w:t>Ensure that all records are signed, verified, and archived for institutional audits and inspection visits.</w:t>
      </w:r>
    </w:p>
    <w:p>
      <w:pPr>
        <w:keepNext/>
        <w:spacing w:before="200" w:after="160"/>
      </w:pPr>
      <w:r>
        <w:rPr>
          <w:rFonts w:ascii="Cambria" w:hAnsi="Cambria"/>
          <w:b/>
          <w:color w:val="1F3A5F"/>
          <w:sz w:val="26"/>
        </w:rPr>
        <w:t>6. Quality Assurance and Accreditation Readiness</w:t>
      </w:r>
    </w:p>
    <w:p>
      <w:pPr>
        <w:pStyle w:val="ListBullet"/>
        <w:spacing w:after="80"/>
      </w:pPr>
      <w:r>
        <w:rPr>
          <w:rFonts w:ascii="Cambria" w:hAnsi="Cambria"/>
          <w:sz w:val="22"/>
        </w:rPr>
        <w:t>Present updated ratio data during internal quality audits, accreditation reviews, and academic inspections.</w:t>
      </w:r>
    </w:p>
    <w:p>
      <w:pPr>
        <w:pStyle w:val="ListBullet"/>
        <w:spacing w:after="80"/>
      </w:pPr>
      <w:r>
        <w:rPr>
          <w:rFonts w:ascii="Cambria" w:hAnsi="Cambria"/>
          <w:sz w:val="22"/>
        </w:rPr>
        <w:t>Ensure faculty–student ratio compliance contributes positively to NBA Criterion 6 (Faculty Information) and NAAC Criterion 2 (Teaching–Learning Process).</w:t>
      </w:r>
    </w:p>
    <w:p>
      <w:pPr>
        <w:pStyle w:val="ListBullet"/>
        <w:spacing w:after="80"/>
      </w:pPr>
      <w:r>
        <w:rPr>
          <w:rFonts w:ascii="Cambria" w:hAnsi="Cambria"/>
          <w:sz w:val="22"/>
        </w:rPr>
        <w:t>Take corrective measures promptly if deviations are observed, such as initiating urgent recruitment or reallocation of sections.</w:t>
      </w:r>
    </w:p>
    <w:p>
      <w:pPr>
        <w:keepNext/>
        <w:spacing w:before="200" w:after="160"/>
      </w:pPr>
      <w:r>
        <w:rPr>
          <w:rFonts w:ascii="Cambria" w:hAnsi="Cambria"/>
          <w:b/>
          <w:color w:val="1F3A5F"/>
          <w:sz w:val="26"/>
        </w:rPr>
        <w:t>7. Supporting Teaching–Learning Excellence</w:t>
      </w:r>
    </w:p>
    <w:p>
      <w:pPr>
        <w:pStyle w:val="ListBullet"/>
        <w:spacing w:after="80"/>
      </w:pPr>
      <w:r>
        <w:rPr>
          <w:rFonts w:ascii="Cambria" w:hAnsi="Cambria"/>
          <w:sz w:val="22"/>
        </w:rPr>
        <w:t>Use ratio analysis to enhance personalized learning, mentoring, and student engagement.</w:t>
      </w:r>
    </w:p>
    <w:p>
      <w:pPr>
        <w:pStyle w:val="ListBullet"/>
        <w:spacing w:after="80"/>
      </w:pPr>
      <w:r>
        <w:rPr>
          <w:rFonts w:ascii="Cambria" w:hAnsi="Cambria"/>
          <w:sz w:val="22"/>
        </w:rPr>
        <w:t>Ensure smaller class sizes for practical, project, and tutorial sessions to maintain instructional quality.</w:t>
      </w:r>
    </w:p>
    <w:p>
      <w:pPr>
        <w:pStyle w:val="ListBullet"/>
        <w:spacing w:after="80"/>
      </w:pPr>
      <w:r>
        <w:rPr>
          <w:rFonts w:ascii="Cambria" w:hAnsi="Cambria"/>
          <w:sz w:val="22"/>
        </w:rPr>
        <w:t>Evaluate how ratio improvements reflect in student performance, satisfaction surveys, and research output.</w:t>
      </w:r>
    </w:p>
    <w:p>
      <w:pPr>
        <w:keepNext/>
        <w:spacing w:before="200" w:after="160"/>
      </w:pPr>
      <w:r>
        <w:rPr>
          <w:rFonts w:ascii="Cambria" w:hAnsi="Cambria"/>
          <w:b/>
          <w:color w:val="1F3A5F"/>
          <w:sz w:val="26"/>
        </w:rPr>
        <w:t>8. Review and Continuous Improvement</w:t>
      </w:r>
    </w:p>
    <w:p>
      <w:pPr>
        <w:pStyle w:val="ListBullet"/>
        <w:spacing w:after="80"/>
      </w:pPr>
      <w:r>
        <w:rPr>
          <w:rFonts w:ascii="Cambria" w:hAnsi="Cambria"/>
          <w:sz w:val="22"/>
        </w:rPr>
        <w:t>Conduct an annual review of faculty–student ratios to ensure sustained compliance and optimal teaching efficiency.</w:t>
      </w:r>
    </w:p>
    <w:p>
      <w:pPr>
        <w:pStyle w:val="ListBullet"/>
        <w:spacing w:after="80"/>
      </w:pPr>
      <w:r>
        <w:rPr>
          <w:rFonts w:ascii="Cambria" w:hAnsi="Cambria"/>
          <w:sz w:val="22"/>
        </w:rPr>
        <w:t>Benchmark departmental ratios with peer institutions and accreditation expectations for strategic improvement.</w:t>
      </w:r>
    </w:p>
    <w:p>
      <w:pPr>
        <w:pStyle w:val="ListBullet"/>
        <w:spacing w:after="80"/>
      </w:pPr>
      <w:r>
        <w:rPr>
          <w:rFonts w:ascii="Cambria" w:hAnsi="Cambria"/>
          <w:sz w:val="22"/>
        </w:rPr>
        <w:t>Recommend policy enhancements or staffing models that promote quality-driven academic delivery.</w:t>
      </w:r>
    </w:p>
    <w:p>
      <w:pPr>
        <w:keepNext/>
        <w:spacing w:before="200" w:after="160"/>
      </w:pPr>
      <w:r>
        <w:rPr>
          <w:rFonts w:ascii="Cambria" w:hAnsi="Cambria"/>
          <w:b/>
          <w:color w:val="1F3A5F"/>
          <w:sz w:val="30"/>
        </w:rPr>
        <w:t>Maintenance of Records Related to Staff</w:t>
      </w:r>
    </w:p>
    <w:p>
      <w:pPr>
        <w:keepNext/>
        <w:spacing w:before="200" w:after="160"/>
      </w:pPr>
      <w:r>
        <w:rPr>
          <w:rFonts w:ascii="Cambria" w:hAnsi="Cambria"/>
          <w:b/>
          <w:color w:val="1F3A5F"/>
          <w:sz w:val="26"/>
        </w:rPr>
        <w:t>1. Establishment and Updating of Staff Records</w:t>
      </w:r>
    </w:p>
    <w:p>
      <w:pPr>
        <w:pStyle w:val="ListBullet"/>
        <w:spacing w:after="80"/>
      </w:pPr>
      <w:r>
        <w:rPr>
          <w:rFonts w:ascii="Cambria" w:hAnsi="Cambria"/>
          <w:sz w:val="22"/>
        </w:rPr>
        <w:t>Maintain comprehensive and up-to-date records of all faculty and non-teaching staff working in the department.</w:t>
      </w:r>
    </w:p>
    <w:p>
      <w:pPr>
        <w:pStyle w:val="ListBullet"/>
        <w:spacing w:after="80"/>
      </w:pPr>
      <w:r>
        <w:rPr>
          <w:rFonts w:ascii="Cambria" w:hAnsi="Cambria"/>
          <w:sz w:val="22"/>
        </w:rPr>
        <w:t>Include personal, professional, and service details such as:</w:t>
      </w:r>
    </w:p>
    <w:p>
      <w:pPr>
        <w:pStyle w:val="ListBullet2"/>
        <w:spacing w:after="80"/>
      </w:pPr>
      <w:r>
        <w:rPr>
          <w:rFonts w:ascii="Cambria" w:hAnsi="Cambria"/>
          <w:sz w:val="22"/>
        </w:rPr>
        <w:t>Name, designation, employee ID, date of joining, and qualifications.</w:t>
      </w:r>
    </w:p>
    <w:p>
      <w:pPr>
        <w:pStyle w:val="ListBullet2"/>
        <w:spacing w:after="80"/>
      </w:pPr>
      <w:r>
        <w:rPr>
          <w:rFonts w:ascii="Cambria" w:hAnsi="Cambria"/>
          <w:sz w:val="22"/>
        </w:rPr>
        <w:t>Teaching experience, research credentials, and specialization areas.</w:t>
      </w:r>
    </w:p>
    <w:p>
      <w:pPr>
        <w:pStyle w:val="ListBullet2"/>
        <w:spacing w:after="80"/>
      </w:pPr>
      <w:r>
        <w:rPr>
          <w:rFonts w:ascii="Cambria" w:hAnsi="Cambria"/>
          <w:sz w:val="22"/>
        </w:rPr>
        <w:t>Contact details, emergency information, and employment type (permanent, temporary, contractual).</w:t>
      </w:r>
    </w:p>
    <w:p>
      <w:pPr>
        <w:pStyle w:val="ListBullet"/>
        <w:spacing w:after="80"/>
      </w:pPr>
      <w:r>
        <w:rPr>
          <w:rFonts w:ascii="Cambria" w:hAnsi="Cambria"/>
          <w:sz w:val="22"/>
        </w:rPr>
        <w:t>Regularly update records to reflect promotions, transfers, resignations, or new appointments.</w:t>
      </w:r>
    </w:p>
    <w:p>
      <w:pPr>
        <w:keepNext/>
        <w:spacing w:before="200" w:after="160"/>
      </w:pPr>
      <w:r>
        <w:rPr>
          <w:rFonts w:ascii="Cambria" w:hAnsi="Cambria"/>
          <w:b/>
          <w:color w:val="1F3A5F"/>
          <w:sz w:val="26"/>
        </w:rPr>
        <w:t>2. Maintenance of Service Files and Documentation</w:t>
      </w:r>
    </w:p>
    <w:p>
      <w:pPr>
        <w:pStyle w:val="ListBullet"/>
        <w:spacing w:after="80"/>
      </w:pPr>
      <w:r>
        <w:rPr>
          <w:rFonts w:ascii="Cambria" w:hAnsi="Cambria"/>
          <w:sz w:val="22"/>
        </w:rPr>
        <w:t>Ensure individual service files are maintained for every staff member, containing:</w:t>
      </w:r>
    </w:p>
    <w:p>
      <w:pPr>
        <w:pStyle w:val="ListBullet2"/>
        <w:spacing w:after="80"/>
      </w:pPr>
      <w:r>
        <w:rPr>
          <w:rFonts w:ascii="Cambria" w:hAnsi="Cambria"/>
          <w:sz w:val="22"/>
        </w:rPr>
        <w:t>Appointment and confirmation letters.</w:t>
      </w:r>
    </w:p>
    <w:p>
      <w:pPr>
        <w:pStyle w:val="ListBullet2"/>
        <w:spacing w:after="80"/>
      </w:pPr>
      <w:r>
        <w:rPr>
          <w:rFonts w:ascii="Cambria" w:hAnsi="Cambria"/>
          <w:sz w:val="22"/>
        </w:rPr>
        <w:t>Increment, promotion, and appraisal records.</w:t>
      </w:r>
    </w:p>
    <w:p>
      <w:pPr>
        <w:pStyle w:val="ListBullet2"/>
        <w:spacing w:after="80"/>
      </w:pPr>
      <w:r>
        <w:rPr>
          <w:rFonts w:ascii="Cambria" w:hAnsi="Cambria"/>
          <w:sz w:val="22"/>
        </w:rPr>
        <w:t>Leave records, attendance, and duty rosters.</w:t>
      </w:r>
    </w:p>
    <w:p>
      <w:pPr>
        <w:pStyle w:val="ListBullet2"/>
        <w:spacing w:after="80"/>
      </w:pPr>
      <w:r>
        <w:rPr>
          <w:rFonts w:ascii="Cambria" w:hAnsi="Cambria"/>
          <w:sz w:val="22"/>
        </w:rPr>
        <w:t>Certificates of training, FDPs, workshops, and academic achievements.</w:t>
      </w:r>
    </w:p>
    <w:p>
      <w:pPr>
        <w:pStyle w:val="ListBullet"/>
        <w:spacing w:after="80"/>
      </w:pPr>
      <w:r>
        <w:rPr>
          <w:rFonts w:ascii="Cambria" w:hAnsi="Cambria"/>
          <w:sz w:val="22"/>
        </w:rPr>
        <w:t>Verify that all files are signed, authenticated, and indexed for quick retrieval and compliance during audits.</w:t>
      </w:r>
    </w:p>
    <w:p>
      <w:pPr>
        <w:keepNext/>
        <w:spacing w:before="200" w:after="160"/>
      </w:pPr>
      <w:r>
        <w:rPr>
          <w:rFonts w:ascii="Cambria" w:hAnsi="Cambria"/>
          <w:b/>
          <w:color w:val="1F3A5F"/>
          <w:sz w:val="26"/>
        </w:rPr>
        <w:t>3. Attendance and Leave Management</w:t>
      </w:r>
    </w:p>
    <w:p>
      <w:pPr>
        <w:pStyle w:val="ListBullet"/>
        <w:spacing w:after="80"/>
      </w:pPr>
      <w:r>
        <w:rPr>
          <w:rFonts w:ascii="Cambria" w:hAnsi="Cambria"/>
          <w:sz w:val="22"/>
        </w:rPr>
        <w:t>Maintain daily attendance registers or digital attendance records for faculty and supporting staff.</w:t>
      </w:r>
    </w:p>
    <w:p>
      <w:pPr>
        <w:pStyle w:val="ListBullet"/>
        <w:spacing w:after="80"/>
      </w:pPr>
      <w:r>
        <w:rPr>
          <w:rFonts w:ascii="Cambria" w:hAnsi="Cambria"/>
          <w:sz w:val="22"/>
        </w:rPr>
        <w:t>Approve and record leave applications as per institutional leave policy.</w:t>
      </w:r>
    </w:p>
    <w:p>
      <w:pPr>
        <w:pStyle w:val="ListBullet"/>
        <w:spacing w:after="80"/>
      </w:pPr>
      <w:r>
        <w:rPr>
          <w:rFonts w:ascii="Cambria" w:hAnsi="Cambria"/>
          <w:sz w:val="22"/>
        </w:rPr>
        <w:t>Submit monthly attendance summaries to the HR or administrative office for payroll and compliance purposes.</w:t>
      </w:r>
    </w:p>
    <w:p>
      <w:pPr>
        <w:pStyle w:val="ListBullet"/>
        <w:spacing w:after="80"/>
      </w:pPr>
      <w:r>
        <w:rPr>
          <w:rFonts w:ascii="Cambria" w:hAnsi="Cambria"/>
          <w:sz w:val="22"/>
        </w:rPr>
        <w:t>Track and report patterns of excessive leave or absenteeism for corrective action.</w:t>
      </w:r>
    </w:p>
    <w:p>
      <w:pPr>
        <w:keepNext/>
        <w:spacing w:before="200" w:after="160"/>
      </w:pPr>
      <w:r>
        <w:rPr>
          <w:rFonts w:ascii="Cambria" w:hAnsi="Cambria"/>
          <w:b/>
          <w:color w:val="1F3A5F"/>
          <w:sz w:val="26"/>
        </w:rPr>
        <w:t>4. Academic and Performance Records</w:t>
      </w:r>
    </w:p>
    <w:p>
      <w:pPr>
        <w:pStyle w:val="ListBullet"/>
        <w:spacing w:after="80"/>
      </w:pPr>
      <w:r>
        <w:rPr>
          <w:rFonts w:ascii="Cambria" w:hAnsi="Cambria"/>
          <w:sz w:val="22"/>
        </w:rPr>
        <w:t>Document each faculty member's teaching assignments, course outcomes, and workload distribution.</w:t>
      </w:r>
    </w:p>
    <w:p>
      <w:pPr>
        <w:pStyle w:val="ListBullet"/>
        <w:spacing w:after="80"/>
      </w:pPr>
      <w:r>
        <w:rPr>
          <w:rFonts w:ascii="Cambria" w:hAnsi="Cambria"/>
          <w:sz w:val="22"/>
        </w:rPr>
        <w:t>Maintain annual performance appraisals and self-evaluation reports for faculty and staff.</w:t>
      </w:r>
    </w:p>
    <w:p>
      <w:pPr>
        <w:pStyle w:val="ListBullet"/>
        <w:spacing w:after="80"/>
      </w:pPr>
      <w:r>
        <w:rPr>
          <w:rFonts w:ascii="Cambria" w:hAnsi="Cambria"/>
          <w:sz w:val="22"/>
        </w:rPr>
        <w:t>Record publications, research projects, patents, and consultancy activities for academic reporting.</w:t>
      </w:r>
    </w:p>
    <w:p>
      <w:pPr>
        <w:pStyle w:val="ListBullet"/>
        <w:spacing w:after="80"/>
      </w:pPr>
      <w:r>
        <w:rPr>
          <w:rFonts w:ascii="Cambria" w:hAnsi="Cambria"/>
          <w:sz w:val="22"/>
        </w:rPr>
        <w:t>Keep track of awards, recognitions, and disciplinary actions (if any) for institutional recordkeeping.</w:t>
      </w:r>
    </w:p>
    <w:p>
      <w:pPr>
        <w:keepNext/>
        <w:spacing w:before="200" w:after="160"/>
      </w:pPr>
      <w:r>
        <w:rPr>
          <w:rFonts w:ascii="Cambria" w:hAnsi="Cambria"/>
          <w:b/>
          <w:color w:val="1F3A5F"/>
          <w:sz w:val="26"/>
        </w:rPr>
        <w:t>5. Training and Professional Development Records</w:t>
      </w:r>
    </w:p>
    <w:p>
      <w:pPr>
        <w:pStyle w:val="ListBullet"/>
        <w:spacing w:after="80"/>
      </w:pPr>
      <w:r>
        <w:rPr>
          <w:rFonts w:ascii="Cambria" w:hAnsi="Cambria"/>
          <w:sz w:val="22"/>
        </w:rPr>
        <w:t>Maintain a Faculty Development Record Register listing participation in FDPs, workshops, conferences, and certifications.</w:t>
      </w:r>
    </w:p>
    <w:p>
      <w:pPr>
        <w:pStyle w:val="ListBullet"/>
        <w:spacing w:after="80"/>
      </w:pPr>
      <w:r>
        <w:rPr>
          <w:rFonts w:ascii="Cambria" w:hAnsi="Cambria"/>
          <w:sz w:val="22"/>
        </w:rPr>
        <w:t>Record training feedback reports and post-training implementation outcomes.</w:t>
      </w:r>
    </w:p>
    <w:p>
      <w:pPr>
        <w:pStyle w:val="ListBullet"/>
        <w:spacing w:after="80"/>
      </w:pPr>
      <w:r>
        <w:rPr>
          <w:rFonts w:ascii="Cambria" w:hAnsi="Cambria"/>
          <w:sz w:val="22"/>
        </w:rPr>
        <w:t>Use this data to recommend future professional development opportunities.</w:t>
      </w:r>
    </w:p>
    <w:p>
      <w:pPr>
        <w:keepNext/>
        <w:spacing w:before="200" w:after="160"/>
      </w:pPr>
      <w:r>
        <w:rPr>
          <w:rFonts w:ascii="Cambria" w:hAnsi="Cambria"/>
          <w:b/>
          <w:color w:val="1F3A5F"/>
          <w:sz w:val="26"/>
        </w:rPr>
        <w:t>6. Coordination with HR and Institutional Departments</w:t>
      </w:r>
    </w:p>
    <w:p>
      <w:pPr>
        <w:pStyle w:val="ListBullet"/>
        <w:spacing w:after="80"/>
      </w:pPr>
      <w:r>
        <w:rPr>
          <w:rFonts w:ascii="Cambria" w:hAnsi="Cambria"/>
          <w:sz w:val="22"/>
        </w:rPr>
        <w:t>Periodically share updated staff information with the HR, Accounts, and IQAC departments for centralized documentation.</w:t>
      </w:r>
    </w:p>
    <w:p>
      <w:pPr>
        <w:pStyle w:val="ListBullet"/>
        <w:spacing w:after="80"/>
      </w:pPr>
      <w:r>
        <w:rPr>
          <w:rFonts w:ascii="Cambria" w:hAnsi="Cambria"/>
          <w:sz w:val="22"/>
        </w:rPr>
        <w:t>Ensure consistency between departmental records and institutional master databases.</w:t>
      </w:r>
    </w:p>
    <w:p>
      <w:pPr>
        <w:pStyle w:val="ListBullet"/>
        <w:spacing w:after="80"/>
      </w:pPr>
      <w:r>
        <w:rPr>
          <w:rFonts w:ascii="Cambria" w:hAnsi="Cambria"/>
          <w:sz w:val="22"/>
        </w:rPr>
        <w:t>Submit staff-related information promptly for accreditation, audit, and ranking frameworks (NAAC, NBA, NIRF).</w:t>
      </w:r>
    </w:p>
    <w:p>
      <w:pPr>
        <w:keepNext/>
        <w:spacing w:before="200" w:after="160"/>
      </w:pPr>
      <w:r>
        <w:rPr>
          <w:rFonts w:ascii="Cambria" w:hAnsi="Cambria"/>
          <w:b/>
          <w:color w:val="1F3A5F"/>
          <w:sz w:val="26"/>
        </w:rPr>
        <w:t>7. Confidentiality and Data Security</w:t>
      </w:r>
    </w:p>
    <w:p>
      <w:pPr>
        <w:pStyle w:val="ListBullet"/>
        <w:spacing w:after="80"/>
      </w:pPr>
      <w:r>
        <w:rPr>
          <w:rFonts w:ascii="Cambria" w:hAnsi="Cambria"/>
          <w:sz w:val="22"/>
        </w:rPr>
        <w:t>Maintain confidentiality of personal and performance data, ensuring restricted access to authorized personnel only.</w:t>
      </w:r>
    </w:p>
    <w:p>
      <w:pPr>
        <w:pStyle w:val="ListBullet"/>
        <w:spacing w:after="80"/>
      </w:pPr>
      <w:r>
        <w:rPr>
          <w:rFonts w:ascii="Cambria" w:hAnsi="Cambria"/>
          <w:sz w:val="22"/>
        </w:rPr>
        <w:t>Digitize and back up all staff-related documents in secure departmental servers or institutional databases.</w:t>
      </w:r>
    </w:p>
    <w:p>
      <w:pPr>
        <w:pStyle w:val="ListBullet"/>
        <w:spacing w:after="80"/>
      </w:pPr>
      <w:r>
        <w:rPr>
          <w:rFonts w:ascii="Cambria" w:hAnsi="Cambria"/>
          <w:sz w:val="22"/>
        </w:rPr>
        <w:t>Comply with institutional data protection and retention policies.</w:t>
      </w:r>
    </w:p>
    <w:p>
      <w:pPr>
        <w:keepNext/>
        <w:spacing w:before="200" w:after="160"/>
      </w:pPr>
      <w:r>
        <w:rPr>
          <w:rFonts w:ascii="Cambria" w:hAnsi="Cambria"/>
          <w:b/>
          <w:color w:val="1F3A5F"/>
          <w:sz w:val="26"/>
        </w:rPr>
        <w:t>8. Reporting and Audit Readiness</w:t>
      </w:r>
    </w:p>
    <w:p>
      <w:pPr>
        <w:pStyle w:val="ListBullet"/>
        <w:spacing w:after="80"/>
      </w:pPr>
      <w:r>
        <w:rPr>
          <w:rFonts w:ascii="Cambria" w:hAnsi="Cambria"/>
          <w:sz w:val="22"/>
        </w:rPr>
        <w:t>Prepare annual staff summary reports showing faculty count, qualifications, experience, and training details.</w:t>
      </w:r>
    </w:p>
    <w:p>
      <w:pPr>
        <w:pStyle w:val="ListBullet"/>
        <w:spacing w:after="80"/>
      </w:pPr>
      <w:r>
        <w:rPr>
          <w:rFonts w:ascii="Cambria" w:hAnsi="Cambria"/>
          <w:sz w:val="22"/>
        </w:rPr>
        <w:t>Provide verified staff data during academic audits, accreditation visits, and inspection committees.</w:t>
      </w:r>
    </w:p>
    <w:p>
      <w:pPr>
        <w:pStyle w:val="ListBullet"/>
        <w:spacing w:after="80"/>
      </w:pPr>
      <w:r>
        <w:rPr>
          <w:rFonts w:ascii="Cambria" w:hAnsi="Cambria"/>
          <w:sz w:val="22"/>
        </w:rPr>
        <w:t>Ensure records are accurate, complete, and easily traceable for verification by internal and external agencies.</w:t>
      </w:r>
    </w:p>
    <w:p>
      <w:pPr>
        <w:keepNext/>
        <w:spacing w:before="200" w:after="160"/>
      </w:pPr>
      <w:r>
        <w:rPr>
          <w:rFonts w:ascii="Cambria" w:hAnsi="Cambria"/>
          <w:b/>
          <w:color w:val="1F3A5F"/>
          <w:sz w:val="26"/>
        </w:rPr>
        <w:t>9. Record Retention and Disposal Policy</w:t>
      </w:r>
    </w:p>
    <w:p>
      <w:pPr>
        <w:pStyle w:val="ListBullet"/>
        <w:spacing w:after="80"/>
      </w:pPr>
      <w:r>
        <w:rPr>
          <w:rFonts w:ascii="Cambria" w:hAnsi="Cambria"/>
          <w:sz w:val="22"/>
        </w:rPr>
        <w:t>Retain staff records for a minimum duration as per institutional retention policy or statutory norms.</w:t>
      </w:r>
    </w:p>
    <w:p>
      <w:pPr>
        <w:pStyle w:val="ListBullet"/>
        <w:spacing w:after="80"/>
      </w:pPr>
      <w:r>
        <w:rPr>
          <w:rFonts w:ascii="Cambria" w:hAnsi="Cambria"/>
          <w:sz w:val="22"/>
        </w:rPr>
        <w:t>Archive inactive files (of retired or resigned staff) in a secured departmental archive section.</w:t>
      </w:r>
    </w:p>
    <w:p>
      <w:pPr>
        <w:pStyle w:val="ListBullet"/>
        <w:spacing w:after="80"/>
      </w:pPr>
      <w:r>
        <w:rPr>
          <w:rFonts w:ascii="Cambria" w:hAnsi="Cambria"/>
          <w:sz w:val="22"/>
        </w:rPr>
        <w:t>Dispose of outdated or redundant records following approved documentation disposal protocols.</w:t>
      </w:r>
    </w:p>
    <w:p>
      <w:r>
        <w:br w:type="page"/>
      </w:r>
    </w:p>
    <w:p>
      <w:pPr>
        <w:keepNext/>
        <w:spacing w:before="280" w:after="160"/>
      </w:pPr>
      <w:r>
        <w:rPr>
          <w:rFonts w:ascii="Cambria" w:hAnsi="Cambria"/>
          <w:b/>
          <w:color w:val="1F3A5F"/>
          <w:sz w:val="36"/>
        </w:rPr>
        <w:t>3. Responsibilities of Head of Department (HoD) Related to Counselling</w:t>
      </w:r>
    </w:p>
    <w:p>
      <w:pPr>
        <w:keepNext/>
        <w:spacing w:before="200" w:after="160"/>
      </w:pPr>
      <w:r>
        <w:rPr>
          <w:rFonts w:ascii="Cambria" w:hAnsi="Cambria"/>
          <w:b/>
          <w:color w:val="1F3A5F"/>
          <w:sz w:val="30"/>
        </w:rPr>
        <w:t>Student Guidance and Mentoring</w:t>
      </w:r>
    </w:p>
    <w:p>
      <w:pPr>
        <w:keepNext/>
        <w:spacing w:before="200" w:after="160"/>
      </w:pPr>
      <w:r>
        <w:rPr>
          <w:rFonts w:ascii="Cambria" w:hAnsi="Cambria"/>
          <w:b/>
          <w:color w:val="1F3A5F"/>
          <w:sz w:val="26"/>
        </w:rPr>
        <w:t>1. Shared Responsibility in Student Counseling</w:t>
      </w:r>
    </w:p>
    <w:p>
      <w:pPr>
        <w:pStyle w:val="ListBullet"/>
        <w:spacing w:after="80"/>
      </w:pPr>
      <w:r>
        <w:rPr>
          <w:rFonts w:ascii="Cambria" w:hAnsi="Cambria"/>
          <w:sz w:val="22"/>
        </w:rPr>
        <w:t>Actively participate in student counseling alongside the designated student counselor to provide holistic guidance.</w:t>
      </w:r>
    </w:p>
    <w:p>
      <w:pPr>
        <w:pStyle w:val="ListBullet"/>
        <w:spacing w:after="80"/>
      </w:pPr>
      <w:r>
        <w:rPr>
          <w:rFonts w:ascii="Cambria" w:hAnsi="Cambria"/>
          <w:sz w:val="22"/>
        </w:rPr>
        <w:t>Ensure counseling covers academic performance, personal well-being, social adjustment, and behavioral development.</w:t>
      </w:r>
    </w:p>
    <w:p>
      <w:pPr>
        <w:pStyle w:val="ListBullet"/>
        <w:spacing w:after="80"/>
      </w:pPr>
      <w:r>
        <w:rPr>
          <w:rFonts w:ascii="Cambria" w:hAnsi="Cambria"/>
          <w:sz w:val="22"/>
        </w:rPr>
        <w:t>Schedule regular counseling sessions (individual and group) to monitor student progress throughout the semester.</w:t>
      </w:r>
    </w:p>
    <w:p>
      <w:pPr>
        <w:keepNext/>
        <w:spacing w:before="200" w:after="160"/>
      </w:pPr>
      <w:r>
        <w:rPr>
          <w:rFonts w:ascii="Cambria" w:hAnsi="Cambria"/>
          <w:b/>
          <w:color w:val="1F3A5F"/>
          <w:sz w:val="26"/>
        </w:rPr>
        <w:t>2. Academic Counseling</w:t>
      </w:r>
    </w:p>
    <w:p>
      <w:pPr>
        <w:pStyle w:val="ListBullet"/>
        <w:spacing w:after="80"/>
      </w:pPr>
      <w:r>
        <w:rPr>
          <w:rFonts w:ascii="Cambria" w:hAnsi="Cambria"/>
          <w:sz w:val="22"/>
        </w:rPr>
        <w:t>Guide students in course selection, exam preparation, and performance improvement strategies.</w:t>
      </w:r>
    </w:p>
    <w:p>
      <w:pPr>
        <w:pStyle w:val="ListBullet"/>
        <w:spacing w:after="80"/>
      </w:pPr>
      <w:r>
        <w:rPr>
          <w:rFonts w:ascii="Cambria" w:hAnsi="Cambria"/>
          <w:sz w:val="22"/>
        </w:rPr>
        <w:t>Identify students with academic difficulties, low attendance, or backlogs and provide tailored support plans.</w:t>
      </w:r>
    </w:p>
    <w:p>
      <w:pPr>
        <w:pStyle w:val="ListBullet"/>
        <w:spacing w:after="80"/>
      </w:pPr>
      <w:r>
        <w:rPr>
          <w:rFonts w:ascii="Cambria" w:hAnsi="Cambria"/>
          <w:sz w:val="22"/>
        </w:rPr>
        <w:t>Encourage participation in tutorials, mentoring sessions, remedial classes, and workshops for skill enhancement.</w:t>
      </w:r>
    </w:p>
    <w:p>
      <w:pPr>
        <w:pStyle w:val="ListBullet"/>
        <w:spacing w:after="80"/>
      </w:pPr>
      <w:r>
        <w:rPr>
          <w:rFonts w:ascii="Cambria" w:hAnsi="Cambria"/>
          <w:sz w:val="22"/>
        </w:rPr>
        <w:t>Motivate students to pursue research projects, internships, and co-curricular learning opportunities.</w:t>
      </w:r>
    </w:p>
    <w:p>
      <w:pPr>
        <w:keepNext/>
        <w:spacing w:before="200" w:after="160"/>
      </w:pPr>
      <w:r>
        <w:rPr>
          <w:rFonts w:ascii="Cambria" w:hAnsi="Cambria"/>
          <w:b/>
          <w:color w:val="1F3A5F"/>
          <w:sz w:val="26"/>
        </w:rPr>
        <w:t>3. Personal and Social Counseling</w:t>
      </w:r>
    </w:p>
    <w:p>
      <w:pPr>
        <w:pStyle w:val="ListBullet"/>
        <w:spacing w:after="80"/>
      </w:pPr>
      <w:r>
        <w:rPr>
          <w:rFonts w:ascii="Cambria" w:hAnsi="Cambria"/>
          <w:sz w:val="22"/>
        </w:rPr>
        <w:t>Address personal or emotional challenges that may affect student academic engagement.</w:t>
      </w:r>
    </w:p>
    <w:p>
      <w:pPr>
        <w:pStyle w:val="ListBullet"/>
        <w:spacing w:after="80"/>
      </w:pPr>
      <w:r>
        <w:rPr>
          <w:rFonts w:ascii="Cambria" w:hAnsi="Cambria"/>
          <w:sz w:val="22"/>
        </w:rPr>
        <w:t>Foster an atmosphere of trust, empathy, and confidentiality during counseling sessions.</w:t>
      </w:r>
    </w:p>
    <w:p>
      <w:pPr>
        <w:pStyle w:val="ListBullet"/>
        <w:spacing w:after="80"/>
      </w:pPr>
      <w:r>
        <w:rPr>
          <w:rFonts w:ascii="Cambria" w:hAnsi="Cambria"/>
          <w:sz w:val="22"/>
        </w:rPr>
        <w:t>Guide students on time management, interpersonal relationships, and responsible social behavior.</w:t>
      </w:r>
    </w:p>
    <w:p>
      <w:pPr>
        <w:pStyle w:val="ListBullet"/>
        <w:spacing w:after="80"/>
      </w:pPr>
      <w:r>
        <w:rPr>
          <w:rFonts w:ascii="Cambria" w:hAnsi="Cambria"/>
          <w:sz w:val="22"/>
        </w:rPr>
        <w:t>Intervene promptly in cases of disciplinary issues, peer conflicts, or behavioral concerns and collaborate with the college counselor for resolution.</w:t>
      </w:r>
    </w:p>
    <w:p>
      <w:pPr>
        <w:keepNext/>
        <w:spacing w:before="200" w:after="160"/>
      </w:pPr>
      <w:r>
        <w:rPr>
          <w:rFonts w:ascii="Cambria" w:hAnsi="Cambria"/>
          <w:b/>
          <w:color w:val="1F3A5F"/>
          <w:sz w:val="26"/>
        </w:rPr>
        <w:t>4. Behavioral and Ethical Guidance</w:t>
      </w:r>
    </w:p>
    <w:p>
      <w:pPr>
        <w:pStyle w:val="ListBullet"/>
        <w:spacing w:after="80"/>
      </w:pPr>
      <w:r>
        <w:rPr>
          <w:rFonts w:ascii="Cambria" w:hAnsi="Cambria"/>
          <w:sz w:val="22"/>
        </w:rPr>
        <w:t>Educate students about code of conduct, ethics, attendance norms, and discipline policies of the institution.</w:t>
      </w:r>
    </w:p>
    <w:p>
      <w:pPr>
        <w:pStyle w:val="ListBullet"/>
        <w:spacing w:after="80"/>
      </w:pPr>
      <w:r>
        <w:rPr>
          <w:rFonts w:ascii="Cambria" w:hAnsi="Cambria"/>
          <w:sz w:val="22"/>
        </w:rPr>
        <w:t>Reinforce the importance of professional integrity, respect, and inclusiveness within the academic community.</w:t>
      </w:r>
    </w:p>
    <w:p>
      <w:pPr>
        <w:pStyle w:val="ListBullet"/>
        <w:spacing w:after="80"/>
      </w:pPr>
      <w:r>
        <w:rPr>
          <w:rFonts w:ascii="Cambria" w:hAnsi="Cambria"/>
          <w:sz w:val="22"/>
        </w:rPr>
        <w:t>Support activities that promote positive campus culture, including anti-ragging campaigns and wellness programs.</w:t>
      </w:r>
    </w:p>
    <w:p>
      <w:pPr>
        <w:keepNext/>
        <w:spacing w:before="200" w:after="160"/>
      </w:pPr>
      <w:r>
        <w:rPr>
          <w:rFonts w:ascii="Cambria" w:hAnsi="Cambria"/>
          <w:b/>
          <w:color w:val="1F3A5F"/>
          <w:sz w:val="26"/>
        </w:rPr>
        <w:t>5. Coordination with Student Counselor and Faculty Mentors</w:t>
      </w:r>
    </w:p>
    <w:p>
      <w:pPr>
        <w:pStyle w:val="ListBullet"/>
        <w:spacing w:after="80"/>
      </w:pPr>
      <w:r>
        <w:rPr>
          <w:rFonts w:ascii="Cambria" w:hAnsi="Cambria"/>
          <w:sz w:val="22"/>
        </w:rPr>
        <w:t>Work in close coordination with faculty mentors and professional counselors to ensure continuity of student support.</w:t>
      </w:r>
    </w:p>
    <w:p>
      <w:pPr>
        <w:pStyle w:val="ListBullet"/>
        <w:spacing w:after="80"/>
      </w:pPr>
      <w:r>
        <w:rPr>
          <w:rFonts w:ascii="Cambria" w:hAnsi="Cambria"/>
          <w:sz w:val="22"/>
        </w:rPr>
        <w:t>Share relevant observations or cases requiring specialized intervention while maintaining confidentiality.</w:t>
      </w:r>
    </w:p>
    <w:p>
      <w:pPr>
        <w:pStyle w:val="ListBullet"/>
        <w:spacing w:after="80"/>
      </w:pPr>
      <w:r>
        <w:rPr>
          <w:rFonts w:ascii="Cambria" w:hAnsi="Cambria"/>
          <w:sz w:val="22"/>
        </w:rPr>
        <w:t>Ensure a follow-up mechanism is in place to track students' academic and personal progress after counseling.</w:t>
      </w:r>
    </w:p>
    <w:p>
      <w:pPr>
        <w:keepNext/>
        <w:spacing w:before="200" w:after="160"/>
      </w:pPr>
      <w:r>
        <w:rPr>
          <w:rFonts w:ascii="Cambria" w:hAnsi="Cambria"/>
          <w:b/>
          <w:color w:val="1F3A5F"/>
          <w:sz w:val="26"/>
        </w:rPr>
        <w:t>6. Documentation and Record Maintenance</w:t>
      </w:r>
    </w:p>
    <w:p>
      <w:pPr>
        <w:pStyle w:val="ListBullet"/>
        <w:spacing w:after="80"/>
      </w:pPr>
      <w:r>
        <w:rPr>
          <w:rFonts w:ascii="Cambria" w:hAnsi="Cambria"/>
          <w:sz w:val="22"/>
        </w:rPr>
        <w:t>Maintain a Departmental Counseling Register or Digital Logbook documenting:</w:t>
      </w:r>
    </w:p>
    <w:p>
      <w:pPr>
        <w:pStyle w:val="ListBullet2"/>
        <w:spacing w:after="80"/>
      </w:pPr>
      <w:r>
        <w:rPr>
          <w:rFonts w:ascii="Cambria" w:hAnsi="Cambria"/>
          <w:sz w:val="22"/>
        </w:rPr>
        <w:t>Date and mode of counseling (individual/group).</w:t>
      </w:r>
    </w:p>
    <w:p>
      <w:pPr>
        <w:pStyle w:val="ListBullet2"/>
        <w:spacing w:after="80"/>
      </w:pPr>
      <w:r>
        <w:rPr>
          <w:rFonts w:ascii="Cambria" w:hAnsi="Cambria"/>
          <w:sz w:val="22"/>
        </w:rPr>
        <w:t>Issues discussed (academic, personal, behavioral).</w:t>
      </w:r>
    </w:p>
    <w:p>
      <w:pPr>
        <w:pStyle w:val="ListBullet2"/>
        <w:spacing w:after="80"/>
      </w:pPr>
      <w:r>
        <w:rPr>
          <w:rFonts w:ascii="Cambria" w:hAnsi="Cambria"/>
          <w:sz w:val="22"/>
        </w:rPr>
        <w:t>Action taken and follow-up plans.</w:t>
      </w:r>
    </w:p>
    <w:p>
      <w:pPr>
        <w:pStyle w:val="ListBullet2"/>
        <w:spacing w:after="80"/>
      </w:pPr>
      <w:r>
        <w:rPr>
          <w:rFonts w:ascii="Cambria" w:hAnsi="Cambria"/>
          <w:sz w:val="22"/>
        </w:rPr>
        <w:t>Counselor/HoD remarks and student signatures (if applicable).</w:t>
      </w:r>
    </w:p>
    <w:p>
      <w:pPr>
        <w:pStyle w:val="ListBullet"/>
        <w:spacing w:after="80"/>
      </w:pPr>
      <w:r>
        <w:rPr>
          <w:rFonts w:ascii="Cambria" w:hAnsi="Cambria"/>
          <w:sz w:val="22"/>
        </w:rPr>
        <w:t>Submit summary reports periodically to the Principal or Dean (Student Affairs) for review and institutional record.</w:t>
      </w:r>
    </w:p>
    <w:p>
      <w:pPr>
        <w:pStyle w:val="ListBullet"/>
        <w:spacing w:after="80"/>
      </w:pPr>
      <w:r>
        <w:rPr>
          <w:rFonts w:ascii="Cambria" w:hAnsi="Cambria"/>
          <w:sz w:val="22"/>
        </w:rPr>
        <w:t>Preserve counseling records in a confidential and secure manner for audits, quality assessments, and student reference.</w:t>
      </w:r>
    </w:p>
    <w:p>
      <w:pPr>
        <w:keepNext/>
        <w:spacing w:before="200" w:after="160"/>
      </w:pPr>
      <w:r>
        <w:rPr>
          <w:rFonts w:ascii="Cambria" w:hAnsi="Cambria"/>
          <w:b/>
          <w:color w:val="1F3A5F"/>
          <w:sz w:val="26"/>
        </w:rPr>
        <w:t>7. Monitoring and Follow-Up</w:t>
      </w:r>
    </w:p>
    <w:p>
      <w:pPr>
        <w:pStyle w:val="ListBullet"/>
        <w:spacing w:after="80"/>
      </w:pPr>
      <w:r>
        <w:rPr>
          <w:rFonts w:ascii="Cambria" w:hAnsi="Cambria"/>
          <w:sz w:val="22"/>
        </w:rPr>
        <w:t>Conduct periodic reviews of counseled students to evaluate improvement in academics or behavior.</w:t>
      </w:r>
    </w:p>
    <w:p>
      <w:pPr>
        <w:pStyle w:val="ListBullet"/>
        <w:spacing w:after="80"/>
      </w:pPr>
      <w:r>
        <w:rPr>
          <w:rFonts w:ascii="Cambria" w:hAnsi="Cambria"/>
          <w:sz w:val="22"/>
        </w:rPr>
        <w:t>Encourage continuous communication between students, mentors, and parents (where necessary).</w:t>
      </w:r>
    </w:p>
    <w:p>
      <w:pPr>
        <w:pStyle w:val="ListBullet"/>
        <w:spacing w:after="80"/>
      </w:pPr>
      <w:r>
        <w:rPr>
          <w:rFonts w:ascii="Cambria" w:hAnsi="Cambria"/>
          <w:sz w:val="22"/>
        </w:rPr>
        <w:t>Implement corrective measures such as academic monitoring, peer mentoring, or psychological referral if issues persist.</w:t>
      </w:r>
    </w:p>
    <w:p>
      <w:pPr>
        <w:keepNext/>
        <w:spacing w:before="200" w:after="160"/>
      </w:pPr>
      <w:r>
        <w:rPr>
          <w:rFonts w:ascii="Cambria" w:hAnsi="Cambria"/>
          <w:b/>
          <w:color w:val="1F3A5F"/>
          <w:sz w:val="26"/>
        </w:rPr>
        <w:t>8. Contribution to Institutional Development</w:t>
      </w:r>
    </w:p>
    <w:p>
      <w:pPr>
        <w:pStyle w:val="ListBullet"/>
        <w:spacing w:after="80"/>
      </w:pPr>
      <w:r>
        <w:rPr>
          <w:rFonts w:ascii="Cambria" w:hAnsi="Cambria"/>
          <w:sz w:val="22"/>
        </w:rPr>
        <w:t>Use insights from counseling sessions to identify systemic issues (curriculum stress, peer pressure, resource gaps).</w:t>
      </w:r>
    </w:p>
    <w:p>
      <w:pPr>
        <w:pStyle w:val="ListBullet"/>
        <w:spacing w:after="80"/>
      </w:pPr>
      <w:r>
        <w:rPr>
          <w:rFonts w:ascii="Cambria" w:hAnsi="Cambria"/>
          <w:sz w:val="22"/>
        </w:rPr>
        <w:t>Recommend institutional interventions like wellness workshops, motivational talks, and life-skill training.</w:t>
      </w:r>
    </w:p>
    <w:p>
      <w:pPr>
        <w:pStyle w:val="ListBullet"/>
        <w:spacing w:after="80"/>
      </w:pPr>
      <w:r>
        <w:rPr>
          <w:rFonts w:ascii="Cambria" w:hAnsi="Cambria"/>
          <w:sz w:val="22"/>
        </w:rPr>
        <w:t>Support student progression and retention by proactively addressing academic and emotional barriers.</w:t>
      </w:r>
    </w:p>
    <w:p>
      <w:pPr>
        <w:keepNext/>
        <w:spacing w:before="200" w:after="160"/>
      </w:pPr>
      <w:r>
        <w:rPr>
          <w:rFonts w:ascii="Cambria" w:hAnsi="Cambria"/>
          <w:b/>
          <w:color w:val="1F3A5F"/>
          <w:sz w:val="30"/>
        </w:rPr>
        <w:t>Interaction and Feedback from Parents</w:t>
      </w:r>
    </w:p>
    <w:p>
      <w:pPr>
        <w:keepNext/>
        <w:spacing w:before="200" w:after="160"/>
      </w:pPr>
      <w:r>
        <w:rPr>
          <w:rFonts w:ascii="Cambria" w:hAnsi="Cambria"/>
          <w:b/>
          <w:color w:val="1F3A5F"/>
          <w:sz w:val="26"/>
        </w:rPr>
        <w:t>1. Parent Interaction and Engagement</w:t>
      </w:r>
    </w:p>
    <w:p>
      <w:pPr>
        <w:pStyle w:val="ListBullet"/>
        <w:spacing w:after="80"/>
      </w:pPr>
      <w:r>
        <w:rPr>
          <w:rFonts w:ascii="Cambria" w:hAnsi="Cambria"/>
          <w:sz w:val="22"/>
        </w:rPr>
        <w:t>Conduct regular interactions with at least 10% of parents from each class or batch every semester.</w:t>
      </w:r>
    </w:p>
    <w:p>
      <w:pPr>
        <w:pStyle w:val="ListBullet"/>
        <w:spacing w:after="80"/>
      </w:pPr>
      <w:r>
        <w:rPr>
          <w:rFonts w:ascii="Cambria" w:hAnsi="Cambria"/>
          <w:sz w:val="22"/>
        </w:rPr>
        <w:t>Select parents through a representative sample covering high-performing, average, and academically weak students.</w:t>
      </w:r>
    </w:p>
    <w:p>
      <w:pPr>
        <w:pStyle w:val="ListBullet"/>
        <w:spacing w:after="80"/>
      </w:pPr>
      <w:r>
        <w:rPr>
          <w:rFonts w:ascii="Cambria" w:hAnsi="Cambria"/>
          <w:sz w:val="22"/>
        </w:rPr>
        <w:t>Use the interaction as an opportunity to discuss student progress, academic performance, attendance, behavior, and participation in college activities.</w:t>
      </w:r>
    </w:p>
    <w:p>
      <w:pPr>
        <w:keepNext/>
        <w:spacing w:before="200" w:after="160"/>
      </w:pPr>
      <w:r>
        <w:rPr>
          <w:rFonts w:ascii="Cambria" w:hAnsi="Cambria"/>
          <w:b/>
          <w:color w:val="1F3A5F"/>
          <w:sz w:val="26"/>
        </w:rPr>
        <w:t>2. Objectives of Parent Meetings</w:t>
      </w:r>
    </w:p>
    <w:p>
      <w:pPr>
        <w:pStyle w:val="ListBullet"/>
        <w:spacing w:after="80"/>
      </w:pPr>
      <w:r>
        <w:rPr>
          <w:rFonts w:ascii="Cambria" w:hAnsi="Cambria"/>
          <w:sz w:val="22"/>
        </w:rPr>
        <w:t>Strengthen the communication link between the department and parents for improved student monitoring.</w:t>
      </w:r>
    </w:p>
    <w:p>
      <w:pPr>
        <w:pStyle w:val="ListBullet"/>
        <w:spacing w:after="80"/>
      </w:pPr>
      <w:r>
        <w:rPr>
          <w:rFonts w:ascii="Cambria" w:hAnsi="Cambria"/>
          <w:sz w:val="22"/>
        </w:rPr>
        <w:t>Gather feedback on academic quality, teaching–learning process, and infrastructure facilities.</w:t>
      </w:r>
    </w:p>
    <w:p>
      <w:pPr>
        <w:pStyle w:val="ListBullet"/>
        <w:spacing w:after="80"/>
      </w:pPr>
      <w:r>
        <w:rPr>
          <w:rFonts w:ascii="Cambria" w:hAnsi="Cambria"/>
          <w:sz w:val="22"/>
        </w:rPr>
        <w:t>Identify issues or suggestions raised by parents regarding curriculum delivery, faculty accessibility, and student welfare.</w:t>
      </w:r>
    </w:p>
    <w:p>
      <w:pPr>
        <w:pStyle w:val="ListBullet"/>
        <w:spacing w:after="80"/>
      </w:pPr>
      <w:r>
        <w:rPr>
          <w:rFonts w:ascii="Cambria" w:hAnsi="Cambria"/>
          <w:sz w:val="22"/>
        </w:rPr>
        <w:t>Involve parents as stakeholders in supporting students' academic and behavioral improvement.</w:t>
      </w:r>
    </w:p>
    <w:p>
      <w:pPr>
        <w:keepNext/>
        <w:spacing w:before="200" w:after="160"/>
      </w:pPr>
      <w:r>
        <w:rPr>
          <w:rFonts w:ascii="Cambria" w:hAnsi="Cambria"/>
          <w:b/>
          <w:color w:val="1F3A5F"/>
          <w:sz w:val="26"/>
        </w:rPr>
        <w:t>3. Structure and Conduct of Parent Meetings</w:t>
      </w:r>
    </w:p>
    <w:p>
      <w:pPr>
        <w:pStyle w:val="ListBullet"/>
        <w:spacing w:after="80"/>
      </w:pPr>
      <w:r>
        <w:rPr>
          <w:rFonts w:ascii="Cambria" w:hAnsi="Cambria"/>
          <w:sz w:val="22"/>
        </w:rPr>
        <w:t>Organize Parent Interaction Sessions once every semester, either in-person or virtually.</w:t>
      </w:r>
    </w:p>
    <w:p>
      <w:pPr>
        <w:pStyle w:val="ListBullet"/>
        <w:spacing w:after="80"/>
      </w:pPr>
      <w:r>
        <w:rPr>
          <w:rFonts w:ascii="Cambria" w:hAnsi="Cambria"/>
          <w:sz w:val="22"/>
        </w:rPr>
        <w:t>Ensure participation of class advisors, faculty mentors, and student counselors during the meeting.</w:t>
      </w:r>
    </w:p>
    <w:p>
      <w:pPr>
        <w:pStyle w:val="ListBullet"/>
        <w:spacing w:after="80"/>
      </w:pPr>
      <w:r>
        <w:rPr>
          <w:rFonts w:ascii="Cambria" w:hAnsi="Cambria"/>
          <w:sz w:val="22"/>
        </w:rPr>
        <w:t>Present a summary of departmental performance, highlighting student achievements, placement updates, and academic initiatives.</w:t>
      </w:r>
    </w:p>
    <w:p>
      <w:pPr>
        <w:pStyle w:val="ListBullet"/>
        <w:spacing w:after="80"/>
      </w:pPr>
      <w:r>
        <w:rPr>
          <w:rFonts w:ascii="Cambria" w:hAnsi="Cambria"/>
          <w:sz w:val="22"/>
        </w:rPr>
        <w:t>Allocate time for individual or group discussions with parents about their ward's progress and concerns.</w:t>
      </w:r>
    </w:p>
    <w:p>
      <w:pPr>
        <w:keepNext/>
        <w:spacing w:before="200" w:after="160"/>
      </w:pPr>
      <w:r>
        <w:rPr>
          <w:rFonts w:ascii="Cambria" w:hAnsi="Cambria"/>
          <w:b/>
          <w:color w:val="1F3A5F"/>
          <w:sz w:val="26"/>
        </w:rPr>
        <w:t>4. Feedback Collection and Analysis</w:t>
      </w:r>
    </w:p>
    <w:p>
      <w:pPr>
        <w:pStyle w:val="ListBullet"/>
        <w:spacing w:after="80"/>
      </w:pPr>
      <w:r>
        <w:rPr>
          <w:rFonts w:ascii="Cambria" w:hAnsi="Cambria"/>
          <w:sz w:val="22"/>
        </w:rPr>
        <w:t>Distribute structured Parent Feedback Forms covering key areas such as:</w:t>
      </w:r>
    </w:p>
    <w:p>
      <w:pPr>
        <w:pStyle w:val="ListBullet2"/>
        <w:spacing w:after="80"/>
      </w:pPr>
      <w:r>
        <w:rPr>
          <w:rFonts w:ascii="Cambria" w:hAnsi="Cambria"/>
          <w:sz w:val="22"/>
        </w:rPr>
        <w:t>Teaching quality and communication by faculty.</w:t>
      </w:r>
    </w:p>
    <w:p>
      <w:pPr>
        <w:pStyle w:val="ListBullet2"/>
        <w:spacing w:after="80"/>
      </w:pPr>
      <w:r>
        <w:rPr>
          <w:rFonts w:ascii="Cambria" w:hAnsi="Cambria"/>
          <w:sz w:val="22"/>
        </w:rPr>
        <w:t>Academic support and student mentoring.</w:t>
      </w:r>
    </w:p>
    <w:p>
      <w:pPr>
        <w:pStyle w:val="ListBullet2"/>
        <w:spacing w:after="80"/>
      </w:pPr>
      <w:r>
        <w:rPr>
          <w:rFonts w:ascii="Cambria" w:hAnsi="Cambria"/>
          <w:sz w:val="22"/>
        </w:rPr>
        <w:t>Laboratory and infrastructure facilities.</w:t>
      </w:r>
    </w:p>
    <w:p>
      <w:pPr>
        <w:pStyle w:val="ListBullet2"/>
        <w:spacing w:after="80"/>
      </w:pPr>
      <w:r>
        <w:rPr>
          <w:rFonts w:ascii="Cambria" w:hAnsi="Cambria"/>
          <w:sz w:val="22"/>
        </w:rPr>
        <w:t>Discipline, punctuality, and overall student development.</w:t>
      </w:r>
    </w:p>
    <w:p>
      <w:pPr>
        <w:pStyle w:val="ListBullet2"/>
        <w:spacing w:after="80"/>
      </w:pPr>
      <w:r>
        <w:rPr>
          <w:rFonts w:ascii="Cambria" w:hAnsi="Cambria"/>
          <w:sz w:val="22"/>
        </w:rPr>
        <w:t>Administrative efficiency and responsiveness.</w:t>
      </w:r>
    </w:p>
    <w:p>
      <w:pPr>
        <w:pStyle w:val="ListBullet"/>
        <w:spacing w:after="80"/>
      </w:pPr>
      <w:r>
        <w:rPr>
          <w:rFonts w:ascii="Cambria" w:hAnsi="Cambria"/>
          <w:sz w:val="22"/>
        </w:rPr>
        <w:t>Collect, review, and analyze the feedback quantitatively and qualitatively to identify trends and improvement areas.</w:t>
      </w:r>
    </w:p>
    <w:p>
      <w:pPr>
        <w:pStyle w:val="ListBullet"/>
        <w:spacing w:after="80"/>
      </w:pPr>
      <w:r>
        <w:rPr>
          <w:rFonts w:ascii="Cambria" w:hAnsi="Cambria"/>
          <w:sz w:val="22"/>
        </w:rPr>
        <w:t>Document all feedback responses in a Parent Interaction Register or digital record.</w:t>
      </w:r>
    </w:p>
    <w:p>
      <w:pPr>
        <w:keepNext/>
        <w:spacing w:before="200" w:after="160"/>
      </w:pPr>
      <w:r>
        <w:rPr>
          <w:rFonts w:ascii="Cambria" w:hAnsi="Cambria"/>
          <w:b/>
          <w:color w:val="1F3A5F"/>
          <w:sz w:val="26"/>
        </w:rPr>
        <w:t>5. Consolidation and Reporting</w:t>
      </w:r>
    </w:p>
    <w:p>
      <w:pPr>
        <w:pStyle w:val="ListBullet"/>
        <w:spacing w:after="80"/>
      </w:pPr>
      <w:r>
        <w:rPr>
          <w:rFonts w:ascii="Cambria" w:hAnsi="Cambria"/>
          <w:sz w:val="22"/>
        </w:rPr>
        <w:t>Prepare a comprehensive summary report of all parent feedback received, highlighting:</w:t>
      </w:r>
    </w:p>
    <w:p>
      <w:pPr>
        <w:pStyle w:val="ListBullet2"/>
        <w:spacing w:after="80"/>
      </w:pPr>
      <w:r>
        <w:rPr>
          <w:rFonts w:ascii="Cambria" w:hAnsi="Cambria"/>
          <w:sz w:val="22"/>
        </w:rPr>
        <w:t>Positive observations and appreciation points.</w:t>
      </w:r>
    </w:p>
    <w:p>
      <w:pPr>
        <w:pStyle w:val="ListBullet2"/>
        <w:spacing w:after="80"/>
      </w:pPr>
      <w:r>
        <w:rPr>
          <w:rFonts w:ascii="Cambria" w:hAnsi="Cambria"/>
          <w:sz w:val="22"/>
        </w:rPr>
        <w:t>Suggestions for improvement in academics or administration.</w:t>
      </w:r>
    </w:p>
    <w:p>
      <w:pPr>
        <w:pStyle w:val="ListBullet2"/>
        <w:spacing w:after="80"/>
      </w:pPr>
      <w:r>
        <w:rPr>
          <w:rFonts w:ascii="Cambria" w:hAnsi="Cambria"/>
          <w:sz w:val="22"/>
        </w:rPr>
        <w:t>Common issues or grievances identified during interactions.</w:t>
      </w:r>
    </w:p>
    <w:p>
      <w:pPr>
        <w:pStyle w:val="ListBullet2"/>
        <w:spacing w:after="80"/>
      </w:pPr>
      <w:r>
        <w:rPr>
          <w:rFonts w:ascii="Cambria" w:hAnsi="Cambria"/>
          <w:sz w:val="22"/>
        </w:rPr>
        <w:t>Action taken or proposed measures by the department.</w:t>
      </w:r>
    </w:p>
    <w:p>
      <w:pPr>
        <w:pStyle w:val="ListBullet"/>
        <w:spacing w:after="80"/>
      </w:pPr>
      <w:r>
        <w:rPr>
          <w:rFonts w:ascii="Cambria" w:hAnsi="Cambria"/>
          <w:sz w:val="22"/>
        </w:rPr>
        <w:t>Submit the consolidated report to the Principal at the end of each semester for institutional review and follow-up.</w:t>
      </w:r>
    </w:p>
    <w:p>
      <w:pPr>
        <w:pStyle w:val="ListBullet"/>
        <w:spacing w:after="80"/>
      </w:pPr>
      <w:r>
        <w:rPr>
          <w:rFonts w:ascii="Cambria" w:hAnsi="Cambria"/>
          <w:sz w:val="22"/>
        </w:rPr>
        <w:t>Keep copies of the report in departmental records for reference during audits and accreditation visits (NAAC/NBA).</w:t>
      </w:r>
    </w:p>
    <w:p>
      <w:pPr>
        <w:keepNext/>
        <w:spacing w:before="200" w:after="160"/>
      </w:pPr>
      <w:r>
        <w:rPr>
          <w:rFonts w:ascii="Cambria" w:hAnsi="Cambria"/>
          <w:b/>
          <w:color w:val="1F3A5F"/>
          <w:sz w:val="26"/>
        </w:rPr>
        <w:t>6. Follow-Up and Implementation</w:t>
      </w:r>
    </w:p>
    <w:p>
      <w:pPr>
        <w:pStyle w:val="ListBullet"/>
        <w:spacing w:after="80"/>
      </w:pPr>
      <w:r>
        <w:rPr>
          <w:rFonts w:ascii="Cambria" w:hAnsi="Cambria"/>
          <w:sz w:val="22"/>
        </w:rPr>
        <w:t>Discuss major feedback points in departmental meetings and plan corrective or enhancement actions.</w:t>
      </w:r>
    </w:p>
    <w:p>
      <w:pPr>
        <w:pStyle w:val="ListBullet"/>
        <w:spacing w:after="80"/>
      </w:pPr>
      <w:r>
        <w:rPr>
          <w:rFonts w:ascii="Cambria" w:hAnsi="Cambria"/>
          <w:sz w:val="22"/>
        </w:rPr>
        <w:t>Share relevant insights with faculty members, mentors, and student counselors for improved academic delivery.</w:t>
      </w:r>
    </w:p>
    <w:p>
      <w:pPr>
        <w:pStyle w:val="ListBullet"/>
        <w:spacing w:after="80"/>
      </w:pPr>
      <w:r>
        <w:rPr>
          <w:rFonts w:ascii="Cambria" w:hAnsi="Cambria"/>
          <w:sz w:val="22"/>
        </w:rPr>
        <w:t>Communicate back to parents (in the next meeting or circular) regarding actions taken based on their suggestions.</w:t>
      </w:r>
    </w:p>
    <w:p>
      <w:pPr>
        <w:keepNext/>
        <w:spacing w:before="200" w:after="160"/>
      </w:pPr>
      <w:r>
        <w:rPr>
          <w:rFonts w:ascii="Cambria" w:hAnsi="Cambria"/>
          <w:b/>
          <w:color w:val="1F3A5F"/>
          <w:sz w:val="26"/>
        </w:rPr>
        <w:t>7. Contribution to Institutional Quality Improvement</w:t>
      </w:r>
    </w:p>
    <w:p>
      <w:pPr>
        <w:pStyle w:val="ListBullet"/>
        <w:spacing w:after="80"/>
      </w:pPr>
      <w:r>
        <w:rPr>
          <w:rFonts w:ascii="Cambria" w:hAnsi="Cambria"/>
          <w:sz w:val="22"/>
        </w:rPr>
        <w:t>Use parent feedback as an input for IQAC reports, academic audits, and quality enhancement initiatives.</w:t>
      </w:r>
    </w:p>
    <w:p>
      <w:pPr>
        <w:pStyle w:val="ListBullet"/>
        <w:spacing w:after="80"/>
      </w:pPr>
      <w:r>
        <w:rPr>
          <w:rFonts w:ascii="Cambria" w:hAnsi="Cambria"/>
          <w:sz w:val="22"/>
        </w:rPr>
        <w:t>Integrate insights into student progression strategies, curriculum improvement, and support mechanisms.</w:t>
      </w:r>
    </w:p>
    <w:p>
      <w:pPr>
        <w:pStyle w:val="ListBullet"/>
        <w:spacing w:after="80"/>
      </w:pPr>
      <w:r>
        <w:rPr>
          <w:rFonts w:ascii="Cambria" w:hAnsi="Cambria"/>
          <w:sz w:val="22"/>
        </w:rPr>
        <w:t>Strengthen the department's stakeholder engagement practices, demonstrating transparency and responsiveness.</w:t>
      </w:r>
    </w:p>
    <w:p>
      <w:pPr>
        <w:keepNext/>
        <w:spacing w:before="200" w:after="160"/>
      </w:pPr>
      <w:r>
        <w:rPr>
          <w:rFonts w:ascii="Cambria" w:hAnsi="Cambria"/>
          <w:b/>
          <w:color w:val="1F3A5F"/>
          <w:sz w:val="30"/>
        </w:rPr>
        <w:t>Motivating Students and Inculcating a Career-Oriented Mindset</w:t>
      </w:r>
    </w:p>
    <w:p>
      <w:pPr>
        <w:keepNext/>
        <w:spacing w:before="200" w:after="160"/>
      </w:pPr>
      <w:r>
        <w:rPr>
          <w:rFonts w:ascii="Cambria" w:hAnsi="Cambria"/>
          <w:b/>
          <w:color w:val="1F3A5F"/>
          <w:sz w:val="26"/>
        </w:rPr>
        <w:t>1. Promoting a Career-Focused Learning Environment</w:t>
      </w:r>
    </w:p>
    <w:p>
      <w:pPr>
        <w:pStyle w:val="ListBullet"/>
        <w:spacing w:after="80"/>
      </w:pPr>
      <w:r>
        <w:rPr>
          <w:rFonts w:ascii="Cambria" w:hAnsi="Cambria"/>
          <w:sz w:val="22"/>
        </w:rPr>
        <w:t>Foster a career-oriented academic culture within the department that emphasizes employability, innovation, and lifelong learning.</w:t>
      </w:r>
    </w:p>
    <w:p>
      <w:pPr>
        <w:pStyle w:val="ListBullet"/>
        <w:spacing w:after="80"/>
      </w:pPr>
      <w:r>
        <w:rPr>
          <w:rFonts w:ascii="Cambria" w:hAnsi="Cambria"/>
          <w:sz w:val="22"/>
        </w:rPr>
        <w:t>Encourage faculty to integrate career awareness, real-world applications, and industry relevance into their teaching.</w:t>
      </w:r>
    </w:p>
    <w:p>
      <w:pPr>
        <w:pStyle w:val="ListBullet"/>
        <w:spacing w:after="80"/>
      </w:pPr>
      <w:r>
        <w:rPr>
          <w:rFonts w:ascii="Cambria" w:hAnsi="Cambria"/>
          <w:sz w:val="22"/>
        </w:rPr>
        <w:t>Align departmental activities with current job market trends, emerging technologies, and national skill frameworks (NEP-2020, NSDC, etc.).</w:t>
      </w:r>
    </w:p>
    <w:p>
      <w:pPr>
        <w:keepNext/>
        <w:spacing w:before="200" w:after="160"/>
      </w:pPr>
      <w:r>
        <w:rPr>
          <w:rFonts w:ascii="Cambria" w:hAnsi="Cambria"/>
          <w:b/>
          <w:color w:val="1F3A5F"/>
          <w:sz w:val="26"/>
        </w:rPr>
        <w:t>2. Academic and Career Counseling</w:t>
      </w:r>
    </w:p>
    <w:p>
      <w:pPr>
        <w:pStyle w:val="ListBullet"/>
        <w:spacing w:after="80"/>
      </w:pPr>
      <w:r>
        <w:rPr>
          <w:rFonts w:ascii="Cambria" w:hAnsi="Cambria"/>
          <w:sz w:val="22"/>
        </w:rPr>
        <w:t>Conduct regular counseling sessions to help students identify their interests, strengths, and career aspirations.</w:t>
      </w:r>
    </w:p>
    <w:p>
      <w:pPr>
        <w:pStyle w:val="ListBullet"/>
        <w:spacing w:after="80"/>
      </w:pPr>
      <w:r>
        <w:rPr>
          <w:rFonts w:ascii="Cambria" w:hAnsi="Cambria"/>
          <w:sz w:val="22"/>
        </w:rPr>
        <w:t>Guide students in selecting appropriate electives, certifications, and internships aligned with their career goals.</w:t>
      </w:r>
    </w:p>
    <w:p>
      <w:pPr>
        <w:pStyle w:val="ListBullet"/>
        <w:spacing w:after="80"/>
      </w:pPr>
      <w:r>
        <w:rPr>
          <w:rFonts w:ascii="Cambria" w:hAnsi="Cambria"/>
          <w:sz w:val="22"/>
        </w:rPr>
        <w:t>Provide insights into career pathways such as higher education, research, entrepreneurship, or industrial roles.</w:t>
      </w:r>
    </w:p>
    <w:p>
      <w:pPr>
        <w:pStyle w:val="ListBullet"/>
        <w:spacing w:after="80"/>
      </w:pPr>
      <w:r>
        <w:rPr>
          <w:rFonts w:ascii="Cambria" w:hAnsi="Cambria"/>
          <w:sz w:val="22"/>
        </w:rPr>
        <w:t>Ensure mentoring covers academic planning, skill enhancement, and goal setting for every student.</w:t>
      </w:r>
    </w:p>
    <w:p>
      <w:pPr>
        <w:keepNext/>
        <w:spacing w:before="200" w:after="160"/>
      </w:pPr>
      <w:r>
        <w:rPr>
          <w:rFonts w:ascii="Cambria" w:hAnsi="Cambria"/>
          <w:b/>
          <w:color w:val="1F3A5F"/>
          <w:sz w:val="26"/>
        </w:rPr>
        <w:t>3. Industry and Placement Orientation</w:t>
      </w:r>
    </w:p>
    <w:p>
      <w:pPr>
        <w:pStyle w:val="ListBullet"/>
        <w:spacing w:after="80"/>
      </w:pPr>
      <w:r>
        <w:rPr>
          <w:rFonts w:ascii="Cambria" w:hAnsi="Cambria"/>
          <w:sz w:val="22"/>
        </w:rPr>
        <w:t>Collaborate with the Training and Placement Cell to organize:</w:t>
      </w:r>
    </w:p>
    <w:p>
      <w:pPr>
        <w:pStyle w:val="ListBullet2"/>
        <w:spacing w:after="80"/>
      </w:pPr>
      <w:r>
        <w:rPr>
          <w:rFonts w:ascii="Cambria" w:hAnsi="Cambria"/>
          <w:sz w:val="22"/>
        </w:rPr>
        <w:t>Pre-placement talks, career awareness seminars, and industry expert sessions.</w:t>
      </w:r>
    </w:p>
    <w:p>
      <w:pPr>
        <w:pStyle w:val="ListBullet2"/>
        <w:spacing w:after="80"/>
      </w:pPr>
      <w:r>
        <w:rPr>
          <w:rFonts w:ascii="Cambria" w:hAnsi="Cambria"/>
          <w:sz w:val="22"/>
        </w:rPr>
        <w:t>Soft-skills, aptitude, and interview preparation workshops.</w:t>
      </w:r>
    </w:p>
    <w:p>
      <w:pPr>
        <w:pStyle w:val="ListBullet2"/>
        <w:spacing w:after="80"/>
      </w:pPr>
      <w:r>
        <w:rPr>
          <w:rFonts w:ascii="Cambria" w:hAnsi="Cambria"/>
          <w:sz w:val="22"/>
        </w:rPr>
        <w:t>Industrial visits and internships to expose students to real-world work environments.</w:t>
      </w:r>
    </w:p>
    <w:p>
      <w:pPr>
        <w:pStyle w:val="ListBullet"/>
        <w:spacing w:after="80"/>
      </w:pPr>
      <w:r>
        <w:rPr>
          <w:rFonts w:ascii="Cambria" w:hAnsi="Cambria"/>
          <w:sz w:val="22"/>
        </w:rPr>
        <w:t>Motivate students to develop professional ethics, adaptability, and teamwork skills essential for employability.</w:t>
      </w:r>
    </w:p>
    <w:p>
      <w:pPr>
        <w:keepNext/>
        <w:spacing w:before="200" w:after="160"/>
      </w:pPr>
      <w:r>
        <w:rPr>
          <w:rFonts w:ascii="Cambria" w:hAnsi="Cambria"/>
          <w:b/>
          <w:color w:val="1F3A5F"/>
          <w:sz w:val="26"/>
        </w:rPr>
        <w:t>4. Encouraging Skill Development and Certifications</w:t>
      </w:r>
    </w:p>
    <w:p>
      <w:pPr>
        <w:pStyle w:val="ListBullet"/>
        <w:spacing w:after="80"/>
      </w:pPr>
      <w:r>
        <w:rPr>
          <w:rFonts w:ascii="Cambria" w:hAnsi="Cambria"/>
          <w:sz w:val="22"/>
        </w:rPr>
        <w:t>Motivate students to enroll in online certification programs (SWAYAM, Coursera, NPTEL, etc.) to enhance technical and domain expertise.</w:t>
      </w:r>
    </w:p>
    <w:p>
      <w:pPr>
        <w:pStyle w:val="ListBullet"/>
        <w:spacing w:after="80"/>
      </w:pPr>
      <w:r>
        <w:rPr>
          <w:rFonts w:ascii="Cambria" w:hAnsi="Cambria"/>
          <w:sz w:val="22"/>
        </w:rPr>
        <w:t>Facilitate participation in competitions, hackathons, and research projects that develop analytical and problem-solving abilities.</w:t>
      </w:r>
    </w:p>
    <w:p>
      <w:pPr>
        <w:pStyle w:val="ListBullet"/>
        <w:spacing w:after="80"/>
      </w:pPr>
      <w:r>
        <w:rPr>
          <w:rFonts w:ascii="Cambria" w:hAnsi="Cambria"/>
          <w:sz w:val="22"/>
        </w:rPr>
        <w:t>Coordinate departmental skill development initiatives, ensuring students gain both theoretical knowledge and applied competencies.</w:t>
      </w:r>
    </w:p>
    <w:p>
      <w:pPr>
        <w:keepNext/>
        <w:spacing w:before="200" w:after="160"/>
      </w:pPr>
      <w:r>
        <w:rPr>
          <w:rFonts w:ascii="Cambria" w:hAnsi="Cambria"/>
          <w:b/>
          <w:color w:val="1F3A5F"/>
          <w:sz w:val="26"/>
        </w:rPr>
        <w:t>5. Cultivating Research and Innovation Mindset</w:t>
      </w:r>
    </w:p>
    <w:p>
      <w:pPr>
        <w:pStyle w:val="ListBullet"/>
        <w:spacing w:after="80"/>
      </w:pPr>
      <w:r>
        <w:rPr>
          <w:rFonts w:ascii="Cambria" w:hAnsi="Cambria"/>
          <w:sz w:val="22"/>
        </w:rPr>
        <w:t>Encourage students to engage in mini-projects, final-year projects, and publications under faculty guidance.</w:t>
      </w:r>
    </w:p>
    <w:p>
      <w:pPr>
        <w:pStyle w:val="ListBullet"/>
        <w:spacing w:after="80"/>
      </w:pPr>
      <w:r>
        <w:rPr>
          <w:rFonts w:ascii="Cambria" w:hAnsi="Cambria"/>
          <w:sz w:val="22"/>
        </w:rPr>
        <w:t>Promote participation in innovation challenges, incubation programs, and start-up initiatives.</w:t>
      </w:r>
    </w:p>
    <w:p>
      <w:pPr>
        <w:pStyle w:val="ListBullet"/>
        <w:spacing w:after="80"/>
      </w:pPr>
      <w:r>
        <w:rPr>
          <w:rFonts w:ascii="Cambria" w:hAnsi="Cambria"/>
          <w:sz w:val="22"/>
        </w:rPr>
        <w:t>Create departmental platforms (Innovation Clubs, Research Forums) to showcase student creativity and leadership.</w:t>
      </w:r>
    </w:p>
    <w:p>
      <w:pPr>
        <w:keepNext/>
        <w:spacing w:before="200" w:after="160"/>
      </w:pPr>
      <w:r>
        <w:rPr>
          <w:rFonts w:ascii="Cambria" w:hAnsi="Cambria"/>
          <w:b/>
          <w:color w:val="1F3A5F"/>
          <w:sz w:val="26"/>
        </w:rPr>
        <w:t>6. Personal Motivation and Mentoring</w:t>
      </w:r>
    </w:p>
    <w:p>
      <w:pPr>
        <w:pStyle w:val="ListBullet"/>
        <w:spacing w:after="80"/>
      </w:pPr>
      <w:r>
        <w:rPr>
          <w:rFonts w:ascii="Cambria" w:hAnsi="Cambria"/>
          <w:sz w:val="22"/>
        </w:rPr>
        <w:t>Provide individual motivation and counseling for students struggling with self-confidence, goal clarity, or academic setbacks.</w:t>
      </w:r>
    </w:p>
    <w:p>
      <w:pPr>
        <w:pStyle w:val="ListBullet"/>
        <w:spacing w:after="80"/>
      </w:pPr>
      <w:r>
        <w:rPr>
          <w:rFonts w:ascii="Cambria" w:hAnsi="Cambria"/>
          <w:sz w:val="22"/>
        </w:rPr>
        <w:t>Recognize and celebrate student achievements (academic, research, or extracurricular) to build confidence and drive.</w:t>
      </w:r>
    </w:p>
    <w:p>
      <w:pPr>
        <w:pStyle w:val="ListBullet"/>
        <w:spacing w:after="80"/>
      </w:pPr>
      <w:r>
        <w:rPr>
          <w:rFonts w:ascii="Cambria" w:hAnsi="Cambria"/>
          <w:sz w:val="22"/>
        </w:rPr>
        <w:t>Encourage peer mentoring where senior students guide juniors on career preparation and college adaptation.</w:t>
      </w:r>
    </w:p>
    <w:p>
      <w:pPr>
        <w:keepNext/>
        <w:spacing w:before="200" w:after="160"/>
      </w:pPr>
      <w:r>
        <w:rPr>
          <w:rFonts w:ascii="Cambria" w:hAnsi="Cambria"/>
          <w:b/>
          <w:color w:val="1F3A5F"/>
          <w:sz w:val="26"/>
        </w:rPr>
        <w:t>7. Collaboration and Resource Utilization</w:t>
      </w:r>
    </w:p>
    <w:p>
      <w:pPr>
        <w:pStyle w:val="ListBullet"/>
        <w:spacing w:after="80"/>
      </w:pPr>
      <w:r>
        <w:rPr>
          <w:rFonts w:ascii="Cambria" w:hAnsi="Cambria"/>
          <w:sz w:val="22"/>
        </w:rPr>
        <w:t>Collaborate with career guidance cells, alumni associations, and industry partners to offer mentorship opportunities.</w:t>
      </w:r>
    </w:p>
    <w:p>
      <w:pPr>
        <w:pStyle w:val="ListBullet"/>
        <w:spacing w:after="80"/>
      </w:pPr>
      <w:r>
        <w:rPr>
          <w:rFonts w:ascii="Cambria" w:hAnsi="Cambria"/>
          <w:sz w:val="22"/>
        </w:rPr>
        <w:t>Invite alumni for interactive talks to inspire students through real career experiences and success stories.</w:t>
      </w:r>
    </w:p>
    <w:p>
      <w:pPr>
        <w:pStyle w:val="ListBullet"/>
        <w:spacing w:after="80"/>
      </w:pPr>
      <w:r>
        <w:rPr>
          <w:rFonts w:ascii="Cambria" w:hAnsi="Cambria"/>
          <w:sz w:val="22"/>
        </w:rPr>
        <w:t>Leverage institutional networks to connect students with internship opportunities, professional societies, and research centers.</w:t>
      </w:r>
    </w:p>
    <w:p>
      <w:pPr>
        <w:keepNext/>
        <w:spacing w:before="200" w:after="160"/>
      </w:pPr>
      <w:r>
        <w:rPr>
          <w:rFonts w:ascii="Cambria" w:hAnsi="Cambria"/>
          <w:b/>
          <w:color w:val="1F3A5F"/>
          <w:sz w:val="26"/>
        </w:rPr>
        <w:t>8. Documentation and Reporting</w:t>
      </w:r>
    </w:p>
    <w:p>
      <w:pPr>
        <w:pStyle w:val="ListBullet"/>
        <w:spacing w:after="80"/>
      </w:pPr>
      <w:r>
        <w:rPr>
          <w:rFonts w:ascii="Cambria" w:hAnsi="Cambria"/>
          <w:sz w:val="22"/>
        </w:rPr>
        <w:t>Maintain a Career Counseling Register or Digital Logbook documenting:</w:t>
      </w:r>
    </w:p>
    <w:p>
      <w:pPr>
        <w:pStyle w:val="ListBullet2"/>
        <w:spacing w:after="80"/>
      </w:pPr>
      <w:r>
        <w:rPr>
          <w:rFonts w:ascii="Cambria" w:hAnsi="Cambria"/>
          <w:sz w:val="22"/>
        </w:rPr>
        <w:t>Counseling sessions conducted.</w:t>
      </w:r>
    </w:p>
    <w:p>
      <w:pPr>
        <w:pStyle w:val="ListBullet2"/>
        <w:spacing w:after="80"/>
      </w:pPr>
      <w:r>
        <w:rPr>
          <w:rFonts w:ascii="Cambria" w:hAnsi="Cambria"/>
          <w:sz w:val="22"/>
        </w:rPr>
        <w:t>Programs or workshops organized.</w:t>
      </w:r>
    </w:p>
    <w:p>
      <w:pPr>
        <w:pStyle w:val="ListBullet2"/>
        <w:spacing w:after="80"/>
      </w:pPr>
      <w:r>
        <w:rPr>
          <w:rFonts w:ascii="Cambria" w:hAnsi="Cambria"/>
          <w:sz w:val="22"/>
        </w:rPr>
        <w:t>Number of students motivated or trained for placements, higher studies, or entrepreneurship.</w:t>
      </w:r>
    </w:p>
    <w:p>
      <w:pPr>
        <w:pStyle w:val="ListBullet"/>
        <w:spacing w:after="80"/>
      </w:pPr>
      <w:r>
        <w:rPr>
          <w:rFonts w:ascii="Cambria" w:hAnsi="Cambria"/>
          <w:sz w:val="22"/>
        </w:rPr>
        <w:t>Submit a semester-wise summary report to the Principal or IQAC detailing outcomes and future plans.</w:t>
      </w:r>
    </w:p>
    <w:p>
      <w:pPr>
        <w:keepNext/>
        <w:spacing w:before="200" w:after="160"/>
      </w:pPr>
      <w:r>
        <w:rPr>
          <w:rFonts w:ascii="Cambria" w:hAnsi="Cambria"/>
          <w:b/>
          <w:color w:val="1F3A5F"/>
          <w:sz w:val="26"/>
        </w:rPr>
        <w:t>9. Monitoring Outcomes and Continuous Improvement</w:t>
      </w:r>
    </w:p>
    <w:p>
      <w:pPr>
        <w:pStyle w:val="ListBullet"/>
        <w:spacing w:after="80"/>
      </w:pPr>
      <w:r>
        <w:rPr>
          <w:rFonts w:ascii="Cambria" w:hAnsi="Cambria"/>
          <w:sz w:val="22"/>
        </w:rPr>
        <w:t>Track student progress in placements, internships, higher education admissions, and entrepreneurship ventures.</w:t>
      </w:r>
    </w:p>
    <w:p>
      <w:pPr>
        <w:pStyle w:val="ListBullet"/>
        <w:spacing w:after="80"/>
      </w:pPr>
      <w:r>
        <w:rPr>
          <w:rFonts w:ascii="Cambria" w:hAnsi="Cambria"/>
          <w:sz w:val="22"/>
        </w:rPr>
        <w:t>Collect feedback from students on the effectiveness of career counseling activities and use it for improvement.</w:t>
      </w:r>
    </w:p>
    <w:p>
      <w:pPr>
        <w:pStyle w:val="ListBullet"/>
        <w:spacing w:after="80"/>
      </w:pPr>
      <w:r>
        <w:rPr>
          <w:rFonts w:ascii="Cambria" w:hAnsi="Cambria"/>
          <w:sz w:val="22"/>
        </w:rPr>
        <w:t>Regularly review and update strategies to ensure counseling remains aligned with industry evolution and student needs.</w:t>
      </w:r>
    </w:p>
    <w:p>
      <w:pPr>
        <w:keepNext/>
        <w:spacing w:before="200" w:after="160"/>
      </w:pPr>
      <w:r>
        <w:rPr>
          <w:rFonts w:ascii="Cambria" w:hAnsi="Cambria"/>
          <w:b/>
          <w:color w:val="1F3A5F"/>
          <w:sz w:val="30"/>
        </w:rPr>
        <w:t>Counseling Students for Better, Ethical, Moral, and Professional Behavior</w:t>
      </w:r>
    </w:p>
    <w:p>
      <w:pPr>
        <w:keepNext/>
        <w:spacing w:before="200" w:after="160"/>
      </w:pPr>
      <w:r>
        <w:rPr>
          <w:rFonts w:ascii="Cambria" w:hAnsi="Cambria"/>
          <w:b/>
          <w:color w:val="1F3A5F"/>
          <w:sz w:val="26"/>
        </w:rPr>
        <w:t>1. Promoting Ethical and Value-Based Education</w:t>
      </w:r>
    </w:p>
    <w:p>
      <w:pPr>
        <w:pStyle w:val="ListBullet"/>
        <w:spacing w:after="80"/>
      </w:pPr>
      <w:r>
        <w:rPr>
          <w:rFonts w:ascii="Cambria" w:hAnsi="Cambria"/>
          <w:sz w:val="22"/>
        </w:rPr>
        <w:t>Integrate ethical, moral, and professional values into departmental culture and student conduct.</w:t>
      </w:r>
    </w:p>
    <w:p>
      <w:pPr>
        <w:pStyle w:val="ListBullet"/>
        <w:spacing w:after="80"/>
      </w:pPr>
      <w:r>
        <w:rPr>
          <w:rFonts w:ascii="Cambria" w:hAnsi="Cambria"/>
          <w:sz w:val="22"/>
        </w:rPr>
        <w:t>Reinforce the importance of integrity, honesty, and accountability in both academic and personal life.</w:t>
      </w:r>
    </w:p>
    <w:p>
      <w:pPr>
        <w:pStyle w:val="ListBullet"/>
        <w:spacing w:after="80"/>
      </w:pPr>
      <w:r>
        <w:rPr>
          <w:rFonts w:ascii="Cambria" w:hAnsi="Cambria"/>
          <w:sz w:val="22"/>
        </w:rPr>
        <w:t>Ensure counseling sessions emphasize respect, discipline, empathy, and responsibility as essential student attributes.</w:t>
      </w:r>
    </w:p>
    <w:p>
      <w:pPr>
        <w:pStyle w:val="ListBullet"/>
        <w:spacing w:after="80"/>
      </w:pPr>
      <w:r>
        <w:rPr>
          <w:rFonts w:ascii="Cambria" w:hAnsi="Cambria"/>
          <w:sz w:val="22"/>
        </w:rPr>
        <w:t>Collaborate with faculty to include value-based discussions and real-life ethical dilemmas in classroom activities.</w:t>
      </w:r>
    </w:p>
    <w:p>
      <w:pPr>
        <w:keepNext/>
        <w:spacing w:before="200" w:after="160"/>
      </w:pPr>
      <w:r>
        <w:rPr>
          <w:rFonts w:ascii="Cambria" w:hAnsi="Cambria"/>
          <w:b/>
          <w:color w:val="1F3A5F"/>
          <w:sz w:val="26"/>
        </w:rPr>
        <w:t>2. Conducting Regular Behavioral Counseling</w:t>
      </w:r>
    </w:p>
    <w:p>
      <w:pPr>
        <w:pStyle w:val="ListBullet"/>
        <w:spacing w:after="80"/>
      </w:pPr>
      <w:r>
        <w:rPr>
          <w:rFonts w:ascii="Cambria" w:hAnsi="Cambria"/>
          <w:sz w:val="22"/>
        </w:rPr>
        <w:t>Schedule periodic counseling sessions to address issues related to student behavior, attitude, and discipline.</w:t>
      </w:r>
    </w:p>
    <w:p>
      <w:pPr>
        <w:pStyle w:val="ListBullet"/>
        <w:spacing w:after="80"/>
      </w:pPr>
      <w:r>
        <w:rPr>
          <w:rFonts w:ascii="Cambria" w:hAnsi="Cambria"/>
          <w:sz w:val="22"/>
        </w:rPr>
        <w:t>Identify students showing academic misconduct, absenteeism, or interpersonal conflicts and provide timely guidance.</w:t>
      </w:r>
    </w:p>
    <w:p>
      <w:pPr>
        <w:pStyle w:val="ListBullet"/>
        <w:spacing w:after="80"/>
      </w:pPr>
      <w:r>
        <w:rPr>
          <w:rFonts w:ascii="Cambria" w:hAnsi="Cambria"/>
          <w:sz w:val="22"/>
        </w:rPr>
        <w:t>Encourage self-reflection and personal growth by helping students understand the consequences of unethical or unprofessional actions.</w:t>
      </w:r>
    </w:p>
    <w:p>
      <w:pPr>
        <w:pStyle w:val="ListBullet"/>
        <w:spacing w:after="80"/>
      </w:pPr>
      <w:r>
        <w:rPr>
          <w:rFonts w:ascii="Cambria" w:hAnsi="Cambria"/>
          <w:sz w:val="22"/>
        </w:rPr>
        <w:t>Foster a culture of positive discipline where students learn self-regulation and accountability.</w:t>
      </w:r>
    </w:p>
    <w:p>
      <w:pPr>
        <w:keepNext/>
        <w:spacing w:before="200" w:after="160"/>
      </w:pPr>
      <w:r>
        <w:rPr>
          <w:rFonts w:ascii="Cambria" w:hAnsi="Cambria"/>
          <w:b/>
          <w:color w:val="1F3A5F"/>
          <w:sz w:val="26"/>
        </w:rPr>
        <w:t>3. Reinforcing Professional Conduct</w:t>
      </w:r>
    </w:p>
    <w:p>
      <w:pPr>
        <w:pStyle w:val="ListBullet"/>
        <w:spacing w:after="80"/>
      </w:pPr>
      <w:r>
        <w:rPr>
          <w:rFonts w:ascii="Cambria" w:hAnsi="Cambria"/>
          <w:sz w:val="22"/>
        </w:rPr>
        <w:t>Educate students on the expectations of professional behavior within academic, industrial, and societal settings.</w:t>
      </w:r>
    </w:p>
    <w:p>
      <w:pPr>
        <w:pStyle w:val="ListBullet"/>
        <w:spacing w:after="80"/>
      </w:pPr>
      <w:r>
        <w:rPr>
          <w:rFonts w:ascii="Cambria" w:hAnsi="Cambria"/>
          <w:sz w:val="22"/>
        </w:rPr>
        <w:t>Counsel students to demonstrate:</w:t>
      </w:r>
    </w:p>
    <w:p>
      <w:pPr>
        <w:pStyle w:val="ListBullet2"/>
        <w:spacing w:after="80"/>
      </w:pPr>
      <w:r>
        <w:rPr>
          <w:rFonts w:ascii="Cambria" w:hAnsi="Cambria"/>
          <w:sz w:val="22"/>
        </w:rPr>
        <w:t>Punctuality and time management.</w:t>
      </w:r>
    </w:p>
    <w:p>
      <w:pPr>
        <w:pStyle w:val="ListBullet2"/>
        <w:spacing w:after="80"/>
      </w:pPr>
      <w:r>
        <w:rPr>
          <w:rFonts w:ascii="Cambria" w:hAnsi="Cambria"/>
          <w:sz w:val="22"/>
        </w:rPr>
        <w:t>Respect for peers, teachers, and institutional property.</w:t>
      </w:r>
    </w:p>
    <w:p>
      <w:pPr>
        <w:pStyle w:val="ListBullet2"/>
        <w:spacing w:after="80"/>
      </w:pPr>
      <w:r>
        <w:rPr>
          <w:rFonts w:ascii="Cambria" w:hAnsi="Cambria"/>
          <w:sz w:val="22"/>
        </w:rPr>
        <w:t>Teamwork, communication, and collaboration.</w:t>
      </w:r>
    </w:p>
    <w:p>
      <w:pPr>
        <w:pStyle w:val="ListBullet2"/>
        <w:spacing w:after="80"/>
      </w:pPr>
      <w:r>
        <w:rPr>
          <w:rFonts w:ascii="Cambria" w:hAnsi="Cambria"/>
          <w:sz w:val="22"/>
        </w:rPr>
        <w:t>Ethical use of technology, data, and intellectual property.</w:t>
      </w:r>
    </w:p>
    <w:p>
      <w:pPr>
        <w:pStyle w:val="ListBullet"/>
        <w:spacing w:after="80"/>
      </w:pPr>
      <w:r>
        <w:rPr>
          <w:rFonts w:ascii="Cambria" w:hAnsi="Cambria"/>
          <w:sz w:val="22"/>
        </w:rPr>
        <w:t>Prepare students to uphold professional ethics and workplace etiquette during internships, projects, and placements.</w:t>
      </w:r>
    </w:p>
    <w:p>
      <w:pPr>
        <w:keepNext/>
        <w:spacing w:before="200" w:after="160"/>
      </w:pPr>
      <w:r>
        <w:rPr>
          <w:rFonts w:ascii="Cambria" w:hAnsi="Cambria"/>
          <w:b/>
          <w:color w:val="1F3A5F"/>
          <w:sz w:val="26"/>
        </w:rPr>
        <w:t>4. Addressing Behavioral and Disciplinary Issues</w:t>
      </w:r>
    </w:p>
    <w:p>
      <w:pPr>
        <w:pStyle w:val="ListBullet"/>
        <w:spacing w:after="80"/>
      </w:pPr>
      <w:r>
        <w:rPr>
          <w:rFonts w:ascii="Cambria" w:hAnsi="Cambria"/>
          <w:sz w:val="22"/>
        </w:rPr>
        <w:t>Intervene in cases of indiscipline, disrespect, or misconduct through counseling rather than immediate punishment.</w:t>
      </w:r>
    </w:p>
    <w:p>
      <w:pPr>
        <w:pStyle w:val="ListBullet"/>
        <w:spacing w:after="80"/>
      </w:pPr>
      <w:r>
        <w:rPr>
          <w:rFonts w:ascii="Cambria" w:hAnsi="Cambria"/>
          <w:sz w:val="22"/>
        </w:rPr>
        <w:t>Work in coordination with faculty mentors, student counselors, and disciplinary committees to provide corrective guidance.</w:t>
      </w:r>
    </w:p>
    <w:p>
      <w:pPr>
        <w:pStyle w:val="ListBullet"/>
        <w:spacing w:after="80"/>
      </w:pPr>
      <w:r>
        <w:rPr>
          <w:rFonts w:ascii="Cambria" w:hAnsi="Cambria"/>
          <w:sz w:val="22"/>
        </w:rPr>
        <w:t>Monitor the post-counseling behavior of such students and maintain regular follow-up until improvement is observed.</w:t>
      </w:r>
    </w:p>
    <w:p>
      <w:pPr>
        <w:pStyle w:val="ListBullet"/>
        <w:spacing w:after="80"/>
      </w:pPr>
      <w:r>
        <w:rPr>
          <w:rFonts w:ascii="Cambria" w:hAnsi="Cambria"/>
          <w:sz w:val="22"/>
        </w:rPr>
        <w:t>Ensure confidentiality and a non-judgmental counseling environment for open student communication.</w:t>
      </w:r>
    </w:p>
    <w:p>
      <w:pPr>
        <w:keepNext/>
        <w:spacing w:before="200" w:after="160"/>
      </w:pPr>
      <w:r>
        <w:rPr>
          <w:rFonts w:ascii="Cambria" w:hAnsi="Cambria"/>
          <w:b/>
          <w:color w:val="1F3A5F"/>
          <w:sz w:val="26"/>
        </w:rPr>
        <w:t>5. Encouraging Social and Civic Responsibility</w:t>
      </w:r>
    </w:p>
    <w:p>
      <w:pPr>
        <w:pStyle w:val="ListBullet"/>
        <w:spacing w:after="80"/>
      </w:pPr>
      <w:r>
        <w:rPr>
          <w:rFonts w:ascii="Cambria" w:hAnsi="Cambria"/>
          <w:sz w:val="22"/>
        </w:rPr>
        <w:t>Counsel students to develop social awareness and civic sense, aligning with the institution's values and SDG goals.</w:t>
      </w:r>
    </w:p>
    <w:p>
      <w:pPr>
        <w:pStyle w:val="ListBullet"/>
        <w:spacing w:after="80"/>
      </w:pPr>
      <w:r>
        <w:rPr>
          <w:rFonts w:ascii="Cambria" w:hAnsi="Cambria"/>
          <w:sz w:val="22"/>
        </w:rPr>
        <w:t>Motivate them to participate in community service, environmental drives, and volunteer programs that promote empathy and inclusivity.</w:t>
      </w:r>
    </w:p>
    <w:p>
      <w:pPr>
        <w:pStyle w:val="ListBullet"/>
        <w:spacing w:after="80"/>
      </w:pPr>
      <w:r>
        <w:rPr>
          <w:rFonts w:ascii="Cambria" w:hAnsi="Cambria"/>
          <w:sz w:val="22"/>
        </w:rPr>
        <w:t>Highlight how ethical conduct and moral values contribute to leadership and societal impact.</w:t>
      </w:r>
    </w:p>
    <w:p>
      <w:pPr>
        <w:keepNext/>
        <w:spacing w:before="200" w:after="160"/>
      </w:pPr>
      <w:r>
        <w:rPr>
          <w:rFonts w:ascii="Cambria" w:hAnsi="Cambria"/>
          <w:b/>
          <w:color w:val="1F3A5F"/>
          <w:sz w:val="26"/>
        </w:rPr>
        <w:t>6. Integration with Institutional Initiatives</w:t>
      </w:r>
    </w:p>
    <w:p>
      <w:pPr>
        <w:pStyle w:val="ListBullet"/>
        <w:spacing w:after="80"/>
      </w:pPr>
      <w:r>
        <w:rPr>
          <w:rFonts w:ascii="Cambria" w:hAnsi="Cambria"/>
          <w:sz w:val="22"/>
        </w:rPr>
        <w:t>Collaborate with Value Education Cells, NSS, NCC, or Ethics Committees to conduct workshops on moral and professional values.</w:t>
      </w:r>
    </w:p>
    <w:p>
      <w:pPr>
        <w:pStyle w:val="ListBullet"/>
        <w:spacing w:after="80"/>
      </w:pPr>
      <w:r>
        <w:rPr>
          <w:rFonts w:ascii="Cambria" w:hAnsi="Cambria"/>
          <w:sz w:val="22"/>
        </w:rPr>
        <w:t>Promote participation in seminars, debates, and awareness campaigns on integrity, anti-ragging, gender sensitivity, and diversity.</w:t>
      </w:r>
    </w:p>
    <w:p>
      <w:pPr>
        <w:pStyle w:val="ListBullet"/>
        <w:spacing w:after="80"/>
      </w:pPr>
      <w:r>
        <w:rPr>
          <w:rFonts w:ascii="Cambria" w:hAnsi="Cambria"/>
          <w:sz w:val="22"/>
        </w:rPr>
        <w:t>Align counseling objectives with institutional code of conduct, NEP 2020 values framework, and UGC's “Deeksharambh” initiative.</w:t>
      </w:r>
    </w:p>
    <w:p>
      <w:pPr>
        <w:keepNext/>
        <w:spacing w:before="200" w:after="160"/>
      </w:pPr>
      <w:r>
        <w:rPr>
          <w:rFonts w:ascii="Cambria" w:hAnsi="Cambria"/>
          <w:b/>
          <w:color w:val="1F3A5F"/>
          <w:sz w:val="26"/>
        </w:rPr>
        <w:t>7. Documentation and Reporting</w:t>
      </w:r>
    </w:p>
    <w:p>
      <w:pPr>
        <w:pStyle w:val="ListBullet"/>
        <w:spacing w:after="80"/>
      </w:pPr>
      <w:r>
        <w:rPr>
          <w:rFonts w:ascii="Cambria" w:hAnsi="Cambria"/>
          <w:sz w:val="22"/>
        </w:rPr>
        <w:t>Maintain a Behavioral Counseling Register or Digital Record including:</w:t>
      </w:r>
    </w:p>
    <w:p>
      <w:pPr>
        <w:pStyle w:val="ListBullet2"/>
        <w:spacing w:after="80"/>
      </w:pPr>
      <w:r>
        <w:rPr>
          <w:rFonts w:ascii="Cambria" w:hAnsi="Cambria"/>
          <w:sz w:val="22"/>
        </w:rPr>
        <w:t>Student details and nature of issue addressed.</w:t>
      </w:r>
    </w:p>
    <w:p>
      <w:pPr>
        <w:pStyle w:val="ListBullet2"/>
        <w:spacing w:after="80"/>
      </w:pPr>
      <w:r>
        <w:rPr>
          <w:rFonts w:ascii="Cambria" w:hAnsi="Cambria"/>
          <w:sz w:val="22"/>
        </w:rPr>
        <w:t>Counseling date, type (individual/group), and actions taken.</w:t>
      </w:r>
    </w:p>
    <w:p>
      <w:pPr>
        <w:pStyle w:val="ListBullet2"/>
        <w:spacing w:after="80"/>
      </w:pPr>
      <w:r>
        <w:rPr>
          <w:rFonts w:ascii="Cambria" w:hAnsi="Cambria"/>
          <w:sz w:val="22"/>
        </w:rPr>
        <w:t>Follow-up outcomes and improvement remarks.</w:t>
      </w:r>
    </w:p>
    <w:p>
      <w:pPr>
        <w:pStyle w:val="ListBullet"/>
        <w:spacing w:after="80"/>
      </w:pPr>
      <w:r>
        <w:rPr>
          <w:rFonts w:ascii="Cambria" w:hAnsi="Cambria"/>
          <w:sz w:val="22"/>
        </w:rPr>
        <w:t>Submit semester-wise behavioral counseling summaries to the Principal, Dean (Student Affairs), or IQAC.</w:t>
      </w:r>
    </w:p>
    <w:p>
      <w:pPr>
        <w:pStyle w:val="ListBullet"/>
        <w:spacing w:after="80"/>
      </w:pPr>
      <w:r>
        <w:rPr>
          <w:rFonts w:ascii="Cambria" w:hAnsi="Cambria"/>
          <w:sz w:val="22"/>
        </w:rPr>
        <w:t>Keep counseling records confidential yet audit-ready for institutional reviews and NAAC Criterion 7 evidence.</w:t>
      </w:r>
    </w:p>
    <w:p>
      <w:pPr>
        <w:keepNext/>
        <w:spacing w:before="200" w:after="160"/>
      </w:pPr>
      <w:r>
        <w:rPr>
          <w:rFonts w:ascii="Cambria" w:hAnsi="Cambria"/>
          <w:b/>
          <w:color w:val="1F3A5F"/>
          <w:sz w:val="26"/>
        </w:rPr>
        <w:t>8. Role Modeling and Mentorship</w:t>
      </w:r>
    </w:p>
    <w:p>
      <w:pPr>
        <w:pStyle w:val="ListBullet"/>
        <w:spacing w:after="80"/>
      </w:pPr>
      <w:r>
        <w:rPr>
          <w:rFonts w:ascii="Cambria" w:hAnsi="Cambria"/>
          <w:sz w:val="22"/>
        </w:rPr>
        <w:t>Lead by example — demonstrate ethical leadership, professionalism, and fairness in departmental dealings.</w:t>
      </w:r>
    </w:p>
    <w:p>
      <w:pPr>
        <w:pStyle w:val="ListBullet"/>
        <w:spacing w:after="80"/>
      </w:pPr>
      <w:r>
        <w:rPr>
          <w:rFonts w:ascii="Cambria" w:hAnsi="Cambria"/>
          <w:sz w:val="22"/>
        </w:rPr>
        <w:t>Encourage faculty and senior students to act as ethical role models and peer mentors.</w:t>
      </w:r>
    </w:p>
    <w:p>
      <w:pPr>
        <w:pStyle w:val="ListBullet"/>
        <w:spacing w:after="80"/>
      </w:pPr>
      <w:r>
        <w:rPr>
          <w:rFonts w:ascii="Cambria" w:hAnsi="Cambria"/>
          <w:sz w:val="22"/>
        </w:rPr>
        <w:t>Use real-life experiences and case discussions to help students internalize moral reasoning and ethical decision-making.</w:t>
      </w:r>
    </w:p>
    <w:p>
      <w:pPr>
        <w:keepNext/>
        <w:spacing w:before="200" w:after="160"/>
      </w:pPr>
      <w:r>
        <w:rPr>
          <w:rFonts w:ascii="Cambria" w:hAnsi="Cambria"/>
          <w:b/>
          <w:color w:val="1F3A5F"/>
          <w:sz w:val="26"/>
        </w:rPr>
        <w:t>9. Continuous Monitoring and Reinforcement</w:t>
      </w:r>
    </w:p>
    <w:p>
      <w:pPr>
        <w:pStyle w:val="ListBullet"/>
        <w:spacing w:after="80"/>
      </w:pPr>
      <w:r>
        <w:rPr>
          <w:rFonts w:ascii="Cambria" w:hAnsi="Cambria"/>
          <w:sz w:val="22"/>
        </w:rPr>
        <w:t>Observe student behavior across classrooms, labs, and events to identify patterns requiring intervention.</w:t>
      </w:r>
    </w:p>
    <w:p>
      <w:pPr>
        <w:pStyle w:val="ListBullet"/>
        <w:spacing w:after="80"/>
      </w:pPr>
      <w:r>
        <w:rPr>
          <w:rFonts w:ascii="Cambria" w:hAnsi="Cambria"/>
          <w:sz w:val="22"/>
        </w:rPr>
        <w:t>Conduct feedback sessions to assess behavioral improvements post-counseling.</w:t>
      </w:r>
    </w:p>
    <w:p>
      <w:pPr>
        <w:pStyle w:val="ListBullet"/>
        <w:spacing w:after="80"/>
      </w:pPr>
      <w:r>
        <w:rPr>
          <w:rFonts w:ascii="Cambria" w:hAnsi="Cambria"/>
          <w:sz w:val="22"/>
        </w:rPr>
        <w:t>Reinforce ethical and professional values through recognition, appreciation, and positive reinforcement.</w:t>
      </w:r>
    </w:p>
    <w:p>
      <w:pPr>
        <w:keepNext/>
        <w:spacing w:before="200" w:after="160"/>
      </w:pPr>
      <w:r>
        <w:rPr>
          <w:rFonts w:ascii="Cambria" w:hAnsi="Cambria"/>
          <w:b/>
          <w:color w:val="1F3A5F"/>
          <w:sz w:val="30"/>
        </w:rPr>
        <w:t>Counseling Students in Career Planning and Competitive Examinations</w:t>
      </w:r>
    </w:p>
    <w:p>
      <w:pPr>
        <w:keepNext/>
        <w:spacing w:before="200" w:after="160"/>
      </w:pPr>
      <w:r>
        <w:rPr>
          <w:rFonts w:ascii="Cambria" w:hAnsi="Cambria"/>
          <w:b/>
          <w:color w:val="1F3A5F"/>
          <w:sz w:val="26"/>
        </w:rPr>
        <w:t>1. Guiding Students in Career Planning</w:t>
      </w:r>
    </w:p>
    <w:p>
      <w:pPr>
        <w:pStyle w:val="ListBullet"/>
        <w:spacing w:after="80"/>
      </w:pPr>
      <w:r>
        <w:rPr>
          <w:rFonts w:ascii="Cambria" w:hAnsi="Cambria"/>
          <w:sz w:val="22"/>
        </w:rPr>
        <w:t>Conduct systematic counseling sessions to help students identify their career interests, goals, and aptitudes.</w:t>
      </w:r>
    </w:p>
    <w:p>
      <w:pPr>
        <w:pStyle w:val="ListBullet"/>
        <w:spacing w:after="80"/>
      </w:pPr>
      <w:r>
        <w:rPr>
          <w:rFonts w:ascii="Cambria" w:hAnsi="Cambria"/>
          <w:sz w:val="22"/>
        </w:rPr>
        <w:t>Provide guidance on career pathways such as higher education, research, entrepreneurship, public sector, or industry employment.</w:t>
      </w:r>
    </w:p>
    <w:p>
      <w:pPr>
        <w:pStyle w:val="ListBullet"/>
        <w:spacing w:after="80"/>
      </w:pPr>
      <w:r>
        <w:rPr>
          <w:rFonts w:ascii="Cambria" w:hAnsi="Cambria"/>
          <w:sz w:val="22"/>
        </w:rPr>
        <w:t>Help students align their academic strengths and personal aspirations with suitable career options.</w:t>
      </w:r>
    </w:p>
    <w:p>
      <w:pPr>
        <w:pStyle w:val="ListBullet"/>
        <w:spacing w:after="80"/>
      </w:pPr>
      <w:r>
        <w:rPr>
          <w:rFonts w:ascii="Cambria" w:hAnsi="Cambria"/>
          <w:sz w:val="22"/>
        </w:rPr>
        <w:t>Encourage goal setting through individual development plans (IDPs) that define short-term and long-term career objectives.</w:t>
      </w:r>
    </w:p>
    <w:p>
      <w:pPr>
        <w:keepNext/>
        <w:spacing w:before="200" w:after="160"/>
      </w:pPr>
      <w:r>
        <w:rPr>
          <w:rFonts w:ascii="Cambria" w:hAnsi="Cambria"/>
          <w:b/>
          <w:color w:val="1F3A5F"/>
          <w:sz w:val="26"/>
        </w:rPr>
        <w:t>2. Awareness on Career Opportunities</w:t>
      </w:r>
    </w:p>
    <w:p>
      <w:pPr>
        <w:pStyle w:val="ListBullet"/>
        <w:spacing w:after="80"/>
      </w:pPr>
      <w:r>
        <w:rPr>
          <w:rFonts w:ascii="Cambria" w:hAnsi="Cambria"/>
          <w:sz w:val="22"/>
        </w:rPr>
        <w:t>Organize career awareness programs, seminars, and orientation sessions highlighting emerging domains and job markets.</w:t>
      </w:r>
    </w:p>
    <w:p>
      <w:pPr>
        <w:pStyle w:val="ListBullet"/>
        <w:spacing w:after="80"/>
      </w:pPr>
      <w:r>
        <w:rPr>
          <w:rFonts w:ascii="Cambria" w:hAnsi="Cambria"/>
          <w:sz w:val="22"/>
        </w:rPr>
        <w:t>Collaborate with industry experts, alumni, and training partners to inform students about current industry expectations.</w:t>
      </w:r>
    </w:p>
    <w:p>
      <w:pPr>
        <w:pStyle w:val="ListBullet"/>
        <w:spacing w:after="80"/>
      </w:pPr>
      <w:r>
        <w:rPr>
          <w:rFonts w:ascii="Cambria" w:hAnsi="Cambria"/>
          <w:sz w:val="22"/>
        </w:rPr>
        <w:t>Ensure students are familiar with sector-specific opportunities (e.g., IT, data analytics, manufacturing, research, etc.) relevant to their discipline.</w:t>
      </w:r>
    </w:p>
    <w:p>
      <w:pPr>
        <w:pStyle w:val="ListBullet"/>
        <w:spacing w:after="80"/>
      </w:pPr>
      <w:r>
        <w:rPr>
          <w:rFonts w:ascii="Cambria" w:hAnsi="Cambria"/>
          <w:sz w:val="22"/>
        </w:rPr>
        <w:t>Disseminate information about government and private sector openings, fellowships, and scholarships.</w:t>
      </w:r>
    </w:p>
    <w:p>
      <w:pPr>
        <w:keepNext/>
        <w:spacing w:before="200" w:after="160"/>
      </w:pPr>
      <w:r>
        <w:rPr>
          <w:rFonts w:ascii="Cambria" w:hAnsi="Cambria"/>
          <w:b/>
          <w:color w:val="1F3A5F"/>
          <w:sz w:val="26"/>
        </w:rPr>
        <w:t>3. Counseling for Competitive Examinations</w:t>
      </w:r>
    </w:p>
    <w:p>
      <w:pPr>
        <w:pStyle w:val="ListBullet"/>
        <w:spacing w:after="80"/>
      </w:pPr>
      <w:r>
        <w:rPr>
          <w:rFonts w:ascii="Cambria" w:hAnsi="Cambria"/>
          <w:sz w:val="22"/>
        </w:rPr>
        <w:t>Motivate and guide students to prepare for competitive and qualifying examinations, such as:</w:t>
      </w:r>
    </w:p>
    <w:p>
      <w:pPr>
        <w:pStyle w:val="ListBullet2"/>
        <w:spacing w:after="80"/>
      </w:pPr>
      <w:r>
        <w:rPr>
          <w:rFonts w:ascii="Cambria" w:hAnsi="Cambria"/>
          <w:sz w:val="22"/>
        </w:rPr>
        <w:t>GATE, GRE, GMAT, CAT, TOEFL, IELTS (for higher studies).</w:t>
      </w:r>
    </w:p>
    <w:p>
      <w:pPr>
        <w:pStyle w:val="ListBullet2"/>
        <w:spacing w:after="80"/>
      </w:pPr>
      <w:r>
        <w:rPr>
          <w:rFonts w:ascii="Cambria" w:hAnsi="Cambria"/>
          <w:sz w:val="22"/>
        </w:rPr>
        <w:t>UPSC, SSC, Public Sector Exams, and State-level entrance exams.</w:t>
      </w:r>
    </w:p>
    <w:p>
      <w:pPr>
        <w:pStyle w:val="ListBullet2"/>
        <w:spacing w:after="80"/>
      </w:pPr>
      <w:r>
        <w:rPr>
          <w:rFonts w:ascii="Cambria" w:hAnsi="Cambria"/>
          <w:sz w:val="22"/>
        </w:rPr>
        <w:t>Campus recruitment tests and skill-based certifications.</w:t>
      </w:r>
    </w:p>
    <w:p>
      <w:pPr>
        <w:pStyle w:val="ListBullet"/>
        <w:spacing w:after="80"/>
      </w:pPr>
      <w:r>
        <w:rPr>
          <w:rFonts w:ascii="Cambria" w:hAnsi="Cambria"/>
          <w:sz w:val="22"/>
        </w:rPr>
        <w:t>Provide resources, study plans, and mentoring support through faculty coordinators or alumni mentors with exam experience.</w:t>
      </w:r>
    </w:p>
    <w:p>
      <w:pPr>
        <w:pStyle w:val="ListBullet"/>
        <w:spacing w:after="80"/>
      </w:pPr>
      <w:r>
        <w:rPr>
          <w:rFonts w:ascii="Cambria" w:hAnsi="Cambria"/>
          <w:sz w:val="22"/>
        </w:rPr>
        <w:t>Organize coaching support, mock tests, and strategy sessions in collaboration with training centers or internal faculty.</w:t>
      </w:r>
    </w:p>
    <w:p>
      <w:pPr>
        <w:keepNext/>
        <w:spacing w:before="200" w:after="160"/>
      </w:pPr>
      <w:r>
        <w:rPr>
          <w:rFonts w:ascii="Cambria" w:hAnsi="Cambria"/>
          <w:b/>
          <w:color w:val="1F3A5F"/>
          <w:sz w:val="26"/>
        </w:rPr>
        <w:t>4. Integration of Career Counseling with Academic Planning</w:t>
      </w:r>
    </w:p>
    <w:p>
      <w:pPr>
        <w:pStyle w:val="ListBullet"/>
        <w:spacing w:after="80"/>
      </w:pPr>
      <w:r>
        <w:rPr>
          <w:rFonts w:ascii="Cambria" w:hAnsi="Cambria"/>
          <w:sz w:val="22"/>
        </w:rPr>
        <w:t>Align counseling discussions with course curriculum and skill development programs offered within the department.</w:t>
      </w:r>
    </w:p>
    <w:p>
      <w:pPr>
        <w:pStyle w:val="ListBullet"/>
        <w:spacing w:after="80"/>
      </w:pPr>
      <w:r>
        <w:rPr>
          <w:rFonts w:ascii="Cambria" w:hAnsi="Cambria"/>
          <w:sz w:val="22"/>
        </w:rPr>
        <w:t>Recommend suitable electives, projects, and internships that strengthen students' career readiness.</w:t>
      </w:r>
    </w:p>
    <w:p>
      <w:pPr>
        <w:pStyle w:val="ListBullet"/>
        <w:spacing w:after="80"/>
      </w:pPr>
      <w:r>
        <w:rPr>
          <w:rFonts w:ascii="Cambria" w:hAnsi="Cambria"/>
          <w:sz w:val="22"/>
        </w:rPr>
        <w:t>Guide students to undertake research or innovation-based projects that align with their chosen career track.</w:t>
      </w:r>
    </w:p>
    <w:p>
      <w:pPr>
        <w:pStyle w:val="ListBullet"/>
        <w:spacing w:after="80"/>
      </w:pPr>
      <w:r>
        <w:rPr>
          <w:rFonts w:ascii="Cambria" w:hAnsi="Cambria"/>
          <w:sz w:val="22"/>
        </w:rPr>
        <w:t>Help students build strong portfolios and resumes reflecting academic and extracurricular achievements.</w:t>
      </w:r>
    </w:p>
    <w:p>
      <w:pPr>
        <w:keepNext/>
        <w:spacing w:before="200" w:after="160"/>
      </w:pPr>
      <w:r>
        <w:rPr>
          <w:rFonts w:ascii="Cambria" w:hAnsi="Cambria"/>
          <w:b/>
          <w:color w:val="1F3A5F"/>
          <w:sz w:val="26"/>
        </w:rPr>
        <w:t>5. Collaboration with Institutional Career Services</w:t>
      </w:r>
    </w:p>
    <w:p>
      <w:pPr>
        <w:pStyle w:val="ListBullet"/>
        <w:spacing w:after="80"/>
      </w:pPr>
      <w:r>
        <w:rPr>
          <w:rFonts w:ascii="Cambria" w:hAnsi="Cambria"/>
          <w:sz w:val="22"/>
        </w:rPr>
        <w:t>Work in coordination with the Training and Placement Cell (TPC) and Career Guidance Cell to plan departmental-level initiatives.</w:t>
      </w:r>
    </w:p>
    <w:p>
      <w:pPr>
        <w:pStyle w:val="ListBullet"/>
        <w:spacing w:after="80"/>
      </w:pPr>
      <w:r>
        <w:rPr>
          <w:rFonts w:ascii="Cambria" w:hAnsi="Cambria"/>
          <w:sz w:val="22"/>
        </w:rPr>
        <w:t>Facilitate campus drives, industrial visits, and internship programs that enhance employability.</w:t>
      </w:r>
    </w:p>
    <w:p>
      <w:pPr>
        <w:pStyle w:val="ListBullet"/>
        <w:spacing w:after="80"/>
      </w:pPr>
      <w:r>
        <w:rPr>
          <w:rFonts w:ascii="Cambria" w:hAnsi="Cambria"/>
          <w:sz w:val="22"/>
        </w:rPr>
        <w:t>Provide feedback from departmental counseling sessions to improve institutional career development strategies.</w:t>
      </w:r>
    </w:p>
    <w:p>
      <w:pPr>
        <w:keepNext/>
        <w:spacing w:before="200" w:after="160"/>
      </w:pPr>
      <w:r>
        <w:rPr>
          <w:rFonts w:ascii="Cambria" w:hAnsi="Cambria"/>
          <w:b/>
          <w:color w:val="1F3A5F"/>
          <w:sz w:val="26"/>
        </w:rPr>
        <w:t>6. Mentoring for Higher Education and Global Opportunities</w:t>
      </w:r>
    </w:p>
    <w:p>
      <w:pPr>
        <w:pStyle w:val="ListBullet"/>
        <w:spacing w:after="80"/>
      </w:pPr>
      <w:r>
        <w:rPr>
          <w:rFonts w:ascii="Cambria" w:hAnsi="Cambria"/>
          <w:sz w:val="22"/>
        </w:rPr>
        <w:t>Counsel students interested in postgraduate or doctoral studies on selecting appropriate universities and research programs.</w:t>
      </w:r>
    </w:p>
    <w:p>
      <w:pPr>
        <w:pStyle w:val="ListBullet"/>
        <w:spacing w:after="80"/>
      </w:pPr>
      <w:r>
        <w:rPr>
          <w:rFonts w:ascii="Cambria" w:hAnsi="Cambria"/>
          <w:sz w:val="22"/>
        </w:rPr>
        <w:t>Guide them through the application process, including preparation of SOPs, LORs, and research proposals.</w:t>
      </w:r>
    </w:p>
    <w:p>
      <w:pPr>
        <w:pStyle w:val="ListBullet"/>
        <w:spacing w:after="80"/>
      </w:pPr>
      <w:r>
        <w:rPr>
          <w:rFonts w:ascii="Cambria" w:hAnsi="Cambria"/>
          <w:sz w:val="22"/>
        </w:rPr>
        <w:t>Encourage participation in international academic exchanges, internships, and fellowship programs.</w:t>
      </w:r>
    </w:p>
    <w:p>
      <w:pPr>
        <w:keepNext/>
        <w:spacing w:before="200" w:after="160"/>
      </w:pPr>
      <w:r>
        <w:rPr>
          <w:rFonts w:ascii="Cambria" w:hAnsi="Cambria"/>
          <w:b/>
          <w:color w:val="1F3A5F"/>
          <w:sz w:val="26"/>
        </w:rPr>
        <w:t>7. Tracking and Supporting Student Progress</w:t>
      </w:r>
    </w:p>
    <w:p>
      <w:pPr>
        <w:pStyle w:val="ListBullet"/>
        <w:spacing w:after="80"/>
      </w:pPr>
      <w:r>
        <w:rPr>
          <w:rFonts w:ascii="Cambria" w:hAnsi="Cambria"/>
          <w:sz w:val="22"/>
        </w:rPr>
        <w:t>Maintain a Career Counseling Register or Digital Record containing:</w:t>
      </w:r>
    </w:p>
    <w:p>
      <w:pPr>
        <w:pStyle w:val="ListBullet2"/>
        <w:spacing w:after="80"/>
      </w:pPr>
      <w:r>
        <w:rPr>
          <w:rFonts w:ascii="Cambria" w:hAnsi="Cambria"/>
          <w:sz w:val="22"/>
        </w:rPr>
        <w:t>Student career preferences and counseling details.</w:t>
      </w:r>
    </w:p>
    <w:p>
      <w:pPr>
        <w:pStyle w:val="ListBullet2"/>
        <w:spacing w:after="80"/>
      </w:pPr>
      <w:r>
        <w:rPr>
          <w:rFonts w:ascii="Cambria" w:hAnsi="Cambria"/>
          <w:sz w:val="22"/>
        </w:rPr>
        <w:t>Exams targeted and progress made.</w:t>
      </w:r>
    </w:p>
    <w:p>
      <w:pPr>
        <w:pStyle w:val="ListBullet2"/>
        <w:spacing w:after="80"/>
      </w:pPr>
      <w:r>
        <w:rPr>
          <w:rFonts w:ascii="Cambria" w:hAnsi="Cambria"/>
          <w:sz w:val="22"/>
        </w:rPr>
        <w:t>Participation in preparatory workshops and results achieved.</w:t>
      </w:r>
    </w:p>
    <w:p>
      <w:pPr>
        <w:pStyle w:val="ListBullet"/>
        <w:spacing w:after="80"/>
      </w:pPr>
      <w:r>
        <w:rPr>
          <w:rFonts w:ascii="Cambria" w:hAnsi="Cambria"/>
          <w:sz w:val="22"/>
        </w:rPr>
        <w:t>Monitor the academic and career progress of counseled students and offer periodic follow-up support.</w:t>
      </w:r>
    </w:p>
    <w:p>
      <w:pPr>
        <w:pStyle w:val="ListBullet"/>
        <w:spacing w:after="80"/>
      </w:pPr>
      <w:r>
        <w:rPr>
          <w:rFonts w:ascii="Cambria" w:hAnsi="Cambria"/>
          <w:sz w:val="22"/>
        </w:rPr>
        <w:t>Recognize and document students' success stories in competitive exams and placements for departmental motivation.</w:t>
      </w:r>
    </w:p>
    <w:p>
      <w:pPr>
        <w:keepNext/>
        <w:spacing w:before="200" w:after="160"/>
      </w:pPr>
      <w:r>
        <w:rPr>
          <w:rFonts w:ascii="Cambria" w:hAnsi="Cambria"/>
          <w:b/>
          <w:color w:val="1F3A5F"/>
          <w:sz w:val="26"/>
        </w:rPr>
        <w:t>8. Motivation and Continuous Encouragement</w:t>
      </w:r>
    </w:p>
    <w:p>
      <w:pPr>
        <w:pStyle w:val="ListBullet"/>
        <w:spacing w:after="80"/>
      </w:pPr>
      <w:r>
        <w:rPr>
          <w:rFonts w:ascii="Cambria" w:hAnsi="Cambria"/>
          <w:sz w:val="22"/>
        </w:rPr>
        <w:t>Inspire students to pursue ambitious and value-driven career goals through motivational talks and mentoring sessions.</w:t>
      </w:r>
    </w:p>
    <w:p>
      <w:pPr>
        <w:pStyle w:val="ListBullet"/>
        <w:spacing w:after="80"/>
      </w:pPr>
      <w:r>
        <w:rPr>
          <w:rFonts w:ascii="Cambria" w:hAnsi="Cambria"/>
          <w:sz w:val="22"/>
        </w:rPr>
        <w:t>Celebrate achievements such as placements, exam successes, and higher education admissions to encourage peers.</w:t>
      </w:r>
    </w:p>
    <w:p>
      <w:pPr>
        <w:pStyle w:val="ListBullet"/>
        <w:spacing w:after="80"/>
      </w:pPr>
      <w:r>
        <w:rPr>
          <w:rFonts w:ascii="Cambria" w:hAnsi="Cambria"/>
          <w:sz w:val="22"/>
        </w:rPr>
        <w:t>Create a departmental culture that values excellence, perseverance, and lifelong learning.</w:t>
      </w:r>
    </w:p>
    <w:p>
      <w:pPr>
        <w:keepNext/>
        <w:spacing w:before="200" w:after="160"/>
      </w:pPr>
      <w:r>
        <w:rPr>
          <w:rFonts w:ascii="Cambria" w:hAnsi="Cambria"/>
          <w:b/>
          <w:color w:val="1F3A5F"/>
          <w:sz w:val="26"/>
        </w:rPr>
        <w:t>9. Reporting and Institutional Contribution</w:t>
      </w:r>
    </w:p>
    <w:p>
      <w:pPr>
        <w:pStyle w:val="ListBullet"/>
        <w:spacing w:after="80"/>
      </w:pPr>
      <w:r>
        <w:rPr>
          <w:rFonts w:ascii="Cambria" w:hAnsi="Cambria"/>
          <w:sz w:val="22"/>
        </w:rPr>
        <w:t>Submit semester-wise counseling and career guidance reports to the Principal, IQAC, or Placement Cell.</w:t>
      </w:r>
    </w:p>
    <w:p>
      <w:pPr>
        <w:pStyle w:val="ListBullet"/>
        <w:spacing w:after="80"/>
      </w:pPr>
      <w:r>
        <w:rPr>
          <w:rFonts w:ascii="Cambria" w:hAnsi="Cambria"/>
          <w:sz w:val="22"/>
        </w:rPr>
        <w:t>Use collected feedback to improve future counseling strategies and training interventions.</w:t>
      </w:r>
    </w:p>
    <w:p>
      <w:pPr>
        <w:pStyle w:val="ListBullet"/>
        <w:spacing w:after="80"/>
      </w:pPr>
      <w:r>
        <w:rPr>
          <w:rFonts w:ascii="Cambria" w:hAnsi="Cambria"/>
          <w:sz w:val="22"/>
        </w:rPr>
        <w:t>Ensure that departmental career guidance efforts contribute to institutional KPIs in NAAC, NIRF, and student progression metrics.</w:t>
      </w:r>
    </w:p>
    <w:p>
      <w:r>
        <w:br w:type="page"/>
      </w:r>
    </w:p>
    <w:p>
      <w:pPr>
        <w:keepNext/>
        <w:spacing w:before="280" w:after="160"/>
      </w:pPr>
      <w:r>
        <w:rPr>
          <w:rFonts w:ascii="Cambria" w:hAnsi="Cambria"/>
          <w:b/>
          <w:color w:val="1F3A5F"/>
          <w:sz w:val="36"/>
        </w:rPr>
        <w:t>4. Responsibilities of Head of Department (HoD) Related to Students</w:t>
      </w:r>
    </w:p>
    <w:p>
      <w:pPr>
        <w:keepNext/>
        <w:spacing w:before="200" w:after="160"/>
      </w:pPr>
      <w:r>
        <w:rPr>
          <w:rFonts w:ascii="Cambria" w:hAnsi="Cambria"/>
          <w:b/>
          <w:color w:val="1F3A5F"/>
          <w:sz w:val="30"/>
        </w:rPr>
        <w:t>Ensuring Compliance with Dress Code</w:t>
      </w:r>
    </w:p>
    <w:p>
      <w:pPr>
        <w:keepNext/>
        <w:spacing w:before="200" w:after="160"/>
      </w:pPr>
      <w:r>
        <w:rPr>
          <w:rFonts w:ascii="Cambria" w:hAnsi="Cambria"/>
          <w:b/>
          <w:color w:val="1F3A5F"/>
          <w:sz w:val="26"/>
        </w:rPr>
        <w:t>1. Implementation of Institutional Dress Code Policy</w:t>
      </w:r>
    </w:p>
    <w:p>
      <w:pPr>
        <w:pStyle w:val="ListBullet"/>
        <w:spacing w:after="80"/>
      </w:pPr>
      <w:r>
        <w:rPr>
          <w:rFonts w:ascii="Cambria" w:hAnsi="Cambria"/>
          <w:sz w:val="22"/>
        </w:rPr>
        <w:t>Ensure that all students strictly adhere to the institution's prescribed dress code as part of discipline and professional grooming.</w:t>
      </w:r>
    </w:p>
    <w:p>
      <w:pPr>
        <w:pStyle w:val="ListBullet"/>
        <w:spacing w:after="80"/>
      </w:pPr>
      <w:r>
        <w:rPr>
          <w:rFonts w:ascii="Cambria" w:hAnsi="Cambria"/>
          <w:sz w:val="22"/>
        </w:rPr>
        <w:t>Interpret and communicate the dress code guidelines clearly to students through orientations, notice boards, and classroom announcements.</w:t>
      </w:r>
    </w:p>
    <w:p>
      <w:pPr>
        <w:pStyle w:val="ListBullet"/>
        <w:spacing w:after="80"/>
      </w:pPr>
      <w:r>
        <w:rPr>
          <w:rFonts w:ascii="Cambria" w:hAnsi="Cambria"/>
          <w:sz w:val="22"/>
        </w:rPr>
        <w:t>Reinforce that adherence to the dress code reflects discipline, identity, and institutional culture.</w:t>
      </w:r>
    </w:p>
    <w:p>
      <w:pPr>
        <w:keepNext/>
        <w:spacing w:before="200" w:after="160"/>
      </w:pPr>
      <w:r>
        <w:rPr>
          <w:rFonts w:ascii="Cambria" w:hAnsi="Cambria"/>
          <w:b/>
          <w:color w:val="1F3A5F"/>
          <w:sz w:val="26"/>
        </w:rPr>
        <w:t>2. Delegation and Supervision through Class Advisors</w:t>
      </w:r>
    </w:p>
    <w:p>
      <w:pPr>
        <w:pStyle w:val="ListBullet"/>
        <w:spacing w:after="80"/>
      </w:pPr>
      <w:r>
        <w:rPr>
          <w:rFonts w:ascii="Cambria" w:hAnsi="Cambria"/>
          <w:sz w:val="22"/>
        </w:rPr>
        <w:t>Instruct class advisors and mentors to monitor dress code compliance daily within their respective classes.</w:t>
      </w:r>
    </w:p>
    <w:p>
      <w:pPr>
        <w:pStyle w:val="ListBullet"/>
        <w:spacing w:after="80"/>
      </w:pPr>
      <w:r>
        <w:rPr>
          <w:rFonts w:ascii="Cambria" w:hAnsi="Cambria"/>
          <w:sz w:val="22"/>
        </w:rPr>
        <w:t>Ensure that advisors report non-compliance cases promptly and maintain a record for departmental discipline tracking.</w:t>
      </w:r>
    </w:p>
    <w:p>
      <w:pPr>
        <w:pStyle w:val="ListBullet"/>
        <w:spacing w:after="80"/>
      </w:pPr>
      <w:r>
        <w:rPr>
          <w:rFonts w:ascii="Cambria" w:hAnsi="Cambria"/>
          <w:sz w:val="22"/>
        </w:rPr>
        <w:t>Conduct periodic reviews and meetings with class advisors to assess the consistency of enforcement and address recurring issues.</w:t>
      </w:r>
    </w:p>
    <w:p>
      <w:pPr>
        <w:keepNext/>
        <w:spacing w:before="200" w:after="160"/>
      </w:pPr>
      <w:r>
        <w:rPr>
          <w:rFonts w:ascii="Cambria" w:hAnsi="Cambria"/>
          <w:b/>
          <w:color w:val="1F3A5F"/>
          <w:sz w:val="26"/>
        </w:rPr>
        <w:t>3. Regular Monitoring and Observation</w:t>
      </w:r>
    </w:p>
    <w:p>
      <w:pPr>
        <w:pStyle w:val="ListBullet"/>
        <w:spacing w:after="80"/>
      </w:pPr>
      <w:r>
        <w:rPr>
          <w:rFonts w:ascii="Cambria" w:hAnsi="Cambria"/>
          <w:sz w:val="22"/>
        </w:rPr>
        <w:t>Personally observe student attire during departmental events, lectures, and interactions to ensure uniform implementation.</w:t>
      </w:r>
    </w:p>
    <w:p>
      <w:pPr>
        <w:pStyle w:val="ListBullet"/>
        <w:spacing w:after="80"/>
      </w:pPr>
      <w:r>
        <w:rPr>
          <w:rFonts w:ascii="Cambria" w:hAnsi="Cambria"/>
          <w:sz w:val="22"/>
        </w:rPr>
        <w:t>Make surprise checks during class hours, labs, or gatherings to maintain discipline.</w:t>
      </w:r>
    </w:p>
    <w:p>
      <w:pPr>
        <w:pStyle w:val="ListBullet"/>
        <w:spacing w:after="80"/>
      </w:pPr>
      <w:r>
        <w:rPr>
          <w:rFonts w:ascii="Cambria" w:hAnsi="Cambria"/>
          <w:sz w:val="22"/>
        </w:rPr>
        <w:t>Identify patterns of repeated violations and take corrective counseling measures instead of punitive actions first.</w:t>
      </w:r>
    </w:p>
    <w:p>
      <w:pPr>
        <w:keepNext/>
        <w:spacing w:before="200" w:after="160"/>
      </w:pPr>
      <w:r>
        <w:rPr>
          <w:rFonts w:ascii="Cambria" w:hAnsi="Cambria"/>
          <w:b/>
          <w:color w:val="1F3A5F"/>
          <w:sz w:val="26"/>
        </w:rPr>
        <w:t>4. Counseling and Awareness</w:t>
      </w:r>
    </w:p>
    <w:p>
      <w:pPr>
        <w:pStyle w:val="ListBullet"/>
        <w:spacing w:after="80"/>
      </w:pPr>
      <w:r>
        <w:rPr>
          <w:rFonts w:ascii="Cambria" w:hAnsi="Cambria"/>
          <w:sz w:val="22"/>
        </w:rPr>
        <w:t>Educate students on the purpose and importance of maintaining proper attire, linking it to:</w:t>
      </w:r>
    </w:p>
    <w:p>
      <w:pPr>
        <w:pStyle w:val="ListBullet2"/>
        <w:spacing w:after="80"/>
      </w:pPr>
      <w:r>
        <w:rPr>
          <w:rFonts w:ascii="Cambria" w:hAnsi="Cambria"/>
          <w:sz w:val="22"/>
        </w:rPr>
        <w:t>Professional ethics and workplace readiness.</w:t>
      </w:r>
    </w:p>
    <w:p>
      <w:pPr>
        <w:pStyle w:val="ListBullet2"/>
        <w:spacing w:after="80"/>
      </w:pPr>
      <w:r>
        <w:rPr>
          <w:rFonts w:ascii="Cambria" w:hAnsi="Cambria"/>
          <w:sz w:val="22"/>
        </w:rPr>
        <w:t>Safety in laboratories and workshops (where applicable).</w:t>
      </w:r>
    </w:p>
    <w:p>
      <w:pPr>
        <w:pStyle w:val="ListBullet2"/>
        <w:spacing w:after="80"/>
      </w:pPr>
      <w:r>
        <w:rPr>
          <w:rFonts w:ascii="Cambria" w:hAnsi="Cambria"/>
          <w:sz w:val="22"/>
        </w:rPr>
        <w:t>Institutional image and decorum.</w:t>
      </w:r>
    </w:p>
    <w:p>
      <w:pPr>
        <w:pStyle w:val="ListBullet"/>
        <w:spacing w:after="80"/>
      </w:pPr>
      <w:r>
        <w:rPr>
          <w:rFonts w:ascii="Cambria" w:hAnsi="Cambria"/>
          <w:sz w:val="22"/>
        </w:rPr>
        <w:t>Counsel students who fail to follow the dress code, emphasizing self-discipline, respect for institutional norms, and professionalism.</w:t>
      </w:r>
    </w:p>
    <w:p>
      <w:pPr>
        <w:pStyle w:val="ListBullet"/>
        <w:spacing w:after="80"/>
      </w:pPr>
      <w:r>
        <w:rPr>
          <w:rFonts w:ascii="Cambria" w:hAnsi="Cambria"/>
          <w:sz w:val="22"/>
        </w:rPr>
        <w:t>Encourage peer influence by motivating class leaders and representatives to set positive examples.</w:t>
      </w:r>
    </w:p>
    <w:p>
      <w:pPr>
        <w:keepNext/>
        <w:spacing w:before="200" w:after="160"/>
      </w:pPr>
      <w:r>
        <w:rPr>
          <w:rFonts w:ascii="Cambria" w:hAnsi="Cambria"/>
          <w:b/>
          <w:color w:val="1F3A5F"/>
          <w:sz w:val="26"/>
        </w:rPr>
        <w:t>5. Coordination with Discipline and Student Affairs Committees</w:t>
      </w:r>
    </w:p>
    <w:p>
      <w:pPr>
        <w:pStyle w:val="ListBullet"/>
        <w:spacing w:after="80"/>
      </w:pPr>
      <w:r>
        <w:rPr>
          <w:rFonts w:ascii="Cambria" w:hAnsi="Cambria"/>
          <w:sz w:val="22"/>
        </w:rPr>
        <w:t>Collaborate with the Discipline Committee or Student Affairs Office for uniform enforcement of dress code rules across all departments.</w:t>
      </w:r>
    </w:p>
    <w:p>
      <w:pPr>
        <w:pStyle w:val="ListBullet"/>
        <w:spacing w:after="80"/>
      </w:pPr>
      <w:r>
        <w:rPr>
          <w:rFonts w:ascii="Cambria" w:hAnsi="Cambria"/>
          <w:sz w:val="22"/>
        </w:rPr>
        <w:t>Report serious or repeated non-compliance cases to higher authorities for appropriate disciplinary action.</w:t>
      </w:r>
    </w:p>
    <w:p>
      <w:pPr>
        <w:pStyle w:val="ListBullet"/>
        <w:spacing w:after="80"/>
      </w:pPr>
      <w:r>
        <w:rPr>
          <w:rFonts w:ascii="Cambria" w:hAnsi="Cambria"/>
          <w:sz w:val="22"/>
        </w:rPr>
        <w:t>Provide feedback and suggestions to update or refine dress code policies based on student needs or industrial standards.</w:t>
      </w:r>
    </w:p>
    <w:p>
      <w:pPr>
        <w:keepNext/>
        <w:spacing w:before="200" w:after="160"/>
      </w:pPr>
      <w:r>
        <w:rPr>
          <w:rFonts w:ascii="Cambria" w:hAnsi="Cambria"/>
          <w:b/>
          <w:color w:val="1F3A5F"/>
          <w:sz w:val="26"/>
        </w:rPr>
        <w:t>6. Documentation and Reporting</w:t>
      </w:r>
    </w:p>
    <w:p>
      <w:pPr>
        <w:pStyle w:val="ListBullet"/>
        <w:spacing w:after="80"/>
      </w:pPr>
      <w:r>
        <w:rPr>
          <w:rFonts w:ascii="Cambria" w:hAnsi="Cambria"/>
          <w:sz w:val="22"/>
        </w:rPr>
        <w:t>Maintain a Dress Code Compliance Register or digital record documenting:</w:t>
      </w:r>
    </w:p>
    <w:p>
      <w:pPr>
        <w:pStyle w:val="ListBullet2"/>
        <w:spacing w:after="80"/>
      </w:pPr>
      <w:r>
        <w:rPr>
          <w:rFonts w:ascii="Cambria" w:hAnsi="Cambria"/>
          <w:sz w:val="22"/>
        </w:rPr>
        <w:t>Date and instances of dress code violations.</w:t>
      </w:r>
    </w:p>
    <w:p>
      <w:pPr>
        <w:pStyle w:val="ListBullet2"/>
        <w:spacing w:after="80"/>
      </w:pPr>
      <w:r>
        <w:rPr>
          <w:rFonts w:ascii="Cambria" w:hAnsi="Cambria"/>
          <w:sz w:val="22"/>
        </w:rPr>
        <w:t>Counseling provided or disciplinary actions taken.</w:t>
      </w:r>
    </w:p>
    <w:p>
      <w:pPr>
        <w:pStyle w:val="ListBullet2"/>
        <w:spacing w:after="80"/>
      </w:pPr>
      <w:r>
        <w:rPr>
          <w:rFonts w:ascii="Cambria" w:hAnsi="Cambria"/>
          <w:sz w:val="22"/>
        </w:rPr>
        <w:t>Attendance of class advisors in enforcement activities.</w:t>
      </w:r>
    </w:p>
    <w:p>
      <w:pPr>
        <w:pStyle w:val="ListBullet"/>
        <w:spacing w:after="80"/>
      </w:pPr>
      <w:r>
        <w:rPr>
          <w:rFonts w:ascii="Cambria" w:hAnsi="Cambria"/>
          <w:sz w:val="22"/>
        </w:rPr>
        <w:t>Submit monthly or semester-wise compliance reports to the Principal or Dean (Student Affairs) as per institutional requirements.</w:t>
      </w:r>
    </w:p>
    <w:p>
      <w:pPr>
        <w:keepNext/>
        <w:spacing w:before="200" w:after="160"/>
      </w:pPr>
      <w:r>
        <w:rPr>
          <w:rFonts w:ascii="Cambria" w:hAnsi="Cambria"/>
          <w:b/>
          <w:color w:val="1F3A5F"/>
          <w:sz w:val="26"/>
        </w:rPr>
        <w:t>7. Promoting Professional and Inclusive Appearance</w:t>
      </w:r>
    </w:p>
    <w:p>
      <w:pPr>
        <w:pStyle w:val="ListBullet"/>
        <w:spacing w:after="80"/>
      </w:pPr>
      <w:r>
        <w:rPr>
          <w:rFonts w:ascii="Cambria" w:hAnsi="Cambria"/>
          <w:sz w:val="22"/>
        </w:rPr>
        <w:t>Ensure that the dress code promotes professionalism, modesty, inclusivity, and safety, respecting cultural and gender diversity.</w:t>
      </w:r>
    </w:p>
    <w:p>
      <w:pPr>
        <w:pStyle w:val="ListBullet"/>
        <w:spacing w:after="80"/>
      </w:pPr>
      <w:r>
        <w:rPr>
          <w:rFonts w:ascii="Cambria" w:hAnsi="Cambria"/>
          <w:sz w:val="22"/>
        </w:rPr>
        <w:t>Encourage students to maintain clean, neat, and appropriate attire that reflects maturity and respect for the learning environment.</w:t>
      </w:r>
    </w:p>
    <w:p>
      <w:pPr>
        <w:pStyle w:val="ListBullet"/>
        <w:spacing w:after="80"/>
      </w:pPr>
      <w:r>
        <w:rPr>
          <w:rFonts w:ascii="Cambria" w:hAnsi="Cambria"/>
          <w:sz w:val="22"/>
        </w:rPr>
        <w:t>Reinforce that dress code adherence contributes to developing a career-ready attitude among students.</w:t>
      </w:r>
    </w:p>
    <w:p>
      <w:pPr>
        <w:keepNext/>
        <w:spacing w:before="200" w:after="160"/>
      </w:pPr>
      <w:r>
        <w:rPr>
          <w:rFonts w:ascii="Cambria" w:hAnsi="Cambria"/>
          <w:b/>
          <w:color w:val="1F3A5F"/>
          <w:sz w:val="30"/>
        </w:rPr>
        <w:t>Communication of Attendance and Internal Marks to Parents</w:t>
      </w:r>
    </w:p>
    <w:p>
      <w:pPr>
        <w:keepNext/>
        <w:spacing w:before="200" w:after="160"/>
      </w:pPr>
      <w:r>
        <w:rPr>
          <w:rFonts w:ascii="Cambria" w:hAnsi="Cambria"/>
          <w:b/>
          <w:color w:val="1F3A5F"/>
          <w:sz w:val="26"/>
        </w:rPr>
        <w:t>1. Monitoring Academic Progress and Attendance</w:t>
      </w:r>
    </w:p>
    <w:p>
      <w:pPr>
        <w:pStyle w:val="ListBullet"/>
        <w:spacing w:after="80"/>
      </w:pPr>
      <w:r>
        <w:rPr>
          <w:rFonts w:ascii="Cambria" w:hAnsi="Cambria"/>
          <w:sz w:val="22"/>
        </w:rPr>
        <w:t>Oversee the systematic monitoring of student attendance and internal performance in all subjects.</w:t>
      </w:r>
    </w:p>
    <w:p>
      <w:pPr>
        <w:pStyle w:val="ListBullet"/>
        <w:spacing w:after="80"/>
      </w:pPr>
      <w:r>
        <w:rPr>
          <w:rFonts w:ascii="Cambria" w:hAnsi="Cambria"/>
          <w:sz w:val="22"/>
        </w:rPr>
        <w:t>Ensure that attendance registers, online attendance systems, and internal assessment records are updated regularly by faculty.</w:t>
      </w:r>
    </w:p>
    <w:p>
      <w:pPr>
        <w:pStyle w:val="ListBullet"/>
        <w:spacing w:after="80"/>
      </w:pPr>
      <w:r>
        <w:rPr>
          <w:rFonts w:ascii="Cambria" w:hAnsi="Cambria"/>
          <w:sz w:val="22"/>
        </w:rPr>
        <w:t>Verify the accuracy and completeness of attendance and marks data before sharing it with parents.</w:t>
      </w:r>
    </w:p>
    <w:p>
      <w:pPr>
        <w:pStyle w:val="ListBullet"/>
        <w:spacing w:after="80"/>
      </w:pPr>
      <w:r>
        <w:rPr>
          <w:rFonts w:ascii="Cambria" w:hAnsi="Cambria"/>
          <w:sz w:val="22"/>
        </w:rPr>
        <w:t>Identify students with low attendance or poor internal marks and initiate timely corrective measures.</w:t>
      </w:r>
    </w:p>
    <w:p>
      <w:pPr>
        <w:keepNext/>
        <w:spacing w:before="200" w:after="160"/>
      </w:pPr>
      <w:r>
        <w:rPr>
          <w:rFonts w:ascii="Cambria" w:hAnsi="Cambria"/>
          <w:b/>
          <w:color w:val="1F3A5F"/>
          <w:sz w:val="26"/>
        </w:rPr>
        <w:t>2. Coordination with Class Advisors and Mentors</w:t>
      </w:r>
    </w:p>
    <w:p>
      <w:pPr>
        <w:pStyle w:val="ListBullet"/>
        <w:spacing w:after="80"/>
      </w:pPr>
      <w:r>
        <w:rPr>
          <w:rFonts w:ascii="Cambria" w:hAnsi="Cambria"/>
          <w:sz w:val="22"/>
        </w:rPr>
        <w:t>Instruct class advisors and mentors to collect and compile attendance and internal marks at regular intervals (monthly or mid-semester).</w:t>
      </w:r>
    </w:p>
    <w:p>
      <w:pPr>
        <w:pStyle w:val="ListBullet"/>
        <w:spacing w:after="80"/>
      </w:pPr>
      <w:r>
        <w:rPr>
          <w:rFonts w:ascii="Cambria" w:hAnsi="Cambria"/>
          <w:sz w:val="22"/>
        </w:rPr>
        <w:t>Delegate the responsibility of communicating student performance to parents while ensuring uniformity and accuracy of reports.</w:t>
      </w:r>
    </w:p>
    <w:p>
      <w:pPr>
        <w:pStyle w:val="ListBullet"/>
        <w:spacing w:after="80"/>
      </w:pPr>
      <w:r>
        <w:rPr>
          <w:rFonts w:ascii="Cambria" w:hAnsi="Cambria"/>
          <w:sz w:val="22"/>
        </w:rPr>
        <w:t>Conduct review meetings with class advisors to analyze academic trends, absenteeism patterns, and performance gaps.</w:t>
      </w:r>
    </w:p>
    <w:p>
      <w:pPr>
        <w:keepNext/>
        <w:spacing w:before="200" w:after="160"/>
      </w:pPr>
      <w:r>
        <w:rPr>
          <w:rFonts w:ascii="Cambria" w:hAnsi="Cambria"/>
          <w:b/>
          <w:color w:val="1F3A5F"/>
          <w:sz w:val="26"/>
        </w:rPr>
        <w:t>3. Communication to Parents</w:t>
      </w:r>
    </w:p>
    <w:p>
      <w:pPr>
        <w:pStyle w:val="ListBullet"/>
        <w:spacing w:after="80"/>
      </w:pPr>
      <w:r>
        <w:rPr>
          <w:rFonts w:ascii="Cambria" w:hAnsi="Cambria"/>
          <w:sz w:val="22"/>
        </w:rPr>
        <w:t>Establish a system for periodic communication of attendance and internal marks through:</w:t>
      </w:r>
    </w:p>
    <w:p>
      <w:pPr>
        <w:pStyle w:val="ListBullet2"/>
        <w:spacing w:after="80"/>
      </w:pPr>
      <w:r>
        <w:rPr>
          <w:rFonts w:ascii="Cambria" w:hAnsi="Cambria"/>
          <w:sz w:val="22"/>
        </w:rPr>
        <w:t>Parent–teacher meetings.</w:t>
      </w:r>
    </w:p>
    <w:p>
      <w:pPr>
        <w:pStyle w:val="ListBullet2"/>
        <w:spacing w:after="80"/>
      </w:pPr>
      <w:r>
        <w:rPr>
          <w:rFonts w:ascii="Cambria" w:hAnsi="Cambria"/>
          <w:sz w:val="22"/>
        </w:rPr>
        <w:t>Email or SMS alerts.</w:t>
      </w:r>
    </w:p>
    <w:p>
      <w:pPr>
        <w:pStyle w:val="ListBullet2"/>
        <w:spacing w:after="80"/>
      </w:pPr>
      <w:r>
        <w:rPr>
          <w:rFonts w:ascii="Cambria" w:hAnsi="Cambria"/>
          <w:sz w:val="22"/>
        </w:rPr>
        <w:t>Institutional ERP or student information portals.</w:t>
      </w:r>
    </w:p>
    <w:p>
      <w:pPr>
        <w:pStyle w:val="ListBullet2"/>
        <w:spacing w:after="80"/>
      </w:pPr>
      <w:r>
        <w:rPr>
          <w:rFonts w:ascii="Cambria" w:hAnsi="Cambria"/>
          <w:sz w:val="22"/>
        </w:rPr>
        <w:t>Written progress reports sent via class advisors.</w:t>
      </w:r>
    </w:p>
    <w:p>
      <w:pPr>
        <w:pStyle w:val="ListBullet"/>
        <w:spacing w:after="80"/>
      </w:pPr>
      <w:r>
        <w:rPr>
          <w:rFonts w:ascii="Cambria" w:hAnsi="Cambria"/>
          <w:sz w:val="22"/>
        </w:rPr>
        <w:t>Ensure that communication is clear, transparent, and timely, allowing parents to take necessary action or provide support.</w:t>
      </w:r>
    </w:p>
    <w:p>
      <w:pPr>
        <w:pStyle w:val="ListBullet"/>
        <w:spacing w:after="80"/>
      </w:pPr>
      <w:r>
        <w:rPr>
          <w:rFonts w:ascii="Cambria" w:hAnsi="Cambria"/>
          <w:sz w:val="22"/>
        </w:rPr>
        <w:t>Encourage two-way communication, inviting parents to discuss their ward's progress and seek academic guidance.</w:t>
      </w:r>
    </w:p>
    <w:p>
      <w:pPr>
        <w:keepNext/>
        <w:spacing w:before="200" w:after="160"/>
      </w:pPr>
      <w:r>
        <w:rPr>
          <w:rFonts w:ascii="Cambria" w:hAnsi="Cambria"/>
          <w:b/>
          <w:color w:val="1F3A5F"/>
          <w:sz w:val="26"/>
        </w:rPr>
        <w:t>4. Parental Feedback and Counseling</w:t>
      </w:r>
    </w:p>
    <w:p>
      <w:pPr>
        <w:pStyle w:val="ListBullet"/>
        <w:spacing w:after="80"/>
      </w:pPr>
      <w:r>
        <w:rPr>
          <w:rFonts w:ascii="Cambria" w:hAnsi="Cambria"/>
          <w:sz w:val="22"/>
        </w:rPr>
        <w:t>Collect feedback from parents on their ward's performance and attendance updates.</w:t>
      </w:r>
    </w:p>
    <w:p>
      <w:pPr>
        <w:pStyle w:val="ListBullet"/>
        <w:spacing w:after="80"/>
      </w:pPr>
      <w:r>
        <w:rPr>
          <w:rFonts w:ascii="Cambria" w:hAnsi="Cambria"/>
          <w:sz w:val="22"/>
        </w:rPr>
        <w:t>Encourage parents to motivate students for regular attendance and consistent academic effort.</w:t>
      </w:r>
    </w:p>
    <w:p>
      <w:pPr>
        <w:pStyle w:val="ListBullet"/>
        <w:spacing w:after="80"/>
      </w:pPr>
      <w:r>
        <w:rPr>
          <w:rFonts w:ascii="Cambria" w:hAnsi="Cambria"/>
          <w:sz w:val="22"/>
        </w:rPr>
        <w:t>Organize follow-up counseling sessions for students with persistent academic or attendance issues, involving parents when necessary.</w:t>
      </w:r>
    </w:p>
    <w:p>
      <w:pPr>
        <w:pStyle w:val="ListBullet"/>
        <w:spacing w:after="80"/>
      </w:pPr>
      <w:r>
        <w:rPr>
          <w:rFonts w:ascii="Cambria" w:hAnsi="Cambria"/>
          <w:sz w:val="22"/>
        </w:rPr>
        <w:t>Promote a collaborative approach where faculty, parents, and students work together toward improvement.</w:t>
      </w:r>
    </w:p>
    <w:p>
      <w:pPr>
        <w:keepNext/>
        <w:spacing w:before="200" w:after="160"/>
      </w:pPr>
      <w:r>
        <w:rPr>
          <w:rFonts w:ascii="Cambria" w:hAnsi="Cambria"/>
          <w:b/>
          <w:color w:val="1F3A5F"/>
          <w:sz w:val="26"/>
        </w:rPr>
        <w:t>5. Maintenance of Records and Documentation</w:t>
      </w:r>
    </w:p>
    <w:p>
      <w:pPr>
        <w:pStyle w:val="ListBullet"/>
        <w:spacing w:after="80"/>
      </w:pPr>
      <w:r>
        <w:rPr>
          <w:rFonts w:ascii="Cambria" w:hAnsi="Cambria"/>
          <w:sz w:val="22"/>
        </w:rPr>
        <w:t>Maintain a Communication Register or Digital Record documenting:</w:t>
      </w:r>
    </w:p>
    <w:p>
      <w:pPr>
        <w:pStyle w:val="ListBullet2"/>
        <w:spacing w:after="80"/>
      </w:pPr>
      <w:r>
        <w:rPr>
          <w:rFonts w:ascii="Cambria" w:hAnsi="Cambria"/>
          <w:sz w:val="22"/>
        </w:rPr>
        <w:t>Dates of parent communications (emails, letters, meetings).</w:t>
      </w:r>
    </w:p>
    <w:p>
      <w:pPr>
        <w:pStyle w:val="ListBullet2"/>
        <w:spacing w:after="80"/>
      </w:pPr>
      <w:r>
        <w:rPr>
          <w:rFonts w:ascii="Cambria" w:hAnsi="Cambria"/>
          <w:sz w:val="22"/>
        </w:rPr>
        <w:t>Attendance and marks shared for each student.</w:t>
      </w:r>
    </w:p>
    <w:p>
      <w:pPr>
        <w:pStyle w:val="ListBullet2"/>
        <w:spacing w:after="80"/>
      </w:pPr>
      <w:r>
        <w:rPr>
          <w:rFonts w:ascii="Cambria" w:hAnsi="Cambria"/>
          <w:sz w:val="22"/>
        </w:rPr>
        <w:t>Feedback received and action taken.</w:t>
      </w:r>
    </w:p>
    <w:p>
      <w:pPr>
        <w:pStyle w:val="ListBullet"/>
        <w:spacing w:after="80"/>
      </w:pPr>
      <w:r>
        <w:rPr>
          <w:rFonts w:ascii="Cambria" w:hAnsi="Cambria"/>
          <w:sz w:val="22"/>
        </w:rPr>
        <w:t>Keep copies of attendance summaries and internal marks reports for audit, accreditation, and quality assurance purposes.</w:t>
      </w:r>
    </w:p>
    <w:p>
      <w:pPr>
        <w:pStyle w:val="ListBullet"/>
        <w:spacing w:after="80"/>
      </w:pPr>
      <w:r>
        <w:rPr>
          <w:rFonts w:ascii="Cambria" w:hAnsi="Cambria"/>
          <w:sz w:val="22"/>
        </w:rPr>
        <w:t>Ensure all records are authenticated by the class advisor and verified by the HoD.</w:t>
      </w:r>
    </w:p>
    <w:p>
      <w:pPr>
        <w:keepNext/>
        <w:spacing w:before="200" w:after="160"/>
      </w:pPr>
      <w:r>
        <w:rPr>
          <w:rFonts w:ascii="Cambria" w:hAnsi="Cambria"/>
          <w:b/>
          <w:color w:val="1F3A5F"/>
          <w:sz w:val="26"/>
        </w:rPr>
        <w:t>6. Follow-Up and Continuous Monitoring</w:t>
      </w:r>
    </w:p>
    <w:p>
      <w:pPr>
        <w:pStyle w:val="ListBullet"/>
        <w:spacing w:after="80"/>
      </w:pPr>
      <w:r>
        <w:rPr>
          <w:rFonts w:ascii="Cambria" w:hAnsi="Cambria"/>
          <w:sz w:val="22"/>
        </w:rPr>
        <w:t>Review progress reports and improvement outcomes after parental communication to ensure accountability.</w:t>
      </w:r>
    </w:p>
    <w:p>
      <w:pPr>
        <w:pStyle w:val="ListBullet"/>
        <w:spacing w:after="80"/>
      </w:pPr>
      <w:r>
        <w:rPr>
          <w:rFonts w:ascii="Cambria" w:hAnsi="Cambria"/>
          <w:sz w:val="22"/>
        </w:rPr>
        <w:t>Identify students who continue to lag and arrange remedial classes, mentorship, or counseling.</w:t>
      </w:r>
    </w:p>
    <w:p>
      <w:pPr>
        <w:pStyle w:val="ListBullet"/>
        <w:spacing w:after="80"/>
      </w:pPr>
      <w:r>
        <w:rPr>
          <w:rFonts w:ascii="Cambria" w:hAnsi="Cambria"/>
          <w:sz w:val="22"/>
        </w:rPr>
        <w:t>Coordinate with the Student Counselor and Dean (Academics) to track long-term academic improvement.</w:t>
      </w:r>
    </w:p>
    <w:p>
      <w:pPr>
        <w:keepNext/>
        <w:spacing w:before="200" w:after="160"/>
      </w:pPr>
      <w:r>
        <w:rPr>
          <w:rFonts w:ascii="Cambria" w:hAnsi="Cambria"/>
          <w:b/>
          <w:color w:val="1F3A5F"/>
          <w:sz w:val="26"/>
        </w:rPr>
        <w:t>7. Alignment with Institutional Academic Policy</w:t>
      </w:r>
    </w:p>
    <w:p>
      <w:pPr>
        <w:pStyle w:val="ListBullet"/>
        <w:spacing w:after="80"/>
      </w:pPr>
      <w:r>
        <w:rPr>
          <w:rFonts w:ascii="Cambria" w:hAnsi="Cambria"/>
          <w:sz w:val="22"/>
        </w:rPr>
        <w:t>Ensure all communication practices follow institutional policies on student progress reporting and academic transparency.</w:t>
      </w:r>
    </w:p>
    <w:p>
      <w:pPr>
        <w:pStyle w:val="ListBullet"/>
        <w:spacing w:after="80"/>
      </w:pPr>
      <w:r>
        <w:rPr>
          <w:rFonts w:ascii="Cambria" w:hAnsi="Cambria"/>
          <w:sz w:val="22"/>
        </w:rPr>
        <w:t>Submit consolidated departmental reports on attendance and internal marks communication to the Principal or Academic Office every semester.</w:t>
      </w:r>
    </w:p>
    <w:p>
      <w:pPr>
        <w:pStyle w:val="ListBullet"/>
        <w:spacing w:after="80"/>
      </w:pPr>
      <w:r>
        <w:rPr>
          <w:rFonts w:ascii="Cambria" w:hAnsi="Cambria"/>
          <w:sz w:val="22"/>
        </w:rPr>
        <w:t>Use feedback and data analytics to enhance the overall academic performance and retention rate of the department.</w:t>
      </w:r>
    </w:p>
    <w:p>
      <w:pPr>
        <w:keepNext/>
        <w:spacing w:before="200" w:after="160"/>
      </w:pPr>
      <w:r>
        <w:rPr>
          <w:rFonts w:ascii="Cambria" w:hAnsi="Cambria"/>
          <w:b/>
          <w:color w:val="1F3A5F"/>
          <w:sz w:val="30"/>
        </w:rPr>
        <w:t>Counseling Students Who Are Absent for Mid Tests or Irregular to Class Work</w:t>
      </w:r>
    </w:p>
    <w:p>
      <w:pPr>
        <w:keepNext/>
        <w:spacing w:before="200" w:after="160"/>
      </w:pPr>
      <w:r>
        <w:rPr>
          <w:rFonts w:ascii="Cambria" w:hAnsi="Cambria"/>
          <w:b/>
          <w:color w:val="1F3A5F"/>
          <w:sz w:val="26"/>
        </w:rPr>
        <w:t>1. Monitoring Attendance and Test Participation</w:t>
      </w:r>
    </w:p>
    <w:p>
      <w:pPr>
        <w:pStyle w:val="ListBullet"/>
        <w:spacing w:after="80"/>
      </w:pPr>
      <w:r>
        <w:rPr>
          <w:rFonts w:ascii="Cambria" w:hAnsi="Cambria"/>
          <w:sz w:val="22"/>
        </w:rPr>
        <w:t>Continuously monitor student attendance records and participation in mid-semester tests through class advisors and subject faculty.</w:t>
      </w:r>
    </w:p>
    <w:p>
      <w:pPr>
        <w:pStyle w:val="ListBullet"/>
        <w:spacing w:after="80"/>
      </w:pPr>
      <w:r>
        <w:rPr>
          <w:rFonts w:ascii="Cambria" w:hAnsi="Cambria"/>
          <w:sz w:val="22"/>
        </w:rPr>
        <w:t>Identify students with frequent absences, poor attendance percentages, or missed internal/mid examinations.</w:t>
      </w:r>
    </w:p>
    <w:p>
      <w:pPr>
        <w:pStyle w:val="ListBullet"/>
        <w:spacing w:after="80"/>
      </w:pPr>
      <w:r>
        <w:rPr>
          <w:rFonts w:ascii="Cambria" w:hAnsi="Cambria"/>
          <w:sz w:val="22"/>
        </w:rPr>
        <w:t>Maintain a watch list of irregular students for follow-up counseling and corrective actions.</w:t>
      </w:r>
    </w:p>
    <w:p>
      <w:pPr>
        <w:keepNext/>
        <w:spacing w:before="200" w:after="160"/>
      </w:pPr>
      <w:r>
        <w:rPr>
          <w:rFonts w:ascii="Cambria" w:hAnsi="Cambria"/>
          <w:b/>
          <w:color w:val="1F3A5F"/>
          <w:sz w:val="26"/>
        </w:rPr>
        <w:t>2. Coordination with Class Advisors and Faculty</w:t>
      </w:r>
    </w:p>
    <w:p>
      <w:pPr>
        <w:pStyle w:val="ListBullet"/>
        <w:spacing w:after="80"/>
      </w:pPr>
      <w:r>
        <w:rPr>
          <w:rFonts w:ascii="Cambria" w:hAnsi="Cambria"/>
          <w:sz w:val="22"/>
        </w:rPr>
        <w:t>Instruct class advisors and course faculty to report cases of absenteeism or missed tests immediately to the HoD.</w:t>
      </w:r>
    </w:p>
    <w:p>
      <w:pPr>
        <w:pStyle w:val="ListBullet"/>
        <w:spacing w:after="80"/>
      </w:pPr>
      <w:r>
        <w:rPr>
          <w:rFonts w:ascii="Cambria" w:hAnsi="Cambria"/>
          <w:sz w:val="22"/>
        </w:rPr>
        <w:t>Review consolidated attendance and test performance reports on a weekly or biweekly basis.</w:t>
      </w:r>
    </w:p>
    <w:p>
      <w:pPr>
        <w:pStyle w:val="ListBullet"/>
        <w:spacing w:after="80"/>
      </w:pPr>
      <w:r>
        <w:rPr>
          <w:rFonts w:ascii="Cambria" w:hAnsi="Cambria"/>
          <w:sz w:val="22"/>
        </w:rPr>
        <w:t>Ensure that faculty members provide initial mentoring or reminders before escalating chronic cases to the HoD.</w:t>
      </w:r>
    </w:p>
    <w:p>
      <w:pPr>
        <w:keepNext/>
        <w:spacing w:before="200" w:after="160"/>
      </w:pPr>
      <w:r>
        <w:rPr>
          <w:rFonts w:ascii="Cambria" w:hAnsi="Cambria"/>
          <w:b/>
          <w:color w:val="1F3A5F"/>
          <w:sz w:val="26"/>
        </w:rPr>
        <w:t>3. Conducting Counseling Sessions</w:t>
      </w:r>
    </w:p>
    <w:p>
      <w:pPr>
        <w:pStyle w:val="ListBullet"/>
        <w:spacing w:after="80"/>
      </w:pPr>
      <w:r>
        <w:rPr>
          <w:rFonts w:ascii="Cambria" w:hAnsi="Cambria"/>
          <w:sz w:val="22"/>
        </w:rPr>
        <w:t>Personally counsel students who are absent for mid-tests or irregular in class work to understand underlying causes.</w:t>
      </w:r>
    </w:p>
    <w:p>
      <w:pPr>
        <w:pStyle w:val="ListBullet"/>
        <w:spacing w:after="80"/>
      </w:pPr>
      <w:r>
        <w:rPr>
          <w:rFonts w:ascii="Cambria" w:hAnsi="Cambria"/>
          <w:sz w:val="22"/>
        </w:rPr>
        <w:t>Create a non-punitive, empathetic environment where students can share academic, personal, or health-related issues affecting their attendance.</w:t>
      </w:r>
    </w:p>
    <w:p>
      <w:pPr>
        <w:pStyle w:val="ListBullet"/>
        <w:spacing w:after="80"/>
      </w:pPr>
      <w:r>
        <w:rPr>
          <w:rFonts w:ascii="Cambria" w:hAnsi="Cambria"/>
          <w:sz w:val="22"/>
        </w:rPr>
        <w:t>Discuss the academic consequences of absenteeism, including loss of marks, eligibility issues, and reduced learning outcomes.</w:t>
      </w:r>
    </w:p>
    <w:p>
      <w:pPr>
        <w:pStyle w:val="ListBullet"/>
        <w:spacing w:after="80"/>
      </w:pPr>
      <w:r>
        <w:rPr>
          <w:rFonts w:ascii="Cambria" w:hAnsi="Cambria"/>
          <w:sz w:val="22"/>
        </w:rPr>
        <w:t>Motivate students to attend classes regularly and take active part in continuous assessments.</w:t>
      </w:r>
    </w:p>
    <w:p>
      <w:pPr>
        <w:keepNext/>
        <w:spacing w:before="200" w:after="160"/>
      </w:pPr>
      <w:r>
        <w:rPr>
          <w:rFonts w:ascii="Cambria" w:hAnsi="Cambria"/>
          <w:b/>
          <w:color w:val="1F3A5F"/>
          <w:sz w:val="26"/>
        </w:rPr>
        <w:t>4. Identifying Underlying Causes and Providing Support</w:t>
      </w:r>
    </w:p>
    <w:p>
      <w:pPr>
        <w:pStyle w:val="ListBullet"/>
        <w:spacing w:after="80"/>
      </w:pPr>
      <w:r>
        <w:rPr>
          <w:rFonts w:ascii="Cambria" w:hAnsi="Cambria"/>
          <w:sz w:val="22"/>
        </w:rPr>
        <w:t>Analyze reasons for irregularity such as academic stress, lack of interest, health concerns, family problems, or time management issues.</w:t>
      </w:r>
    </w:p>
    <w:p>
      <w:pPr>
        <w:pStyle w:val="ListBullet"/>
        <w:spacing w:after="80"/>
      </w:pPr>
      <w:r>
        <w:rPr>
          <w:rFonts w:ascii="Cambria" w:hAnsi="Cambria"/>
          <w:sz w:val="22"/>
        </w:rPr>
        <w:t>Provide suitable interventions, such as:</w:t>
      </w:r>
    </w:p>
    <w:p>
      <w:pPr>
        <w:pStyle w:val="ListBullet2"/>
        <w:spacing w:after="80"/>
      </w:pPr>
      <w:r>
        <w:rPr>
          <w:rFonts w:ascii="Cambria" w:hAnsi="Cambria"/>
          <w:sz w:val="22"/>
        </w:rPr>
        <w:t>Referral to the student counselor for personal or emotional issues.</w:t>
      </w:r>
    </w:p>
    <w:p>
      <w:pPr>
        <w:pStyle w:val="ListBullet2"/>
        <w:spacing w:after="80"/>
      </w:pPr>
      <w:r>
        <w:rPr>
          <w:rFonts w:ascii="Cambria" w:hAnsi="Cambria"/>
          <w:sz w:val="22"/>
        </w:rPr>
        <w:t>Extra academic support through remedial or tutorial classes.</w:t>
      </w:r>
    </w:p>
    <w:p>
      <w:pPr>
        <w:pStyle w:val="ListBullet2"/>
        <w:spacing w:after="80"/>
      </w:pPr>
      <w:r>
        <w:rPr>
          <w:rFonts w:ascii="Cambria" w:hAnsi="Cambria"/>
          <w:sz w:val="22"/>
        </w:rPr>
        <w:t>Flexible test rescheduling (in genuine cases) as per institutional rules.</w:t>
      </w:r>
    </w:p>
    <w:p>
      <w:pPr>
        <w:pStyle w:val="ListBullet"/>
        <w:spacing w:after="80"/>
      </w:pPr>
      <w:r>
        <w:rPr>
          <w:rFonts w:ascii="Cambria" w:hAnsi="Cambria"/>
          <w:sz w:val="22"/>
        </w:rPr>
        <w:t>Monitor improvement and ensure students are back on track with attendance and academics.</w:t>
      </w:r>
    </w:p>
    <w:p>
      <w:pPr>
        <w:keepNext/>
        <w:spacing w:before="200" w:after="160"/>
      </w:pPr>
      <w:r>
        <w:rPr>
          <w:rFonts w:ascii="Cambria" w:hAnsi="Cambria"/>
          <w:b/>
          <w:color w:val="1F3A5F"/>
          <w:sz w:val="26"/>
        </w:rPr>
        <w:t>5. Collaboration and Parental Involvement</w:t>
      </w:r>
    </w:p>
    <w:p>
      <w:pPr>
        <w:pStyle w:val="ListBullet"/>
        <w:spacing w:after="80"/>
      </w:pPr>
      <w:r>
        <w:rPr>
          <w:rFonts w:ascii="Cambria" w:hAnsi="Cambria"/>
          <w:sz w:val="22"/>
        </w:rPr>
        <w:t>Inform parents or guardians about students' irregularity or absence from tests through class advisors.</w:t>
      </w:r>
    </w:p>
    <w:p>
      <w:pPr>
        <w:pStyle w:val="ListBullet"/>
        <w:spacing w:after="80"/>
      </w:pPr>
      <w:r>
        <w:rPr>
          <w:rFonts w:ascii="Cambria" w:hAnsi="Cambria"/>
          <w:sz w:val="22"/>
        </w:rPr>
        <w:t>Arrange parent–student–faculty meetings when absenteeism persists, to jointly decide on corrective measures.</w:t>
      </w:r>
    </w:p>
    <w:p>
      <w:pPr>
        <w:pStyle w:val="ListBullet"/>
        <w:spacing w:after="80"/>
      </w:pPr>
      <w:r>
        <w:rPr>
          <w:rFonts w:ascii="Cambria" w:hAnsi="Cambria"/>
          <w:sz w:val="22"/>
        </w:rPr>
        <w:t>Seek parental cooperation in ensuring the student's regular attendance and participation in future academic activities.</w:t>
      </w:r>
    </w:p>
    <w:p>
      <w:pPr>
        <w:keepNext/>
        <w:spacing w:before="200" w:after="160"/>
      </w:pPr>
      <w:r>
        <w:rPr>
          <w:rFonts w:ascii="Cambria" w:hAnsi="Cambria"/>
          <w:b/>
          <w:color w:val="1F3A5F"/>
          <w:sz w:val="26"/>
        </w:rPr>
        <w:t>6. Record Maintenance and Reporting</w:t>
      </w:r>
    </w:p>
    <w:p>
      <w:pPr>
        <w:pStyle w:val="ListBullet"/>
        <w:spacing w:after="80"/>
      </w:pPr>
      <w:r>
        <w:rPr>
          <w:rFonts w:ascii="Cambria" w:hAnsi="Cambria"/>
          <w:sz w:val="22"/>
        </w:rPr>
        <w:t>Maintain a Counseling Register or Digital Log containing:</w:t>
      </w:r>
    </w:p>
    <w:p>
      <w:pPr>
        <w:pStyle w:val="ListBullet2"/>
        <w:spacing w:after="80"/>
      </w:pPr>
      <w:r>
        <w:rPr>
          <w:rFonts w:ascii="Cambria" w:hAnsi="Cambria"/>
          <w:sz w:val="22"/>
        </w:rPr>
        <w:t>Details of students counseled for absenteeism.</w:t>
      </w:r>
    </w:p>
    <w:p>
      <w:pPr>
        <w:pStyle w:val="ListBullet2"/>
        <w:spacing w:after="80"/>
      </w:pPr>
      <w:r>
        <w:rPr>
          <w:rFonts w:ascii="Cambria" w:hAnsi="Cambria"/>
          <w:sz w:val="22"/>
        </w:rPr>
        <w:t>Reasons identified during counseling.</w:t>
      </w:r>
    </w:p>
    <w:p>
      <w:pPr>
        <w:pStyle w:val="ListBullet2"/>
        <w:spacing w:after="80"/>
      </w:pPr>
      <w:r>
        <w:rPr>
          <w:rFonts w:ascii="Cambria" w:hAnsi="Cambria"/>
          <w:sz w:val="22"/>
        </w:rPr>
        <w:t>Actions taken and improvement status.</w:t>
      </w:r>
    </w:p>
    <w:p>
      <w:pPr>
        <w:pStyle w:val="ListBullet"/>
        <w:spacing w:after="80"/>
      </w:pPr>
      <w:r>
        <w:rPr>
          <w:rFonts w:ascii="Cambria" w:hAnsi="Cambria"/>
          <w:sz w:val="22"/>
        </w:rPr>
        <w:t>Record signatures of both the student and HoD/faculty counselor after each session.</w:t>
      </w:r>
    </w:p>
    <w:p>
      <w:pPr>
        <w:pStyle w:val="ListBullet"/>
        <w:spacing w:after="80"/>
      </w:pPr>
      <w:r>
        <w:rPr>
          <w:rFonts w:ascii="Cambria" w:hAnsi="Cambria"/>
          <w:sz w:val="22"/>
        </w:rPr>
        <w:t>Submit periodic absenteeism and counseling reports to the Principal or Dean (Academics) for review and institutional monitoring.</w:t>
      </w:r>
    </w:p>
    <w:p>
      <w:pPr>
        <w:keepNext/>
        <w:spacing w:before="200" w:after="160"/>
      </w:pPr>
      <w:r>
        <w:rPr>
          <w:rFonts w:ascii="Cambria" w:hAnsi="Cambria"/>
          <w:b/>
          <w:color w:val="1F3A5F"/>
          <w:sz w:val="26"/>
        </w:rPr>
        <w:t>7. Preventive and Motivational Measures</w:t>
      </w:r>
    </w:p>
    <w:p>
      <w:pPr>
        <w:pStyle w:val="ListBullet"/>
        <w:spacing w:after="80"/>
      </w:pPr>
      <w:r>
        <w:rPr>
          <w:rFonts w:ascii="Cambria" w:hAnsi="Cambria"/>
          <w:sz w:val="22"/>
        </w:rPr>
        <w:t>Conduct motivational talks and mentoring sessions emphasizing the importance of regular attendance and test participation.</w:t>
      </w:r>
    </w:p>
    <w:p>
      <w:pPr>
        <w:pStyle w:val="ListBullet"/>
        <w:spacing w:after="80"/>
      </w:pPr>
      <w:r>
        <w:rPr>
          <w:rFonts w:ascii="Cambria" w:hAnsi="Cambria"/>
          <w:sz w:val="22"/>
        </w:rPr>
        <w:t>Recognize and appreciate students who show consistent improvement after counseling.</w:t>
      </w:r>
    </w:p>
    <w:p>
      <w:pPr>
        <w:pStyle w:val="ListBullet"/>
        <w:spacing w:after="80"/>
      </w:pPr>
      <w:r>
        <w:rPr>
          <w:rFonts w:ascii="Cambria" w:hAnsi="Cambria"/>
          <w:sz w:val="22"/>
        </w:rPr>
        <w:t>Encourage peer support through student mentors or class representatives to foster accountability and discipline among classmates.</w:t>
      </w:r>
    </w:p>
    <w:p>
      <w:pPr>
        <w:keepNext/>
        <w:spacing w:before="200" w:after="160"/>
      </w:pPr>
      <w:r>
        <w:rPr>
          <w:rFonts w:ascii="Cambria" w:hAnsi="Cambria"/>
          <w:b/>
          <w:color w:val="1F3A5F"/>
          <w:sz w:val="26"/>
        </w:rPr>
        <w:t>8. Enforcement of Academic Regulations</w:t>
      </w:r>
    </w:p>
    <w:p>
      <w:pPr>
        <w:pStyle w:val="ListBullet"/>
        <w:spacing w:after="80"/>
      </w:pPr>
      <w:r>
        <w:rPr>
          <w:rFonts w:ascii="Cambria" w:hAnsi="Cambria"/>
          <w:sz w:val="22"/>
        </w:rPr>
        <w:t>Ensure adherence to attendance and internal assessment policies as per university and institutional norms.</w:t>
      </w:r>
    </w:p>
    <w:p>
      <w:pPr>
        <w:pStyle w:val="ListBullet"/>
        <w:spacing w:after="80"/>
      </w:pPr>
      <w:r>
        <w:rPr>
          <w:rFonts w:ascii="Cambria" w:hAnsi="Cambria"/>
          <w:sz w:val="22"/>
        </w:rPr>
        <w:t>Warn repeat offenders through written notices or counseling memos, following due process before disciplinary action.</w:t>
      </w:r>
    </w:p>
    <w:p>
      <w:pPr>
        <w:pStyle w:val="ListBullet"/>
        <w:spacing w:after="80"/>
      </w:pPr>
      <w:r>
        <w:rPr>
          <w:rFonts w:ascii="Cambria" w:hAnsi="Cambria"/>
          <w:sz w:val="22"/>
        </w:rPr>
        <w:t>Ensure fairness and transparency in handling absentee cases while maintaining institutional discipline.</w:t>
      </w:r>
    </w:p>
    <w:p>
      <w:pPr>
        <w:keepNext/>
        <w:spacing w:before="200" w:after="160"/>
      </w:pPr>
      <w:r>
        <w:rPr>
          <w:rFonts w:ascii="Cambria" w:hAnsi="Cambria"/>
          <w:b/>
          <w:color w:val="1F3A5F"/>
          <w:sz w:val="30"/>
        </w:rPr>
        <w:t>Arranging Special Classes for Below Average Students</w:t>
      </w:r>
    </w:p>
    <w:p>
      <w:pPr>
        <w:keepNext/>
        <w:spacing w:before="200" w:after="160"/>
      </w:pPr>
      <w:r>
        <w:rPr>
          <w:rFonts w:ascii="Cambria" w:hAnsi="Cambria"/>
          <w:b/>
          <w:color w:val="1F3A5F"/>
          <w:sz w:val="26"/>
        </w:rPr>
        <w:t>1. Identification of Below Average Students</w:t>
      </w:r>
    </w:p>
    <w:p>
      <w:pPr>
        <w:pStyle w:val="ListBullet"/>
        <w:spacing w:after="80"/>
      </w:pPr>
      <w:r>
        <w:rPr>
          <w:rFonts w:ascii="Cambria" w:hAnsi="Cambria"/>
          <w:sz w:val="22"/>
        </w:rPr>
        <w:t>Analyze academic performance, internal assessment marks, and attendance records to identify below-average students.</w:t>
      </w:r>
    </w:p>
    <w:p>
      <w:pPr>
        <w:pStyle w:val="ListBullet"/>
        <w:spacing w:after="80"/>
      </w:pPr>
      <w:r>
        <w:rPr>
          <w:rFonts w:ascii="Cambria" w:hAnsi="Cambria"/>
          <w:sz w:val="22"/>
        </w:rPr>
        <w:t>Seek inputs from class advisors, mentors, and subject faculty to shortlist students who consistently perform below expectations.</w:t>
      </w:r>
    </w:p>
    <w:p>
      <w:pPr>
        <w:pStyle w:val="ListBullet"/>
        <w:spacing w:after="80"/>
      </w:pPr>
      <w:r>
        <w:rPr>
          <w:rFonts w:ascii="Cambria" w:hAnsi="Cambria"/>
          <w:sz w:val="22"/>
        </w:rPr>
        <w:t>Consider multiple performance indicators, such as test results, participation in class activities, and subject understanding, before categorization.</w:t>
      </w:r>
    </w:p>
    <w:p>
      <w:pPr>
        <w:keepNext/>
        <w:spacing w:before="200" w:after="160"/>
      </w:pPr>
      <w:r>
        <w:rPr>
          <w:rFonts w:ascii="Cambria" w:hAnsi="Cambria"/>
          <w:b/>
          <w:color w:val="1F3A5F"/>
          <w:sz w:val="26"/>
        </w:rPr>
        <w:t>2. Planning and Organization of Special Classes</w:t>
      </w:r>
    </w:p>
    <w:p>
      <w:pPr>
        <w:pStyle w:val="ListBullet"/>
        <w:spacing w:after="80"/>
      </w:pPr>
      <w:r>
        <w:rPr>
          <w:rFonts w:ascii="Cambria" w:hAnsi="Cambria"/>
          <w:sz w:val="22"/>
        </w:rPr>
        <w:t>Develop a structured plan for conducting special/remedial classes to address the specific learning gaps of weaker students.</w:t>
      </w:r>
    </w:p>
    <w:p>
      <w:pPr>
        <w:pStyle w:val="ListBullet"/>
        <w:spacing w:after="80"/>
      </w:pPr>
      <w:r>
        <w:rPr>
          <w:rFonts w:ascii="Cambria" w:hAnsi="Cambria"/>
          <w:sz w:val="22"/>
        </w:rPr>
        <w:t>Schedule classes beyond regular working hours, weekends, or during free periods without affecting normal timetable activities.</w:t>
      </w:r>
    </w:p>
    <w:p>
      <w:pPr>
        <w:pStyle w:val="ListBullet"/>
        <w:spacing w:after="80"/>
      </w:pPr>
      <w:r>
        <w:rPr>
          <w:rFonts w:ascii="Cambria" w:hAnsi="Cambria"/>
          <w:sz w:val="22"/>
        </w:rPr>
        <w:t>Coordinate with faculty to ensure special sessions focus on core concepts, problem areas, and exam-oriented preparation.</w:t>
      </w:r>
    </w:p>
    <w:p>
      <w:pPr>
        <w:pStyle w:val="ListBullet"/>
        <w:spacing w:after="80"/>
      </w:pPr>
      <w:r>
        <w:rPr>
          <w:rFonts w:ascii="Cambria" w:hAnsi="Cambria"/>
          <w:sz w:val="22"/>
        </w:rPr>
        <w:t>Prepare a special class timetable and communicate it to students and staff well in advance.</w:t>
      </w:r>
    </w:p>
    <w:p>
      <w:pPr>
        <w:keepNext/>
        <w:spacing w:before="200" w:after="160"/>
      </w:pPr>
      <w:r>
        <w:rPr>
          <w:rFonts w:ascii="Cambria" w:hAnsi="Cambria"/>
          <w:b/>
          <w:color w:val="1F3A5F"/>
          <w:sz w:val="26"/>
        </w:rPr>
        <w:t>3. Faculty Involvement and Teaching Strategies</w:t>
      </w:r>
    </w:p>
    <w:p>
      <w:pPr>
        <w:pStyle w:val="ListBullet"/>
        <w:spacing w:after="80"/>
      </w:pPr>
      <w:r>
        <w:rPr>
          <w:rFonts w:ascii="Cambria" w:hAnsi="Cambria"/>
          <w:sz w:val="22"/>
        </w:rPr>
        <w:t>Assign experienced and student-friendly faculty members to handle remedial classes.</w:t>
      </w:r>
    </w:p>
    <w:p>
      <w:pPr>
        <w:pStyle w:val="ListBullet"/>
        <w:spacing w:after="80"/>
      </w:pPr>
      <w:r>
        <w:rPr>
          <w:rFonts w:ascii="Cambria" w:hAnsi="Cambria"/>
          <w:sz w:val="22"/>
        </w:rPr>
        <w:t>Encourage teachers to use simplified teaching methods, interactive discussions, and real-life examples for better comprehension.</w:t>
      </w:r>
    </w:p>
    <w:p>
      <w:pPr>
        <w:pStyle w:val="ListBullet"/>
        <w:spacing w:after="80"/>
      </w:pPr>
      <w:r>
        <w:rPr>
          <w:rFonts w:ascii="Cambria" w:hAnsi="Cambria"/>
          <w:sz w:val="22"/>
        </w:rPr>
        <w:t>Emphasize personalized attention and doubt-clearing sessions to help students strengthen their fundamentals.</w:t>
      </w:r>
    </w:p>
    <w:p>
      <w:pPr>
        <w:pStyle w:val="ListBullet"/>
        <w:spacing w:after="80"/>
      </w:pPr>
      <w:r>
        <w:rPr>
          <w:rFonts w:ascii="Cambria" w:hAnsi="Cambria"/>
          <w:sz w:val="22"/>
        </w:rPr>
        <w:t>Promote the use of learning aids, e-resources, and practice materials to make learning engaging and accessible.</w:t>
      </w:r>
    </w:p>
    <w:p>
      <w:pPr>
        <w:keepNext/>
        <w:spacing w:before="200" w:after="160"/>
      </w:pPr>
      <w:r>
        <w:rPr>
          <w:rFonts w:ascii="Cambria" w:hAnsi="Cambria"/>
          <w:b/>
          <w:color w:val="1F3A5F"/>
          <w:sz w:val="26"/>
        </w:rPr>
        <w:t>4. Monitoring Student Progress</w:t>
      </w:r>
    </w:p>
    <w:p>
      <w:pPr>
        <w:pStyle w:val="ListBullet"/>
        <w:spacing w:after="80"/>
      </w:pPr>
      <w:r>
        <w:rPr>
          <w:rFonts w:ascii="Cambria" w:hAnsi="Cambria"/>
          <w:sz w:val="22"/>
        </w:rPr>
        <w:t>Track the attendance and participation of students attending special classes to ensure consistency.</w:t>
      </w:r>
    </w:p>
    <w:p>
      <w:pPr>
        <w:pStyle w:val="ListBullet"/>
        <w:spacing w:after="80"/>
      </w:pPr>
      <w:r>
        <w:rPr>
          <w:rFonts w:ascii="Cambria" w:hAnsi="Cambria"/>
          <w:sz w:val="22"/>
        </w:rPr>
        <w:t>Conduct short assessments, quizzes, or mock tests to measure improvement after each intervention.</w:t>
      </w:r>
    </w:p>
    <w:p>
      <w:pPr>
        <w:pStyle w:val="ListBullet"/>
        <w:spacing w:after="80"/>
      </w:pPr>
      <w:r>
        <w:rPr>
          <w:rFonts w:ascii="Cambria" w:hAnsi="Cambria"/>
          <w:sz w:val="22"/>
        </w:rPr>
        <w:t>Compare academic performance before and after special classes to evaluate their effectiveness.</w:t>
      </w:r>
    </w:p>
    <w:p>
      <w:pPr>
        <w:pStyle w:val="ListBullet"/>
        <w:spacing w:after="80"/>
      </w:pPr>
      <w:r>
        <w:rPr>
          <w:rFonts w:ascii="Cambria" w:hAnsi="Cambria"/>
          <w:sz w:val="22"/>
        </w:rPr>
        <w:t>Counsel students individually if improvement is not observed, and suggest additional academic support if needed.</w:t>
      </w:r>
    </w:p>
    <w:p>
      <w:pPr>
        <w:keepNext/>
        <w:spacing w:before="200" w:after="160"/>
      </w:pPr>
      <w:r>
        <w:rPr>
          <w:rFonts w:ascii="Cambria" w:hAnsi="Cambria"/>
          <w:b/>
          <w:color w:val="1F3A5F"/>
          <w:sz w:val="26"/>
        </w:rPr>
        <w:t>5. Coordination and Support Mechanisms</w:t>
      </w:r>
    </w:p>
    <w:p>
      <w:pPr>
        <w:pStyle w:val="ListBullet"/>
        <w:spacing w:after="80"/>
      </w:pPr>
      <w:r>
        <w:rPr>
          <w:rFonts w:ascii="Cambria" w:hAnsi="Cambria"/>
          <w:sz w:val="22"/>
        </w:rPr>
        <w:t>Collaborate with academic coordinators, mentors, and the student counselor to address academic and motivational challenges faced by these students.</w:t>
      </w:r>
    </w:p>
    <w:p>
      <w:pPr>
        <w:pStyle w:val="ListBullet"/>
        <w:spacing w:after="80"/>
      </w:pPr>
      <w:r>
        <w:rPr>
          <w:rFonts w:ascii="Cambria" w:hAnsi="Cambria"/>
          <w:sz w:val="22"/>
        </w:rPr>
        <w:t>Involve toppers or peer mentors to assist in group study or revision sessions.</w:t>
      </w:r>
    </w:p>
    <w:p>
      <w:pPr>
        <w:pStyle w:val="ListBullet"/>
        <w:spacing w:after="80"/>
      </w:pPr>
      <w:r>
        <w:rPr>
          <w:rFonts w:ascii="Cambria" w:hAnsi="Cambria"/>
          <w:sz w:val="22"/>
        </w:rPr>
        <w:t>Encourage parents to support their wards by maintaining consistent study habits at home.</w:t>
      </w:r>
    </w:p>
    <w:p>
      <w:pPr>
        <w:keepNext/>
        <w:spacing w:before="200" w:after="160"/>
      </w:pPr>
      <w:r>
        <w:rPr>
          <w:rFonts w:ascii="Cambria" w:hAnsi="Cambria"/>
          <w:b/>
          <w:color w:val="1F3A5F"/>
          <w:sz w:val="26"/>
        </w:rPr>
        <w:t>6. Documentation and Reporting</w:t>
      </w:r>
    </w:p>
    <w:p>
      <w:pPr>
        <w:pStyle w:val="ListBullet"/>
        <w:spacing w:after="80"/>
      </w:pPr>
      <w:r>
        <w:rPr>
          <w:rFonts w:ascii="Cambria" w:hAnsi="Cambria"/>
          <w:sz w:val="22"/>
        </w:rPr>
        <w:t>Maintain a Remedial/Special Class Register or digital record indicating:</w:t>
      </w:r>
    </w:p>
    <w:p>
      <w:pPr>
        <w:pStyle w:val="ListBullet2"/>
        <w:spacing w:after="80"/>
      </w:pPr>
      <w:r>
        <w:rPr>
          <w:rFonts w:ascii="Cambria" w:hAnsi="Cambria"/>
          <w:sz w:val="22"/>
        </w:rPr>
        <w:t>Names of below-average students.</w:t>
      </w:r>
    </w:p>
    <w:p>
      <w:pPr>
        <w:pStyle w:val="ListBullet2"/>
        <w:spacing w:after="80"/>
      </w:pPr>
      <w:r>
        <w:rPr>
          <w:rFonts w:ascii="Cambria" w:hAnsi="Cambria"/>
          <w:sz w:val="22"/>
        </w:rPr>
        <w:t>Dates, subjects, and topics covered in special classes.</w:t>
      </w:r>
    </w:p>
    <w:p>
      <w:pPr>
        <w:pStyle w:val="ListBullet2"/>
        <w:spacing w:after="80"/>
      </w:pPr>
      <w:r>
        <w:rPr>
          <w:rFonts w:ascii="Cambria" w:hAnsi="Cambria"/>
          <w:sz w:val="22"/>
        </w:rPr>
        <w:t>Attendance and feedback of participating students.</w:t>
      </w:r>
    </w:p>
    <w:p>
      <w:pPr>
        <w:pStyle w:val="ListBullet2"/>
        <w:spacing w:after="80"/>
      </w:pPr>
      <w:r>
        <w:rPr>
          <w:rFonts w:ascii="Cambria" w:hAnsi="Cambria"/>
          <w:sz w:val="22"/>
        </w:rPr>
        <w:t>Post-class evaluation results and improvement remarks.</w:t>
      </w:r>
    </w:p>
    <w:p>
      <w:pPr>
        <w:pStyle w:val="ListBullet"/>
        <w:spacing w:after="80"/>
      </w:pPr>
      <w:r>
        <w:rPr>
          <w:rFonts w:ascii="Cambria" w:hAnsi="Cambria"/>
          <w:sz w:val="22"/>
        </w:rPr>
        <w:t>Submit a summary report on special classes conducted to the Principal or Dean (Academics) at the end of each semester.</w:t>
      </w:r>
    </w:p>
    <w:p>
      <w:pPr>
        <w:pStyle w:val="ListBullet"/>
        <w:spacing w:after="80"/>
      </w:pPr>
      <w:r>
        <w:rPr>
          <w:rFonts w:ascii="Cambria" w:hAnsi="Cambria"/>
          <w:sz w:val="22"/>
        </w:rPr>
        <w:t>Keep records ready for NAAC/NBA and academic audit as evidence of student support initiatives.</w:t>
      </w:r>
    </w:p>
    <w:p>
      <w:pPr>
        <w:keepNext/>
        <w:spacing w:before="200" w:after="160"/>
      </w:pPr>
      <w:r>
        <w:rPr>
          <w:rFonts w:ascii="Cambria" w:hAnsi="Cambria"/>
          <w:b/>
          <w:color w:val="1F3A5F"/>
          <w:sz w:val="26"/>
        </w:rPr>
        <w:t>7. Motivation and Student Engagement</w:t>
      </w:r>
    </w:p>
    <w:p>
      <w:pPr>
        <w:pStyle w:val="ListBullet"/>
        <w:spacing w:after="80"/>
      </w:pPr>
      <w:r>
        <w:rPr>
          <w:rFonts w:ascii="Cambria" w:hAnsi="Cambria"/>
          <w:sz w:val="22"/>
        </w:rPr>
        <w:t>Motivate below-average students through positive reinforcement, mentoring, and recognition of small improvements.</w:t>
      </w:r>
    </w:p>
    <w:p>
      <w:pPr>
        <w:pStyle w:val="ListBullet"/>
        <w:spacing w:after="80"/>
      </w:pPr>
      <w:r>
        <w:rPr>
          <w:rFonts w:ascii="Cambria" w:hAnsi="Cambria"/>
          <w:sz w:val="22"/>
        </w:rPr>
        <w:t>Encourage peer learning and interactive group discussions to build confidence and teamwork.</w:t>
      </w:r>
    </w:p>
    <w:p>
      <w:pPr>
        <w:pStyle w:val="ListBullet"/>
        <w:spacing w:after="80"/>
      </w:pPr>
      <w:r>
        <w:rPr>
          <w:rFonts w:ascii="Cambria" w:hAnsi="Cambria"/>
          <w:sz w:val="22"/>
        </w:rPr>
        <w:t>Foster a supportive environment where students feel encouraged rather than stigmatized for seeking extra help.</w:t>
      </w:r>
    </w:p>
    <w:p>
      <w:pPr>
        <w:keepNext/>
        <w:spacing w:before="200" w:after="160"/>
      </w:pPr>
      <w:r>
        <w:rPr>
          <w:rFonts w:ascii="Cambria" w:hAnsi="Cambria"/>
          <w:b/>
          <w:color w:val="1F3A5F"/>
          <w:sz w:val="26"/>
        </w:rPr>
        <w:t>8. Continuous Improvement</w:t>
      </w:r>
    </w:p>
    <w:p>
      <w:pPr>
        <w:pStyle w:val="ListBullet"/>
        <w:spacing w:after="80"/>
      </w:pPr>
      <w:r>
        <w:rPr>
          <w:rFonts w:ascii="Cambria" w:hAnsi="Cambria"/>
          <w:sz w:val="22"/>
        </w:rPr>
        <w:t>Review the effectiveness of special classes each semester and gather feedback from students and faculty.</w:t>
      </w:r>
    </w:p>
    <w:p>
      <w:pPr>
        <w:pStyle w:val="ListBullet"/>
        <w:spacing w:after="80"/>
      </w:pPr>
      <w:r>
        <w:rPr>
          <w:rFonts w:ascii="Cambria" w:hAnsi="Cambria"/>
          <w:sz w:val="22"/>
        </w:rPr>
        <w:t>Revise teaching strategies, schedules, or content based on feedback and performance trends.</w:t>
      </w:r>
    </w:p>
    <w:p>
      <w:pPr>
        <w:pStyle w:val="ListBullet"/>
        <w:spacing w:after="80"/>
      </w:pPr>
      <w:r>
        <w:rPr>
          <w:rFonts w:ascii="Cambria" w:hAnsi="Cambria"/>
          <w:sz w:val="22"/>
        </w:rPr>
        <w:t>Incorporate outcomes into departmental academic planning and quality improvement initiatives.</w:t>
      </w:r>
    </w:p>
    <w:p>
      <w:pPr>
        <w:keepNext/>
        <w:spacing w:before="200" w:after="160"/>
      </w:pPr>
      <w:r>
        <w:rPr>
          <w:rFonts w:ascii="Cambria" w:hAnsi="Cambria"/>
          <w:b/>
          <w:color w:val="1F3A5F"/>
          <w:sz w:val="30"/>
        </w:rPr>
        <w:t>Verification of Student Attendance Registers</w:t>
      </w:r>
    </w:p>
    <w:p>
      <w:pPr>
        <w:keepNext/>
        <w:spacing w:before="200" w:after="160"/>
      </w:pPr>
      <w:r>
        <w:rPr>
          <w:rFonts w:ascii="Cambria" w:hAnsi="Cambria"/>
          <w:b/>
          <w:color w:val="1F3A5F"/>
          <w:sz w:val="26"/>
        </w:rPr>
        <w:t>1. Oversight of Attendance Maintenance</w:t>
      </w:r>
    </w:p>
    <w:p>
      <w:pPr>
        <w:pStyle w:val="ListBullet"/>
        <w:spacing w:after="80"/>
      </w:pPr>
      <w:r>
        <w:rPr>
          <w:rFonts w:ascii="Cambria" w:hAnsi="Cambria"/>
          <w:sz w:val="22"/>
        </w:rPr>
        <w:t>Ensure that all faculty members maintain accurate and up-to-date student attendance registers (manual or digital).</w:t>
      </w:r>
    </w:p>
    <w:p>
      <w:pPr>
        <w:pStyle w:val="ListBullet"/>
        <w:spacing w:after="80"/>
      </w:pPr>
      <w:r>
        <w:rPr>
          <w:rFonts w:ascii="Cambria" w:hAnsi="Cambria"/>
          <w:sz w:val="22"/>
        </w:rPr>
        <w:t>Verify that attendance is marked daily and consistently for every theory, practical, and tutorial class.</w:t>
      </w:r>
    </w:p>
    <w:p>
      <w:pPr>
        <w:pStyle w:val="ListBullet"/>
        <w:spacing w:after="80"/>
      </w:pPr>
      <w:r>
        <w:rPr>
          <w:rFonts w:ascii="Cambria" w:hAnsi="Cambria"/>
          <w:sz w:val="22"/>
        </w:rPr>
        <w:t>Instruct faculty to maintain registers in the prescribed institutional format, including course code, topic covered, and student signatures (if applicable).</w:t>
      </w:r>
    </w:p>
    <w:p>
      <w:pPr>
        <w:keepNext/>
        <w:spacing w:before="200" w:after="160"/>
      </w:pPr>
      <w:r>
        <w:rPr>
          <w:rFonts w:ascii="Cambria" w:hAnsi="Cambria"/>
          <w:b/>
          <w:color w:val="1F3A5F"/>
          <w:sz w:val="26"/>
        </w:rPr>
        <w:t>2. Weekly Verification by HoD</w:t>
      </w:r>
    </w:p>
    <w:p>
      <w:pPr>
        <w:pStyle w:val="ListBullet"/>
        <w:spacing w:after="80"/>
      </w:pPr>
      <w:r>
        <w:rPr>
          <w:rFonts w:ascii="Cambria" w:hAnsi="Cambria"/>
          <w:sz w:val="22"/>
        </w:rPr>
        <w:t>Personally verify each faculty's attendance register once a week to ensure proper recordkeeping and authenticity.</w:t>
      </w:r>
    </w:p>
    <w:p>
      <w:pPr>
        <w:pStyle w:val="ListBullet"/>
        <w:spacing w:after="80"/>
      </w:pPr>
      <w:r>
        <w:rPr>
          <w:rFonts w:ascii="Cambria" w:hAnsi="Cambria"/>
          <w:sz w:val="22"/>
        </w:rPr>
        <w:t>Check for:</w:t>
      </w:r>
    </w:p>
    <w:p>
      <w:pPr>
        <w:pStyle w:val="ListBullet2"/>
        <w:spacing w:after="80"/>
      </w:pPr>
      <w:r>
        <w:rPr>
          <w:rFonts w:ascii="Cambria" w:hAnsi="Cambria"/>
          <w:sz w:val="22"/>
        </w:rPr>
        <w:t>Missing entries or discrepancies in attendance data.</w:t>
      </w:r>
    </w:p>
    <w:p>
      <w:pPr>
        <w:pStyle w:val="ListBullet2"/>
        <w:spacing w:after="80"/>
      </w:pPr>
      <w:r>
        <w:rPr>
          <w:rFonts w:ascii="Cambria" w:hAnsi="Cambria"/>
          <w:sz w:val="22"/>
        </w:rPr>
        <w:t>Consistency between timetable and class dates.</w:t>
      </w:r>
    </w:p>
    <w:p>
      <w:pPr>
        <w:pStyle w:val="ListBullet2"/>
        <w:spacing w:after="80"/>
      </w:pPr>
      <w:r>
        <w:rPr>
          <w:rFonts w:ascii="Cambria" w:hAnsi="Cambria"/>
          <w:sz w:val="22"/>
        </w:rPr>
        <w:t>Proper indication of holidays, tests, or special classes.</w:t>
      </w:r>
    </w:p>
    <w:p>
      <w:pPr>
        <w:pStyle w:val="ListBullet"/>
        <w:spacing w:after="80"/>
      </w:pPr>
      <w:r>
        <w:rPr>
          <w:rFonts w:ascii="Cambria" w:hAnsi="Cambria"/>
          <w:sz w:val="22"/>
        </w:rPr>
        <w:t>Sign and date the register after verification as a confirmation of departmental compliance.</w:t>
      </w:r>
    </w:p>
    <w:p>
      <w:pPr>
        <w:pStyle w:val="ListBullet"/>
        <w:spacing w:after="80"/>
      </w:pPr>
      <w:r>
        <w:rPr>
          <w:rFonts w:ascii="Cambria" w:hAnsi="Cambria"/>
          <w:sz w:val="22"/>
        </w:rPr>
        <w:t>Provide feedback or corrections to faculty if irregularities or lapses are found during review.</w:t>
      </w:r>
    </w:p>
    <w:p>
      <w:pPr>
        <w:keepNext/>
        <w:spacing w:before="200" w:after="160"/>
      </w:pPr>
      <w:r>
        <w:rPr>
          <w:rFonts w:ascii="Cambria" w:hAnsi="Cambria"/>
          <w:b/>
          <w:color w:val="1F3A5F"/>
          <w:sz w:val="26"/>
        </w:rPr>
        <w:t>3. Fortnightly Submission to Principal</w:t>
      </w:r>
    </w:p>
    <w:p>
      <w:pPr>
        <w:pStyle w:val="ListBullet"/>
        <w:spacing w:after="80"/>
      </w:pPr>
      <w:r>
        <w:rPr>
          <w:rFonts w:ascii="Cambria" w:hAnsi="Cambria"/>
          <w:sz w:val="22"/>
        </w:rPr>
        <w:t>Consolidate all verified attendance registers from the department once every two weeks.</w:t>
      </w:r>
    </w:p>
    <w:p>
      <w:pPr>
        <w:pStyle w:val="ListBullet"/>
        <w:spacing w:after="80"/>
      </w:pPr>
      <w:r>
        <w:rPr>
          <w:rFonts w:ascii="Cambria" w:hAnsi="Cambria"/>
          <w:sz w:val="22"/>
        </w:rPr>
        <w:t>Prepare a summary report highlighting:</w:t>
      </w:r>
    </w:p>
    <w:p>
      <w:pPr>
        <w:pStyle w:val="ListBullet2"/>
        <w:spacing w:after="80"/>
      </w:pPr>
      <w:r>
        <w:rPr>
          <w:rFonts w:ascii="Cambria" w:hAnsi="Cambria"/>
          <w:sz w:val="22"/>
        </w:rPr>
        <w:t>Percentage of attendance for each class and section.</w:t>
      </w:r>
    </w:p>
    <w:p>
      <w:pPr>
        <w:pStyle w:val="ListBullet2"/>
        <w:spacing w:after="80"/>
      </w:pPr>
      <w:r>
        <w:rPr>
          <w:rFonts w:ascii="Cambria" w:hAnsi="Cambria"/>
          <w:sz w:val="22"/>
        </w:rPr>
        <w:t>Students with poor attendance (below 75%).</w:t>
      </w:r>
    </w:p>
    <w:p>
      <w:pPr>
        <w:pStyle w:val="ListBullet2"/>
        <w:spacing w:after="80"/>
      </w:pPr>
      <w:r>
        <w:rPr>
          <w:rFonts w:ascii="Cambria" w:hAnsi="Cambria"/>
          <w:sz w:val="22"/>
        </w:rPr>
        <w:t>Any anomalies or corrective measures taken.</w:t>
      </w:r>
    </w:p>
    <w:p>
      <w:pPr>
        <w:pStyle w:val="ListBullet"/>
        <w:spacing w:after="80"/>
      </w:pPr>
      <w:r>
        <w:rPr>
          <w:rFonts w:ascii="Cambria" w:hAnsi="Cambria"/>
          <w:sz w:val="22"/>
        </w:rPr>
        <w:t>Submit the verified registers and summary report to the Principal or Academic Office for final validation and institutional record.</w:t>
      </w:r>
    </w:p>
    <w:p>
      <w:pPr>
        <w:keepNext/>
        <w:spacing w:before="200" w:after="160"/>
      </w:pPr>
      <w:r>
        <w:rPr>
          <w:rFonts w:ascii="Cambria" w:hAnsi="Cambria"/>
          <w:b/>
          <w:color w:val="1F3A5F"/>
          <w:sz w:val="26"/>
        </w:rPr>
        <w:t>4. Monitoring Student Attendance Patterns</w:t>
      </w:r>
    </w:p>
    <w:p>
      <w:pPr>
        <w:pStyle w:val="ListBullet"/>
        <w:spacing w:after="80"/>
      </w:pPr>
      <w:r>
        <w:rPr>
          <w:rFonts w:ascii="Cambria" w:hAnsi="Cambria"/>
          <w:sz w:val="22"/>
        </w:rPr>
        <w:t>Analyze attendance trends to identify students with chronic absenteeism or irregular class participation.</w:t>
      </w:r>
    </w:p>
    <w:p>
      <w:pPr>
        <w:pStyle w:val="ListBullet"/>
        <w:spacing w:after="80"/>
      </w:pPr>
      <w:r>
        <w:rPr>
          <w:rFonts w:ascii="Cambria" w:hAnsi="Cambria"/>
          <w:sz w:val="22"/>
        </w:rPr>
        <w:t>Forward such cases to class advisors, mentors, or counselors for follow-up action.</w:t>
      </w:r>
    </w:p>
    <w:p>
      <w:pPr>
        <w:pStyle w:val="ListBullet"/>
        <w:spacing w:after="80"/>
      </w:pPr>
      <w:r>
        <w:rPr>
          <w:rFonts w:ascii="Cambria" w:hAnsi="Cambria"/>
          <w:sz w:val="22"/>
        </w:rPr>
        <w:t>Arrange counseling sessions for students with attendance shortfall and inform parents when necessary.</w:t>
      </w:r>
    </w:p>
    <w:p>
      <w:pPr>
        <w:pStyle w:val="ListBullet"/>
        <w:spacing w:after="80"/>
      </w:pPr>
      <w:r>
        <w:rPr>
          <w:rFonts w:ascii="Cambria" w:hAnsi="Cambria"/>
          <w:sz w:val="22"/>
        </w:rPr>
        <w:t>Ensure attendance reports contribute to eligibility criteria for examinations and internal assessments.</w:t>
      </w:r>
    </w:p>
    <w:p>
      <w:pPr>
        <w:keepNext/>
        <w:spacing w:before="200" w:after="160"/>
      </w:pPr>
      <w:r>
        <w:rPr>
          <w:rFonts w:ascii="Cambria" w:hAnsi="Cambria"/>
          <w:b/>
          <w:color w:val="1F3A5F"/>
          <w:sz w:val="26"/>
        </w:rPr>
        <w:t>5. Coordination with Faculty and Class Advisors</w:t>
      </w:r>
    </w:p>
    <w:p>
      <w:pPr>
        <w:pStyle w:val="ListBullet"/>
        <w:spacing w:after="80"/>
      </w:pPr>
      <w:r>
        <w:rPr>
          <w:rFonts w:ascii="Cambria" w:hAnsi="Cambria"/>
          <w:sz w:val="22"/>
        </w:rPr>
        <w:t>Instruct all faculty to submit attendance registers for review on a fixed day each week (e.g., Friday).</w:t>
      </w:r>
    </w:p>
    <w:p>
      <w:pPr>
        <w:pStyle w:val="ListBullet"/>
        <w:spacing w:after="80"/>
      </w:pPr>
      <w:r>
        <w:rPr>
          <w:rFonts w:ascii="Cambria" w:hAnsi="Cambria"/>
          <w:sz w:val="22"/>
        </w:rPr>
        <w:t>Conduct monthly meetings with class advisors to discuss attendance trends and necessary interventions.</w:t>
      </w:r>
    </w:p>
    <w:p>
      <w:pPr>
        <w:pStyle w:val="ListBullet"/>
        <w:spacing w:after="80"/>
      </w:pPr>
      <w:r>
        <w:rPr>
          <w:rFonts w:ascii="Cambria" w:hAnsi="Cambria"/>
          <w:sz w:val="22"/>
        </w:rPr>
        <w:t>Encourage timely communication of attendance shortages to students for corrective action.</w:t>
      </w:r>
    </w:p>
    <w:p>
      <w:pPr>
        <w:keepNext/>
        <w:spacing w:before="200" w:after="160"/>
      </w:pPr>
      <w:r>
        <w:rPr>
          <w:rFonts w:ascii="Cambria" w:hAnsi="Cambria"/>
          <w:b/>
          <w:color w:val="1F3A5F"/>
          <w:sz w:val="26"/>
        </w:rPr>
        <w:t>6. Documentation and Reporting</w:t>
      </w:r>
    </w:p>
    <w:p>
      <w:pPr>
        <w:pStyle w:val="ListBullet"/>
        <w:spacing w:after="80"/>
      </w:pPr>
      <w:r>
        <w:rPr>
          <w:rFonts w:ascii="Cambria" w:hAnsi="Cambria"/>
          <w:sz w:val="22"/>
        </w:rPr>
        <w:t>Maintain a Departmental Attendance Verification Logbook or Digital Record that includes:</w:t>
      </w:r>
    </w:p>
    <w:p>
      <w:pPr>
        <w:pStyle w:val="ListBullet2"/>
        <w:spacing w:after="80"/>
      </w:pPr>
      <w:r>
        <w:rPr>
          <w:rFonts w:ascii="Cambria" w:hAnsi="Cambria"/>
          <w:sz w:val="22"/>
        </w:rPr>
        <w:t>Date of verification by HoD.</w:t>
      </w:r>
    </w:p>
    <w:p>
      <w:pPr>
        <w:pStyle w:val="ListBullet2"/>
        <w:spacing w:after="80"/>
      </w:pPr>
      <w:r>
        <w:rPr>
          <w:rFonts w:ascii="Cambria" w:hAnsi="Cambria"/>
          <w:sz w:val="22"/>
        </w:rPr>
        <w:t>Remarks and observations on faculty attendance records.</w:t>
      </w:r>
    </w:p>
    <w:p>
      <w:pPr>
        <w:pStyle w:val="ListBullet2"/>
        <w:spacing w:after="80"/>
      </w:pPr>
      <w:r>
        <w:rPr>
          <w:rFonts w:ascii="Cambria" w:hAnsi="Cambria"/>
          <w:sz w:val="22"/>
        </w:rPr>
        <w:t>Signature of HoD and acknowledgment of concerned staff.</w:t>
      </w:r>
    </w:p>
    <w:p>
      <w:pPr>
        <w:pStyle w:val="ListBullet"/>
        <w:spacing w:after="80"/>
      </w:pPr>
      <w:r>
        <w:rPr>
          <w:rFonts w:ascii="Cambria" w:hAnsi="Cambria"/>
          <w:sz w:val="22"/>
        </w:rPr>
        <w:t>Archive fortnightly reports and signed registers for audit, accreditation (NAAC/NBA), and quality assurance purposes.</w:t>
      </w:r>
    </w:p>
    <w:p>
      <w:pPr>
        <w:pStyle w:val="ListBullet"/>
        <w:spacing w:after="80"/>
      </w:pPr>
      <w:r>
        <w:rPr>
          <w:rFonts w:ascii="Cambria" w:hAnsi="Cambria"/>
          <w:sz w:val="22"/>
        </w:rPr>
        <w:t>Provide attendance data to IQAC or Examination Section as required.</w:t>
      </w:r>
    </w:p>
    <w:p>
      <w:pPr>
        <w:keepNext/>
        <w:spacing w:before="200" w:after="160"/>
      </w:pPr>
      <w:r>
        <w:rPr>
          <w:rFonts w:ascii="Cambria" w:hAnsi="Cambria"/>
          <w:b/>
          <w:color w:val="1F3A5F"/>
          <w:sz w:val="26"/>
        </w:rPr>
        <w:t>7. Ensuring Compliance and Accountability</w:t>
      </w:r>
    </w:p>
    <w:p>
      <w:pPr>
        <w:pStyle w:val="ListBullet"/>
        <w:spacing w:after="80"/>
      </w:pPr>
      <w:r>
        <w:rPr>
          <w:rFonts w:ascii="Cambria" w:hAnsi="Cambria"/>
          <w:sz w:val="22"/>
        </w:rPr>
        <w:t>Reinforce institutional policies on minimum attendance requirements (e.g., 75%) for course eligibility.</w:t>
      </w:r>
    </w:p>
    <w:p>
      <w:pPr>
        <w:pStyle w:val="ListBullet"/>
        <w:spacing w:after="80"/>
      </w:pPr>
      <w:r>
        <w:rPr>
          <w:rFonts w:ascii="Cambria" w:hAnsi="Cambria"/>
          <w:sz w:val="22"/>
        </w:rPr>
        <w:t>Ensure transparency and fairness in attendance calculation and communication to students.</w:t>
      </w:r>
    </w:p>
    <w:p>
      <w:pPr>
        <w:pStyle w:val="ListBullet"/>
        <w:spacing w:after="80"/>
      </w:pPr>
      <w:r>
        <w:rPr>
          <w:rFonts w:ascii="Cambria" w:hAnsi="Cambria"/>
          <w:sz w:val="22"/>
        </w:rPr>
        <w:t>Hold faculty accountable for timely and accurate maintenance of attendance data.</w:t>
      </w:r>
    </w:p>
    <w:p>
      <w:pPr>
        <w:pStyle w:val="ListBullet"/>
        <w:spacing w:after="80"/>
      </w:pPr>
      <w:r>
        <w:rPr>
          <w:rFonts w:ascii="Cambria" w:hAnsi="Cambria"/>
          <w:sz w:val="22"/>
        </w:rPr>
        <w:t>Use verified attendance information during faculty appraisals, departmental reviews, and audits.</w:t>
      </w:r>
    </w:p>
    <w:p>
      <w:pPr>
        <w:keepNext/>
        <w:spacing w:before="200" w:after="160"/>
      </w:pPr>
      <w:r>
        <w:rPr>
          <w:rFonts w:ascii="Cambria" w:hAnsi="Cambria"/>
          <w:b/>
          <w:color w:val="1F3A5F"/>
          <w:sz w:val="26"/>
        </w:rPr>
        <w:t>8. Use of Technology for Efficiency</w:t>
      </w:r>
    </w:p>
    <w:p>
      <w:pPr>
        <w:pStyle w:val="ListBullet"/>
        <w:spacing w:after="80"/>
      </w:pPr>
      <w:r>
        <w:rPr>
          <w:rFonts w:ascii="Cambria" w:hAnsi="Cambria"/>
          <w:sz w:val="22"/>
        </w:rPr>
        <w:t>Encourage adoption of digital attendance systems or ERP tools for real-time tracking and automated reporting.</w:t>
      </w:r>
    </w:p>
    <w:p>
      <w:pPr>
        <w:pStyle w:val="ListBullet"/>
        <w:spacing w:after="80"/>
      </w:pPr>
      <w:r>
        <w:rPr>
          <w:rFonts w:ascii="Cambria" w:hAnsi="Cambria"/>
          <w:sz w:val="22"/>
        </w:rPr>
        <w:t>Periodically review system-generated reports to cross-verify data accuracy.</w:t>
      </w:r>
    </w:p>
    <w:p>
      <w:pPr>
        <w:pStyle w:val="ListBullet"/>
        <w:spacing w:after="80"/>
      </w:pPr>
      <w:r>
        <w:rPr>
          <w:rFonts w:ascii="Cambria" w:hAnsi="Cambria"/>
          <w:sz w:val="22"/>
        </w:rPr>
        <w:t>Promote data integration between attendance, internal marks, and counseling records for holistic student monitoring.</w:t>
      </w:r>
    </w:p>
    <w:p>
      <w:pPr>
        <w:keepNext/>
        <w:spacing w:before="200" w:after="160"/>
      </w:pPr>
      <w:r>
        <w:rPr>
          <w:rFonts w:ascii="Cambria" w:hAnsi="Cambria"/>
          <w:b/>
          <w:color w:val="1F3A5F"/>
          <w:sz w:val="30"/>
        </w:rPr>
        <w:t>Section-Wise Interaction and Problem Resolution</w:t>
      </w:r>
    </w:p>
    <w:p>
      <w:pPr>
        <w:keepNext/>
        <w:spacing w:before="200" w:after="160"/>
      </w:pPr>
      <w:r>
        <w:rPr>
          <w:rFonts w:ascii="Cambria" w:hAnsi="Cambria"/>
          <w:b/>
          <w:color w:val="1F3A5F"/>
          <w:sz w:val="26"/>
        </w:rPr>
        <w:t>1. Regular Interaction with Students</w:t>
      </w:r>
    </w:p>
    <w:p>
      <w:pPr>
        <w:pStyle w:val="ListBullet"/>
        <w:spacing w:after="80"/>
      </w:pPr>
      <w:r>
        <w:rPr>
          <w:rFonts w:ascii="Cambria" w:hAnsi="Cambria"/>
          <w:sz w:val="22"/>
        </w:rPr>
        <w:t>Conduct section-wise meetings with students once every 15 days to maintain continuous communication and understand their concerns.</w:t>
      </w:r>
    </w:p>
    <w:p>
      <w:pPr>
        <w:pStyle w:val="ListBullet"/>
        <w:spacing w:after="80"/>
      </w:pPr>
      <w:r>
        <w:rPr>
          <w:rFonts w:ascii="Cambria" w:hAnsi="Cambria"/>
          <w:sz w:val="22"/>
        </w:rPr>
        <w:t>Ensure interactions are inclusive, open, and structured, allowing students from all sections and academic levels to participate.</w:t>
      </w:r>
    </w:p>
    <w:p>
      <w:pPr>
        <w:pStyle w:val="ListBullet"/>
        <w:spacing w:after="80"/>
      </w:pPr>
      <w:r>
        <w:rPr>
          <w:rFonts w:ascii="Cambria" w:hAnsi="Cambria"/>
          <w:sz w:val="22"/>
        </w:rPr>
        <w:t>Use these meetings as a platform to build trust, gather feedback, and promote a positive departmental environment.</w:t>
      </w:r>
    </w:p>
    <w:p>
      <w:pPr>
        <w:keepNext/>
        <w:spacing w:before="200" w:after="160"/>
      </w:pPr>
      <w:r>
        <w:rPr>
          <w:rFonts w:ascii="Cambria" w:hAnsi="Cambria"/>
          <w:b/>
          <w:color w:val="1F3A5F"/>
          <w:sz w:val="26"/>
        </w:rPr>
        <w:t>2. Objective of the Interaction Sessions</w:t>
      </w:r>
    </w:p>
    <w:p>
      <w:pPr>
        <w:pStyle w:val="ListBullet"/>
        <w:spacing w:after="80"/>
      </w:pPr>
      <w:r>
        <w:rPr>
          <w:rFonts w:ascii="Cambria" w:hAnsi="Cambria"/>
          <w:sz w:val="22"/>
        </w:rPr>
        <w:t>Identify academic, administrative, and personal challenges faced by students within the department.</w:t>
      </w:r>
    </w:p>
    <w:p>
      <w:pPr>
        <w:pStyle w:val="ListBullet"/>
        <w:spacing w:after="80"/>
      </w:pPr>
      <w:r>
        <w:rPr>
          <w:rFonts w:ascii="Cambria" w:hAnsi="Cambria"/>
          <w:sz w:val="22"/>
        </w:rPr>
        <w:t>Provide guidance and motivation to students regarding academic improvement, discipline, and professional conduct.</w:t>
      </w:r>
    </w:p>
    <w:p>
      <w:pPr>
        <w:pStyle w:val="ListBullet"/>
        <w:spacing w:after="80"/>
      </w:pPr>
      <w:r>
        <w:rPr>
          <w:rFonts w:ascii="Cambria" w:hAnsi="Cambria"/>
          <w:sz w:val="22"/>
        </w:rPr>
        <w:t>Reinforce important institutional updates, exam schedules, attendance policies, and departmental initiatives.</w:t>
      </w:r>
    </w:p>
    <w:p>
      <w:pPr>
        <w:pStyle w:val="ListBullet"/>
        <w:spacing w:after="80"/>
      </w:pPr>
      <w:r>
        <w:rPr>
          <w:rFonts w:ascii="Cambria" w:hAnsi="Cambria"/>
          <w:sz w:val="22"/>
        </w:rPr>
        <w:t>Foster a sense of belonging and mentorship between students and the department leadership.</w:t>
      </w:r>
    </w:p>
    <w:p>
      <w:pPr>
        <w:keepNext/>
        <w:spacing w:before="200" w:after="160"/>
      </w:pPr>
      <w:r>
        <w:rPr>
          <w:rFonts w:ascii="Cambria" w:hAnsi="Cambria"/>
          <w:b/>
          <w:color w:val="1F3A5F"/>
          <w:sz w:val="26"/>
        </w:rPr>
        <w:t>3. Structure and Frequency of Meetings</w:t>
      </w:r>
    </w:p>
    <w:p>
      <w:pPr>
        <w:pStyle w:val="ListBullet"/>
        <w:spacing w:after="80"/>
      </w:pPr>
      <w:r>
        <w:rPr>
          <w:rFonts w:ascii="Cambria" w:hAnsi="Cambria"/>
          <w:sz w:val="22"/>
        </w:rPr>
        <w:t>Prepare a section-wise interaction schedule ensuring all student groups are met at least once every 15 days.</w:t>
      </w:r>
    </w:p>
    <w:p>
      <w:pPr>
        <w:pStyle w:val="ListBullet"/>
        <w:spacing w:after="80"/>
      </w:pPr>
      <w:r>
        <w:rPr>
          <w:rFonts w:ascii="Cambria" w:hAnsi="Cambria"/>
          <w:sz w:val="22"/>
        </w:rPr>
        <w:t>Conduct sessions in an interactive mode rather than lecture format to encourage open communication.</w:t>
      </w:r>
    </w:p>
    <w:p>
      <w:pPr>
        <w:pStyle w:val="ListBullet"/>
        <w:spacing w:after="80"/>
      </w:pPr>
      <w:r>
        <w:rPr>
          <w:rFonts w:ascii="Cambria" w:hAnsi="Cambria"/>
          <w:sz w:val="22"/>
        </w:rPr>
        <w:t>Include class advisors, mentors, or student representatives in these meetings for better coordination.</w:t>
      </w:r>
    </w:p>
    <w:p>
      <w:pPr>
        <w:pStyle w:val="ListBullet"/>
        <w:spacing w:after="80"/>
      </w:pPr>
      <w:r>
        <w:rPr>
          <w:rFonts w:ascii="Cambria" w:hAnsi="Cambria"/>
          <w:sz w:val="22"/>
        </w:rPr>
        <w:t>Record minutes of every meeting, highlighting student issues and suggested solutions.</w:t>
      </w:r>
    </w:p>
    <w:p>
      <w:pPr>
        <w:keepNext/>
        <w:spacing w:before="200" w:after="160"/>
      </w:pPr>
      <w:r>
        <w:rPr>
          <w:rFonts w:ascii="Cambria" w:hAnsi="Cambria"/>
          <w:b/>
          <w:color w:val="1F3A5F"/>
          <w:sz w:val="26"/>
        </w:rPr>
        <w:t>4. Identification of Student Issues</w:t>
      </w:r>
    </w:p>
    <w:p>
      <w:pPr>
        <w:pStyle w:val="ListBullet"/>
        <w:spacing w:after="80"/>
      </w:pPr>
      <w:r>
        <w:rPr>
          <w:rFonts w:ascii="Cambria" w:hAnsi="Cambria"/>
          <w:sz w:val="22"/>
        </w:rPr>
        <w:t>Encourage students to share problems related to:</w:t>
      </w:r>
    </w:p>
    <w:p>
      <w:pPr>
        <w:pStyle w:val="ListBullet2"/>
        <w:spacing w:after="80"/>
      </w:pPr>
      <w:r>
        <w:rPr>
          <w:rFonts w:ascii="Cambria" w:hAnsi="Cambria"/>
          <w:sz w:val="22"/>
        </w:rPr>
        <w:t>Academic difficulties (subject understanding, faculty support, workloads).</w:t>
      </w:r>
    </w:p>
    <w:p>
      <w:pPr>
        <w:pStyle w:val="ListBullet2"/>
        <w:spacing w:after="80"/>
      </w:pPr>
      <w:r>
        <w:rPr>
          <w:rFonts w:ascii="Cambria" w:hAnsi="Cambria"/>
          <w:sz w:val="22"/>
        </w:rPr>
        <w:t>Infrastructure (classrooms, laboratories, library access).</w:t>
      </w:r>
    </w:p>
    <w:p>
      <w:pPr>
        <w:pStyle w:val="ListBullet2"/>
        <w:spacing w:after="80"/>
      </w:pPr>
      <w:r>
        <w:rPr>
          <w:rFonts w:ascii="Cambria" w:hAnsi="Cambria"/>
          <w:sz w:val="22"/>
        </w:rPr>
        <w:t>Administrative matters (timetable, exam scheduling, attendance).</w:t>
      </w:r>
    </w:p>
    <w:p>
      <w:pPr>
        <w:pStyle w:val="ListBullet2"/>
        <w:spacing w:after="80"/>
      </w:pPr>
      <w:r>
        <w:rPr>
          <w:rFonts w:ascii="Cambria" w:hAnsi="Cambria"/>
          <w:sz w:val="22"/>
        </w:rPr>
        <w:t>Personal and social challenges (peer pressure, stress, adjustment).</w:t>
      </w:r>
    </w:p>
    <w:p>
      <w:pPr>
        <w:pStyle w:val="ListBullet"/>
        <w:spacing w:after="80"/>
      </w:pPr>
      <w:r>
        <w:rPr>
          <w:rFonts w:ascii="Cambria" w:hAnsi="Cambria"/>
          <w:sz w:val="22"/>
        </w:rPr>
        <w:t>Ensure that concerns are listened to without bias or judgment, and confidentiality is maintained where necessary.</w:t>
      </w:r>
    </w:p>
    <w:p>
      <w:pPr>
        <w:keepNext/>
        <w:spacing w:before="200" w:after="160"/>
      </w:pPr>
      <w:r>
        <w:rPr>
          <w:rFonts w:ascii="Cambria" w:hAnsi="Cambria"/>
          <w:b/>
          <w:color w:val="1F3A5F"/>
          <w:sz w:val="26"/>
        </w:rPr>
        <w:t>5. Problem Solving and Action Planning</w:t>
      </w:r>
    </w:p>
    <w:p>
      <w:pPr>
        <w:pStyle w:val="ListBullet"/>
        <w:spacing w:after="80"/>
      </w:pPr>
      <w:r>
        <w:rPr>
          <w:rFonts w:ascii="Cambria" w:hAnsi="Cambria"/>
          <w:sz w:val="22"/>
        </w:rPr>
        <w:t>Categorize identified issues as academic, infrastructural, or behavioral for focused resolution.</w:t>
      </w:r>
    </w:p>
    <w:p>
      <w:pPr>
        <w:pStyle w:val="ListBullet"/>
        <w:spacing w:after="80"/>
      </w:pPr>
      <w:r>
        <w:rPr>
          <w:rFonts w:ascii="Cambria" w:hAnsi="Cambria"/>
          <w:sz w:val="22"/>
        </w:rPr>
        <w:t>Discuss possible solutions with the Principal, Dean (Academics), or relevant committees as per the issue type.</w:t>
      </w:r>
    </w:p>
    <w:p>
      <w:pPr>
        <w:pStyle w:val="ListBullet"/>
        <w:spacing w:after="80"/>
      </w:pPr>
      <w:r>
        <w:rPr>
          <w:rFonts w:ascii="Cambria" w:hAnsi="Cambria"/>
          <w:sz w:val="22"/>
        </w:rPr>
        <w:t>Implement department-level actions immediately for issues within the HoD's purview (e.g., class adjustments, extra sessions).</w:t>
      </w:r>
    </w:p>
    <w:p>
      <w:pPr>
        <w:pStyle w:val="ListBullet"/>
        <w:spacing w:after="80"/>
      </w:pPr>
      <w:r>
        <w:rPr>
          <w:rFonts w:ascii="Cambria" w:hAnsi="Cambria"/>
          <w:sz w:val="22"/>
        </w:rPr>
        <w:t>Prepare action-taken reports (ATR) after each meeting, showing steps taken and pending matters for higher-level intervention.</w:t>
      </w:r>
    </w:p>
    <w:p>
      <w:pPr>
        <w:keepNext/>
        <w:spacing w:before="200" w:after="160"/>
      </w:pPr>
      <w:r>
        <w:rPr>
          <w:rFonts w:ascii="Cambria" w:hAnsi="Cambria"/>
          <w:b/>
          <w:color w:val="1F3A5F"/>
          <w:sz w:val="26"/>
        </w:rPr>
        <w:t>6. Collaboration with the Principal</w:t>
      </w:r>
    </w:p>
    <w:p>
      <w:pPr>
        <w:pStyle w:val="ListBullet"/>
        <w:spacing w:after="80"/>
      </w:pPr>
      <w:r>
        <w:rPr>
          <w:rFonts w:ascii="Cambria" w:hAnsi="Cambria"/>
          <w:sz w:val="22"/>
        </w:rPr>
        <w:t>Compile all section-wise feedback and submit a consolidated report to the Principal once every fortnight.</w:t>
      </w:r>
    </w:p>
    <w:p>
      <w:pPr>
        <w:pStyle w:val="ListBullet"/>
        <w:spacing w:after="80"/>
      </w:pPr>
      <w:r>
        <w:rPr>
          <w:rFonts w:ascii="Cambria" w:hAnsi="Cambria"/>
          <w:sz w:val="22"/>
        </w:rPr>
        <w:t>Discuss major concerns with the Principal to formulate effective solutions or institutional-level policy changes.</w:t>
      </w:r>
    </w:p>
    <w:p>
      <w:pPr>
        <w:pStyle w:val="ListBullet"/>
        <w:spacing w:after="80"/>
      </w:pPr>
      <w:r>
        <w:rPr>
          <w:rFonts w:ascii="Cambria" w:hAnsi="Cambria"/>
          <w:sz w:val="22"/>
        </w:rPr>
        <w:t>Follow up with the Principal's office to ensure timely resolution and feedback loop closure for the students.</w:t>
      </w:r>
    </w:p>
    <w:p>
      <w:pPr>
        <w:keepNext/>
        <w:spacing w:before="200" w:after="160"/>
      </w:pPr>
      <w:r>
        <w:rPr>
          <w:rFonts w:ascii="Cambria" w:hAnsi="Cambria"/>
          <w:b/>
          <w:color w:val="1F3A5F"/>
          <w:sz w:val="26"/>
        </w:rPr>
        <w:t>7. Documentation and Record Maintenance</w:t>
      </w:r>
    </w:p>
    <w:p>
      <w:pPr>
        <w:pStyle w:val="ListBullet"/>
        <w:spacing w:after="80"/>
      </w:pPr>
      <w:r>
        <w:rPr>
          <w:rFonts w:ascii="Cambria" w:hAnsi="Cambria"/>
          <w:sz w:val="22"/>
        </w:rPr>
        <w:t>Maintain a Student Interaction Register or Digital Logbook recording:</w:t>
      </w:r>
    </w:p>
    <w:p>
      <w:pPr>
        <w:pStyle w:val="ListBullet2"/>
        <w:spacing w:after="80"/>
      </w:pPr>
      <w:r>
        <w:rPr>
          <w:rFonts w:ascii="Cambria" w:hAnsi="Cambria"/>
          <w:sz w:val="22"/>
        </w:rPr>
        <w:t>Date, section, and participants of each meeting.</w:t>
      </w:r>
    </w:p>
    <w:p>
      <w:pPr>
        <w:pStyle w:val="ListBullet2"/>
        <w:spacing w:after="80"/>
      </w:pPr>
      <w:r>
        <w:rPr>
          <w:rFonts w:ascii="Cambria" w:hAnsi="Cambria"/>
          <w:sz w:val="22"/>
        </w:rPr>
        <w:t>Key issues raised and suggestions offered.</w:t>
      </w:r>
    </w:p>
    <w:p>
      <w:pPr>
        <w:pStyle w:val="ListBullet2"/>
        <w:spacing w:after="80"/>
      </w:pPr>
      <w:r>
        <w:rPr>
          <w:rFonts w:ascii="Cambria" w:hAnsi="Cambria"/>
          <w:sz w:val="22"/>
        </w:rPr>
        <w:t>Actions initiated and status of resolution.</w:t>
      </w:r>
    </w:p>
    <w:p>
      <w:pPr>
        <w:pStyle w:val="ListBullet"/>
        <w:spacing w:after="80"/>
      </w:pPr>
      <w:r>
        <w:rPr>
          <w:rFonts w:ascii="Cambria" w:hAnsi="Cambria"/>
          <w:sz w:val="22"/>
        </w:rPr>
        <w:t>Retain records for academic audit, NAAC/NBA evidence, and IQAC reviews as proof of continuous student engagement.</w:t>
      </w:r>
    </w:p>
    <w:p>
      <w:pPr>
        <w:keepNext/>
        <w:spacing w:before="200" w:after="160"/>
      </w:pPr>
      <w:r>
        <w:rPr>
          <w:rFonts w:ascii="Cambria" w:hAnsi="Cambria"/>
          <w:b/>
          <w:color w:val="1F3A5F"/>
          <w:sz w:val="26"/>
        </w:rPr>
        <w:t>8. Feedback and Follow-Up</w:t>
      </w:r>
    </w:p>
    <w:p>
      <w:pPr>
        <w:pStyle w:val="ListBullet"/>
        <w:spacing w:after="80"/>
      </w:pPr>
      <w:r>
        <w:rPr>
          <w:rFonts w:ascii="Cambria" w:hAnsi="Cambria"/>
          <w:sz w:val="22"/>
        </w:rPr>
        <w:t>Review previously discussed issues in each new meeting to update students on progress or resolutions.</w:t>
      </w:r>
    </w:p>
    <w:p>
      <w:pPr>
        <w:pStyle w:val="ListBullet"/>
        <w:spacing w:after="80"/>
      </w:pPr>
      <w:r>
        <w:rPr>
          <w:rFonts w:ascii="Cambria" w:hAnsi="Cambria"/>
          <w:sz w:val="22"/>
        </w:rPr>
        <w:t>Collect feedback from students regarding the effectiveness of solutions implemented and any new concerns.</w:t>
      </w:r>
    </w:p>
    <w:p>
      <w:pPr>
        <w:pStyle w:val="ListBullet"/>
        <w:spacing w:after="80"/>
      </w:pPr>
      <w:r>
        <w:rPr>
          <w:rFonts w:ascii="Cambria" w:hAnsi="Cambria"/>
          <w:sz w:val="22"/>
        </w:rPr>
        <w:t>Use this feedback for continuous departmental improvement and enhanced student satisfaction.</w:t>
      </w:r>
    </w:p>
    <w:p>
      <w:pPr>
        <w:keepNext/>
        <w:spacing w:before="200" w:after="160"/>
      </w:pPr>
      <w:r>
        <w:rPr>
          <w:rFonts w:ascii="Cambria" w:hAnsi="Cambria"/>
          <w:b/>
          <w:color w:val="1F3A5F"/>
          <w:sz w:val="26"/>
        </w:rPr>
        <w:t>9. Fostering an Inclusive and Supportive Environment</w:t>
      </w:r>
    </w:p>
    <w:p>
      <w:pPr>
        <w:pStyle w:val="ListBullet"/>
        <w:spacing w:after="80"/>
      </w:pPr>
      <w:r>
        <w:rPr>
          <w:rFonts w:ascii="Cambria" w:hAnsi="Cambria"/>
          <w:sz w:val="22"/>
        </w:rPr>
        <w:t>Use interactions to motivate students and reinforce values of discipline, ethics, and teamwork.</w:t>
      </w:r>
    </w:p>
    <w:p>
      <w:pPr>
        <w:pStyle w:val="ListBullet"/>
        <w:spacing w:after="80"/>
      </w:pPr>
      <w:r>
        <w:rPr>
          <w:rFonts w:ascii="Cambria" w:hAnsi="Cambria"/>
          <w:sz w:val="22"/>
        </w:rPr>
        <w:t>Identify student leaders or representatives who can serve as communication bridges between students and faculty.</w:t>
      </w:r>
    </w:p>
    <w:p>
      <w:pPr>
        <w:pStyle w:val="ListBullet"/>
        <w:spacing w:after="80"/>
      </w:pPr>
      <w:r>
        <w:rPr>
          <w:rFonts w:ascii="Cambria" w:hAnsi="Cambria"/>
          <w:sz w:val="22"/>
        </w:rPr>
        <w:t>Promote transparency and responsiveness by ensuring every student feels heard and valued.</w:t>
      </w:r>
    </w:p>
    <w:p>
      <w:r>
        <w:br w:type="page"/>
      </w:r>
    </w:p>
    <w:p>
      <w:pPr>
        <w:keepNext/>
        <w:spacing w:before="280" w:after="160"/>
      </w:pPr>
      <w:r>
        <w:rPr>
          <w:rFonts w:ascii="Cambria" w:hAnsi="Cambria"/>
          <w:b/>
          <w:color w:val="1F3A5F"/>
          <w:sz w:val="36"/>
        </w:rPr>
        <w:t>5. Section-Wise Student Interaction and Problem Resolution Report</w:t>
      </w:r>
    </w:p>
    <w:p>
      <w:pPr>
        <w:jc w:val="both"/>
      </w:pPr>
      <w:r>
        <w:rPr>
          <w:rFonts w:ascii="Cambria" w:hAnsi="Cambria"/>
          <w:b/>
          <w:i w:val="0"/>
          <w:sz w:val="22"/>
        </w:rPr>
        <w:t xml:space="preserve">Department: </w:t>
      </w:r>
      <w:r>
        <w:rPr>
          <w:rFonts w:ascii="Cambria" w:hAnsi="Cambria"/>
          <w:b w:val="0"/>
          <w:i w:val="0"/>
          <w:sz w:val="22"/>
        </w:rPr>
        <w:t>____________________________</w:t>
      </w:r>
    </w:p>
    <w:p>
      <w:pPr>
        <w:jc w:val="both"/>
      </w:pPr>
      <w:r>
        <w:rPr>
          <w:rFonts w:ascii="Cambria" w:hAnsi="Cambria"/>
          <w:b/>
          <w:i w:val="0"/>
          <w:sz w:val="22"/>
        </w:rPr>
        <w:t xml:space="preserve">Program &amp; Year: </w:t>
      </w:r>
      <w:r>
        <w:rPr>
          <w:rFonts w:ascii="Cambria" w:hAnsi="Cambria"/>
          <w:b w:val="0"/>
          <w:i w:val="0"/>
          <w:sz w:val="22"/>
        </w:rPr>
        <w:t>______________________</w:t>
      </w:r>
    </w:p>
    <w:p>
      <w:pPr>
        <w:jc w:val="both"/>
      </w:pPr>
      <w:r>
        <w:rPr>
          <w:rFonts w:ascii="Cambria" w:hAnsi="Cambria"/>
          <w:b/>
          <w:i w:val="0"/>
          <w:sz w:val="22"/>
        </w:rPr>
        <w:t xml:space="preserve">Section: </w:t>
      </w:r>
      <w:r>
        <w:rPr>
          <w:rFonts w:ascii="Cambria" w:hAnsi="Cambria"/>
          <w:b w:val="0"/>
          <w:i w:val="0"/>
          <w:sz w:val="22"/>
        </w:rPr>
        <w:t>____________________________</w:t>
      </w:r>
    </w:p>
    <w:p>
      <w:pPr>
        <w:jc w:val="both"/>
      </w:pPr>
      <w:r>
        <w:rPr>
          <w:rFonts w:ascii="Cambria" w:hAnsi="Cambria"/>
          <w:b/>
          <w:i w:val="0"/>
          <w:sz w:val="22"/>
        </w:rPr>
        <w:t xml:space="preserve">Date of Interaction: </w:t>
      </w:r>
      <w:r>
        <w:rPr>
          <w:rFonts w:ascii="Cambria" w:hAnsi="Cambria"/>
          <w:b w:val="0"/>
          <w:i w:val="0"/>
          <w:sz w:val="22"/>
        </w:rPr>
        <w:t>__________________</w:t>
      </w:r>
    </w:p>
    <w:p>
      <w:pPr>
        <w:jc w:val="both"/>
      </w:pPr>
      <w:r>
        <w:rPr>
          <w:rFonts w:ascii="Cambria" w:hAnsi="Cambria"/>
          <w:b/>
          <w:i w:val="0"/>
          <w:sz w:val="22"/>
        </w:rPr>
        <w:t xml:space="preserve">Venue: </w:t>
      </w:r>
      <w:r>
        <w:rPr>
          <w:rFonts w:ascii="Cambria" w:hAnsi="Cambria"/>
          <w:b w:val="0"/>
          <w:i w:val="0"/>
          <w:sz w:val="22"/>
        </w:rPr>
        <w:t>____________________________</w:t>
      </w:r>
    </w:p>
    <w:p>
      <w:pPr>
        <w:jc w:val="both"/>
      </w:pPr>
      <w:r>
        <w:rPr>
          <w:rFonts w:ascii="Cambria" w:hAnsi="Cambria"/>
          <w:b/>
          <w:i w:val="0"/>
          <w:sz w:val="22"/>
        </w:rPr>
        <w:t xml:space="preserve">Name of HoD: </w:t>
      </w:r>
      <w:r>
        <w:rPr>
          <w:rFonts w:ascii="Cambria" w:hAnsi="Cambria"/>
          <w:b w:val="0"/>
          <w:i w:val="0"/>
          <w:sz w:val="22"/>
        </w:rPr>
        <w:t>__________________________</w:t>
      </w:r>
    </w:p>
    <w:p>
      <w:pPr>
        <w:jc w:val="both"/>
      </w:pPr>
      <w:r>
        <w:rPr>
          <w:rFonts w:ascii="Cambria" w:hAnsi="Cambria"/>
          <w:b w:val="0"/>
          <w:i w:val="0"/>
          <w:sz w:val="22"/>
        </w:rPr>
        <w:t>Names of Faculty/Class Advisors Present:</w:t>
      </w:r>
    </w:p>
    <w:p>
      <w:pPr>
        <w:jc w:val="both"/>
      </w:pPr>
      <w:r>
        <w:rPr>
          <w:rFonts w:ascii="Cambria" w:hAnsi="Cambria"/>
          <w:b w:val="0"/>
          <w:i w:val="0"/>
          <w:sz w:val="22"/>
        </w:rPr>
        <w:t>________________________________________</w:t>
      </w:r>
    </w:p>
    <w:p>
      <w:pPr>
        <w:keepNext/>
        <w:spacing w:before="200" w:after="160"/>
      </w:pPr>
      <w:r>
        <w:rPr>
          <w:rFonts w:ascii="Cambria" w:hAnsi="Cambria"/>
          <w:b/>
          <w:color w:val="1F3A5F"/>
          <w:sz w:val="26"/>
        </w:rPr>
        <w:t>1. Purpose of the Interaction</w:t>
      </w:r>
    </w:p>
    <w:p>
      <w:pPr>
        <w:jc w:val="both"/>
      </w:pPr>
      <w:r>
        <w:rPr>
          <w:rFonts w:ascii="Cambria" w:hAnsi="Cambria"/>
          <w:b w:val="0"/>
          <w:i/>
          <w:sz w:val="22"/>
        </w:rPr>
        <w:t>(Briefly describe the objective of the meeting — e.g., to identify academic, administrative, or personal issues faced by students and provide timely solutions in coordination with the Principal.)</w:t>
      </w:r>
    </w:p>
    <w:p>
      <w:pPr>
        <w:keepNext/>
        <w:spacing w:before="200" w:after="160"/>
      </w:pPr>
      <w:r>
        <w:rPr>
          <w:rFonts w:ascii="Cambria" w:hAnsi="Cambria"/>
          <w:b/>
          <w:color w:val="1F3A5F"/>
          <w:sz w:val="26"/>
        </w:rPr>
        <w:t>2. Summary of Discussion</w:t>
      </w:r>
    </w:p>
    <w:tbl>
      <w:tblPr>
        <w:tblW w:type="auto" w:w="0"/>
        <w:jc w:val="center"/>
        <w:tblLayout w:type="fixed"/>
        <w:tblLook w:firstColumn="1" w:firstRow="1" w:lastColumn="0" w:lastRow="0" w:noHBand="0" w:noVBand="1" w:val="04A0"/>
        <w:tblW w:w="9979" w:type="dxa"/>
        <w:tblLayout w:type="fixed"/>
      </w:tblPr>
      <w:tblGrid>
        <w:gridCol w:w="3137"/>
        <w:gridCol w:w="3137"/>
        <w:gridCol w:w="3137"/>
      </w:tblGrid>
      <w:tr>
        <w:tc>
          <w:tcPr>
            <w:tcW w:type="dxa" w:w="1701"/>
            <w:shd w:val="clear" w:color="auto" w:fill="1F3A5F"/>
            <w:tcW w:w="1701" w:type="dxa"/>
          </w:tcPr>
          <w:p>
            <w:pPr>
              <w:jc w:val="center"/>
            </w:pPr>
            <w:r/>
            <w:r>
              <w:rPr>
                <w:rFonts w:ascii="Cambria" w:hAnsi="Cambria"/>
                <w:b/>
                <w:color w:val="FFFFFF"/>
                <w:sz w:val="21"/>
              </w:rPr>
              <w:t>Category</w:t>
            </w:r>
          </w:p>
        </w:tc>
        <w:tc>
          <w:tcPr>
            <w:tcW w:type="dxa" w:w="5443"/>
            <w:shd w:val="clear" w:color="auto" w:fill="1F3A5F"/>
            <w:tcW w:w="5443" w:type="dxa"/>
          </w:tcPr>
          <w:p>
            <w:pPr>
              <w:jc w:val="center"/>
            </w:pPr>
            <w:r/>
            <w:r>
              <w:rPr>
                <w:rFonts w:ascii="Cambria" w:hAnsi="Cambria"/>
                <w:b/>
                <w:color w:val="FFFFFF"/>
                <w:sz w:val="21"/>
              </w:rPr>
              <w:t>Issues Reported by Students</w:t>
            </w:r>
          </w:p>
        </w:tc>
        <w:tc>
          <w:tcPr>
            <w:tcW w:type="dxa" w:w="2835"/>
            <w:shd w:val="clear" w:color="auto" w:fill="1F3A5F"/>
            <w:tcW w:w="2835" w:type="dxa"/>
          </w:tcPr>
          <w:p>
            <w:pPr>
              <w:jc w:val="center"/>
            </w:pPr>
            <w:r/>
            <w:r>
              <w:rPr>
                <w:rFonts w:ascii="Cambria" w:hAnsi="Cambria"/>
                <w:b/>
                <w:color w:val="FFFFFF"/>
                <w:sz w:val="21"/>
              </w:rPr>
              <w:t>Remarks/Observations by HoD &amp; Faculty</w:t>
            </w:r>
          </w:p>
        </w:tc>
      </w:tr>
      <w:tr>
        <w:tc>
          <w:tcPr>
            <w:tcW w:type="dxa" w:w="1701"/>
            <w:tcW w:w="1701" w:type="dxa"/>
          </w:tcPr>
          <w:p>
            <w:pPr>
              <w:jc w:val="center"/>
            </w:pPr>
            <w:r/>
            <w:r>
              <w:rPr>
                <w:rFonts w:ascii="Cambria" w:hAnsi="Cambria"/>
                <w:b w:val="0"/>
                <w:sz w:val="20"/>
              </w:rPr>
              <w:t>Academic</w:t>
            </w:r>
          </w:p>
        </w:tc>
        <w:tc>
          <w:tcPr>
            <w:tcW w:type="dxa" w:w="5443"/>
            <w:tcW w:w="5443" w:type="dxa"/>
          </w:tcPr>
          <w:p>
            <w:r/>
            <w:r>
              <w:rPr>
                <w:rFonts w:ascii="Cambria" w:hAnsi="Cambria"/>
                <w:b w:val="0"/>
                <w:sz w:val="20"/>
              </w:rPr>
              <w:t>e.g., Difficulty understanding certain subjects, shortage of lab hours, need for additional classes</w:t>
            </w:r>
          </w:p>
        </w:tc>
        <w:tc>
          <w:tcPr>
            <w:tcW w:type="dxa" w:w="2835"/>
            <w:tcW w:w="2835" w:type="dxa"/>
          </w:tcPr>
          <w:p>
            <w:r/>
            <w:r>
              <w:rPr>
                <w:rFonts w:ascii="Cambria" w:hAnsi="Cambria"/>
                <w:b w:val="0"/>
                <w:sz w:val="20"/>
              </w:rPr>
            </w:r>
          </w:p>
        </w:tc>
      </w:tr>
      <w:tr>
        <w:tc>
          <w:tcPr>
            <w:tcW w:type="dxa" w:w="1701"/>
            <w:tcW w:w="1701" w:type="dxa"/>
            <w:shd w:val="clear" w:color="auto" w:fill="EDF2F8"/>
          </w:tcPr>
          <w:p>
            <w:pPr>
              <w:jc w:val="center"/>
            </w:pPr>
            <w:r/>
            <w:r>
              <w:rPr>
                <w:rFonts w:ascii="Cambria" w:hAnsi="Cambria"/>
                <w:b w:val="0"/>
                <w:sz w:val="20"/>
              </w:rPr>
              <w:t>Infrastructure</w:t>
            </w:r>
          </w:p>
        </w:tc>
        <w:tc>
          <w:tcPr>
            <w:tcW w:type="dxa" w:w="5443"/>
            <w:tcW w:w="5443" w:type="dxa"/>
            <w:shd w:val="clear" w:color="auto" w:fill="EDF2F8"/>
          </w:tcPr>
          <w:p>
            <w:r/>
            <w:r>
              <w:rPr>
                <w:rFonts w:ascii="Cambria" w:hAnsi="Cambria"/>
                <w:b w:val="0"/>
                <w:sz w:val="20"/>
              </w:rPr>
              <w:t>e.g., Classroom ventilation, lab equipment, Wi-Fi, projector issues</w:t>
            </w:r>
          </w:p>
        </w:tc>
        <w:tc>
          <w:tcPr>
            <w:tcW w:type="dxa" w:w="2835"/>
            <w:tcW w:w="2835" w:type="dxa"/>
            <w:shd w:val="clear" w:color="auto" w:fill="EDF2F8"/>
          </w:tcPr>
          <w:p>
            <w:r/>
            <w:r>
              <w:rPr>
                <w:rFonts w:ascii="Cambria" w:hAnsi="Cambria"/>
                <w:b w:val="0"/>
                <w:sz w:val="20"/>
              </w:rPr>
            </w:r>
          </w:p>
        </w:tc>
      </w:tr>
      <w:tr>
        <w:tc>
          <w:tcPr>
            <w:tcW w:type="dxa" w:w="1701"/>
            <w:tcW w:w="1701" w:type="dxa"/>
          </w:tcPr>
          <w:p>
            <w:pPr>
              <w:jc w:val="center"/>
            </w:pPr>
            <w:r/>
            <w:r>
              <w:rPr>
                <w:rFonts w:ascii="Cambria" w:hAnsi="Cambria"/>
                <w:b w:val="0"/>
                <w:sz w:val="20"/>
              </w:rPr>
              <w:t>Administrative</w:t>
            </w:r>
          </w:p>
        </w:tc>
        <w:tc>
          <w:tcPr>
            <w:tcW w:type="dxa" w:w="5443"/>
            <w:tcW w:w="5443" w:type="dxa"/>
          </w:tcPr>
          <w:p>
            <w:r/>
            <w:r>
              <w:rPr>
                <w:rFonts w:ascii="Cambria" w:hAnsi="Cambria"/>
                <w:b w:val="0"/>
                <w:sz w:val="20"/>
              </w:rPr>
              <w:t>e.g., Timetable conflicts, attendance grievances, internal marks clarification</w:t>
            </w:r>
          </w:p>
        </w:tc>
        <w:tc>
          <w:tcPr>
            <w:tcW w:type="dxa" w:w="2835"/>
            <w:tcW w:w="2835" w:type="dxa"/>
          </w:tcPr>
          <w:p>
            <w:r/>
            <w:r>
              <w:rPr>
                <w:rFonts w:ascii="Cambria" w:hAnsi="Cambria"/>
                <w:b w:val="0"/>
                <w:sz w:val="20"/>
              </w:rPr>
            </w:r>
          </w:p>
        </w:tc>
      </w:tr>
      <w:tr>
        <w:tc>
          <w:tcPr>
            <w:tcW w:type="dxa" w:w="1701"/>
            <w:tcW w:w="1701" w:type="dxa"/>
            <w:shd w:val="clear" w:color="auto" w:fill="EDF2F8"/>
          </w:tcPr>
          <w:p>
            <w:pPr>
              <w:jc w:val="center"/>
            </w:pPr>
            <w:r/>
            <w:r>
              <w:rPr>
                <w:rFonts w:ascii="Cambria" w:hAnsi="Cambria"/>
                <w:b w:val="0"/>
                <w:sz w:val="20"/>
              </w:rPr>
              <w:t>Examination</w:t>
            </w:r>
          </w:p>
        </w:tc>
        <w:tc>
          <w:tcPr>
            <w:tcW w:type="dxa" w:w="5443"/>
            <w:tcW w:w="5443" w:type="dxa"/>
            <w:shd w:val="clear" w:color="auto" w:fill="EDF2F8"/>
          </w:tcPr>
          <w:p>
            <w:r/>
            <w:r>
              <w:rPr>
                <w:rFonts w:ascii="Cambria" w:hAnsi="Cambria"/>
                <w:b w:val="0"/>
                <w:sz w:val="20"/>
              </w:rPr>
              <w:t>e.g., Request for model question papers, clarity on evaluation pattern</w:t>
            </w:r>
          </w:p>
        </w:tc>
        <w:tc>
          <w:tcPr>
            <w:tcW w:type="dxa" w:w="2835"/>
            <w:tcW w:w="2835" w:type="dxa"/>
            <w:shd w:val="clear" w:color="auto" w:fill="EDF2F8"/>
          </w:tcPr>
          <w:p>
            <w:r/>
            <w:r>
              <w:rPr>
                <w:rFonts w:ascii="Cambria" w:hAnsi="Cambria"/>
                <w:b w:val="0"/>
                <w:sz w:val="20"/>
              </w:rPr>
            </w:r>
          </w:p>
        </w:tc>
      </w:tr>
      <w:tr>
        <w:tc>
          <w:tcPr>
            <w:tcW w:type="dxa" w:w="1701"/>
            <w:tcW w:w="1701" w:type="dxa"/>
          </w:tcPr>
          <w:p>
            <w:pPr>
              <w:jc w:val="center"/>
            </w:pPr>
            <w:r/>
            <w:r>
              <w:rPr>
                <w:rFonts w:ascii="Cambria" w:hAnsi="Cambria"/>
                <w:b w:val="0"/>
                <w:sz w:val="20"/>
              </w:rPr>
              <w:t>Co-curricular / Extracurricular</w:t>
            </w:r>
          </w:p>
        </w:tc>
        <w:tc>
          <w:tcPr>
            <w:tcW w:type="dxa" w:w="5443"/>
            <w:tcW w:w="5443" w:type="dxa"/>
          </w:tcPr>
          <w:p>
            <w:r/>
            <w:r>
              <w:rPr>
                <w:rFonts w:ascii="Cambria" w:hAnsi="Cambria"/>
                <w:b w:val="0"/>
                <w:sz w:val="20"/>
              </w:rPr>
              <w:t>e.g., Need for technical clubs, cultural or sports event participation</w:t>
            </w:r>
          </w:p>
        </w:tc>
        <w:tc>
          <w:tcPr>
            <w:tcW w:type="dxa" w:w="2835"/>
            <w:tcW w:w="2835" w:type="dxa"/>
          </w:tcPr>
          <w:p>
            <w:r/>
            <w:r>
              <w:rPr>
                <w:rFonts w:ascii="Cambria" w:hAnsi="Cambria"/>
                <w:b w:val="0"/>
                <w:sz w:val="20"/>
              </w:rPr>
            </w:r>
          </w:p>
        </w:tc>
      </w:tr>
      <w:tr>
        <w:tc>
          <w:tcPr>
            <w:tcW w:type="dxa" w:w="1701"/>
            <w:tcW w:w="1701" w:type="dxa"/>
            <w:shd w:val="clear" w:color="auto" w:fill="EDF2F8"/>
          </w:tcPr>
          <w:p>
            <w:pPr>
              <w:jc w:val="center"/>
            </w:pPr>
            <w:r/>
            <w:r>
              <w:rPr>
                <w:rFonts w:ascii="Cambria" w:hAnsi="Cambria"/>
                <w:b w:val="0"/>
                <w:sz w:val="20"/>
              </w:rPr>
              <w:t>Counseling / Personal</w:t>
            </w:r>
          </w:p>
        </w:tc>
        <w:tc>
          <w:tcPr>
            <w:tcW w:type="dxa" w:w="5443"/>
            <w:tcW w:w="5443" w:type="dxa"/>
            <w:shd w:val="clear" w:color="auto" w:fill="EDF2F8"/>
          </w:tcPr>
          <w:p>
            <w:r/>
            <w:r>
              <w:rPr>
                <w:rFonts w:ascii="Cambria" w:hAnsi="Cambria"/>
                <w:b w:val="0"/>
                <w:sz w:val="20"/>
              </w:rPr>
              <w:t>e.g., Stress, peer pressure, or family-related issues requiring guidance</w:t>
            </w:r>
          </w:p>
        </w:tc>
        <w:tc>
          <w:tcPr>
            <w:tcW w:type="dxa" w:w="2835"/>
            <w:tcW w:w="2835" w:type="dxa"/>
            <w:shd w:val="clear" w:color="auto" w:fill="EDF2F8"/>
          </w:tcPr>
          <w:p>
            <w:r/>
            <w:r>
              <w:rPr>
                <w:rFonts w:ascii="Cambria" w:hAnsi="Cambria"/>
                <w:b w:val="0"/>
                <w:sz w:val="20"/>
              </w:rPr>
            </w:r>
          </w:p>
        </w:tc>
      </w:tr>
      <w:tr>
        <w:tc>
          <w:tcPr>
            <w:tcW w:type="dxa" w:w="1701"/>
            <w:tcW w:w="1701" w:type="dxa"/>
          </w:tcPr>
          <w:p>
            <w:pPr>
              <w:jc w:val="center"/>
            </w:pPr>
            <w:r/>
            <w:r>
              <w:rPr>
                <w:rFonts w:ascii="Cambria" w:hAnsi="Cambria"/>
                <w:b w:val="0"/>
                <w:sz w:val="20"/>
              </w:rPr>
              <w:t>Any Other</w:t>
            </w:r>
          </w:p>
        </w:tc>
        <w:tc>
          <w:tcPr>
            <w:tcW w:type="dxa" w:w="5443"/>
            <w:tcW w:w="5443" w:type="dxa"/>
          </w:tcPr>
          <w:p>
            <w:r/>
            <w:r>
              <w:rPr>
                <w:rFonts w:ascii="Cambria" w:hAnsi="Cambria"/>
                <w:b w:val="0"/>
                <w:sz w:val="20"/>
              </w:rPr>
              <w:t>e.g., Suggestions for improvement or department-level initiatives</w:t>
            </w:r>
          </w:p>
        </w:tc>
        <w:tc>
          <w:tcPr>
            <w:tcW w:type="dxa" w:w="2835"/>
            <w:tcW w:w="2835" w:type="dxa"/>
          </w:tcPr>
          <w:p>
            <w:r/>
            <w:r>
              <w:rPr>
                <w:rFonts w:ascii="Cambria" w:hAnsi="Cambria"/>
                <w:b w:val="0"/>
                <w:sz w:val="20"/>
              </w:rPr>
            </w:r>
          </w:p>
        </w:tc>
      </w:tr>
    </w:tbl>
    <w:p>
      <w:pPr>
        <w:keepNext/>
        <w:spacing w:before="200" w:after="160"/>
      </w:pPr>
      <w:r>
        <w:rPr>
          <w:rFonts w:ascii="Cambria" w:hAnsi="Cambria"/>
          <w:b/>
          <w:color w:val="1F3A5F"/>
          <w:sz w:val="26"/>
        </w:rPr>
        <w:t>3. Immediate Actions Taken at Department Level</w:t>
      </w:r>
    </w:p>
    <w:p>
      <w:pPr>
        <w:jc w:val="both"/>
      </w:pPr>
      <w:r>
        <w:rPr>
          <w:rFonts w:ascii="Cambria" w:hAnsi="Cambria"/>
          <w:b w:val="0"/>
          <w:i w:val="0"/>
          <w:sz w:val="22"/>
        </w:rPr>
        <w:t>Issue | Action Taken / Decision by HoD | Date of Implementation / Status</w:t>
      </w:r>
    </w:p>
    <w:p>
      <w:pPr>
        <w:keepNext/>
        <w:spacing w:before="200" w:after="160"/>
      </w:pPr>
      <w:r>
        <w:rPr>
          <w:rFonts w:ascii="Cambria" w:hAnsi="Cambria"/>
          <w:b/>
          <w:color w:val="1F3A5F"/>
          <w:sz w:val="26"/>
        </w:rPr>
        <w:t>4. Issues Escalated to the Principal / Higher Authorities</w:t>
      </w:r>
    </w:p>
    <w:p>
      <w:pPr>
        <w:jc w:val="both"/>
      </w:pPr>
      <w:r>
        <w:rPr>
          <w:rFonts w:ascii="Cambria" w:hAnsi="Cambria"/>
          <w:b w:val="0"/>
          <w:i w:val="0"/>
          <w:sz w:val="22"/>
        </w:rPr>
        <w:t>Issue | Reason for Escalation | Date of Forwarding | Remarks / Current Status</w:t>
      </w:r>
    </w:p>
    <w:p>
      <w:pPr>
        <w:keepNext/>
        <w:spacing w:before="200" w:after="160"/>
      </w:pPr>
      <w:r>
        <w:rPr>
          <w:rFonts w:ascii="Cambria" w:hAnsi="Cambria"/>
          <w:b/>
          <w:color w:val="1F3A5F"/>
          <w:sz w:val="26"/>
        </w:rPr>
        <w:t>5. Student Feedback / Suggestions</w:t>
      </w:r>
    </w:p>
    <w:p>
      <w:pPr>
        <w:jc w:val="both"/>
      </w:pPr>
      <w:r>
        <w:rPr>
          <w:rFonts w:ascii="Cambria" w:hAnsi="Cambria"/>
          <w:b w:val="0"/>
          <w:i/>
          <w:sz w:val="22"/>
        </w:rPr>
        <w:t>(Summarize positive feedback, new ideas, or constructive suggestions received from students during the session.)</w:t>
      </w:r>
    </w:p>
    <w:p>
      <w:pPr>
        <w:keepNext/>
        <w:spacing w:before="200" w:after="160"/>
      </w:pPr>
      <w:r>
        <w:rPr>
          <w:rFonts w:ascii="Cambria" w:hAnsi="Cambria"/>
          <w:b/>
          <w:color w:val="1F3A5F"/>
          <w:sz w:val="26"/>
        </w:rPr>
        <w:t>6. Action Taken Report (ATR) from Previous Interaction</w:t>
      </w:r>
    </w:p>
    <w:p>
      <w:pPr>
        <w:jc w:val="both"/>
      </w:pPr>
      <w:r>
        <w:rPr>
          <w:rFonts w:ascii="Cambria" w:hAnsi="Cambria"/>
          <w:b w:val="0"/>
          <w:i w:val="0"/>
          <w:sz w:val="22"/>
        </w:rPr>
        <w:t>Issue from Last Meeting | Action Taken / Outcome | Pending Issues (if any)</w:t>
      </w:r>
    </w:p>
    <w:p>
      <w:pPr>
        <w:keepNext/>
        <w:spacing w:before="200" w:after="160"/>
      </w:pPr>
      <w:r>
        <w:rPr>
          <w:rFonts w:ascii="Cambria" w:hAnsi="Cambria"/>
          <w:b/>
          <w:color w:val="1F3A5F"/>
          <w:sz w:val="26"/>
        </w:rPr>
        <w:t>7. Summary and Conclusion</w:t>
      </w:r>
    </w:p>
    <w:p>
      <w:pPr>
        <w:jc w:val="both"/>
      </w:pPr>
      <w:r>
        <w:rPr>
          <w:rFonts w:ascii="Cambria" w:hAnsi="Cambria"/>
          <w:b w:val="0"/>
          <w:i/>
          <w:sz w:val="22"/>
        </w:rPr>
        <w:t>(Briefly summarize the meeting outcomes, key observations, and follow-up plans.)</w:t>
      </w:r>
    </w:p>
    <w:p>
      <w:pPr>
        <w:keepNext/>
        <w:spacing w:before="200" w:after="160"/>
      </w:pPr>
      <w:r>
        <w:rPr>
          <w:rFonts w:ascii="Cambria" w:hAnsi="Cambria"/>
          <w:b/>
          <w:color w:val="1F3A5F"/>
          <w:sz w:val="26"/>
        </w:rPr>
        <w:t>8. Signatures</w:t>
      </w:r>
    </w:p>
    <w:tbl>
      <w:tblPr>
        <w:tblW w:type="auto" w:w="0"/>
        <w:jc w:val="center"/>
        <w:tblLayout w:type="fixed"/>
        <w:tblLook w:firstColumn="1" w:firstRow="1" w:lastColumn="0" w:lastRow="0" w:noHBand="0" w:noVBand="1" w:val="04A0"/>
        <w:tblW w:w="9412" w:type="dxa"/>
        <w:tblLayout w:type="fixed"/>
      </w:tblPr>
      <w:tblGrid>
        <w:gridCol w:w="3137"/>
        <w:gridCol w:w="3137"/>
        <w:gridCol w:w="3137"/>
      </w:tblGrid>
      <w:tr>
        <w:tc>
          <w:tcPr>
            <w:tcW w:type="dxa" w:w="3969"/>
            <w:shd w:val="clear" w:color="auto" w:fill="1F3A5F"/>
            <w:tcW w:w="3969" w:type="dxa"/>
          </w:tcPr>
          <w:p>
            <w:pPr>
              <w:jc w:val="center"/>
            </w:pPr>
            <w:r/>
            <w:r>
              <w:rPr>
                <w:rFonts w:ascii="Cambria" w:hAnsi="Cambria"/>
                <w:b/>
                <w:color w:val="FFFFFF"/>
                <w:sz w:val="21"/>
              </w:rPr>
              <w:t>Name</w:t>
            </w:r>
          </w:p>
        </w:tc>
        <w:tc>
          <w:tcPr>
            <w:tcW w:type="dxa" w:w="2721"/>
            <w:shd w:val="clear" w:color="auto" w:fill="1F3A5F"/>
            <w:tcW w:w="2721" w:type="dxa"/>
          </w:tcPr>
          <w:p>
            <w:pPr>
              <w:jc w:val="center"/>
            </w:pPr>
            <w:r/>
            <w:r>
              <w:rPr>
                <w:rFonts w:ascii="Cambria" w:hAnsi="Cambria"/>
                <w:b/>
                <w:color w:val="FFFFFF"/>
                <w:sz w:val="21"/>
              </w:rPr>
              <w:t>Designation</w:t>
            </w:r>
          </w:p>
        </w:tc>
        <w:tc>
          <w:tcPr>
            <w:tcW w:type="dxa" w:w="2721"/>
            <w:shd w:val="clear" w:color="auto" w:fill="1F3A5F"/>
            <w:tcW w:w="2721" w:type="dxa"/>
          </w:tcPr>
          <w:p>
            <w:pPr>
              <w:jc w:val="center"/>
            </w:pPr>
            <w:r/>
            <w:r>
              <w:rPr>
                <w:rFonts w:ascii="Cambria" w:hAnsi="Cambria"/>
                <w:b/>
                <w:color w:val="FFFFFF"/>
                <w:sz w:val="21"/>
              </w:rPr>
              <w:t>Signature</w:t>
            </w:r>
          </w:p>
        </w:tc>
      </w:tr>
      <w:tr>
        <w:tc>
          <w:tcPr>
            <w:tcW w:type="dxa" w:w="3969"/>
            <w:tcW w:w="3969" w:type="dxa"/>
          </w:tcPr>
          <w:p>
            <w:pPr>
              <w:jc w:val="center"/>
            </w:pPr>
            <w:r/>
            <w:r>
              <w:rPr>
                <w:rFonts w:ascii="Cambria" w:hAnsi="Cambria"/>
                <w:b w:val="0"/>
                <w:sz w:val="20"/>
              </w:rPr>
              <w:t>HoD</w:t>
            </w:r>
          </w:p>
        </w:tc>
        <w:tc>
          <w:tcPr>
            <w:tcW w:type="dxa" w:w="2721"/>
            <w:tcW w:w="2721" w:type="dxa"/>
          </w:tcPr>
          <w:p>
            <w:r/>
            <w:r>
              <w:rPr>
                <w:rFonts w:ascii="Cambria" w:hAnsi="Cambria"/>
                <w:b w:val="0"/>
                <w:sz w:val="20"/>
              </w:rPr>
            </w:r>
          </w:p>
        </w:tc>
        <w:tc>
          <w:tcPr>
            <w:tcW w:type="dxa" w:w="2721"/>
            <w:tcW w:w="2721" w:type="dxa"/>
          </w:tcPr>
          <w:p>
            <w:r/>
            <w:r>
              <w:rPr>
                <w:rFonts w:ascii="Cambria" w:hAnsi="Cambria"/>
                <w:b w:val="0"/>
                <w:sz w:val="20"/>
              </w:rPr>
            </w:r>
          </w:p>
        </w:tc>
      </w:tr>
      <w:tr>
        <w:tc>
          <w:tcPr>
            <w:tcW w:type="dxa" w:w="3969"/>
            <w:tcW w:w="3969" w:type="dxa"/>
            <w:shd w:val="clear" w:color="auto" w:fill="EDF2F8"/>
          </w:tcPr>
          <w:p>
            <w:pPr>
              <w:jc w:val="center"/>
            </w:pPr>
            <w:r/>
            <w:r>
              <w:rPr>
                <w:rFonts w:ascii="Cambria" w:hAnsi="Cambria"/>
                <w:b w:val="0"/>
                <w:sz w:val="20"/>
              </w:rPr>
              <w:t>Class Advisor(s)</w:t>
            </w:r>
          </w:p>
        </w:tc>
        <w:tc>
          <w:tcPr>
            <w:tcW w:type="dxa" w:w="2721"/>
            <w:tcW w:w="2721" w:type="dxa"/>
            <w:shd w:val="clear" w:color="auto" w:fill="EDF2F8"/>
          </w:tcPr>
          <w:p>
            <w:r/>
            <w:r>
              <w:rPr>
                <w:rFonts w:ascii="Cambria" w:hAnsi="Cambria"/>
                <w:b w:val="0"/>
                <w:sz w:val="20"/>
              </w:rPr>
            </w:r>
          </w:p>
        </w:tc>
        <w:tc>
          <w:tcPr>
            <w:tcW w:type="dxa" w:w="2721"/>
            <w:tcW w:w="2721" w:type="dxa"/>
            <w:shd w:val="clear" w:color="auto" w:fill="EDF2F8"/>
          </w:tcPr>
          <w:p>
            <w:r/>
            <w:r>
              <w:rPr>
                <w:rFonts w:ascii="Cambria" w:hAnsi="Cambria"/>
                <w:b w:val="0"/>
                <w:sz w:val="20"/>
              </w:rPr>
            </w:r>
          </w:p>
        </w:tc>
      </w:tr>
      <w:tr>
        <w:tc>
          <w:tcPr>
            <w:tcW w:type="dxa" w:w="3969"/>
            <w:tcW w:w="3969" w:type="dxa"/>
          </w:tcPr>
          <w:p>
            <w:pPr>
              <w:jc w:val="center"/>
            </w:pPr>
            <w:r/>
            <w:r>
              <w:rPr>
                <w:rFonts w:ascii="Cambria" w:hAnsi="Cambria"/>
                <w:b w:val="0"/>
                <w:sz w:val="20"/>
              </w:rPr>
              <w:t>Student Representative(s)</w:t>
            </w:r>
          </w:p>
        </w:tc>
        <w:tc>
          <w:tcPr>
            <w:tcW w:type="dxa" w:w="2721"/>
            <w:tcW w:w="2721" w:type="dxa"/>
          </w:tcPr>
          <w:p>
            <w:r/>
            <w:r>
              <w:rPr>
                <w:rFonts w:ascii="Cambria" w:hAnsi="Cambria"/>
                <w:b w:val="0"/>
                <w:sz w:val="20"/>
              </w:rPr>
            </w:r>
          </w:p>
        </w:tc>
        <w:tc>
          <w:tcPr>
            <w:tcW w:type="dxa" w:w="2721"/>
            <w:tcW w:w="2721" w:type="dxa"/>
          </w:tcPr>
          <w:p>
            <w:r/>
            <w:r>
              <w:rPr>
                <w:rFonts w:ascii="Cambria" w:hAnsi="Cambria"/>
                <w:b w:val="0"/>
                <w:sz w:val="20"/>
              </w:rPr>
            </w:r>
          </w:p>
        </w:tc>
      </w:tr>
    </w:tbl>
    <w:p>
      <w:pPr>
        <w:keepNext/>
        <w:spacing w:before="200" w:after="160"/>
      </w:pPr>
      <w:r>
        <w:rPr>
          <w:rFonts w:ascii="Cambria" w:hAnsi="Cambria"/>
          <w:b/>
          <w:color w:val="1F3A5F"/>
          <w:sz w:val="26"/>
        </w:rPr>
        <w:t>9. Next Review Schedule</w:t>
      </w:r>
    </w:p>
    <w:p>
      <w:pPr>
        <w:jc w:val="both"/>
      </w:pPr>
      <w:r>
        <w:rPr>
          <w:rFonts w:ascii="Cambria" w:hAnsi="Cambria"/>
          <w:b/>
          <w:i w:val="0"/>
          <w:sz w:val="22"/>
        </w:rPr>
        <w:t xml:space="preserve">Next Interaction Date: </w:t>
      </w:r>
      <w:r>
        <w:rPr>
          <w:rFonts w:ascii="Cambria" w:hAnsi="Cambria"/>
          <w:b w:val="0"/>
          <w:i w:val="0"/>
          <w:sz w:val="22"/>
        </w:rPr>
        <w:t>________________________</w:t>
      </w:r>
    </w:p>
    <w:p>
      <w:pPr>
        <w:jc w:val="both"/>
      </w:pPr>
      <w:r>
        <w:rPr>
          <w:rFonts w:ascii="Cambria" w:hAnsi="Cambria"/>
          <w:b/>
          <w:i w:val="0"/>
          <w:sz w:val="22"/>
        </w:rPr>
        <w:t xml:space="preserve">Planned Agenda: </w:t>
      </w:r>
      <w:r>
        <w:rPr>
          <w:rFonts w:ascii="Cambria" w:hAnsi="Cambria"/>
          <w:b w:val="0"/>
          <w:i w:val="0"/>
          <w:sz w:val="22"/>
        </w:rPr>
        <w:t>____________________________</w:t>
      </w:r>
    </w:p>
    <w:p>
      <w:pPr>
        <w:jc w:val="both"/>
      </w:pPr>
      <w:r>
        <w:rPr>
          <w:rFonts w:ascii="Cambria" w:hAnsi="Cambria"/>
          <w:b/>
          <w:i w:val="0"/>
          <w:sz w:val="22"/>
        </w:rPr>
        <w:t>Usage Instructions:</w:t>
      </w:r>
    </w:p>
    <w:p>
      <w:pPr>
        <w:pStyle w:val="ListBullet"/>
        <w:spacing w:after="80"/>
      </w:pPr>
      <w:r>
        <w:rPr>
          <w:rFonts w:ascii="Cambria" w:hAnsi="Cambria"/>
          <w:sz w:val="22"/>
        </w:rPr>
        <w:t>This template should be filled once every 15 days per section by the HoD.</w:t>
      </w:r>
    </w:p>
    <w:p>
      <w:pPr>
        <w:pStyle w:val="ListBullet"/>
        <w:spacing w:after="80"/>
      </w:pPr>
      <w:r>
        <w:rPr>
          <w:rFonts w:ascii="Cambria" w:hAnsi="Cambria"/>
          <w:sz w:val="22"/>
        </w:rPr>
        <w:t>A copy of the completed report should be submitted to the Principal's Office and another retained in the Departmental Interaction Register.</w:t>
      </w:r>
    </w:p>
    <w:p>
      <w:pPr>
        <w:pStyle w:val="ListBullet"/>
        <w:spacing w:after="80"/>
      </w:pPr>
      <w:r>
        <w:rPr>
          <w:rFonts w:ascii="Cambria" w:hAnsi="Cambria"/>
          <w:sz w:val="22"/>
        </w:rPr>
        <w:t>Attach supporting documents (attendance list, photos, notices, if any).</w:t>
      </w:r>
    </w:p>
    <w:p>
      <w:r>
        <w:br w:type="page"/>
      </w:r>
    </w:p>
    <w:p>
      <w:pPr>
        <w:keepNext/>
        <w:spacing w:before="280" w:after="160"/>
      </w:pPr>
      <w:r>
        <w:rPr>
          <w:rFonts w:ascii="Cambria" w:hAnsi="Cambria"/>
          <w:b/>
          <w:color w:val="1F3A5F"/>
          <w:sz w:val="36"/>
        </w:rPr>
        <w:t>6. Responsibilities of Head of Department (HoD) Related to Suggestion–Complaints Book</w:t>
      </w:r>
    </w:p>
    <w:p>
      <w:pPr>
        <w:keepNext/>
        <w:spacing w:before="200" w:after="160"/>
      </w:pPr>
      <w:r>
        <w:rPr>
          <w:rFonts w:ascii="Cambria" w:hAnsi="Cambria"/>
          <w:b/>
          <w:color w:val="1F3A5F"/>
          <w:sz w:val="26"/>
        </w:rPr>
        <w:t>1. Regular Review of the Suggestion–Complaints Register</w:t>
      </w:r>
    </w:p>
    <w:p>
      <w:pPr>
        <w:pStyle w:val="ListBullet"/>
        <w:spacing w:after="80"/>
      </w:pPr>
      <w:r>
        <w:rPr>
          <w:rFonts w:ascii="Cambria" w:hAnsi="Cambria"/>
          <w:sz w:val="22"/>
        </w:rPr>
        <w:t>The HoD must periodically review the Suggestion–Complaints Book maintained in the department to monitor feedback, grievances, and improvement suggestions from students and staff.</w:t>
      </w:r>
    </w:p>
    <w:p>
      <w:pPr>
        <w:pStyle w:val="ListBullet"/>
        <w:spacing w:after="80"/>
      </w:pPr>
      <w:r>
        <w:rPr>
          <w:rFonts w:ascii="Cambria" w:hAnsi="Cambria"/>
          <w:sz w:val="22"/>
        </w:rPr>
        <w:t>Ensure that the register is read at least once every month without fail, promoting a culture of openness and responsiveness.</w:t>
      </w:r>
    </w:p>
    <w:p>
      <w:pPr>
        <w:pStyle w:val="ListBullet"/>
        <w:spacing w:after="80"/>
      </w:pPr>
      <w:r>
        <w:rPr>
          <w:rFonts w:ascii="Cambria" w:hAnsi="Cambria"/>
          <w:sz w:val="22"/>
        </w:rPr>
        <w:t>Verify that all entries are dated, signed, and clearly described by the individuals submitting the suggestion or complaint.</w:t>
      </w:r>
    </w:p>
    <w:p>
      <w:pPr>
        <w:keepNext/>
        <w:spacing w:before="200" w:after="160"/>
      </w:pPr>
      <w:r>
        <w:rPr>
          <w:rFonts w:ascii="Cambria" w:hAnsi="Cambria"/>
          <w:b/>
          <w:color w:val="1F3A5F"/>
          <w:sz w:val="26"/>
        </w:rPr>
        <w:t>2. Prompt Action and Issue Resolution</w:t>
      </w:r>
    </w:p>
    <w:p>
      <w:pPr>
        <w:pStyle w:val="ListBullet"/>
        <w:spacing w:after="80"/>
      </w:pPr>
      <w:r>
        <w:rPr>
          <w:rFonts w:ascii="Cambria" w:hAnsi="Cambria"/>
          <w:sz w:val="22"/>
        </w:rPr>
        <w:t>Examine each entry carefully to assess the nature and seriousness of the issue raised—academic, administrative, infrastructural, or behavioral.</w:t>
      </w:r>
    </w:p>
    <w:p>
      <w:pPr>
        <w:pStyle w:val="ListBullet"/>
        <w:spacing w:after="80"/>
      </w:pPr>
      <w:r>
        <w:rPr>
          <w:rFonts w:ascii="Cambria" w:hAnsi="Cambria"/>
          <w:sz w:val="22"/>
        </w:rPr>
        <w:t>Take appropriate corrective action at the departmental level for matters within the HoD's authority (e.g., timetable changes, classroom concerns, faculty coordination).</w:t>
      </w:r>
    </w:p>
    <w:p>
      <w:pPr>
        <w:pStyle w:val="ListBullet"/>
        <w:spacing w:after="80"/>
      </w:pPr>
      <w:r>
        <w:rPr>
          <w:rFonts w:ascii="Cambria" w:hAnsi="Cambria"/>
          <w:sz w:val="22"/>
        </w:rPr>
        <w:t>For issues beyond departmental scope, escalate promptly to the Principal or relevant institutional committees for necessary intervention.</w:t>
      </w:r>
    </w:p>
    <w:p>
      <w:pPr>
        <w:pStyle w:val="ListBullet"/>
        <w:spacing w:after="80"/>
      </w:pPr>
      <w:r>
        <w:rPr>
          <w:rFonts w:ascii="Cambria" w:hAnsi="Cambria"/>
          <w:sz w:val="22"/>
        </w:rPr>
        <w:t>Ensure no entry remains unattended for more than one month from the date of submission.</w:t>
      </w:r>
    </w:p>
    <w:p>
      <w:pPr>
        <w:keepNext/>
        <w:spacing w:before="200" w:after="160"/>
      </w:pPr>
      <w:r>
        <w:rPr>
          <w:rFonts w:ascii="Cambria" w:hAnsi="Cambria"/>
          <w:b/>
          <w:color w:val="1F3A5F"/>
          <w:sz w:val="26"/>
        </w:rPr>
        <w:t>3. Documentation of Action Taken</w:t>
      </w:r>
    </w:p>
    <w:p>
      <w:pPr>
        <w:pStyle w:val="ListBullet"/>
        <w:spacing w:after="80"/>
      </w:pPr>
      <w:r>
        <w:rPr>
          <w:rFonts w:ascii="Cambria" w:hAnsi="Cambria"/>
          <w:sz w:val="22"/>
        </w:rPr>
        <w:t>Record the action taken, resolution status, and remarks directly in the Suggestion–Complaints Book next to the respective entry.</w:t>
      </w:r>
    </w:p>
    <w:p>
      <w:pPr>
        <w:pStyle w:val="ListBullet"/>
        <w:spacing w:after="80"/>
      </w:pPr>
      <w:r>
        <w:rPr>
          <w:rFonts w:ascii="Cambria" w:hAnsi="Cambria"/>
          <w:sz w:val="22"/>
        </w:rPr>
        <w:t>Include:</w:t>
      </w:r>
    </w:p>
    <w:p>
      <w:pPr>
        <w:pStyle w:val="ListBullet2"/>
        <w:spacing w:after="80"/>
      </w:pPr>
      <w:r>
        <w:rPr>
          <w:rFonts w:ascii="Cambria" w:hAnsi="Cambria"/>
          <w:sz w:val="22"/>
        </w:rPr>
        <w:t>Date of review.</w:t>
      </w:r>
    </w:p>
    <w:p>
      <w:pPr>
        <w:pStyle w:val="ListBullet2"/>
        <w:spacing w:after="80"/>
      </w:pPr>
      <w:r>
        <w:rPr>
          <w:rFonts w:ascii="Cambria" w:hAnsi="Cambria"/>
          <w:sz w:val="22"/>
        </w:rPr>
        <w:t>Nature of issue.</w:t>
      </w:r>
    </w:p>
    <w:p>
      <w:pPr>
        <w:pStyle w:val="ListBullet2"/>
        <w:spacing w:after="80"/>
      </w:pPr>
      <w:r>
        <w:rPr>
          <w:rFonts w:ascii="Cambria" w:hAnsi="Cambria"/>
          <w:sz w:val="22"/>
        </w:rPr>
        <w:t>Corrective measures implemented.</w:t>
      </w:r>
    </w:p>
    <w:p>
      <w:pPr>
        <w:pStyle w:val="ListBullet2"/>
        <w:spacing w:after="80"/>
      </w:pPr>
      <w:r>
        <w:rPr>
          <w:rFonts w:ascii="Cambria" w:hAnsi="Cambria"/>
          <w:sz w:val="22"/>
        </w:rPr>
        <w:t>Name and signature of the HoD.</w:t>
      </w:r>
    </w:p>
    <w:p>
      <w:pPr>
        <w:pStyle w:val="ListBullet"/>
        <w:spacing w:after="80"/>
      </w:pPr>
      <w:r>
        <w:rPr>
          <w:rFonts w:ascii="Cambria" w:hAnsi="Cambria"/>
          <w:sz w:val="22"/>
        </w:rPr>
        <w:t>Maintain transparency and accountability by ensuring every entry reflects a clear and traceable outcome.</w:t>
      </w:r>
    </w:p>
    <w:p>
      <w:pPr>
        <w:keepNext/>
        <w:spacing w:before="200" w:after="160"/>
      </w:pPr>
      <w:r>
        <w:rPr>
          <w:rFonts w:ascii="Cambria" w:hAnsi="Cambria"/>
          <w:b/>
          <w:color w:val="1F3A5F"/>
          <w:sz w:val="26"/>
        </w:rPr>
        <w:t>4. Communication and Follow-Up</w:t>
      </w:r>
    </w:p>
    <w:p>
      <w:pPr>
        <w:pStyle w:val="ListBullet"/>
        <w:spacing w:after="80"/>
      </w:pPr>
      <w:r>
        <w:rPr>
          <w:rFonts w:ascii="Cambria" w:hAnsi="Cambria"/>
          <w:sz w:val="22"/>
        </w:rPr>
        <w:t>Communicate the action taken or resolution to the concerned student, staff, or group that raised the issue.</w:t>
      </w:r>
    </w:p>
    <w:p>
      <w:pPr>
        <w:pStyle w:val="ListBullet"/>
        <w:spacing w:after="80"/>
      </w:pPr>
      <w:r>
        <w:rPr>
          <w:rFonts w:ascii="Cambria" w:hAnsi="Cambria"/>
          <w:sz w:val="22"/>
        </w:rPr>
        <w:t>If the issue requires extended time or coordination, provide an interim response explaining the progress and expected timeline.</w:t>
      </w:r>
    </w:p>
    <w:p>
      <w:pPr>
        <w:pStyle w:val="ListBullet"/>
        <w:spacing w:after="80"/>
      </w:pPr>
      <w:r>
        <w:rPr>
          <w:rFonts w:ascii="Cambria" w:hAnsi="Cambria"/>
          <w:sz w:val="22"/>
        </w:rPr>
        <w:t>Conduct follow-up checks to confirm that the implemented solution has effectively resolved the problem.</w:t>
      </w:r>
    </w:p>
    <w:p>
      <w:pPr>
        <w:keepNext/>
        <w:spacing w:before="200" w:after="160"/>
      </w:pPr>
      <w:r>
        <w:rPr>
          <w:rFonts w:ascii="Cambria" w:hAnsi="Cambria"/>
          <w:b/>
          <w:color w:val="1F3A5F"/>
          <w:sz w:val="26"/>
        </w:rPr>
        <w:t>5. Coordination with the Principal and Committees</w:t>
      </w:r>
    </w:p>
    <w:p>
      <w:pPr>
        <w:pStyle w:val="ListBullet"/>
        <w:spacing w:after="80"/>
      </w:pPr>
      <w:r>
        <w:rPr>
          <w:rFonts w:ascii="Cambria" w:hAnsi="Cambria"/>
          <w:sz w:val="22"/>
        </w:rPr>
        <w:t>Discuss significant suggestions or recurring complaints during departmental or administrative meetings with the Principal.</w:t>
      </w:r>
    </w:p>
    <w:p>
      <w:pPr>
        <w:pStyle w:val="ListBullet"/>
        <w:spacing w:after="80"/>
      </w:pPr>
      <w:r>
        <w:rPr>
          <w:rFonts w:ascii="Cambria" w:hAnsi="Cambria"/>
          <w:sz w:val="22"/>
        </w:rPr>
        <w:t>Prepare a monthly summary report of entries received, actions taken, and pending issues for submission to the Principal.</w:t>
      </w:r>
    </w:p>
    <w:p>
      <w:pPr>
        <w:pStyle w:val="ListBullet"/>
        <w:spacing w:after="80"/>
      </w:pPr>
      <w:r>
        <w:rPr>
          <w:rFonts w:ascii="Cambria" w:hAnsi="Cambria"/>
          <w:sz w:val="22"/>
        </w:rPr>
        <w:t>Collaborate with relevant committees such as the Grievance Redressal Committee, Discipline Committee, or IQAC when required.</w:t>
      </w:r>
    </w:p>
    <w:p>
      <w:pPr>
        <w:keepNext/>
        <w:spacing w:before="200" w:after="160"/>
      </w:pPr>
      <w:r>
        <w:rPr>
          <w:rFonts w:ascii="Cambria" w:hAnsi="Cambria"/>
          <w:b/>
          <w:color w:val="1F3A5F"/>
          <w:sz w:val="26"/>
        </w:rPr>
        <w:t>6. Maintenance and Confidentiality of Records</w:t>
      </w:r>
    </w:p>
    <w:p>
      <w:pPr>
        <w:pStyle w:val="ListBullet"/>
        <w:spacing w:after="80"/>
      </w:pPr>
      <w:r>
        <w:rPr>
          <w:rFonts w:ascii="Cambria" w:hAnsi="Cambria"/>
          <w:sz w:val="22"/>
        </w:rPr>
        <w:t>Ensure the Suggestion–Complaints Book is kept in a secure and accessible location within the department for students and staff to use freely.</w:t>
      </w:r>
    </w:p>
    <w:p>
      <w:pPr>
        <w:pStyle w:val="ListBullet"/>
        <w:spacing w:after="80"/>
      </w:pPr>
      <w:r>
        <w:rPr>
          <w:rFonts w:ascii="Cambria" w:hAnsi="Cambria"/>
          <w:sz w:val="22"/>
        </w:rPr>
        <w:t>Preserve the register as an official record for a minimum of three academic years or as per institutional record-keeping policy.</w:t>
      </w:r>
    </w:p>
    <w:p>
      <w:pPr>
        <w:pStyle w:val="ListBullet"/>
        <w:spacing w:after="80"/>
      </w:pPr>
      <w:r>
        <w:rPr>
          <w:rFonts w:ascii="Cambria" w:hAnsi="Cambria"/>
          <w:sz w:val="22"/>
        </w:rPr>
        <w:t>Handle all entries with confidentiality, fairness, and impartiality, ensuring protection against retaliation for those submitting complaints.</w:t>
      </w:r>
    </w:p>
    <w:p>
      <w:pPr>
        <w:keepNext/>
        <w:spacing w:before="200" w:after="160"/>
      </w:pPr>
      <w:r>
        <w:rPr>
          <w:rFonts w:ascii="Cambria" w:hAnsi="Cambria"/>
          <w:b/>
          <w:color w:val="1F3A5F"/>
          <w:sz w:val="26"/>
        </w:rPr>
        <w:t>7. Periodic Review and Improvement</w:t>
      </w:r>
    </w:p>
    <w:p>
      <w:pPr>
        <w:pStyle w:val="ListBullet"/>
        <w:spacing w:after="80"/>
      </w:pPr>
      <w:r>
        <w:rPr>
          <w:rFonts w:ascii="Cambria" w:hAnsi="Cambria"/>
          <w:sz w:val="22"/>
        </w:rPr>
        <w:t>Analyze the nature and frequency of complaints or suggestions to identify recurring issues and systemic gaps.</w:t>
      </w:r>
    </w:p>
    <w:p>
      <w:pPr>
        <w:pStyle w:val="ListBullet"/>
        <w:spacing w:after="80"/>
      </w:pPr>
      <w:r>
        <w:rPr>
          <w:rFonts w:ascii="Cambria" w:hAnsi="Cambria"/>
          <w:sz w:val="22"/>
        </w:rPr>
        <w:t>Use these insights to implement preventive measures and continuous departmental improvement.</w:t>
      </w:r>
    </w:p>
    <w:p>
      <w:pPr>
        <w:pStyle w:val="ListBullet"/>
        <w:spacing w:after="80"/>
      </w:pPr>
      <w:r>
        <w:rPr>
          <w:rFonts w:ascii="Cambria" w:hAnsi="Cambria"/>
          <w:sz w:val="22"/>
        </w:rPr>
        <w:t>Discuss key findings in departmental review meetings to promote proactive problem-solving.</w:t>
      </w:r>
    </w:p>
    <w:p>
      <w:r>
        <w:br w:type="page"/>
      </w:r>
    </w:p>
    <w:p>
      <w:pPr>
        <w:keepNext/>
        <w:spacing w:before="280" w:after="160"/>
      </w:pPr>
      <w:r>
        <w:rPr>
          <w:rFonts w:ascii="Cambria" w:hAnsi="Cambria"/>
          <w:b/>
          <w:color w:val="1F3A5F"/>
          <w:sz w:val="36"/>
        </w:rPr>
        <w:t>7. Responsibilities of Head of Department (HoD) Related to Suggestion–Complaints Book: Escalation and Resolution Process</w:t>
      </w:r>
    </w:p>
    <w:p>
      <w:pPr>
        <w:keepNext/>
        <w:spacing w:before="200" w:after="160"/>
      </w:pPr>
      <w:r>
        <w:rPr>
          <w:rFonts w:ascii="Cambria" w:hAnsi="Cambria"/>
          <w:b/>
          <w:color w:val="1F3A5F"/>
          <w:sz w:val="26"/>
        </w:rPr>
        <w:t>1. Review and Preliminary Assessment</w:t>
      </w:r>
    </w:p>
    <w:p>
      <w:pPr>
        <w:pStyle w:val="ListBullet"/>
        <w:spacing w:after="80"/>
      </w:pPr>
      <w:r>
        <w:rPr>
          <w:rFonts w:ascii="Cambria" w:hAnsi="Cambria"/>
          <w:sz w:val="22"/>
        </w:rPr>
        <w:t>Regularly review the Suggestion–Complaints Book entries to understand the nature, seriousness, and validity of the concerns raised.</w:t>
      </w:r>
    </w:p>
    <w:p>
      <w:pPr>
        <w:pStyle w:val="ListBullet"/>
        <w:spacing w:after="80"/>
      </w:pPr>
      <w:r>
        <w:rPr>
          <w:rFonts w:ascii="Cambria" w:hAnsi="Cambria"/>
          <w:sz w:val="22"/>
        </w:rPr>
        <w:t>Categorize each entry as academic, administrative, infrastructural, or behavioral to decide the appropriate level of intervention.</w:t>
      </w:r>
    </w:p>
    <w:p>
      <w:pPr>
        <w:pStyle w:val="ListBullet"/>
        <w:spacing w:after="80"/>
      </w:pPr>
      <w:r>
        <w:rPr>
          <w:rFonts w:ascii="Cambria" w:hAnsi="Cambria"/>
          <w:sz w:val="22"/>
        </w:rPr>
        <w:t>Ensure that all entries are reviewed within one month from the date they are made in the register.</w:t>
      </w:r>
    </w:p>
    <w:p>
      <w:pPr>
        <w:keepNext/>
        <w:spacing w:before="200" w:after="160"/>
      </w:pPr>
      <w:r>
        <w:rPr>
          <w:rFonts w:ascii="Cambria" w:hAnsi="Cambria"/>
          <w:b/>
          <w:color w:val="1F3A5F"/>
          <w:sz w:val="26"/>
        </w:rPr>
        <w:t>2. Department-Level Action</w:t>
      </w:r>
    </w:p>
    <w:p>
      <w:pPr>
        <w:pStyle w:val="ListBullet"/>
        <w:spacing w:after="80"/>
      </w:pPr>
      <w:r>
        <w:rPr>
          <w:rFonts w:ascii="Cambria" w:hAnsi="Cambria"/>
          <w:sz w:val="22"/>
        </w:rPr>
        <w:t>If the issue is within the HoD's authority, initiate immediate corrective measures at the department level.</w:t>
      </w:r>
    </w:p>
    <w:p>
      <w:pPr>
        <w:pStyle w:val="ListBullet"/>
        <w:spacing w:after="80"/>
      </w:pPr>
      <w:r>
        <w:rPr>
          <w:rFonts w:ascii="Cambria" w:hAnsi="Cambria"/>
          <w:sz w:val="22"/>
        </w:rPr>
        <w:t>Document the action taken and resolution details clearly in the register, along with the date and HoD's signature.</w:t>
      </w:r>
    </w:p>
    <w:p>
      <w:pPr>
        <w:pStyle w:val="ListBullet"/>
        <w:spacing w:after="80"/>
      </w:pPr>
      <w:r>
        <w:rPr>
          <w:rFonts w:ascii="Cambria" w:hAnsi="Cambria"/>
          <w:sz w:val="22"/>
        </w:rPr>
        <w:t>Ensure communication of the outcome to the concerned student or staff member to close the issue transparently.</w:t>
      </w:r>
    </w:p>
    <w:p>
      <w:pPr>
        <w:keepNext/>
        <w:spacing w:before="200" w:after="160"/>
      </w:pPr>
      <w:r>
        <w:rPr>
          <w:rFonts w:ascii="Cambria" w:hAnsi="Cambria"/>
          <w:b/>
          <w:color w:val="1F3A5F"/>
          <w:sz w:val="26"/>
        </w:rPr>
        <w:t>3. Escalation to the Principal</w:t>
      </w:r>
    </w:p>
    <w:p>
      <w:pPr>
        <w:pStyle w:val="ListBullet"/>
        <w:spacing w:after="80"/>
      </w:pPr>
      <w:r>
        <w:rPr>
          <w:rFonts w:ascii="Cambria" w:hAnsi="Cambria"/>
          <w:sz w:val="22"/>
        </w:rPr>
        <w:t>If, upon reviewing the complaint, the HoD concludes that the issue cannot be resolved at the departmental level, it must be escalated to the Principal.</w:t>
      </w:r>
    </w:p>
    <w:p>
      <w:pPr>
        <w:pStyle w:val="ListBullet"/>
        <w:spacing w:after="80"/>
      </w:pPr>
      <w:r>
        <w:rPr>
          <w:rFonts w:ascii="Cambria" w:hAnsi="Cambria"/>
          <w:sz w:val="22"/>
        </w:rPr>
        <w:t>Provide a written note of escalation detailing:</w:t>
      </w:r>
    </w:p>
    <w:p>
      <w:pPr>
        <w:pStyle w:val="ListBullet2"/>
        <w:spacing w:after="80"/>
      </w:pPr>
      <w:r>
        <w:rPr>
          <w:rFonts w:ascii="Cambria" w:hAnsi="Cambria"/>
          <w:sz w:val="22"/>
        </w:rPr>
        <w:t>Nature of the complaint.</w:t>
      </w:r>
    </w:p>
    <w:p>
      <w:pPr>
        <w:pStyle w:val="ListBullet2"/>
        <w:spacing w:after="80"/>
      </w:pPr>
      <w:r>
        <w:rPr>
          <w:rFonts w:ascii="Cambria" w:hAnsi="Cambria"/>
          <w:sz w:val="22"/>
        </w:rPr>
        <w:t>Actions already taken or attempted by the department.</w:t>
      </w:r>
    </w:p>
    <w:p>
      <w:pPr>
        <w:pStyle w:val="ListBullet2"/>
        <w:spacing w:after="80"/>
      </w:pPr>
      <w:r>
        <w:rPr>
          <w:rFonts w:ascii="Cambria" w:hAnsi="Cambria"/>
          <w:sz w:val="22"/>
        </w:rPr>
        <w:t>Reason for escalation and expected institutional support.</w:t>
      </w:r>
    </w:p>
    <w:p>
      <w:pPr>
        <w:pStyle w:val="ListBullet"/>
        <w:spacing w:after="80"/>
      </w:pPr>
      <w:r>
        <w:rPr>
          <w:rFonts w:ascii="Cambria" w:hAnsi="Cambria"/>
          <w:sz w:val="22"/>
        </w:rPr>
        <w:t>Forward the original entry or photocopy from the Suggestion–Complaints Book along with the report for the Principal's review.</w:t>
      </w:r>
    </w:p>
    <w:p>
      <w:pPr>
        <w:keepNext/>
        <w:spacing w:before="200" w:after="160"/>
      </w:pPr>
      <w:r>
        <w:rPr>
          <w:rFonts w:ascii="Cambria" w:hAnsi="Cambria"/>
          <w:b/>
          <w:color w:val="1F3A5F"/>
          <w:sz w:val="26"/>
        </w:rPr>
        <w:t>4. Principal's Role and Further Escalation</w:t>
      </w:r>
    </w:p>
    <w:p>
      <w:pPr>
        <w:pStyle w:val="ListBullet"/>
        <w:spacing w:after="80"/>
      </w:pPr>
      <w:r>
        <w:rPr>
          <w:rFonts w:ascii="Cambria" w:hAnsi="Cambria"/>
          <w:sz w:val="22"/>
        </w:rPr>
        <w:t>The Principal shall review the complaint and decide whether it can be resolved at his/her level or requires higher-level intervention.</w:t>
      </w:r>
    </w:p>
    <w:p>
      <w:pPr>
        <w:pStyle w:val="ListBullet"/>
        <w:spacing w:after="80"/>
      </w:pPr>
      <w:r>
        <w:rPr>
          <w:rFonts w:ascii="Cambria" w:hAnsi="Cambria"/>
          <w:sz w:val="22"/>
        </w:rPr>
        <w:t>If the Principal finds the matter beyond their administrative purview (e.g., involving major policy, finance, or management decisions), the issue shall be escalated to the Vice-Chairman for further resolution.</w:t>
      </w:r>
    </w:p>
    <w:p>
      <w:pPr>
        <w:pStyle w:val="ListBullet"/>
        <w:spacing w:after="80"/>
      </w:pPr>
      <w:r>
        <w:rPr>
          <w:rFonts w:ascii="Cambria" w:hAnsi="Cambria"/>
          <w:sz w:val="22"/>
        </w:rPr>
        <w:t>The Principal must ensure that any issue escalated from the department is addressed and resolved within two months.</w:t>
      </w:r>
    </w:p>
    <w:p>
      <w:pPr>
        <w:keepNext/>
        <w:spacing w:before="200" w:after="160"/>
      </w:pPr>
      <w:r>
        <w:rPr>
          <w:rFonts w:ascii="Cambria" w:hAnsi="Cambria"/>
          <w:b/>
          <w:color w:val="1F3A5F"/>
          <w:sz w:val="26"/>
        </w:rPr>
        <w:t>5. Tracking and Documentation</w:t>
      </w:r>
    </w:p>
    <w:p>
      <w:pPr>
        <w:pStyle w:val="ListBullet"/>
        <w:spacing w:after="80"/>
      </w:pPr>
      <w:r>
        <w:rPr>
          <w:rFonts w:ascii="Cambria" w:hAnsi="Cambria"/>
          <w:sz w:val="22"/>
        </w:rPr>
        <w:t>Maintain a record of all escalated complaints, including:</w:t>
      </w:r>
    </w:p>
    <w:p>
      <w:pPr>
        <w:pStyle w:val="ListBullet2"/>
        <w:spacing w:after="80"/>
      </w:pPr>
      <w:r>
        <w:rPr>
          <w:rFonts w:ascii="Cambria" w:hAnsi="Cambria"/>
          <w:sz w:val="22"/>
        </w:rPr>
        <w:t>Date of escalation.</w:t>
      </w:r>
    </w:p>
    <w:p>
      <w:pPr>
        <w:pStyle w:val="ListBullet2"/>
        <w:spacing w:after="80"/>
      </w:pPr>
      <w:r>
        <w:rPr>
          <w:rFonts w:ascii="Cambria" w:hAnsi="Cambria"/>
          <w:sz w:val="22"/>
        </w:rPr>
        <w:t>Summary of the complaint.</w:t>
      </w:r>
    </w:p>
    <w:p>
      <w:pPr>
        <w:pStyle w:val="ListBullet2"/>
        <w:spacing w:after="80"/>
      </w:pPr>
      <w:r>
        <w:rPr>
          <w:rFonts w:ascii="Cambria" w:hAnsi="Cambria"/>
          <w:sz w:val="22"/>
        </w:rPr>
        <w:t>Person/authority to whom it was forwarded.</w:t>
      </w:r>
    </w:p>
    <w:p>
      <w:pPr>
        <w:pStyle w:val="ListBullet2"/>
        <w:spacing w:after="80"/>
      </w:pPr>
      <w:r>
        <w:rPr>
          <w:rFonts w:ascii="Cambria" w:hAnsi="Cambria"/>
          <w:sz w:val="22"/>
        </w:rPr>
        <w:t>Date and nature of resolution received.</w:t>
      </w:r>
    </w:p>
    <w:p>
      <w:pPr>
        <w:pStyle w:val="ListBullet"/>
        <w:spacing w:after="80"/>
      </w:pPr>
      <w:r>
        <w:rPr>
          <w:rFonts w:ascii="Cambria" w:hAnsi="Cambria"/>
          <w:sz w:val="22"/>
        </w:rPr>
        <w:t>Update the Suggestion–Complaints Register with the status and final remarks once the issue is resolved by the Principal or higher authority.</w:t>
      </w:r>
    </w:p>
    <w:p>
      <w:pPr>
        <w:pStyle w:val="ListBullet"/>
        <w:spacing w:after="80"/>
      </w:pPr>
      <w:r>
        <w:rPr>
          <w:rFonts w:ascii="Cambria" w:hAnsi="Cambria"/>
          <w:sz w:val="22"/>
        </w:rPr>
        <w:t>Keep copies of all correspondence related to escalations for departmental records and audit purposes.</w:t>
      </w:r>
    </w:p>
    <w:p>
      <w:pPr>
        <w:keepNext/>
        <w:spacing w:before="200" w:after="160"/>
      </w:pPr>
      <w:r>
        <w:rPr>
          <w:rFonts w:ascii="Cambria" w:hAnsi="Cambria"/>
          <w:b/>
          <w:color w:val="1F3A5F"/>
          <w:sz w:val="26"/>
        </w:rPr>
        <w:t>6. Communication and Transparency</w:t>
      </w:r>
    </w:p>
    <w:p>
      <w:pPr>
        <w:pStyle w:val="ListBullet"/>
        <w:spacing w:after="80"/>
      </w:pPr>
      <w:r>
        <w:rPr>
          <w:rFonts w:ascii="Cambria" w:hAnsi="Cambria"/>
          <w:sz w:val="22"/>
        </w:rPr>
        <w:t>Inform the concerned student, staff member, or group about the progress and outcome of their complaint.</w:t>
      </w:r>
    </w:p>
    <w:p>
      <w:pPr>
        <w:pStyle w:val="ListBullet"/>
        <w:spacing w:after="80"/>
      </w:pPr>
      <w:r>
        <w:rPr>
          <w:rFonts w:ascii="Cambria" w:hAnsi="Cambria"/>
          <w:sz w:val="22"/>
        </w:rPr>
        <w:t>Maintain confidentiality and fairness throughout the process while ensuring transparency in communication.</w:t>
      </w:r>
    </w:p>
    <w:p>
      <w:pPr>
        <w:pStyle w:val="ListBullet"/>
        <w:spacing w:after="80"/>
      </w:pPr>
      <w:r>
        <w:rPr>
          <w:rFonts w:ascii="Cambria" w:hAnsi="Cambria"/>
          <w:sz w:val="22"/>
        </w:rPr>
        <w:t>Encourage constructive suggestions and assure all stakeholders that grievances will be handled promptly and impartially.</w:t>
      </w:r>
    </w:p>
    <w:p>
      <w:pPr>
        <w:keepNext/>
        <w:spacing w:before="200" w:after="160"/>
      </w:pPr>
      <w:r>
        <w:rPr>
          <w:rFonts w:ascii="Cambria" w:hAnsi="Cambria"/>
          <w:b/>
          <w:color w:val="1F3A5F"/>
          <w:sz w:val="26"/>
        </w:rPr>
        <w:t>7. Periodic Reporting and Review</w:t>
      </w:r>
    </w:p>
    <w:p>
      <w:pPr>
        <w:pStyle w:val="ListBullet"/>
        <w:spacing w:after="80"/>
      </w:pPr>
      <w:r>
        <w:rPr>
          <w:rFonts w:ascii="Cambria" w:hAnsi="Cambria"/>
          <w:sz w:val="22"/>
        </w:rPr>
        <w:t>Submit a monthly summary report of all complaints reviewed, resolved, or escalated to the Principal.</w:t>
      </w:r>
    </w:p>
    <w:p>
      <w:pPr>
        <w:pStyle w:val="ListBullet"/>
        <w:spacing w:after="80"/>
      </w:pPr>
      <w:r>
        <w:rPr>
          <w:rFonts w:ascii="Cambria" w:hAnsi="Cambria"/>
          <w:sz w:val="22"/>
        </w:rPr>
        <w:t>Discuss major or recurring issues in departmental review meetings to prevent similar occurrences in the future.</w:t>
      </w:r>
    </w:p>
    <w:p>
      <w:pPr>
        <w:pStyle w:val="ListBullet"/>
        <w:spacing w:after="80"/>
      </w:pPr>
      <w:r>
        <w:rPr>
          <w:rFonts w:ascii="Cambria" w:hAnsi="Cambria"/>
          <w:sz w:val="22"/>
        </w:rPr>
        <w:t>Work collaboratively with the Principal and Chairman to improve systems, processes, and student satisfaction.</w:t>
      </w:r>
    </w:p>
    <w:p>
      <w:r>
        <w:br w:type="page"/>
      </w:r>
    </w:p>
    <w:p>
      <w:pPr>
        <w:keepNext/>
        <w:spacing w:before="280" w:after="160"/>
      </w:pPr>
      <w:r>
        <w:rPr>
          <w:rFonts w:ascii="Cambria" w:hAnsi="Cambria"/>
          <w:b/>
          <w:color w:val="1F3A5F"/>
          <w:sz w:val="36"/>
        </w:rPr>
        <w:t>8. Responsibilities of Head of Department (HoD) Related to Suggestion–Complaints Book: Quarterly Reporting to the Principal</w:t>
      </w:r>
    </w:p>
    <w:p>
      <w:pPr>
        <w:keepNext/>
        <w:spacing w:before="200" w:after="160"/>
      </w:pPr>
      <w:r>
        <w:rPr>
          <w:rFonts w:ascii="Cambria" w:hAnsi="Cambria"/>
          <w:b/>
          <w:color w:val="1F3A5F"/>
          <w:sz w:val="26"/>
        </w:rPr>
        <w:t>1. Preparation of Quarterly Complaint Summary Report</w:t>
      </w:r>
    </w:p>
    <w:p>
      <w:pPr>
        <w:pStyle w:val="ListBullet"/>
        <w:spacing w:after="80"/>
      </w:pPr>
      <w:r>
        <w:rPr>
          <w:rFonts w:ascii="Cambria" w:hAnsi="Cambria"/>
          <w:sz w:val="22"/>
        </w:rPr>
        <w:t>The HoD must prepare and submit a comprehensive report once every three months summarizing all complaints and suggestions recorded in the Suggestion–Complaints Book during that period.</w:t>
      </w:r>
    </w:p>
    <w:p>
      <w:pPr>
        <w:pStyle w:val="ListBullet"/>
        <w:spacing w:after="80"/>
      </w:pPr>
      <w:r>
        <w:rPr>
          <w:rFonts w:ascii="Cambria" w:hAnsi="Cambria"/>
          <w:sz w:val="22"/>
        </w:rPr>
        <w:t>The report should include details on:</w:t>
      </w:r>
    </w:p>
    <w:p>
      <w:pPr>
        <w:pStyle w:val="ListBullet2"/>
        <w:spacing w:after="80"/>
      </w:pPr>
      <w:r>
        <w:rPr>
          <w:rFonts w:ascii="Cambria" w:hAnsi="Cambria"/>
          <w:sz w:val="22"/>
        </w:rPr>
        <w:t>Total number of complaints/suggestions received.</w:t>
      </w:r>
    </w:p>
    <w:p>
      <w:pPr>
        <w:pStyle w:val="ListBullet2"/>
        <w:spacing w:after="80"/>
      </w:pPr>
      <w:r>
        <w:rPr>
          <w:rFonts w:ascii="Cambria" w:hAnsi="Cambria"/>
          <w:sz w:val="22"/>
        </w:rPr>
        <w:t>Nature and category of issues (academic, administrative, infrastructural, behavioral, etc.).</w:t>
      </w:r>
    </w:p>
    <w:p>
      <w:pPr>
        <w:pStyle w:val="ListBullet2"/>
        <w:spacing w:after="80"/>
      </w:pPr>
      <w:r>
        <w:rPr>
          <w:rFonts w:ascii="Cambria" w:hAnsi="Cambria"/>
          <w:sz w:val="22"/>
        </w:rPr>
        <w:t>Actions taken at the departmental level.</w:t>
      </w:r>
    </w:p>
    <w:p>
      <w:pPr>
        <w:pStyle w:val="ListBullet2"/>
        <w:spacing w:after="80"/>
      </w:pPr>
      <w:r>
        <w:rPr>
          <w:rFonts w:ascii="Cambria" w:hAnsi="Cambria"/>
          <w:sz w:val="22"/>
        </w:rPr>
        <w:t>Issues escalated to the Principal or higher authorities.</w:t>
      </w:r>
    </w:p>
    <w:p>
      <w:pPr>
        <w:pStyle w:val="ListBullet2"/>
        <w:spacing w:after="80"/>
      </w:pPr>
      <w:r>
        <w:rPr>
          <w:rFonts w:ascii="Cambria" w:hAnsi="Cambria"/>
          <w:sz w:val="22"/>
        </w:rPr>
        <w:t>Status of resolutions (resolved, pending, under review).</w:t>
      </w:r>
    </w:p>
    <w:p>
      <w:pPr>
        <w:keepNext/>
        <w:spacing w:before="200" w:after="160"/>
      </w:pPr>
      <w:r>
        <w:rPr>
          <w:rFonts w:ascii="Cambria" w:hAnsi="Cambria"/>
          <w:b/>
          <w:color w:val="1F3A5F"/>
          <w:sz w:val="26"/>
        </w:rPr>
        <w:t>2. Format and Content of the Quarterly Report</w:t>
      </w:r>
    </w:p>
    <w:tbl>
      <w:tblPr>
        <w:tblW w:type="auto" w:w="0"/>
        <w:jc w:val="center"/>
        <w:tblLayout w:type="fixed"/>
        <w:tblLook w:firstColumn="1" w:firstRow="1" w:lastColumn="0" w:lastRow="0" w:noHBand="0" w:noVBand="1" w:val="04A0"/>
        <w:tblW w:w="9072" w:type="dxa"/>
        <w:tblLayout w:type="fixed"/>
      </w:tblPr>
      <w:tblGrid>
        <w:gridCol w:w="1046"/>
        <w:gridCol w:w="1046"/>
        <w:gridCol w:w="1046"/>
        <w:gridCol w:w="1046"/>
        <w:gridCol w:w="1046"/>
        <w:gridCol w:w="1046"/>
        <w:gridCol w:w="1046"/>
        <w:gridCol w:w="1046"/>
        <w:gridCol w:w="1046"/>
      </w:tblGrid>
      <w:tr>
        <w:tc>
          <w:tcPr>
            <w:tcW w:type="dxa" w:w="680"/>
            <w:shd w:val="clear" w:color="auto" w:fill="1F3A5F"/>
            <w:tcW w:w="680" w:type="dxa"/>
          </w:tcPr>
          <w:p>
            <w:pPr>
              <w:jc w:val="center"/>
            </w:pPr>
            <w:r/>
            <w:r>
              <w:rPr>
                <w:rFonts w:ascii="Cambria" w:hAnsi="Cambria"/>
                <w:b/>
                <w:color w:val="FFFFFF"/>
                <w:sz w:val="18"/>
              </w:rPr>
              <w:t>Sl. No.</w:t>
            </w:r>
          </w:p>
        </w:tc>
        <w:tc>
          <w:tcPr>
            <w:tcW w:type="dxa" w:w="1077"/>
            <w:shd w:val="clear" w:color="auto" w:fill="1F3A5F"/>
            <w:tcW w:w="1077" w:type="dxa"/>
          </w:tcPr>
          <w:p>
            <w:pPr>
              <w:jc w:val="center"/>
            </w:pPr>
            <w:r/>
            <w:r>
              <w:rPr>
                <w:rFonts w:ascii="Cambria" w:hAnsi="Cambria"/>
                <w:b/>
                <w:color w:val="FFFFFF"/>
                <w:sz w:val="18"/>
              </w:rPr>
              <w:t>Date of Complaint</w:t>
            </w:r>
          </w:p>
        </w:tc>
        <w:tc>
          <w:tcPr>
            <w:tcW w:type="dxa" w:w="1077"/>
            <w:shd w:val="clear" w:color="auto" w:fill="1F3A5F"/>
            <w:tcW w:w="1077" w:type="dxa"/>
          </w:tcPr>
          <w:p>
            <w:pPr>
              <w:jc w:val="center"/>
            </w:pPr>
            <w:r/>
            <w:r>
              <w:rPr>
                <w:rFonts w:ascii="Cambria" w:hAnsi="Cambria"/>
                <w:b/>
                <w:color w:val="FFFFFF"/>
                <w:sz w:val="18"/>
              </w:rPr>
              <w:t>Name / Anonymous</w:t>
            </w:r>
          </w:p>
        </w:tc>
        <w:tc>
          <w:tcPr>
            <w:tcW w:type="dxa" w:w="1361"/>
            <w:shd w:val="clear" w:color="auto" w:fill="1F3A5F"/>
            <w:tcW w:w="1360" w:type="dxa"/>
          </w:tcPr>
          <w:p>
            <w:pPr>
              <w:jc w:val="center"/>
            </w:pPr>
            <w:r/>
            <w:r>
              <w:rPr>
                <w:rFonts w:ascii="Cambria" w:hAnsi="Cambria"/>
                <w:b/>
                <w:color w:val="FFFFFF"/>
                <w:sz w:val="18"/>
              </w:rPr>
              <w:t>Nature of Complaint / Suggestion</w:t>
            </w:r>
          </w:p>
        </w:tc>
        <w:tc>
          <w:tcPr>
            <w:tcW w:type="dxa" w:w="1077"/>
            <w:shd w:val="clear" w:color="auto" w:fill="1F3A5F"/>
            <w:tcW w:w="1077" w:type="dxa"/>
          </w:tcPr>
          <w:p>
            <w:pPr>
              <w:jc w:val="center"/>
            </w:pPr>
            <w:r/>
            <w:r>
              <w:rPr>
                <w:rFonts w:ascii="Cambria" w:hAnsi="Cambria"/>
                <w:b/>
                <w:color w:val="FFFFFF"/>
                <w:sz w:val="18"/>
              </w:rPr>
              <w:t>Action Taken by HoD</w:t>
            </w:r>
          </w:p>
        </w:tc>
        <w:tc>
          <w:tcPr>
            <w:tcW w:type="dxa" w:w="850"/>
            <w:shd w:val="clear" w:color="auto" w:fill="1F3A5F"/>
            <w:tcW w:w="850" w:type="dxa"/>
          </w:tcPr>
          <w:p>
            <w:pPr>
              <w:jc w:val="center"/>
            </w:pPr>
            <w:r/>
            <w:r>
              <w:rPr>
                <w:rFonts w:ascii="Cambria" w:hAnsi="Cambria"/>
                <w:b/>
                <w:color w:val="FFFFFF"/>
                <w:sz w:val="18"/>
              </w:rPr>
              <w:t>Date of Action</w:t>
            </w:r>
          </w:p>
        </w:tc>
        <w:tc>
          <w:tcPr>
            <w:tcW w:type="dxa" w:w="964"/>
            <w:shd w:val="clear" w:color="auto" w:fill="1F3A5F"/>
            <w:tcW w:w="963" w:type="dxa"/>
          </w:tcPr>
          <w:p>
            <w:pPr>
              <w:jc w:val="center"/>
            </w:pPr>
            <w:r/>
            <w:r>
              <w:rPr>
                <w:rFonts w:ascii="Cambria" w:hAnsi="Cambria"/>
                <w:b/>
                <w:color w:val="FFFFFF"/>
                <w:sz w:val="18"/>
              </w:rPr>
              <w:t>Escalated To</w:t>
            </w:r>
          </w:p>
        </w:tc>
        <w:tc>
          <w:tcPr>
            <w:tcW w:type="dxa" w:w="1134"/>
            <w:shd w:val="clear" w:color="auto" w:fill="1F3A5F"/>
            <w:tcW w:w="1134" w:type="dxa"/>
          </w:tcPr>
          <w:p>
            <w:pPr>
              <w:jc w:val="center"/>
            </w:pPr>
            <w:r/>
            <w:r>
              <w:rPr>
                <w:rFonts w:ascii="Cambria" w:hAnsi="Cambria"/>
                <w:b/>
                <w:color w:val="FFFFFF"/>
                <w:sz w:val="18"/>
              </w:rPr>
              <w:t>Status (Resolved/Pending)</w:t>
            </w:r>
          </w:p>
        </w:tc>
        <w:tc>
          <w:tcPr>
            <w:tcW w:type="dxa" w:w="850"/>
            <w:shd w:val="clear" w:color="auto" w:fill="1F3A5F"/>
            <w:tcW w:w="850" w:type="dxa"/>
          </w:tcPr>
          <w:p>
            <w:pPr>
              <w:jc w:val="center"/>
            </w:pPr>
            <w:r/>
            <w:r>
              <w:rPr>
                <w:rFonts w:ascii="Cambria" w:hAnsi="Cambria"/>
                <w:b/>
                <w:color w:val="FFFFFF"/>
                <w:sz w:val="18"/>
              </w:rPr>
              <w:t>Remarks</w:t>
            </w:r>
          </w:p>
        </w:tc>
      </w:tr>
      <w:tr>
        <w:tc>
          <w:tcPr>
            <w:tcW w:type="dxa" w:w="680"/>
            <w:tcW w:w="680" w:type="dxa"/>
          </w:tcPr>
          <w:p>
            <w:pPr>
              <w:jc w:val="center"/>
            </w:pPr>
            <w:r/>
            <w:r>
              <w:rPr>
                <w:rFonts w:ascii="Cambria" w:hAnsi="Cambria"/>
                <w:b w:val="0"/>
                <w:sz w:val="18"/>
              </w:rPr>
              <w:t>1</w:t>
            </w:r>
          </w:p>
        </w:tc>
        <w:tc>
          <w:tcPr>
            <w:tcW w:type="dxa" w:w="1077"/>
            <w:tcW w:w="1077" w:type="dxa"/>
          </w:tcPr>
          <w:p>
            <w:r/>
            <w:r>
              <w:rPr>
                <w:rFonts w:ascii="Cambria" w:hAnsi="Cambria"/>
                <w:b w:val="0"/>
                <w:sz w:val="18"/>
              </w:rPr>
            </w:r>
          </w:p>
        </w:tc>
        <w:tc>
          <w:tcPr>
            <w:tcW w:type="dxa" w:w="1077"/>
            <w:tcW w:w="1077" w:type="dxa"/>
          </w:tcPr>
          <w:p>
            <w:r/>
            <w:r>
              <w:rPr>
                <w:rFonts w:ascii="Cambria" w:hAnsi="Cambria"/>
                <w:b w:val="0"/>
                <w:sz w:val="18"/>
              </w:rPr>
            </w:r>
          </w:p>
        </w:tc>
        <w:tc>
          <w:tcPr>
            <w:tcW w:type="dxa" w:w="1361"/>
            <w:tcW w:w="1360" w:type="dxa"/>
          </w:tcPr>
          <w:p>
            <w:r/>
            <w:r>
              <w:rPr>
                <w:rFonts w:ascii="Cambria" w:hAnsi="Cambria"/>
                <w:b w:val="0"/>
                <w:sz w:val="18"/>
              </w:rPr>
            </w:r>
          </w:p>
        </w:tc>
        <w:tc>
          <w:tcPr>
            <w:tcW w:type="dxa" w:w="1077"/>
            <w:tcW w:w="1077" w:type="dxa"/>
          </w:tcPr>
          <w:p>
            <w:r/>
            <w:r>
              <w:rPr>
                <w:rFonts w:ascii="Cambria" w:hAnsi="Cambria"/>
                <w:b w:val="0"/>
                <w:sz w:val="18"/>
              </w:rPr>
            </w:r>
          </w:p>
        </w:tc>
        <w:tc>
          <w:tcPr>
            <w:tcW w:type="dxa" w:w="850"/>
            <w:tcW w:w="850" w:type="dxa"/>
          </w:tcPr>
          <w:p>
            <w:r/>
            <w:r>
              <w:rPr>
                <w:rFonts w:ascii="Cambria" w:hAnsi="Cambria"/>
                <w:b w:val="0"/>
                <w:sz w:val="18"/>
              </w:rPr>
            </w:r>
          </w:p>
        </w:tc>
        <w:tc>
          <w:tcPr>
            <w:tcW w:type="dxa" w:w="964"/>
            <w:tcW w:w="963" w:type="dxa"/>
          </w:tcPr>
          <w:p>
            <w:r/>
            <w:r>
              <w:rPr>
                <w:rFonts w:ascii="Cambria" w:hAnsi="Cambria"/>
                <w:b w:val="0"/>
                <w:sz w:val="18"/>
              </w:rPr>
            </w:r>
          </w:p>
        </w:tc>
        <w:tc>
          <w:tcPr>
            <w:tcW w:type="dxa" w:w="1134"/>
            <w:tcW w:w="1134" w:type="dxa"/>
          </w:tcPr>
          <w:p>
            <w:r/>
            <w:r>
              <w:rPr>
                <w:rFonts w:ascii="Cambria" w:hAnsi="Cambria"/>
                <w:b w:val="0"/>
                <w:sz w:val="18"/>
              </w:rPr>
            </w:r>
          </w:p>
        </w:tc>
        <w:tc>
          <w:tcPr>
            <w:tcW w:type="dxa" w:w="850"/>
            <w:tcW w:w="850" w:type="dxa"/>
          </w:tcPr>
          <w:p>
            <w:r/>
            <w:r>
              <w:rPr>
                <w:rFonts w:ascii="Cambria" w:hAnsi="Cambria"/>
                <w:b w:val="0"/>
                <w:sz w:val="18"/>
              </w:rPr>
            </w:r>
          </w:p>
        </w:tc>
      </w:tr>
      <w:tr>
        <w:tc>
          <w:tcPr>
            <w:tcW w:type="dxa" w:w="680"/>
            <w:tcW w:w="680" w:type="dxa"/>
            <w:shd w:val="clear" w:color="auto" w:fill="EDF2F8"/>
          </w:tcPr>
          <w:p>
            <w:pPr>
              <w:jc w:val="center"/>
            </w:pPr>
            <w:r/>
            <w:r>
              <w:rPr>
                <w:rFonts w:ascii="Cambria" w:hAnsi="Cambria"/>
                <w:b w:val="0"/>
                <w:sz w:val="18"/>
              </w:rPr>
              <w:t>2</w:t>
            </w:r>
          </w:p>
        </w:tc>
        <w:tc>
          <w:tcPr>
            <w:tcW w:type="dxa" w:w="1077"/>
            <w:tcW w:w="1077" w:type="dxa"/>
            <w:shd w:val="clear" w:color="auto" w:fill="EDF2F8"/>
          </w:tcPr>
          <w:p>
            <w:r/>
            <w:r>
              <w:rPr>
                <w:rFonts w:ascii="Cambria" w:hAnsi="Cambria"/>
                <w:b w:val="0"/>
                <w:sz w:val="18"/>
              </w:rPr>
            </w:r>
          </w:p>
        </w:tc>
        <w:tc>
          <w:tcPr>
            <w:tcW w:type="dxa" w:w="1077"/>
            <w:tcW w:w="1077" w:type="dxa"/>
            <w:shd w:val="clear" w:color="auto" w:fill="EDF2F8"/>
          </w:tcPr>
          <w:p>
            <w:r/>
            <w:r>
              <w:rPr>
                <w:rFonts w:ascii="Cambria" w:hAnsi="Cambria"/>
                <w:b w:val="0"/>
                <w:sz w:val="18"/>
              </w:rPr>
            </w:r>
          </w:p>
        </w:tc>
        <w:tc>
          <w:tcPr>
            <w:tcW w:type="dxa" w:w="1361"/>
            <w:tcW w:w="1360" w:type="dxa"/>
            <w:shd w:val="clear" w:color="auto" w:fill="EDF2F8"/>
          </w:tcPr>
          <w:p>
            <w:r/>
            <w:r>
              <w:rPr>
                <w:rFonts w:ascii="Cambria" w:hAnsi="Cambria"/>
                <w:b w:val="0"/>
                <w:sz w:val="18"/>
              </w:rPr>
            </w:r>
          </w:p>
        </w:tc>
        <w:tc>
          <w:tcPr>
            <w:tcW w:type="dxa" w:w="1077"/>
            <w:tcW w:w="1077" w:type="dxa"/>
            <w:shd w:val="clear" w:color="auto" w:fill="EDF2F8"/>
          </w:tcPr>
          <w:p>
            <w:r/>
            <w:r>
              <w:rPr>
                <w:rFonts w:ascii="Cambria" w:hAnsi="Cambria"/>
                <w:b w:val="0"/>
                <w:sz w:val="18"/>
              </w:rPr>
            </w:r>
          </w:p>
        </w:tc>
        <w:tc>
          <w:tcPr>
            <w:tcW w:type="dxa" w:w="850"/>
            <w:tcW w:w="850" w:type="dxa"/>
            <w:shd w:val="clear" w:color="auto" w:fill="EDF2F8"/>
          </w:tcPr>
          <w:p>
            <w:r/>
            <w:r>
              <w:rPr>
                <w:rFonts w:ascii="Cambria" w:hAnsi="Cambria"/>
                <w:b w:val="0"/>
                <w:sz w:val="18"/>
              </w:rPr>
            </w:r>
          </w:p>
        </w:tc>
        <w:tc>
          <w:tcPr>
            <w:tcW w:type="dxa" w:w="964"/>
            <w:tcW w:w="963" w:type="dxa"/>
            <w:shd w:val="clear" w:color="auto" w:fill="EDF2F8"/>
          </w:tcPr>
          <w:p>
            <w:r/>
            <w:r>
              <w:rPr>
                <w:rFonts w:ascii="Cambria" w:hAnsi="Cambria"/>
                <w:b w:val="0"/>
                <w:sz w:val="18"/>
              </w:rPr>
            </w:r>
          </w:p>
        </w:tc>
        <w:tc>
          <w:tcPr>
            <w:tcW w:type="dxa" w:w="1134"/>
            <w:tcW w:w="1134" w:type="dxa"/>
            <w:shd w:val="clear" w:color="auto" w:fill="EDF2F8"/>
          </w:tcPr>
          <w:p>
            <w:r/>
            <w:r>
              <w:rPr>
                <w:rFonts w:ascii="Cambria" w:hAnsi="Cambria"/>
                <w:b w:val="0"/>
                <w:sz w:val="18"/>
              </w:rPr>
            </w:r>
          </w:p>
        </w:tc>
        <w:tc>
          <w:tcPr>
            <w:tcW w:type="dxa" w:w="850"/>
            <w:tcW w:w="850" w:type="dxa"/>
            <w:shd w:val="clear" w:color="auto" w:fill="EDF2F8"/>
          </w:tcPr>
          <w:p>
            <w:r/>
            <w:r>
              <w:rPr>
                <w:rFonts w:ascii="Cambria" w:hAnsi="Cambria"/>
                <w:b w:val="0"/>
                <w:sz w:val="18"/>
              </w:rPr>
            </w:r>
          </w:p>
        </w:tc>
      </w:tr>
    </w:tbl>
    <w:p>
      <w:pPr>
        <w:pStyle w:val="ListBullet"/>
        <w:spacing w:after="80"/>
      </w:pPr>
      <w:r>
        <w:rPr>
          <w:rFonts w:ascii="Cambria" w:hAnsi="Cambria"/>
          <w:sz w:val="22"/>
        </w:rPr>
        <w:t>Each entry must correspond to a verified complaint or suggestion from the department's official register.</w:t>
      </w:r>
    </w:p>
    <w:p>
      <w:pPr>
        <w:pStyle w:val="ListBullet"/>
        <w:spacing w:after="80"/>
      </w:pPr>
      <w:r>
        <w:rPr>
          <w:rFonts w:ascii="Cambria" w:hAnsi="Cambria"/>
          <w:sz w:val="22"/>
        </w:rPr>
        <w:t>The action taken column must clearly mention corrective steps or decisions made.</w:t>
      </w:r>
    </w:p>
    <w:p>
      <w:pPr>
        <w:pStyle w:val="ListBullet"/>
        <w:spacing w:after="80"/>
      </w:pPr>
      <w:r>
        <w:rPr>
          <w:rFonts w:ascii="Cambria" w:hAnsi="Cambria"/>
          <w:sz w:val="22"/>
        </w:rPr>
        <w:t>For escalated issues, mention the date of escalation and the authority (Principal/Vice-Chairman) to whom it was forwarded.</w:t>
      </w:r>
    </w:p>
    <w:p>
      <w:pPr>
        <w:keepNext/>
        <w:spacing w:before="200" w:after="160"/>
      </w:pPr>
      <w:r>
        <w:rPr>
          <w:rFonts w:ascii="Cambria" w:hAnsi="Cambria"/>
          <w:b/>
          <w:color w:val="1F3A5F"/>
          <w:sz w:val="26"/>
        </w:rPr>
        <w:t>3. Verification and Validation</w:t>
      </w:r>
    </w:p>
    <w:p>
      <w:pPr>
        <w:pStyle w:val="ListBullet"/>
        <w:spacing w:after="80"/>
      </w:pPr>
      <w:r>
        <w:rPr>
          <w:rFonts w:ascii="Cambria" w:hAnsi="Cambria"/>
          <w:sz w:val="22"/>
        </w:rPr>
        <w:t>The HoD must ensure that:</w:t>
      </w:r>
    </w:p>
    <w:p>
      <w:pPr>
        <w:pStyle w:val="ListBullet2"/>
        <w:spacing w:after="80"/>
      </w:pPr>
      <w:r>
        <w:rPr>
          <w:rFonts w:ascii="Cambria" w:hAnsi="Cambria"/>
          <w:sz w:val="22"/>
        </w:rPr>
        <w:t>All complaints included in the report are authentic, acknowledged, and documented in the register.</w:t>
      </w:r>
    </w:p>
    <w:p>
      <w:pPr>
        <w:pStyle w:val="ListBullet2"/>
        <w:spacing w:after="80"/>
      </w:pPr>
      <w:r>
        <w:rPr>
          <w:rFonts w:ascii="Cambria" w:hAnsi="Cambria"/>
          <w:sz w:val="22"/>
        </w:rPr>
        <w:t>All actions taken are supported by evidence, circulars, or meeting minutes.</w:t>
      </w:r>
    </w:p>
    <w:p>
      <w:pPr>
        <w:pStyle w:val="ListBullet2"/>
        <w:spacing w:after="80"/>
      </w:pPr>
      <w:r>
        <w:rPr>
          <w:rFonts w:ascii="Cambria" w:hAnsi="Cambria"/>
          <w:sz w:val="22"/>
        </w:rPr>
        <w:t>Confidential complaints are handled ethically and discreetly while maintaining transparency in reporting outcomes.</w:t>
      </w:r>
    </w:p>
    <w:p>
      <w:pPr>
        <w:keepNext/>
        <w:spacing w:before="200" w:after="160"/>
      </w:pPr>
      <w:r>
        <w:rPr>
          <w:rFonts w:ascii="Cambria" w:hAnsi="Cambria"/>
          <w:b/>
          <w:color w:val="1F3A5F"/>
          <w:sz w:val="26"/>
        </w:rPr>
        <w:t>4. Submission to Principal</w:t>
      </w:r>
    </w:p>
    <w:p>
      <w:pPr>
        <w:pStyle w:val="ListBullet"/>
        <w:spacing w:after="80"/>
      </w:pPr>
      <w:r>
        <w:rPr>
          <w:rFonts w:ascii="Cambria" w:hAnsi="Cambria"/>
          <w:sz w:val="22"/>
        </w:rPr>
        <w:t>Submit the compiled Quarterly Complaint Report to the Principal's office within the first week following each quarter (e.g., April, July, October, January).</w:t>
      </w:r>
    </w:p>
    <w:p>
      <w:pPr>
        <w:pStyle w:val="ListBullet"/>
        <w:spacing w:after="80"/>
      </w:pPr>
      <w:r>
        <w:rPr>
          <w:rFonts w:ascii="Cambria" w:hAnsi="Cambria"/>
          <w:sz w:val="22"/>
        </w:rPr>
        <w:t>Accompany the report with:</w:t>
      </w:r>
    </w:p>
    <w:p>
      <w:pPr>
        <w:pStyle w:val="ListBullet2"/>
        <w:spacing w:after="80"/>
      </w:pPr>
      <w:r>
        <w:rPr>
          <w:rFonts w:ascii="Cambria" w:hAnsi="Cambria"/>
          <w:sz w:val="22"/>
        </w:rPr>
        <w:t>The updated Suggestion–Complaints Register (for verification).</w:t>
      </w:r>
    </w:p>
    <w:p>
      <w:pPr>
        <w:pStyle w:val="ListBullet2"/>
        <w:spacing w:after="80"/>
      </w:pPr>
      <w:r>
        <w:rPr>
          <w:rFonts w:ascii="Cambria" w:hAnsi="Cambria"/>
          <w:sz w:val="22"/>
        </w:rPr>
        <w:t>A covering letter summarizing major issues and departmental improvements implemented during the quarter.</w:t>
      </w:r>
    </w:p>
    <w:p>
      <w:pPr>
        <w:pStyle w:val="ListBullet"/>
        <w:spacing w:after="80"/>
      </w:pPr>
      <w:r>
        <w:rPr>
          <w:rFonts w:ascii="Cambria" w:hAnsi="Cambria"/>
          <w:sz w:val="22"/>
        </w:rPr>
        <w:t>Obtain acknowledgment or signature from the Principal's office upon submission.</w:t>
      </w:r>
    </w:p>
    <w:p>
      <w:pPr>
        <w:keepNext/>
        <w:spacing w:before="200" w:after="160"/>
      </w:pPr>
      <w:r>
        <w:rPr>
          <w:rFonts w:ascii="Cambria" w:hAnsi="Cambria"/>
          <w:b/>
          <w:color w:val="1F3A5F"/>
          <w:sz w:val="26"/>
        </w:rPr>
        <w:t>5. Follow-Up and Review</w:t>
      </w:r>
    </w:p>
    <w:p>
      <w:pPr>
        <w:pStyle w:val="ListBullet"/>
        <w:spacing w:after="80"/>
      </w:pPr>
      <w:r>
        <w:rPr>
          <w:rFonts w:ascii="Cambria" w:hAnsi="Cambria"/>
          <w:sz w:val="22"/>
        </w:rPr>
        <w:t>Discuss significant or recurring issues highlighted in the quarterly report with the Principal to identify long-term solutions.</w:t>
      </w:r>
    </w:p>
    <w:p>
      <w:pPr>
        <w:pStyle w:val="ListBullet"/>
        <w:spacing w:after="80"/>
      </w:pPr>
      <w:r>
        <w:rPr>
          <w:rFonts w:ascii="Cambria" w:hAnsi="Cambria"/>
          <w:sz w:val="22"/>
        </w:rPr>
        <w:t>Coordinate with administrative and academic committees to prevent recurrence of common complaints.</w:t>
      </w:r>
    </w:p>
    <w:p>
      <w:pPr>
        <w:pStyle w:val="ListBullet"/>
        <w:spacing w:after="80"/>
      </w:pPr>
      <w:r>
        <w:rPr>
          <w:rFonts w:ascii="Cambria" w:hAnsi="Cambria"/>
          <w:sz w:val="22"/>
        </w:rPr>
        <w:t>Implement Principal's recommendations and update the action taken status in the next quarterly report.</w:t>
      </w:r>
    </w:p>
    <w:p>
      <w:pPr>
        <w:keepNext/>
        <w:spacing w:before="200" w:after="160"/>
      </w:pPr>
      <w:r>
        <w:rPr>
          <w:rFonts w:ascii="Cambria" w:hAnsi="Cambria"/>
          <w:b/>
          <w:color w:val="1F3A5F"/>
          <w:sz w:val="26"/>
        </w:rPr>
        <w:t>6. Record Maintenance and Audit Readiness</w:t>
      </w:r>
    </w:p>
    <w:p>
      <w:pPr>
        <w:pStyle w:val="ListBullet"/>
        <w:spacing w:after="80"/>
      </w:pPr>
      <w:r>
        <w:rPr>
          <w:rFonts w:ascii="Cambria" w:hAnsi="Cambria"/>
          <w:sz w:val="22"/>
        </w:rPr>
        <w:t>Retain copies of all quarterly reports and acknowledgment receipts in the Departmental Quality Records File.</w:t>
      </w:r>
    </w:p>
    <w:p>
      <w:pPr>
        <w:pStyle w:val="ListBullet"/>
        <w:spacing w:after="80"/>
      </w:pPr>
      <w:r>
        <w:rPr>
          <w:rFonts w:ascii="Cambria" w:hAnsi="Cambria"/>
          <w:sz w:val="22"/>
        </w:rPr>
        <w:t>Ensure that these documents are available for NAAC/NBA audits, IQAC reviews, and internal inspections.</w:t>
      </w:r>
    </w:p>
    <w:p>
      <w:pPr>
        <w:pStyle w:val="ListBullet"/>
        <w:spacing w:after="80"/>
      </w:pPr>
      <w:r>
        <w:rPr>
          <w:rFonts w:ascii="Cambria" w:hAnsi="Cambria"/>
          <w:sz w:val="22"/>
        </w:rPr>
        <w:t>Maintain a digital archive of reports for easy retrieval and transparency.</w:t>
      </w:r>
    </w:p>
    <w:p>
      <w:pPr>
        <w:keepNext/>
        <w:spacing w:before="200" w:after="160"/>
      </w:pPr>
      <w:r>
        <w:rPr>
          <w:rFonts w:ascii="Cambria" w:hAnsi="Cambria"/>
          <w:b/>
          <w:color w:val="1F3A5F"/>
          <w:sz w:val="26"/>
        </w:rPr>
        <w:t>7. Continuous Improvement and Communication</w:t>
      </w:r>
    </w:p>
    <w:p>
      <w:pPr>
        <w:pStyle w:val="ListBullet"/>
        <w:spacing w:after="80"/>
      </w:pPr>
      <w:r>
        <w:rPr>
          <w:rFonts w:ascii="Cambria" w:hAnsi="Cambria"/>
          <w:sz w:val="22"/>
        </w:rPr>
        <w:t>Use insights from quarterly reports to analyze complaint trends and address systemic issues in teaching, infrastructure, or administration.</w:t>
      </w:r>
    </w:p>
    <w:p>
      <w:pPr>
        <w:pStyle w:val="ListBullet"/>
        <w:spacing w:after="80"/>
      </w:pPr>
      <w:r>
        <w:rPr>
          <w:rFonts w:ascii="Cambria" w:hAnsi="Cambria"/>
          <w:sz w:val="22"/>
        </w:rPr>
        <w:t>Inform students and staff about actions taken and improvements made, promoting a transparent and responsive departmental environment.</w:t>
      </w:r>
    </w:p>
    <w:p>
      <w:pPr>
        <w:pStyle w:val="ListBullet"/>
        <w:spacing w:after="80"/>
      </w:pPr>
      <w:r>
        <w:rPr>
          <w:rFonts w:ascii="Cambria" w:hAnsi="Cambria"/>
          <w:sz w:val="22"/>
        </w:rPr>
        <w:t>Encourage constructive use of the Suggestion–Complaints Book by assuring stakeholders that their feedback leads to positive action.</w:t>
      </w:r>
    </w:p>
    <w:p>
      <w:r>
        <w:br w:type="page"/>
      </w:r>
    </w:p>
    <w:p>
      <w:pPr>
        <w:keepNext/>
        <w:spacing w:before="280" w:after="160"/>
      </w:pPr>
      <w:r>
        <w:rPr>
          <w:rFonts w:ascii="Cambria" w:hAnsi="Cambria"/>
          <w:b/>
          <w:color w:val="1F3A5F"/>
          <w:sz w:val="36"/>
        </w:rPr>
        <w:t>9. Responsibilities of Head of Department (HoD) Related to Academic &amp; Administrative Audit</w:t>
      </w:r>
    </w:p>
    <w:p>
      <w:pPr>
        <w:keepNext/>
        <w:spacing w:before="200" w:after="160"/>
      </w:pPr>
      <w:r>
        <w:rPr>
          <w:rFonts w:ascii="Cambria" w:hAnsi="Cambria"/>
          <w:b/>
          <w:color w:val="1F3A5F"/>
          <w:sz w:val="26"/>
        </w:rPr>
        <w:t>1. Conduct of Regular Academic Audits</w:t>
      </w:r>
    </w:p>
    <w:p>
      <w:pPr>
        <w:pStyle w:val="ListBullet"/>
        <w:spacing w:after="80"/>
      </w:pPr>
      <w:r>
        <w:rPr>
          <w:rFonts w:ascii="Cambria" w:hAnsi="Cambria"/>
          <w:sz w:val="22"/>
        </w:rPr>
        <w:t>The HoD must conduct Academic Audits periodically (preferably once every month or at least once per semester) to ensure smooth functioning of all academic activities in the department.</w:t>
      </w:r>
    </w:p>
    <w:p>
      <w:pPr>
        <w:pStyle w:val="ListBullet"/>
        <w:spacing w:after="80"/>
      </w:pPr>
      <w:r>
        <w:rPr>
          <w:rFonts w:ascii="Cambria" w:hAnsi="Cambria"/>
          <w:sz w:val="22"/>
        </w:rPr>
        <w:t>The objective is to evaluate the effectiveness, consistency, and compliance of teaching–learning processes with institutional academic standards.</w:t>
      </w:r>
    </w:p>
    <w:p>
      <w:pPr>
        <w:pStyle w:val="ListBullet"/>
        <w:spacing w:after="80"/>
      </w:pPr>
      <w:r>
        <w:rPr>
          <w:rFonts w:ascii="Cambria" w:hAnsi="Cambria"/>
          <w:sz w:val="22"/>
        </w:rPr>
        <w:t>Audits must cover teaching, syllabus progress, attendance, internal assessments, lab work, and documentation.</w:t>
      </w:r>
    </w:p>
    <w:p>
      <w:pPr>
        <w:pStyle w:val="ListBullet"/>
        <w:spacing w:after="80"/>
      </w:pPr>
      <w:r>
        <w:rPr>
          <w:rFonts w:ascii="Cambria" w:hAnsi="Cambria"/>
          <w:sz w:val="22"/>
        </w:rPr>
        <w:t>Observations and deficiencies identified during the audit should be rectified immediately through corrective actions.</w:t>
      </w:r>
    </w:p>
    <w:p>
      <w:pPr>
        <w:keepNext/>
        <w:spacing w:before="200" w:after="160"/>
      </w:pPr>
      <w:r>
        <w:rPr>
          <w:rFonts w:ascii="Cambria" w:hAnsi="Cambria"/>
          <w:b/>
          <w:color w:val="1F3A5F"/>
          <w:sz w:val="26"/>
        </w:rPr>
        <w:t>2. Core Areas of Academic Audit</w:t>
      </w:r>
    </w:p>
    <w:tbl>
      <w:tblPr>
        <w:tblW w:type="auto" w:w="0"/>
        <w:jc w:val="center"/>
        <w:tblLayout w:type="fixed"/>
        <w:tblLook w:firstColumn="1" w:firstRow="1" w:lastColumn="0" w:lastRow="0" w:noHBand="0" w:noVBand="1" w:val="04A0"/>
        <w:tblW w:w="9979" w:type="dxa"/>
        <w:tblLayout w:type="fixed"/>
      </w:tblPr>
      <w:tblGrid>
        <w:gridCol w:w="3137"/>
        <w:gridCol w:w="3137"/>
        <w:gridCol w:w="3137"/>
      </w:tblGrid>
      <w:tr>
        <w:tc>
          <w:tcPr>
            <w:tcW w:type="dxa" w:w="1984"/>
            <w:shd w:val="clear" w:color="auto" w:fill="1F3A5F"/>
            <w:tcW w:w="1984" w:type="dxa"/>
          </w:tcPr>
          <w:p>
            <w:pPr>
              <w:jc w:val="center"/>
            </w:pPr>
            <w:r/>
            <w:r>
              <w:rPr>
                <w:rFonts w:ascii="Cambria" w:hAnsi="Cambria"/>
                <w:b/>
                <w:color w:val="FFFFFF"/>
                <w:sz w:val="20"/>
              </w:rPr>
              <w:t>Audit Focus Area</w:t>
            </w:r>
          </w:p>
        </w:tc>
        <w:tc>
          <w:tcPr>
            <w:tcW w:type="dxa" w:w="4025"/>
            <w:shd w:val="clear" w:color="auto" w:fill="1F3A5F"/>
            <w:tcW w:w="4025" w:type="dxa"/>
          </w:tcPr>
          <w:p>
            <w:pPr>
              <w:jc w:val="center"/>
            </w:pPr>
            <w:r/>
            <w:r>
              <w:rPr>
                <w:rFonts w:ascii="Cambria" w:hAnsi="Cambria"/>
                <w:b/>
                <w:color w:val="FFFFFF"/>
                <w:sz w:val="20"/>
              </w:rPr>
              <w:t>Key Points for Verification</w:t>
            </w:r>
          </w:p>
        </w:tc>
        <w:tc>
          <w:tcPr>
            <w:tcW w:type="dxa" w:w="3969"/>
            <w:shd w:val="clear" w:color="auto" w:fill="1F3A5F"/>
            <w:tcW w:w="3969" w:type="dxa"/>
          </w:tcPr>
          <w:p>
            <w:pPr>
              <w:jc w:val="center"/>
            </w:pPr>
            <w:r/>
            <w:r>
              <w:rPr>
                <w:rFonts w:ascii="Cambria" w:hAnsi="Cambria"/>
                <w:b/>
                <w:color w:val="FFFFFF"/>
                <w:sz w:val="20"/>
              </w:rPr>
              <w:t>Expected Action / Corrective Measure</w:t>
            </w:r>
          </w:p>
        </w:tc>
      </w:tr>
      <w:tr>
        <w:tc>
          <w:tcPr>
            <w:tcW w:type="dxa" w:w="1984"/>
            <w:tcW w:w="1984" w:type="dxa"/>
          </w:tcPr>
          <w:p>
            <w:pPr>
              <w:jc w:val="center"/>
            </w:pPr>
            <w:r/>
            <w:r>
              <w:rPr>
                <w:rFonts w:ascii="Cambria" w:hAnsi="Cambria"/>
                <w:b w:val="0"/>
                <w:sz w:val="19"/>
              </w:rPr>
              <w:t>1. Time Table Compliance</w:t>
            </w:r>
          </w:p>
        </w:tc>
        <w:tc>
          <w:tcPr>
            <w:tcW w:type="dxa" w:w="4025"/>
            <w:tcW w:w="4025" w:type="dxa"/>
          </w:tcPr>
          <w:p>
            <w:r/>
            <w:r>
              <w:rPr>
                <w:rFonts w:ascii="Cambria" w:hAnsi="Cambria"/>
                <w:b w:val="0"/>
                <w:sz w:val="19"/>
              </w:rPr>
              <w:t>Check if all faculty are following the timetable strictly without unauthorized changes or class omissions.</w:t>
            </w:r>
          </w:p>
        </w:tc>
        <w:tc>
          <w:tcPr>
            <w:tcW w:type="dxa" w:w="3969"/>
            <w:tcW w:w="3969" w:type="dxa"/>
          </w:tcPr>
          <w:p>
            <w:r/>
            <w:r>
              <w:rPr>
                <w:rFonts w:ascii="Cambria" w:hAnsi="Cambria"/>
                <w:b w:val="0"/>
                <w:sz w:val="19"/>
              </w:rPr>
              <w:t>Ensure rescheduling of missed classes and display updated timetable on notice board/ERP.</w:t>
            </w:r>
          </w:p>
        </w:tc>
      </w:tr>
      <w:tr>
        <w:tc>
          <w:tcPr>
            <w:tcW w:type="dxa" w:w="1984"/>
            <w:tcW w:w="1984" w:type="dxa"/>
            <w:shd w:val="clear" w:color="auto" w:fill="EDF2F8"/>
          </w:tcPr>
          <w:p>
            <w:pPr>
              <w:jc w:val="center"/>
            </w:pPr>
            <w:r/>
            <w:r>
              <w:rPr>
                <w:rFonts w:ascii="Cambria" w:hAnsi="Cambria"/>
                <w:b w:val="0"/>
                <w:sz w:val="19"/>
              </w:rPr>
              <w:t>2. Syllabus Coverage</w:t>
            </w:r>
          </w:p>
        </w:tc>
        <w:tc>
          <w:tcPr>
            <w:tcW w:type="dxa" w:w="4025"/>
            <w:tcW w:w="4025" w:type="dxa"/>
            <w:shd w:val="clear" w:color="auto" w:fill="EDF2F8"/>
          </w:tcPr>
          <w:p>
            <w:r/>
            <w:r>
              <w:rPr>
                <w:rFonts w:ascii="Cambria" w:hAnsi="Cambria"/>
                <w:b w:val="0"/>
                <w:sz w:val="19"/>
              </w:rPr>
              <w:t>Verify whether each faculty member is covering the syllabus as per the approved academic calendar and lesson plan.</w:t>
            </w:r>
          </w:p>
        </w:tc>
        <w:tc>
          <w:tcPr>
            <w:tcW w:type="dxa" w:w="3969"/>
            <w:tcW w:w="3969" w:type="dxa"/>
            <w:shd w:val="clear" w:color="auto" w:fill="EDF2F8"/>
          </w:tcPr>
          <w:p>
            <w:r/>
            <w:r>
              <w:rPr>
                <w:rFonts w:ascii="Cambria" w:hAnsi="Cambria"/>
                <w:b w:val="0"/>
                <w:sz w:val="19"/>
              </w:rPr>
              <w:t>Identify subjects lagging behind and arrange extra/makeup classes to complete the syllabus on time.</w:t>
            </w:r>
          </w:p>
        </w:tc>
      </w:tr>
      <w:tr>
        <w:tc>
          <w:tcPr>
            <w:tcW w:type="dxa" w:w="1984"/>
            <w:tcW w:w="1984" w:type="dxa"/>
          </w:tcPr>
          <w:p>
            <w:pPr>
              <w:jc w:val="center"/>
            </w:pPr>
            <w:r/>
            <w:r>
              <w:rPr>
                <w:rFonts w:ascii="Cambria" w:hAnsi="Cambria"/>
                <w:b w:val="0"/>
                <w:sz w:val="19"/>
              </w:rPr>
              <w:t>3. Attendance Registers</w:t>
            </w:r>
          </w:p>
        </w:tc>
        <w:tc>
          <w:tcPr>
            <w:tcW w:type="dxa" w:w="4025"/>
            <w:tcW w:w="4025" w:type="dxa"/>
          </w:tcPr>
          <w:p>
            <w:r/>
            <w:r>
              <w:rPr>
                <w:rFonts w:ascii="Cambria" w:hAnsi="Cambria"/>
                <w:b w:val="0"/>
                <w:sz w:val="19"/>
              </w:rPr>
              <w:t>Confirm that attendance registers are updated daily with both attendance and topics covered.</w:t>
            </w:r>
          </w:p>
        </w:tc>
        <w:tc>
          <w:tcPr>
            <w:tcW w:type="dxa" w:w="3969"/>
            <w:tcW w:w="3969" w:type="dxa"/>
          </w:tcPr>
          <w:p>
            <w:r/>
            <w:r>
              <w:rPr>
                <w:rFonts w:ascii="Cambria" w:hAnsi="Cambria"/>
                <w:b w:val="0"/>
                <w:sz w:val="19"/>
              </w:rPr>
              <w:t>Instruct defaulters to maintain records regularly and verify during weekly reviews.</w:t>
            </w:r>
          </w:p>
        </w:tc>
      </w:tr>
      <w:tr>
        <w:tc>
          <w:tcPr>
            <w:tcW w:type="dxa" w:w="1984"/>
            <w:tcW w:w="1984" w:type="dxa"/>
            <w:shd w:val="clear" w:color="auto" w:fill="EDF2F8"/>
          </w:tcPr>
          <w:p>
            <w:pPr>
              <w:jc w:val="center"/>
            </w:pPr>
            <w:r/>
            <w:r>
              <w:rPr>
                <w:rFonts w:ascii="Cambria" w:hAnsi="Cambria"/>
                <w:b w:val="0"/>
                <w:sz w:val="19"/>
              </w:rPr>
              <w:t>4. Lesson Plan Adherence</w:t>
            </w:r>
          </w:p>
        </w:tc>
        <w:tc>
          <w:tcPr>
            <w:tcW w:type="dxa" w:w="4025"/>
            <w:tcW w:w="4025" w:type="dxa"/>
            <w:shd w:val="clear" w:color="auto" w:fill="EDF2F8"/>
          </w:tcPr>
          <w:p>
            <w:r/>
            <w:r>
              <w:rPr>
                <w:rFonts w:ascii="Cambria" w:hAnsi="Cambria"/>
                <w:b w:val="0"/>
                <w:sz w:val="19"/>
              </w:rPr>
              <w:t>Ensure the teaching process aligns with the pre-approved lesson plan for each subject.</w:t>
            </w:r>
          </w:p>
        </w:tc>
        <w:tc>
          <w:tcPr>
            <w:tcW w:type="dxa" w:w="3969"/>
            <w:tcW w:w="3969" w:type="dxa"/>
            <w:shd w:val="clear" w:color="auto" w:fill="EDF2F8"/>
          </w:tcPr>
          <w:p>
            <w:r/>
            <w:r>
              <w:rPr>
                <w:rFonts w:ascii="Cambria" w:hAnsi="Cambria"/>
                <w:b w:val="0"/>
                <w:sz w:val="19"/>
              </w:rPr>
              <w:t>Direct faculty to revise plans if there are deviations or delays in coverage.</w:t>
            </w:r>
          </w:p>
        </w:tc>
      </w:tr>
      <w:tr>
        <w:tc>
          <w:tcPr>
            <w:tcW w:type="dxa" w:w="1984"/>
            <w:tcW w:w="1984" w:type="dxa"/>
          </w:tcPr>
          <w:p>
            <w:pPr>
              <w:jc w:val="center"/>
            </w:pPr>
            <w:r/>
            <w:r>
              <w:rPr>
                <w:rFonts w:ascii="Cambria" w:hAnsi="Cambria"/>
                <w:b w:val="0"/>
                <w:sz w:val="19"/>
              </w:rPr>
              <w:t>5. Internal Marks Entry</w:t>
            </w:r>
          </w:p>
        </w:tc>
        <w:tc>
          <w:tcPr>
            <w:tcW w:type="dxa" w:w="4025"/>
            <w:tcW w:w="4025" w:type="dxa"/>
          </w:tcPr>
          <w:p>
            <w:r/>
            <w:r>
              <w:rPr>
                <w:rFonts w:ascii="Cambria" w:hAnsi="Cambria"/>
                <w:b w:val="0"/>
                <w:sz w:val="19"/>
              </w:rPr>
              <w:t>Check if internal marks are entered in attendance registers and ERP within the stipulated time.</w:t>
            </w:r>
          </w:p>
        </w:tc>
        <w:tc>
          <w:tcPr>
            <w:tcW w:type="dxa" w:w="3969"/>
            <w:tcW w:w="3969" w:type="dxa"/>
          </w:tcPr>
          <w:p>
            <w:r/>
            <w:r>
              <w:rPr>
                <w:rFonts w:ascii="Cambria" w:hAnsi="Cambria"/>
                <w:b w:val="0"/>
                <w:sz w:val="19"/>
              </w:rPr>
              <w:t>Remind faculty of deadlines and ensure marks are verified before submission to the Examination Section.</w:t>
            </w:r>
          </w:p>
        </w:tc>
      </w:tr>
      <w:tr>
        <w:tc>
          <w:tcPr>
            <w:tcW w:type="dxa" w:w="1984"/>
            <w:tcW w:w="1984" w:type="dxa"/>
            <w:shd w:val="clear" w:color="auto" w:fill="EDF2F8"/>
          </w:tcPr>
          <w:p>
            <w:pPr>
              <w:jc w:val="center"/>
            </w:pPr>
            <w:r/>
            <w:r>
              <w:rPr>
                <w:rFonts w:ascii="Cambria" w:hAnsi="Cambria"/>
                <w:b w:val="0"/>
                <w:sz w:val="19"/>
              </w:rPr>
              <w:t>6. Course File Maintenance</w:t>
            </w:r>
          </w:p>
        </w:tc>
        <w:tc>
          <w:tcPr>
            <w:tcW w:type="dxa" w:w="4025"/>
            <w:tcW w:w="4025" w:type="dxa"/>
            <w:shd w:val="clear" w:color="auto" w:fill="EDF2F8"/>
          </w:tcPr>
          <w:p>
            <w:r/>
            <w:r>
              <w:rPr>
                <w:rFonts w:ascii="Cambria" w:hAnsi="Cambria"/>
                <w:b w:val="0"/>
                <w:sz w:val="19"/>
              </w:rPr>
              <w:t>Review faculty course files for completeness (lesson plan, question papers, assignments, student performance analysis).</w:t>
            </w:r>
          </w:p>
        </w:tc>
        <w:tc>
          <w:tcPr>
            <w:tcW w:type="dxa" w:w="3969"/>
            <w:tcW w:w="3969" w:type="dxa"/>
            <w:shd w:val="clear" w:color="auto" w:fill="EDF2F8"/>
          </w:tcPr>
          <w:p>
            <w:r/>
            <w:r>
              <w:rPr>
                <w:rFonts w:ascii="Cambria" w:hAnsi="Cambria"/>
                <w:b w:val="0"/>
                <w:sz w:val="19"/>
              </w:rPr>
              <w:t>Return incomplete files for immediate updating and re-audit post correction.</w:t>
            </w:r>
          </w:p>
        </w:tc>
      </w:tr>
      <w:tr>
        <w:tc>
          <w:tcPr>
            <w:tcW w:type="dxa" w:w="1984"/>
            <w:tcW w:w="1984" w:type="dxa"/>
          </w:tcPr>
          <w:p>
            <w:pPr>
              <w:jc w:val="center"/>
            </w:pPr>
            <w:r/>
            <w:r>
              <w:rPr>
                <w:rFonts w:ascii="Cambria" w:hAnsi="Cambria"/>
                <w:b w:val="0"/>
                <w:sz w:val="19"/>
              </w:rPr>
              <w:t>7. Internal Exam &amp; Syllabus Convergence</w:t>
            </w:r>
          </w:p>
        </w:tc>
        <w:tc>
          <w:tcPr>
            <w:tcW w:type="dxa" w:w="4025"/>
            <w:tcW w:w="4025" w:type="dxa"/>
          </w:tcPr>
          <w:p>
            <w:r/>
            <w:r>
              <w:rPr>
                <w:rFonts w:ascii="Cambria" w:hAnsi="Cambria"/>
                <w:b w:val="0"/>
                <w:sz w:val="19"/>
              </w:rPr>
              <w:t>Verify whether the syllabus is completed in sync with the internal exam schedule.</w:t>
            </w:r>
          </w:p>
        </w:tc>
        <w:tc>
          <w:tcPr>
            <w:tcW w:type="dxa" w:w="3969"/>
            <w:tcW w:w="3969" w:type="dxa"/>
          </w:tcPr>
          <w:p>
            <w:r/>
            <w:r>
              <w:rPr>
                <w:rFonts w:ascii="Cambria" w:hAnsi="Cambria"/>
                <w:b w:val="0"/>
                <w:sz w:val="19"/>
              </w:rPr>
              <w:t>Advise faculty to plan revisions and remedial classes before mid and end-term tests.</w:t>
            </w:r>
          </w:p>
        </w:tc>
      </w:tr>
      <w:tr>
        <w:tc>
          <w:tcPr>
            <w:tcW w:type="dxa" w:w="1984"/>
            <w:tcW w:w="1984" w:type="dxa"/>
            <w:shd w:val="clear" w:color="auto" w:fill="EDF2F8"/>
          </w:tcPr>
          <w:p>
            <w:pPr>
              <w:jc w:val="center"/>
            </w:pPr>
            <w:r/>
            <w:r>
              <w:rPr>
                <w:rFonts w:ascii="Cambria" w:hAnsi="Cambria"/>
                <w:b w:val="0"/>
                <w:sz w:val="19"/>
              </w:rPr>
              <w:t>8. Complaints and Grievances</w:t>
            </w:r>
          </w:p>
        </w:tc>
        <w:tc>
          <w:tcPr>
            <w:tcW w:type="dxa" w:w="4025"/>
            <w:tcW w:w="4025" w:type="dxa"/>
            <w:shd w:val="clear" w:color="auto" w:fill="EDF2F8"/>
          </w:tcPr>
          <w:p>
            <w:r/>
            <w:r>
              <w:rPr>
                <w:rFonts w:ascii="Cambria" w:hAnsi="Cambria"/>
                <w:b w:val="0"/>
                <w:sz w:val="19"/>
              </w:rPr>
              <w:t>Review academic or student complaints recorded in the Suggestion–Complaints Book.</w:t>
            </w:r>
          </w:p>
        </w:tc>
        <w:tc>
          <w:tcPr>
            <w:tcW w:type="dxa" w:w="3969"/>
            <w:tcW w:w="3969" w:type="dxa"/>
            <w:shd w:val="clear" w:color="auto" w:fill="EDF2F8"/>
          </w:tcPr>
          <w:p>
            <w:r/>
            <w:r>
              <w:rPr>
                <w:rFonts w:ascii="Cambria" w:hAnsi="Cambria"/>
                <w:b w:val="0"/>
                <w:sz w:val="19"/>
              </w:rPr>
              <w:t>Ensure proper documentation of corrective actions and follow-up reports.</w:t>
            </w:r>
          </w:p>
        </w:tc>
      </w:tr>
      <w:tr>
        <w:tc>
          <w:tcPr>
            <w:tcW w:type="dxa" w:w="1984"/>
            <w:tcW w:w="1984" w:type="dxa"/>
          </w:tcPr>
          <w:p>
            <w:pPr>
              <w:jc w:val="center"/>
            </w:pPr>
            <w:r/>
            <w:r>
              <w:rPr>
                <w:rFonts w:ascii="Cambria" w:hAnsi="Cambria"/>
                <w:b w:val="0"/>
                <w:sz w:val="19"/>
              </w:rPr>
              <w:t>9. Faculty Absence &amp; Subject Delay</w:t>
            </w:r>
          </w:p>
        </w:tc>
        <w:tc>
          <w:tcPr>
            <w:tcW w:type="dxa" w:w="4025"/>
            <w:tcW w:w="4025" w:type="dxa"/>
          </w:tcPr>
          <w:p>
            <w:r/>
            <w:r>
              <w:rPr>
                <w:rFonts w:ascii="Cambria" w:hAnsi="Cambria"/>
                <w:b w:val="0"/>
                <w:sz w:val="19"/>
              </w:rPr>
              <w:t>Check how classes are managed when a teacher is absent or when syllabus completion is delayed.</w:t>
            </w:r>
          </w:p>
        </w:tc>
        <w:tc>
          <w:tcPr>
            <w:tcW w:type="dxa" w:w="3969"/>
            <w:tcW w:w="3969" w:type="dxa"/>
          </w:tcPr>
          <w:p>
            <w:r/>
            <w:r>
              <w:rPr>
                <w:rFonts w:ascii="Cambria" w:hAnsi="Cambria"/>
                <w:b w:val="0"/>
                <w:sz w:val="19"/>
              </w:rPr>
              <w:t>Arrange substitute faculty, guest lecturers, or reschedule classes to prevent learning gaps.</w:t>
            </w:r>
          </w:p>
        </w:tc>
      </w:tr>
      <w:tr>
        <w:tc>
          <w:tcPr>
            <w:tcW w:type="dxa" w:w="1984"/>
            <w:tcW w:w="1984" w:type="dxa"/>
            <w:shd w:val="clear" w:color="auto" w:fill="EDF2F8"/>
          </w:tcPr>
          <w:p>
            <w:pPr>
              <w:jc w:val="center"/>
            </w:pPr>
            <w:r/>
            <w:r>
              <w:rPr>
                <w:rFonts w:ascii="Cambria" w:hAnsi="Cambria"/>
                <w:b w:val="0"/>
                <w:sz w:val="19"/>
              </w:rPr>
              <w:t>10. Laboratory Work &amp; Attendance</w:t>
            </w:r>
          </w:p>
        </w:tc>
        <w:tc>
          <w:tcPr>
            <w:tcW w:type="dxa" w:w="4025"/>
            <w:tcW w:w="4025" w:type="dxa"/>
            <w:shd w:val="clear" w:color="auto" w:fill="EDF2F8"/>
          </w:tcPr>
          <w:p>
            <w:r/>
            <w:r>
              <w:rPr>
                <w:rFonts w:ascii="Cambria" w:hAnsi="Cambria"/>
                <w:b w:val="0"/>
                <w:sz w:val="19"/>
              </w:rPr>
              <w:t>Ensure that lab attendance registers are updated daily and experiment work is evaluated continuously.</w:t>
            </w:r>
          </w:p>
        </w:tc>
        <w:tc>
          <w:tcPr>
            <w:tcW w:type="dxa" w:w="3969"/>
            <w:tcW w:w="3969" w:type="dxa"/>
            <w:shd w:val="clear" w:color="auto" w:fill="EDF2F8"/>
          </w:tcPr>
          <w:p>
            <w:r/>
            <w:r>
              <w:rPr>
                <w:rFonts w:ascii="Cambria" w:hAnsi="Cambria"/>
                <w:b w:val="0"/>
                <w:sz w:val="19"/>
              </w:rPr>
              <w:t>Conduct surprise lab inspections to verify records and student engagement.</w:t>
            </w:r>
          </w:p>
        </w:tc>
      </w:tr>
    </w:tbl>
    <w:p>
      <w:pPr>
        <w:keepNext/>
        <w:spacing w:before="200" w:after="160"/>
      </w:pPr>
      <w:r>
        <w:rPr>
          <w:rFonts w:ascii="Cambria" w:hAnsi="Cambria"/>
          <w:b/>
          <w:color w:val="1F3A5F"/>
          <w:sz w:val="26"/>
        </w:rPr>
        <w:t>3. Administrative Audit Responsibilities</w:t>
      </w:r>
    </w:p>
    <w:p>
      <w:pPr>
        <w:pStyle w:val="ListBullet"/>
        <w:spacing w:after="80"/>
      </w:pPr>
      <w:r>
        <w:rPr>
          <w:rFonts w:ascii="Cambria" w:hAnsi="Cambria"/>
          <w:sz w:val="22"/>
        </w:rPr>
        <w:t>Review office records, circular compliance, staff attendance, and documentation to ensure departmental administrative efficiency.</w:t>
      </w:r>
    </w:p>
    <w:p>
      <w:pPr>
        <w:pStyle w:val="ListBullet"/>
        <w:spacing w:after="80"/>
      </w:pPr>
      <w:r>
        <w:rPr>
          <w:rFonts w:ascii="Cambria" w:hAnsi="Cambria"/>
          <w:sz w:val="22"/>
        </w:rPr>
        <w:t>Check maintenance of stock registers, equipment logs, laboratory consumables, and asset utilization.</w:t>
      </w:r>
    </w:p>
    <w:p>
      <w:pPr>
        <w:pStyle w:val="ListBullet"/>
        <w:spacing w:after="80"/>
      </w:pPr>
      <w:r>
        <w:rPr>
          <w:rFonts w:ascii="Cambria" w:hAnsi="Cambria"/>
          <w:sz w:val="22"/>
        </w:rPr>
        <w:t>Ensure that all NAAC/NBA documentation, IQAC reports, and meeting minutes are up to date and filed systematically.</w:t>
      </w:r>
    </w:p>
    <w:p>
      <w:pPr>
        <w:pStyle w:val="ListBullet"/>
        <w:spacing w:after="80"/>
      </w:pPr>
      <w:r>
        <w:rPr>
          <w:rFonts w:ascii="Cambria" w:hAnsi="Cambria"/>
          <w:sz w:val="22"/>
        </w:rPr>
        <w:t>Verify that communication between faculty, students, and administration is properly documented (emails, notices, circulars).</w:t>
      </w:r>
    </w:p>
    <w:p>
      <w:pPr>
        <w:keepNext/>
        <w:spacing w:before="200" w:after="160"/>
      </w:pPr>
      <w:r>
        <w:rPr>
          <w:rFonts w:ascii="Cambria" w:hAnsi="Cambria"/>
          <w:b/>
          <w:color w:val="1F3A5F"/>
          <w:sz w:val="26"/>
        </w:rPr>
        <w:t>4. Documentation and Reporting</w:t>
      </w:r>
    </w:p>
    <w:p>
      <w:pPr>
        <w:pStyle w:val="ListBullet"/>
        <w:spacing w:after="80"/>
      </w:pPr>
      <w:r>
        <w:rPr>
          <w:rFonts w:ascii="Cambria" w:hAnsi="Cambria"/>
          <w:sz w:val="22"/>
        </w:rPr>
        <w:t>Maintain an Academic &amp; Administrative Audit File containing:</w:t>
      </w:r>
    </w:p>
    <w:p>
      <w:pPr>
        <w:pStyle w:val="ListBullet2"/>
        <w:spacing w:after="80"/>
      </w:pPr>
      <w:r>
        <w:rPr>
          <w:rFonts w:ascii="Cambria" w:hAnsi="Cambria"/>
          <w:sz w:val="22"/>
        </w:rPr>
        <w:t>Audit schedule and checklist.</w:t>
      </w:r>
    </w:p>
    <w:p>
      <w:pPr>
        <w:pStyle w:val="ListBullet2"/>
        <w:spacing w:after="80"/>
      </w:pPr>
      <w:r>
        <w:rPr>
          <w:rFonts w:ascii="Cambria" w:hAnsi="Cambria"/>
          <w:sz w:val="22"/>
        </w:rPr>
        <w:t>Observations, deficiencies, and improvement actions.</w:t>
      </w:r>
    </w:p>
    <w:p>
      <w:pPr>
        <w:pStyle w:val="ListBullet2"/>
        <w:spacing w:after="80"/>
      </w:pPr>
      <w:r>
        <w:rPr>
          <w:rFonts w:ascii="Cambria" w:hAnsi="Cambria"/>
          <w:sz w:val="22"/>
        </w:rPr>
        <w:t>Corrective Action Reports (CAR) and faculty compliance notes.</w:t>
      </w:r>
    </w:p>
    <w:p>
      <w:pPr>
        <w:pStyle w:val="ListBullet2"/>
        <w:spacing w:after="80"/>
      </w:pPr>
      <w:r>
        <w:rPr>
          <w:rFonts w:ascii="Cambria" w:hAnsi="Cambria"/>
          <w:sz w:val="22"/>
        </w:rPr>
        <w:t>Supporting evidence such as attendance registers, time tables, and course files.</w:t>
      </w:r>
    </w:p>
    <w:p>
      <w:pPr>
        <w:pStyle w:val="ListBullet"/>
        <w:spacing w:after="80"/>
      </w:pPr>
      <w:r>
        <w:rPr>
          <w:rFonts w:ascii="Cambria" w:hAnsi="Cambria"/>
          <w:sz w:val="22"/>
        </w:rPr>
        <w:t>Prepare an Audit Summary Report after each audit and submit it to the Principal/IQAC for review.</w:t>
      </w:r>
    </w:p>
    <w:p>
      <w:pPr>
        <w:pStyle w:val="ListBullet"/>
        <w:spacing w:after="80"/>
      </w:pPr>
      <w:r>
        <w:rPr>
          <w:rFonts w:ascii="Cambria" w:hAnsi="Cambria"/>
          <w:sz w:val="22"/>
        </w:rPr>
        <w:t>Record all audit findings in the Departmental Quality Assurance Register.</w:t>
      </w:r>
    </w:p>
    <w:p>
      <w:pPr>
        <w:keepNext/>
        <w:spacing w:before="200" w:after="160"/>
      </w:pPr>
      <w:r>
        <w:rPr>
          <w:rFonts w:ascii="Cambria" w:hAnsi="Cambria"/>
          <w:b/>
          <w:color w:val="1F3A5F"/>
          <w:sz w:val="26"/>
        </w:rPr>
        <w:t>5. Corrective and Preventive Actions</w:t>
      </w:r>
    </w:p>
    <w:p>
      <w:pPr>
        <w:pStyle w:val="ListBullet"/>
        <w:spacing w:after="80"/>
      </w:pPr>
      <w:r>
        <w:rPr>
          <w:rFonts w:ascii="Cambria" w:hAnsi="Cambria"/>
          <w:sz w:val="22"/>
        </w:rPr>
        <w:t>Take immediate corrective measures where non-compliance or delays are observed.</w:t>
      </w:r>
    </w:p>
    <w:p>
      <w:pPr>
        <w:pStyle w:val="ListBullet"/>
        <w:spacing w:after="80"/>
      </w:pPr>
      <w:r>
        <w:rPr>
          <w:rFonts w:ascii="Cambria" w:hAnsi="Cambria"/>
          <w:sz w:val="22"/>
        </w:rPr>
        <w:t>Conduct follow-up reviews to ensure previous audit issues are fully resolved.</w:t>
      </w:r>
    </w:p>
    <w:p>
      <w:pPr>
        <w:pStyle w:val="ListBullet"/>
        <w:spacing w:after="80"/>
      </w:pPr>
      <w:r>
        <w:rPr>
          <w:rFonts w:ascii="Cambria" w:hAnsi="Cambria"/>
          <w:sz w:val="22"/>
        </w:rPr>
        <w:t>Discuss major audit findings in departmental meetings and create an action plan to prevent recurrence.</w:t>
      </w:r>
    </w:p>
    <w:p>
      <w:pPr>
        <w:pStyle w:val="ListBullet"/>
        <w:spacing w:after="80"/>
      </w:pPr>
      <w:r>
        <w:rPr>
          <w:rFonts w:ascii="Cambria" w:hAnsi="Cambria"/>
          <w:sz w:val="22"/>
        </w:rPr>
        <w:t>Use audit insights to continuously improve academic planning, faculty accountability, and student outcomes.</w:t>
      </w:r>
    </w:p>
    <w:p>
      <w:pPr>
        <w:keepNext/>
        <w:spacing w:before="200" w:after="160"/>
      </w:pPr>
      <w:r>
        <w:rPr>
          <w:rFonts w:ascii="Cambria" w:hAnsi="Cambria"/>
          <w:b/>
          <w:color w:val="1F3A5F"/>
          <w:sz w:val="26"/>
        </w:rPr>
        <w:t>6. Coordination with IQAC and Principal</w:t>
      </w:r>
    </w:p>
    <w:p>
      <w:pPr>
        <w:pStyle w:val="ListBullet"/>
        <w:spacing w:after="80"/>
      </w:pPr>
      <w:r>
        <w:rPr>
          <w:rFonts w:ascii="Cambria" w:hAnsi="Cambria"/>
          <w:sz w:val="22"/>
        </w:rPr>
        <w:t>Submit quarterly academic audit reports to the IQAC for institutional monitoring.</w:t>
      </w:r>
    </w:p>
    <w:p>
      <w:pPr>
        <w:pStyle w:val="ListBullet"/>
        <w:spacing w:after="80"/>
      </w:pPr>
      <w:r>
        <w:rPr>
          <w:rFonts w:ascii="Cambria" w:hAnsi="Cambria"/>
          <w:sz w:val="22"/>
        </w:rPr>
        <w:t>Consult with the Principal for support in resolving issues beyond the department's capacity (e.g., staffing shortages, infrastructure gaps).</w:t>
      </w:r>
    </w:p>
    <w:p>
      <w:pPr>
        <w:pStyle w:val="ListBullet"/>
        <w:spacing w:after="80"/>
      </w:pPr>
      <w:r>
        <w:rPr>
          <w:rFonts w:ascii="Cambria" w:hAnsi="Cambria"/>
          <w:sz w:val="22"/>
        </w:rPr>
        <w:t>Align all audit processes with institutional quality assurance frameworks (NAAC/NBA/ISO).</w:t>
      </w:r>
    </w:p>
    <w:p>
      <w:pPr>
        <w:keepNext/>
        <w:spacing w:before="200" w:after="160"/>
      </w:pPr>
      <w:r>
        <w:rPr>
          <w:rFonts w:ascii="Cambria" w:hAnsi="Cambria"/>
          <w:b/>
          <w:color w:val="1F3A5F"/>
          <w:sz w:val="26"/>
        </w:rPr>
        <w:t>7. Continuous Monitoring and Quality Enhancement</w:t>
      </w:r>
    </w:p>
    <w:p>
      <w:pPr>
        <w:pStyle w:val="ListBullet"/>
        <w:spacing w:after="80"/>
      </w:pPr>
      <w:r>
        <w:rPr>
          <w:rFonts w:ascii="Cambria" w:hAnsi="Cambria"/>
          <w:sz w:val="22"/>
        </w:rPr>
        <w:t>Promote a culture of self-assessment and internal quality checks among faculty.</w:t>
      </w:r>
    </w:p>
    <w:p>
      <w:pPr>
        <w:pStyle w:val="ListBullet"/>
        <w:spacing w:after="80"/>
      </w:pPr>
      <w:r>
        <w:rPr>
          <w:rFonts w:ascii="Cambria" w:hAnsi="Cambria"/>
          <w:sz w:val="22"/>
        </w:rPr>
        <w:t>Encourage each faculty member to review their own course delivery and documentation regularly.</w:t>
      </w:r>
    </w:p>
    <w:p>
      <w:pPr>
        <w:pStyle w:val="ListBullet"/>
        <w:spacing w:after="80"/>
      </w:pPr>
      <w:r>
        <w:rPr>
          <w:rFonts w:ascii="Cambria" w:hAnsi="Cambria"/>
          <w:sz w:val="22"/>
        </w:rPr>
        <w:t>Use academic audit results to identify training needs, best practices, and performance improvement areas.</w:t>
      </w:r>
    </w:p>
    <w:p>
      <w:r>
        <w:br w:type="page"/>
      </w:r>
    </w:p>
    <w:p>
      <w:pPr>
        <w:keepNext/>
        <w:spacing w:before="280" w:after="160"/>
      </w:pPr>
      <w:r>
        <w:rPr>
          <w:rFonts w:ascii="Cambria" w:hAnsi="Cambria"/>
          <w:b/>
          <w:color w:val="1F3A5F"/>
          <w:sz w:val="36"/>
        </w:rPr>
        <w:t>10. Responsibilities of Head of Department (HoD) Related to Academic &amp; Administrative Audit: Monthly Reporting to the Principal</w:t>
      </w:r>
    </w:p>
    <w:p>
      <w:pPr>
        <w:keepNext/>
        <w:spacing w:before="200" w:after="160"/>
      </w:pPr>
      <w:r>
        <w:rPr>
          <w:rFonts w:ascii="Cambria" w:hAnsi="Cambria"/>
          <w:b/>
          <w:color w:val="1F3A5F"/>
          <w:sz w:val="26"/>
        </w:rPr>
        <w:t>1. Preparation of Monthly Academic Audit Report</w:t>
      </w:r>
    </w:p>
    <w:p>
      <w:pPr>
        <w:pStyle w:val="ListBullet"/>
        <w:spacing w:after="80"/>
      </w:pPr>
      <w:r>
        <w:rPr>
          <w:rFonts w:ascii="Cambria" w:hAnsi="Cambria"/>
          <w:sz w:val="22"/>
        </w:rPr>
        <w:t>The HoD must prepare a comprehensive Academic Audit Report every month summarizing the academic and administrative performance of the department.</w:t>
      </w:r>
    </w:p>
    <w:p>
      <w:pPr>
        <w:pStyle w:val="ListBullet"/>
        <w:spacing w:after="80"/>
      </w:pPr>
      <w:r>
        <w:rPr>
          <w:rFonts w:ascii="Cambria" w:hAnsi="Cambria"/>
          <w:sz w:val="22"/>
        </w:rPr>
        <w:t>The report should serve as an evaluation tool to ensure that teaching–learning activities, syllabus completion, attendance maintenance, and internal assessments are being carried out as per institutional guidelines.</w:t>
      </w:r>
    </w:p>
    <w:p>
      <w:pPr>
        <w:pStyle w:val="ListBullet"/>
        <w:spacing w:after="80"/>
      </w:pPr>
      <w:r>
        <w:rPr>
          <w:rFonts w:ascii="Cambria" w:hAnsi="Cambria"/>
          <w:sz w:val="22"/>
        </w:rPr>
        <w:t>The report must be based on verified audit observations, supported by relevant records such as timetables, attendance registers, and course files.</w:t>
      </w:r>
    </w:p>
    <w:p>
      <w:pPr>
        <w:keepNext/>
        <w:spacing w:before="200" w:after="160"/>
      </w:pPr>
      <w:r>
        <w:rPr>
          <w:rFonts w:ascii="Cambria" w:hAnsi="Cambria"/>
          <w:b/>
          <w:color w:val="1F3A5F"/>
          <w:sz w:val="26"/>
        </w:rPr>
        <w:t>2. Key Components of the Monthly Academic Audit Report</w:t>
      </w:r>
    </w:p>
    <w:tbl>
      <w:tblPr>
        <w:tblW w:type="auto" w:w="0"/>
        <w:jc w:val="center"/>
        <w:tblLayout w:type="fixed"/>
        <w:tblLook w:firstColumn="1" w:firstRow="1" w:lastColumn="0" w:lastRow="0" w:noHBand="0" w:noVBand="1" w:val="04A0"/>
        <w:tblW w:w="9979" w:type="dxa"/>
        <w:tblLayout w:type="fixed"/>
      </w:tblPr>
      <w:tblGrid>
        <w:gridCol w:w="3137"/>
        <w:gridCol w:w="3137"/>
        <w:gridCol w:w="3137"/>
      </w:tblGrid>
      <w:tr>
        <w:tc>
          <w:tcPr>
            <w:tcW w:type="dxa" w:w="1871"/>
            <w:shd w:val="clear" w:color="auto" w:fill="1F3A5F"/>
            <w:tcW w:w="1871" w:type="dxa"/>
          </w:tcPr>
          <w:p>
            <w:pPr>
              <w:jc w:val="center"/>
            </w:pPr>
            <w:r/>
            <w:r>
              <w:rPr>
                <w:rFonts w:ascii="Cambria" w:hAnsi="Cambria"/>
                <w:b/>
                <w:color w:val="FFFFFF"/>
                <w:sz w:val="20"/>
              </w:rPr>
              <w:t>Section</w:t>
            </w:r>
          </w:p>
        </w:tc>
        <w:tc>
          <w:tcPr>
            <w:tcW w:type="dxa" w:w="3685"/>
            <w:shd w:val="clear" w:color="auto" w:fill="1F3A5F"/>
            <w:tcW w:w="3685" w:type="dxa"/>
          </w:tcPr>
          <w:p>
            <w:pPr>
              <w:jc w:val="center"/>
            </w:pPr>
            <w:r/>
            <w:r>
              <w:rPr>
                <w:rFonts w:ascii="Cambria" w:hAnsi="Cambria"/>
                <w:b/>
                <w:color w:val="FFFFFF"/>
                <w:sz w:val="20"/>
              </w:rPr>
              <w:t>Audit Focus Area</w:t>
            </w:r>
          </w:p>
        </w:tc>
        <w:tc>
          <w:tcPr>
            <w:tcW w:type="dxa" w:w="4422"/>
            <w:shd w:val="clear" w:color="auto" w:fill="1F3A5F"/>
            <w:tcW w:w="4422" w:type="dxa"/>
          </w:tcPr>
          <w:p>
            <w:pPr>
              <w:jc w:val="center"/>
            </w:pPr>
            <w:r/>
            <w:r>
              <w:rPr>
                <w:rFonts w:ascii="Cambria" w:hAnsi="Cambria"/>
                <w:b/>
                <w:color w:val="FFFFFF"/>
                <w:sz w:val="20"/>
              </w:rPr>
              <w:t>Details to be Reported by HoD</w:t>
            </w:r>
          </w:p>
        </w:tc>
      </w:tr>
      <w:tr>
        <w:tc>
          <w:tcPr>
            <w:tcW w:type="dxa" w:w="1871"/>
            <w:tcW w:w="1871" w:type="dxa"/>
          </w:tcPr>
          <w:p>
            <w:pPr>
              <w:jc w:val="center"/>
            </w:pPr>
            <w:r/>
            <w:r>
              <w:rPr>
                <w:rFonts w:ascii="Cambria" w:hAnsi="Cambria"/>
                <w:b w:val="0"/>
                <w:sz w:val="19"/>
              </w:rPr>
              <w:t>1. Time Table Adherence</w:t>
            </w:r>
          </w:p>
        </w:tc>
        <w:tc>
          <w:tcPr>
            <w:tcW w:type="dxa" w:w="3685"/>
            <w:tcW w:w="3685" w:type="dxa"/>
          </w:tcPr>
          <w:p>
            <w:r/>
            <w:r>
              <w:rPr>
                <w:rFonts w:ascii="Cambria" w:hAnsi="Cambria"/>
                <w:b w:val="0"/>
                <w:sz w:val="19"/>
              </w:rPr>
              <w:t>Verify if classes are being conducted as per the approved timetable.</w:t>
            </w:r>
          </w:p>
        </w:tc>
        <w:tc>
          <w:tcPr>
            <w:tcW w:type="dxa" w:w="4422"/>
            <w:tcW w:w="4422" w:type="dxa"/>
          </w:tcPr>
          <w:p>
            <w:r/>
            <w:r>
              <w:rPr>
                <w:rFonts w:ascii="Cambria" w:hAnsi="Cambria"/>
                <w:b w:val="0"/>
                <w:sz w:val="19"/>
              </w:rPr>
              <w:t>Mention deviations, substitutions made, and any rescheduled classes.</w:t>
            </w:r>
          </w:p>
        </w:tc>
      </w:tr>
      <w:tr>
        <w:tc>
          <w:tcPr>
            <w:tcW w:type="dxa" w:w="1871"/>
            <w:tcW w:w="1871" w:type="dxa"/>
            <w:shd w:val="clear" w:color="auto" w:fill="EDF2F8"/>
          </w:tcPr>
          <w:p>
            <w:pPr>
              <w:jc w:val="center"/>
            </w:pPr>
            <w:r/>
            <w:r>
              <w:rPr>
                <w:rFonts w:ascii="Cambria" w:hAnsi="Cambria"/>
                <w:b w:val="0"/>
                <w:sz w:val="19"/>
              </w:rPr>
              <w:t>2. Syllabus Coverage</w:t>
            </w:r>
          </w:p>
        </w:tc>
        <w:tc>
          <w:tcPr>
            <w:tcW w:type="dxa" w:w="3685"/>
            <w:tcW w:w="3685" w:type="dxa"/>
            <w:shd w:val="clear" w:color="auto" w:fill="EDF2F8"/>
          </w:tcPr>
          <w:p>
            <w:r/>
            <w:r>
              <w:rPr>
                <w:rFonts w:ascii="Cambria" w:hAnsi="Cambria"/>
                <w:b w:val="0"/>
                <w:sz w:val="19"/>
              </w:rPr>
              <w:t>Review progress of syllabus completion for each subject.</w:t>
            </w:r>
          </w:p>
        </w:tc>
        <w:tc>
          <w:tcPr>
            <w:tcW w:type="dxa" w:w="4422"/>
            <w:tcW w:w="4422" w:type="dxa"/>
            <w:shd w:val="clear" w:color="auto" w:fill="EDF2F8"/>
          </w:tcPr>
          <w:p>
            <w:r/>
            <w:r>
              <w:rPr>
                <w:rFonts w:ascii="Cambria" w:hAnsi="Cambria"/>
                <w:b w:val="0"/>
                <w:sz w:val="19"/>
              </w:rPr>
              <w:t>Indicate percentage coverage and corrective measures for delays.</w:t>
            </w:r>
          </w:p>
        </w:tc>
      </w:tr>
      <w:tr>
        <w:tc>
          <w:tcPr>
            <w:tcW w:type="dxa" w:w="1871"/>
            <w:tcW w:w="1871" w:type="dxa"/>
          </w:tcPr>
          <w:p>
            <w:pPr>
              <w:jc w:val="center"/>
            </w:pPr>
            <w:r/>
            <w:r>
              <w:rPr>
                <w:rFonts w:ascii="Cambria" w:hAnsi="Cambria"/>
                <w:b w:val="0"/>
                <w:sz w:val="19"/>
              </w:rPr>
              <w:t>3. Attendance Records</w:t>
            </w:r>
          </w:p>
        </w:tc>
        <w:tc>
          <w:tcPr>
            <w:tcW w:type="dxa" w:w="3685"/>
            <w:tcW w:w="3685" w:type="dxa"/>
          </w:tcPr>
          <w:p>
            <w:r/>
            <w:r>
              <w:rPr>
                <w:rFonts w:ascii="Cambria" w:hAnsi="Cambria"/>
                <w:b w:val="0"/>
                <w:sz w:val="19"/>
              </w:rPr>
              <w:t>Check daily updates of attendance and topics covered.</w:t>
            </w:r>
          </w:p>
        </w:tc>
        <w:tc>
          <w:tcPr>
            <w:tcW w:type="dxa" w:w="4422"/>
            <w:tcW w:w="4422" w:type="dxa"/>
          </w:tcPr>
          <w:p>
            <w:r/>
            <w:r>
              <w:rPr>
                <w:rFonts w:ascii="Cambria" w:hAnsi="Cambria"/>
                <w:b w:val="0"/>
                <w:sz w:val="19"/>
              </w:rPr>
              <w:t>Report average attendance percentage and list of defaulters (&lt;75%).</w:t>
            </w:r>
          </w:p>
        </w:tc>
      </w:tr>
      <w:tr>
        <w:tc>
          <w:tcPr>
            <w:tcW w:type="dxa" w:w="1871"/>
            <w:tcW w:w="1871" w:type="dxa"/>
            <w:shd w:val="clear" w:color="auto" w:fill="EDF2F8"/>
          </w:tcPr>
          <w:p>
            <w:pPr>
              <w:jc w:val="center"/>
            </w:pPr>
            <w:r/>
            <w:r>
              <w:rPr>
                <w:rFonts w:ascii="Cambria" w:hAnsi="Cambria"/>
                <w:b w:val="0"/>
                <w:sz w:val="19"/>
              </w:rPr>
              <w:t>4. Lesson Plan Implementation</w:t>
            </w:r>
          </w:p>
        </w:tc>
        <w:tc>
          <w:tcPr>
            <w:tcW w:type="dxa" w:w="3685"/>
            <w:tcW w:w="3685" w:type="dxa"/>
            <w:shd w:val="clear" w:color="auto" w:fill="EDF2F8"/>
          </w:tcPr>
          <w:p>
            <w:r/>
            <w:r>
              <w:rPr>
                <w:rFonts w:ascii="Cambria" w:hAnsi="Cambria"/>
                <w:b w:val="0"/>
                <w:sz w:val="19"/>
              </w:rPr>
              <w:t>Ensure lesson plans are followed as scheduled.</w:t>
            </w:r>
          </w:p>
        </w:tc>
        <w:tc>
          <w:tcPr>
            <w:tcW w:type="dxa" w:w="4422"/>
            <w:tcW w:w="4422" w:type="dxa"/>
            <w:shd w:val="clear" w:color="auto" w:fill="EDF2F8"/>
          </w:tcPr>
          <w:p>
            <w:r/>
            <w:r>
              <w:rPr>
                <w:rFonts w:ascii="Cambria" w:hAnsi="Cambria"/>
                <w:b w:val="0"/>
                <w:sz w:val="19"/>
              </w:rPr>
              <w:t>Note any deviations and actions taken to bridge gaps.</w:t>
            </w:r>
          </w:p>
        </w:tc>
      </w:tr>
      <w:tr>
        <w:tc>
          <w:tcPr>
            <w:tcW w:type="dxa" w:w="1871"/>
            <w:tcW w:w="1871" w:type="dxa"/>
          </w:tcPr>
          <w:p>
            <w:pPr>
              <w:jc w:val="center"/>
            </w:pPr>
            <w:r/>
            <w:r>
              <w:rPr>
                <w:rFonts w:ascii="Cambria" w:hAnsi="Cambria"/>
                <w:b w:val="0"/>
                <w:sz w:val="19"/>
              </w:rPr>
              <w:t>5. Internal Assessment</w:t>
            </w:r>
          </w:p>
        </w:tc>
        <w:tc>
          <w:tcPr>
            <w:tcW w:type="dxa" w:w="3685"/>
            <w:tcW w:w="3685" w:type="dxa"/>
          </w:tcPr>
          <w:p>
            <w:r/>
            <w:r>
              <w:rPr>
                <w:rFonts w:ascii="Cambria" w:hAnsi="Cambria"/>
                <w:b w:val="0"/>
                <w:sz w:val="19"/>
              </w:rPr>
              <w:t>Verify timely conduct of internal tests and entry of marks.</w:t>
            </w:r>
          </w:p>
        </w:tc>
        <w:tc>
          <w:tcPr>
            <w:tcW w:type="dxa" w:w="4422"/>
            <w:tcW w:w="4422" w:type="dxa"/>
          </w:tcPr>
          <w:p>
            <w:r/>
            <w:r>
              <w:rPr>
                <w:rFonts w:ascii="Cambria" w:hAnsi="Cambria"/>
                <w:b w:val="0"/>
                <w:sz w:val="19"/>
              </w:rPr>
              <w:t>Confirm submission of internal marks to the examination cell.</w:t>
            </w:r>
          </w:p>
        </w:tc>
      </w:tr>
      <w:tr>
        <w:tc>
          <w:tcPr>
            <w:tcW w:type="dxa" w:w="1871"/>
            <w:tcW w:w="1871" w:type="dxa"/>
            <w:shd w:val="clear" w:color="auto" w:fill="EDF2F8"/>
          </w:tcPr>
          <w:p>
            <w:pPr>
              <w:jc w:val="center"/>
            </w:pPr>
            <w:r/>
            <w:r>
              <w:rPr>
                <w:rFonts w:ascii="Cambria" w:hAnsi="Cambria"/>
                <w:b w:val="0"/>
                <w:sz w:val="19"/>
              </w:rPr>
              <w:t>6. Course File Maintenance</w:t>
            </w:r>
          </w:p>
        </w:tc>
        <w:tc>
          <w:tcPr>
            <w:tcW w:type="dxa" w:w="3685"/>
            <w:tcW w:w="3685" w:type="dxa"/>
            <w:shd w:val="clear" w:color="auto" w:fill="EDF2F8"/>
          </w:tcPr>
          <w:p>
            <w:r/>
            <w:r>
              <w:rPr>
                <w:rFonts w:ascii="Cambria" w:hAnsi="Cambria"/>
                <w:b w:val="0"/>
                <w:sz w:val="19"/>
              </w:rPr>
              <w:t>Check completeness and periodic updates of course files.</w:t>
            </w:r>
          </w:p>
        </w:tc>
        <w:tc>
          <w:tcPr>
            <w:tcW w:type="dxa" w:w="4422"/>
            <w:tcW w:w="4422" w:type="dxa"/>
            <w:shd w:val="clear" w:color="auto" w:fill="EDF2F8"/>
          </w:tcPr>
          <w:p>
            <w:r/>
            <w:r>
              <w:rPr>
                <w:rFonts w:ascii="Cambria" w:hAnsi="Cambria"/>
                <w:b w:val="0"/>
                <w:sz w:val="19"/>
              </w:rPr>
              <w:t>Report deficiencies and rectification timelines.</w:t>
            </w:r>
          </w:p>
        </w:tc>
      </w:tr>
      <w:tr>
        <w:tc>
          <w:tcPr>
            <w:tcW w:type="dxa" w:w="1871"/>
            <w:tcW w:w="1871" w:type="dxa"/>
          </w:tcPr>
          <w:p>
            <w:pPr>
              <w:jc w:val="center"/>
            </w:pPr>
            <w:r/>
            <w:r>
              <w:rPr>
                <w:rFonts w:ascii="Cambria" w:hAnsi="Cambria"/>
                <w:b w:val="0"/>
                <w:sz w:val="19"/>
              </w:rPr>
              <w:t>7. Laboratory Audit</w:t>
            </w:r>
          </w:p>
        </w:tc>
        <w:tc>
          <w:tcPr>
            <w:tcW w:type="dxa" w:w="3685"/>
            <w:tcW w:w="3685" w:type="dxa"/>
          </w:tcPr>
          <w:p>
            <w:r/>
            <w:r>
              <w:rPr>
                <w:rFonts w:ascii="Cambria" w:hAnsi="Cambria"/>
                <w:b w:val="0"/>
                <w:sz w:val="19"/>
              </w:rPr>
              <w:t>Review lab attendance, experiment completion, and equipment maintenance.</w:t>
            </w:r>
          </w:p>
        </w:tc>
        <w:tc>
          <w:tcPr>
            <w:tcW w:type="dxa" w:w="4422"/>
            <w:tcW w:w="4422" w:type="dxa"/>
          </w:tcPr>
          <w:p>
            <w:r/>
            <w:r>
              <w:rPr>
                <w:rFonts w:ascii="Cambria" w:hAnsi="Cambria"/>
                <w:b w:val="0"/>
                <w:sz w:val="19"/>
              </w:rPr>
              <w:t>Mention any issues and resolutions undertaken.</w:t>
            </w:r>
          </w:p>
        </w:tc>
      </w:tr>
      <w:tr>
        <w:tc>
          <w:tcPr>
            <w:tcW w:type="dxa" w:w="1871"/>
            <w:tcW w:w="1871" w:type="dxa"/>
            <w:shd w:val="clear" w:color="auto" w:fill="EDF2F8"/>
          </w:tcPr>
          <w:p>
            <w:pPr>
              <w:jc w:val="center"/>
            </w:pPr>
            <w:r/>
            <w:r>
              <w:rPr>
                <w:rFonts w:ascii="Cambria" w:hAnsi="Cambria"/>
                <w:b w:val="0"/>
                <w:sz w:val="19"/>
              </w:rPr>
              <w:t>8. Complaints / Grievances</w:t>
            </w:r>
          </w:p>
        </w:tc>
        <w:tc>
          <w:tcPr>
            <w:tcW w:type="dxa" w:w="3685"/>
            <w:tcW w:w="3685" w:type="dxa"/>
            <w:shd w:val="clear" w:color="auto" w:fill="EDF2F8"/>
          </w:tcPr>
          <w:p>
            <w:r/>
            <w:r>
              <w:rPr>
                <w:rFonts w:ascii="Cambria" w:hAnsi="Cambria"/>
                <w:b w:val="0"/>
                <w:sz w:val="19"/>
              </w:rPr>
              <w:t>Check if any academic complaints were received and addressed.</w:t>
            </w:r>
          </w:p>
        </w:tc>
        <w:tc>
          <w:tcPr>
            <w:tcW w:type="dxa" w:w="4422"/>
            <w:tcW w:w="4422" w:type="dxa"/>
            <w:shd w:val="clear" w:color="auto" w:fill="EDF2F8"/>
          </w:tcPr>
          <w:p>
            <w:r/>
            <w:r>
              <w:rPr>
                <w:rFonts w:ascii="Cambria" w:hAnsi="Cambria"/>
                <w:b w:val="0"/>
                <w:sz w:val="19"/>
              </w:rPr>
              <w:t>Provide summary of issues resolved and pending cases.</w:t>
            </w:r>
          </w:p>
        </w:tc>
      </w:tr>
      <w:tr>
        <w:tc>
          <w:tcPr>
            <w:tcW w:type="dxa" w:w="1871"/>
            <w:tcW w:w="1871" w:type="dxa"/>
          </w:tcPr>
          <w:p>
            <w:pPr>
              <w:jc w:val="center"/>
            </w:pPr>
            <w:r/>
            <w:r>
              <w:rPr>
                <w:rFonts w:ascii="Cambria" w:hAnsi="Cambria"/>
                <w:b w:val="0"/>
                <w:sz w:val="19"/>
              </w:rPr>
              <w:t>9. Faculty and Staff Absenteeism</w:t>
            </w:r>
          </w:p>
        </w:tc>
        <w:tc>
          <w:tcPr>
            <w:tcW w:type="dxa" w:w="3685"/>
            <w:tcW w:w="3685" w:type="dxa"/>
          </w:tcPr>
          <w:p>
            <w:r/>
            <w:r>
              <w:rPr>
                <w:rFonts w:ascii="Cambria" w:hAnsi="Cambria"/>
                <w:b w:val="0"/>
                <w:sz w:val="19"/>
              </w:rPr>
              <w:t>Review how subject delivery was managed during faculty absence.</w:t>
            </w:r>
          </w:p>
        </w:tc>
        <w:tc>
          <w:tcPr>
            <w:tcW w:type="dxa" w:w="4422"/>
            <w:tcW w:w="4422" w:type="dxa"/>
          </w:tcPr>
          <w:p>
            <w:r/>
            <w:r>
              <w:rPr>
                <w:rFonts w:ascii="Cambria" w:hAnsi="Cambria"/>
                <w:b w:val="0"/>
                <w:sz w:val="19"/>
              </w:rPr>
              <w:t>Report makeup classes or substitute arrangements.</w:t>
            </w:r>
          </w:p>
        </w:tc>
      </w:tr>
      <w:tr>
        <w:tc>
          <w:tcPr>
            <w:tcW w:type="dxa" w:w="1871"/>
            <w:tcW w:w="1871" w:type="dxa"/>
            <w:shd w:val="clear" w:color="auto" w:fill="EDF2F8"/>
          </w:tcPr>
          <w:p>
            <w:pPr>
              <w:jc w:val="center"/>
            </w:pPr>
            <w:r/>
            <w:r>
              <w:rPr>
                <w:rFonts w:ascii="Cambria" w:hAnsi="Cambria"/>
                <w:b w:val="0"/>
                <w:sz w:val="19"/>
              </w:rPr>
              <w:t>10. Quality Improvement Measures</w:t>
            </w:r>
          </w:p>
        </w:tc>
        <w:tc>
          <w:tcPr>
            <w:tcW w:type="dxa" w:w="3685"/>
            <w:tcW w:w="3685" w:type="dxa"/>
            <w:shd w:val="clear" w:color="auto" w:fill="EDF2F8"/>
          </w:tcPr>
          <w:p>
            <w:r/>
            <w:r>
              <w:rPr>
                <w:rFonts w:ascii="Cambria" w:hAnsi="Cambria"/>
                <w:b w:val="0"/>
                <w:sz w:val="19"/>
              </w:rPr>
              <w:t>Note initiatives for academic improvement, FDPs, or student support activities.</w:t>
            </w:r>
          </w:p>
        </w:tc>
        <w:tc>
          <w:tcPr>
            <w:tcW w:type="dxa" w:w="4422"/>
            <w:tcW w:w="4422" w:type="dxa"/>
            <w:shd w:val="clear" w:color="auto" w:fill="EDF2F8"/>
          </w:tcPr>
          <w:p>
            <w:r/>
            <w:r>
              <w:rPr>
                <w:rFonts w:ascii="Cambria" w:hAnsi="Cambria"/>
                <w:b w:val="0"/>
                <w:sz w:val="19"/>
              </w:rPr>
              <w:t>Summarize actions implemented and outcomes observed.</w:t>
            </w:r>
          </w:p>
        </w:tc>
      </w:tr>
    </w:tbl>
    <w:p>
      <w:pPr>
        <w:keepNext/>
        <w:spacing w:before="200" w:after="160"/>
      </w:pPr>
      <w:r>
        <w:rPr>
          <w:rFonts w:ascii="Cambria" w:hAnsi="Cambria"/>
          <w:b/>
          <w:color w:val="1F3A5F"/>
          <w:sz w:val="26"/>
        </w:rPr>
        <w:t>3. Verification and Supporting Documents</w:t>
      </w:r>
    </w:p>
    <w:p>
      <w:pPr>
        <w:pStyle w:val="ListBullet"/>
        <w:spacing w:after="80"/>
      </w:pPr>
      <w:r>
        <w:rPr>
          <w:rFonts w:ascii="Cambria" w:hAnsi="Cambria"/>
          <w:sz w:val="22"/>
        </w:rPr>
        <w:t>Attach supporting evidence such as:</w:t>
      </w:r>
    </w:p>
    <w:p>
      <w:pPr>
        <w:pStyle w:val="ListBullet2"/>
        <w:spacing w:after="80"/>
      </w:pPr>
      <w:r>
        <w:rPr>
          <w:rFonts w:ascii="Cambria" w:hAnsi="Cambria"/>
          <w:sz w:val="22"/>
        </w:rPr>
        <w:t>Copies of verified attendance registers, timetables, and lesson plans.</w:t>
      </w:r>
    </w:p>
    <w:p>
      <w:pPr>
        <w:pStyle w:val="ListBullet2"/>
        <w:spacing w:after="80"/>
      </w:pPr>
      <w:r>
        <w:rPr>
          <w:rFonts w:ascii="Cambria" w:hAnsi="Cambria"/>
          <w:sz w:val="22"/>
        </w:rPr>
        <w:t>Course coverage summaries and internal test results.</w:t>
      </w:r>
    </w:p>
    <w:p>
      <w:pPr>
        <w:pStyle w:val="ListBullet2"/>
        <w:spacing w:after="80"/>
      </w:pPr>
      <w:r>
        <w:rPr>
          <w:rFonts w:ascii="Cambria" w:hAnsi="Cambria"/>
          <w:sz w:val="22"/>
        </w:rPr>
        <w:t>Records of faculty meetings or departmental review notes.</w:t>
      </w:r>
    </w:p>
    <w:p>
      <w:pPr>
        <w:pStyle w:val="ListBullet2"/>
        <w:spacing w:after="80"/>
      </w:pPr>
      <w:r>
        <w:rPr>
          <w:rFonts w:ascii="Cambria" w:hAnsi="Cambria"/>
          <w:sz w:val="22"/>
        </w:rPr>
        <w:t>Photographs or proofs of academic initiatives (special classes, workshops).</w:t>
      </w:r>
    </w:p>
    <w:p>
      <w:pPr>
        <w:pStyle w:val="ListBullet"/>
        <w:spacing w:after="80"/>
      </w:pPr>
      <w:r>
        <w:rPr>
          <w:rFonts w:ascii="Cambria" w:hAnsi="Cambria"/>
          <w:sz w:val="22"/>
        </w:rPr>
        <w:t>Ensure all data is authentic, dated, and signed by respective faculty members before report submission.</w:t>
      </w:r>
    </w:p>
    <w:p>
      <w:pPr>
        <w:keepNext/>
        <w:spacing w:before="200" w:after="160"/>
      </w:pPr>
      <w:r>
        <w:rPr>
          <w:rFonts w:ascii="Cambria" w:hAnsi="Cambria"/>
          <w:b/>
          <w:color w:val="1F3A5F"/>
          <w:sz w:val="26"/>
        </w:rPr>
        <w:t>4. Submission to the Principal</w:t>
      </w:r>
    </w:p>
    <w:p>
      <w:pPr>
        <w:pStyle w:val="ListBullet"/>
        <w:spacing w:after="80"/>
      </w:pPr>
      <w:r>
        <w:rPr>
          <w:rFonts w:ascii="Cambria" w:hAnsi="Cambria"/>
          <w:sz w:val="22"/>
        </w:rPr>
        <w:t>The Monthly Academic Audit Report must be submitted to the Principal within the first week of every subsequent month.</w:t>
      </w:r>
    </w:p>
    <w:p>
      <w:pPr>
        <w:pStyle w:val="ListBullet"/>
        <w:spacing w:after="80"/>
      </w:pPr>
      <w:r>
        <w:rPr>
          <w:rFonts w:ascii="Cambria" w:hAnsi="Cambria"/>
          <w:sz w:val="22"/>
        </w:rPr>
        <w:t>Include a covering letter summarizing:</w:t>
      </w:r>
    </w:p>
    <w:p>
      <w:pPr>
        <w:pStyle w:val="ListBullet2"/>
        <w:spacing w:after="80"/>
      </w:pPr>
      <w:r>
        <w:rPr>
          <w:rFonts w:ascii="Cambria" w:hAnsi="Cambria"/>
          <w:sz w:val="22"/>
        </w:rPr>
        <w:t>Key findings of the month's audit.</w:t>
      </w:r>
    </w:p>
    <w:p>
      <w:pPr>
        <w:pStyle w:val="ListBullet2"/>
        <w:spacing w:after="80"/>
      </w:pPr>
      <w:r>
        <w:rPr>
          <w:rFonts w:ascii="Cambria" w:hAnsi="Cambria"/>
          <w:sz w:val="22"/>
        </w:rPr>
        <w:t>Major achievements or improvements.</w:t>
      </w:r>
    </w:p>
    <w:p>
      <w:pPr>
        <w:pStyle w:val="ListBullet2"/>
        <w:spacing w:after="80"/>
      </w:pPr>
      <w:r>
        <w:rPr>
          <w:rFonts w:ascii="Cambria" w:hAnsi="Cambria"/>
          <w:sz w:val="22"/>
        </w:rPr>
        <w:t>Challenges encountered and support required from the administration.</w:t>
      </w:r>
    </w:p>
    <w:p>
      <w:pPr>
        <w:pStyle w:val="ListBullet"/>
        <w:spacing w:after="80"/>
      </w:pPr>
      <w:r>
        <w:rPr>
          <w:rFonts w:ascii="Cambria" w:hAnsi="Cambria"/>
          <w:sz w:val="22"/>
        </w:rPr>
        <w:t>Obtain acknowledgment from the Principal's office for documentation and recordkeeping.</w:t>
      </w:r>
    </w:p>
    <w:p>
      <w:pPr>
        <w:keepNext/>
        <w:spacing w:before="200" w:after="160"/>
      </w:pPr>
      <w:r>
        <w:rPr>
          <w:rFonts w:ascii="Cambria" w:hAnsi="Cambria"/>
          <w:b/>
          <w:color w:val="1F3A5F"/>
          <w:sz w:val="26"/>
        </w:rPr>
        <w:t>5. Documentation and Record Maintenance</w:t>
      </w:r>
    </w:p>
    <w:p>
      <w:pPr>
        <w:pStyle w:val="ListBullet"/>
        <w:spacing w:after="80"/>
      </w:pPr>
      <w:r>
        <w:rPr>
          <w:rFonts w:ascii="Cambria" w:hAnsi="Cambria"/>
          <w:sz w:val="22"/>
        </w:rPr>
        <w:t>Maintain a Departmental Academic Audit Register / Digital File containing:</w:t>
      </w:r>
    </w:p>
    <w:p>
      <w:pPr>
        <w:pStyle w:val="ListBullet2"/>
        <w:spacing w:after="80"/>
      </w:pPr>
      <w:r>
        <w:rPr>
          <w:rFonts w:ascii="Cambria" w:hAnsi="Cambria"/>
          <w:sz w:val="22"/>
        </w:rPr>
        <w:t>Month-wise audit reports and Principal's feedback.</w:t>
      </w:r>
    </w:p>
    <w:p>
      <w:pPr>
        <w:pStyle w:val="ListBullet2"/>
        <w:spacing w:after="80"/>
      </w:pPr>
      <w:r>
        <w:rPr>
          <w:rFonts w:ascii="Cambria" w:hAnsi="Cambria"/>
          <w:sz w:val="22"/>
        </w:rPr>
        <w:t>Action Taken Reports (ATR) for previously identified issues.</w:t>
      </w:r>
    </w:p>
    <w:p>
      <w:pPr>
        <w:pStyle w:val="ListBullet2"/>
        <w:spacing w:after="80"/>
      </w:pPr>
      <w:r>
        <w:rPr>
          <w:rFonts w:ascii="Cambria" w:hAnsi="Cambria"/>
          <w:sz w:val="22"/>
        </w:rPr>
        <w:t>Comparative analysis of departmental performance across months.</w:t>
      </w:r>
    </w:p>
    <w:p>
      <w:pPr>
        <w:pStyle w:val="ListBullet"/>
        <w:spacing w:after="80"/>
      </w:pPr>
      <w:r>
        <w:rPr>
          <w:rFonts w:ascii="Cambria" w:hAnsi="Cambria"/>
          <w:sz w:val="22"/>
        </w:rPr>
        <w:t>Keep these records ready for IQAC, NAAC, or internal quality audits.</w:t>
      </w:r>
    </w:p>
    <w:p>
      <w:pPr>
        <w:keepNext/>
        <w:spacing w:before="200" w:after="160"/>
      </w:pPr>
      <w:r>
        <w:rPr>
          <w:rFonts w:ascii="Cambria" w:hAnsi="Cambria"/>
          <w:b/>
          <w:color w:val="1F3A5F"/>
          <w:sz w:val="26"/>
        </w:rPr>
        <w:t>6. Follow-Up and Continuous Improvement</w:t>
      </w:r>
    </w:p>
    <w:p>
      <w:pPr>
        <w:pStyle w:val="ListBullet"/>
        <w:spacing w:after="80"/>
      </w:pPr>
      <w:r>
        <w:rPr>
          <w:rFonts w:ascii="Cambria" w:hAnsi="Cambria"/>
          <w:sz w:val="22"/>
        </w:rPr>
        <w:t>Review feedback provided by the Principal after each monthly submission.</w:t>
      </w:r>
    </w:p>
    <w:p>
      <w:pPr>
        <w:pStyle w:val="ListBullet"/>
        <w:spacing w:after="80"/>
      </w:pPr>
      <w:r>
        <w:rPr>
          <w:rFonts w:ascii="Cambria" w:hAnsi="Cambria"/>
          <w:sz w:val="22"/>
        </w:rPr>
        <w:t>Take immediate corrective and preventive actions on recurring academic or administrative lapses.</w:t>
      </w:r>
    </w:p>
    <w:p>
      <w:pPr>
        <w:pStyle w:val="ListBullet"/>
        <w:spacing w:after="80"/>
      </w:pPr>
      <w:r>
        <w:rPr>
          <w:rFonts w:ascii="Cambria" w:hAnsi="Cambria"/>
          <w:sz w:val="22"/>
        </w:rPr>
        <w:t>Discuss audit observations in departmental meetings to ensure faculty accountability and progress tracking.</w:t>
      </w:r>
    </w:p>
    <w:p>
      <w:pPr>
        <w:pStyle w:val="ListBullet"/>
        <w:spacing w:after="80"/>
      </w:pPr>
      <w:r>
        <w:rPr>
          <w:rFonts w:ascii="Cambria" w:hAnsi="Cambria"/>
          <w:sz w:val="22"/>
        </w:rPr>
        <w:t>Encourage a culture of quality enhancement and academic responsibility among faculty members.</w:t>
      </w:r>
    </w:p>
    <w:p>
      <w:r>
        <w:br w:type="page"/>
      </w:r>
    </w:p>
    <w:p>
      <w:pPr>
        <w:keepNext/>
        <w:spacing w:before="280" w:after="160"/>
      </w:pPr>
      <w:r>
        <w:rPr>
          <w:rFonts w:ascii="Cambria" w:hAnsi="Cambria"/>
          <w:b/>
          <w:color w:val="1F3A5F"/>
          <w:sz w:val="36"/>
        </w:rPr>
        <w:t>11. Responsibilities of Head of Department (HoD) Related to Monitoring Through Department Website</w:t>
      </w:r>
    </w:p>
    <w:p>
      <w:pPr>
        <w:keepNext/>
        <w:spacing w:before="200" w:after="160"/>
      </w:pPr>
      <w:r>
        <w:rPr>
          <w:rFonts w:ascii="Cambria" w:hAnsi="Cambria"/>
          <w:b/>
          <w:color w:val="1F3A5F"/>
          <w:sz w:val="26"/>
        </w:rPr>
        <w:t>1. Oversight of Departmental Website Management</w:t>
      </w:r>
    </w:p>
    <w:p>
      <w:pPr>
        <w:pStyle w:val="ListBullet"/>
        <w:spacing w:after="80"/>
      </w:pPr>
      <w:r>
        <w:rPr>
          <w:rFonts w:ascii="Cambria" w:hAnsi="Cambria"/>
          <w:sz w:val="22"/>
        </w:rPr>
        <w:t>The HoD is responsible for regular monitoring and upkeep of the departmental section on the college website to ensure accuracy, transparency, and timely updates.</w:t>
      </w:r>
    </w:p>
    <w:p>
      <w:pPr>
        <w:pStyle w:val="ListBullet"/>
        <w:spacing w:after="80"/>
      </w:pPr>
      <w:r>
        <w:rPr>
          <w:rFonts w:ascii="Cambria" w:hAnsi="Cambria"/>
          <w:sz w:val="22"/>
        </w:rPr>
        <w:t>Ensure that the website serves as an information hub for both students and parents, offering complete visibility into academic and administrative aspects.</w:t>
      </w:r>
    </w:p>
    <w:p>
      <w:pPr>
        <w:pStyle w:val="ListBullet"/>
        <w:spacing w:after="80"/>
      </w:pPr>
      <w:r>
        <w:rPr>
          <w:rFonts w:ascii="Cambria" w:hAnsi="Cambria"/>
          <w:sz w:val="22"/>
        </w:rPr>
        <w:t>Coordinate with the college IT/Web Administrator to maintain smooth functionality, secure access, and timely uploads of all required data.</w:t>
      </w:r>
    </w:p>
    <w:p>
      <w:pPr>
        <w:keepNext/>
        <w:spacing w:before="200" w:after="160"/>
      </w:pPr>
      <w:r>
        <w:rPr>
          <w:rFonts w:ascii="Cambria" w:hAnsi="Cambria"/>
          <w:b/>
          <w:color w:val="1F3A5F"/>
          <w:sz w:val="26"/>
        </w:rPr>
        <w:t>2. Ensuring Availability of Student Information</w:t>
      </w:r>
    </w:p>
    <w:p>
      <w:pPr>
        <w:pStyle w:val="ListBullet"/>
        <w:spacing w:after="80"/>
      </w:pPr>
      <w:r>
        <w:rPr>
          <w:rFonts w:ascii="Cambria" w:hAnsi="Cambria"/>
          <w:sz w:val="22"/>
        </w:rPr>
        <w:t>Verify that all relevant student-related information is uploaded and accessible to both students and parents, including:</w:t>
      </w:r>
    </w:p>
    <w:p>
      <w:pPr>
        <w:pStyle w:val="ListBullet2"/>
        <w:spacing w:after="80"/>
      </w:pPr>
      <w:r>
        <w:rPr>
          <w:rFonts w:ascii="Cambria" w:hAnsi="Cambria"/>
          <w:sz w:val="22"/>
        </w:rPr>
        <w:t>Student profile details (name, roll number, class, section, and academic year).</w:t>
      </w:r>
    </w:p>
    <w:p>
      <w:pPr>
        <w:pStyle w:val="ListBullet2"/>
        <w:spacing w:after="80"/>
      </w:pPr>
      <w:r>
        <w:rPr>
          <w:rFonts w:ascii="Cambria" w:hAnsi="Cambria"/>
          <w:sz w:val="22"/>
        </w:rPr>
        <w:t>Academic progress indicators such as attendance, internal marks, and test results.</w:t>
      </w:r>
    </w:p>
    <w:p>
      <w:pPr>
        <w:pStyle w:val="ListBullet2"/>
        <w:spacing w:after="80"/>
      </w:pPr>
      <w:r>
        <w:rPr>
          <w:rFonts w:ascii="Cambria" w:hAnsi="Cambria"/>
          <w:sz w:val="22"/>
        </w:rPr>
        <w:t>Course-related information including lecture plans, timetables, and academic calendars.</w:t>
      </w:r>
    </w:p>
    <w:p>
      <w:pPr>
        <w:pStyle w:val="ListBullet"/>
        <w:spacing w:after="80"/>
      </w:pPr>
      <w:r>
        <w:rPr>
          <w:rFonts w:ascii="Cambria" w:hAnsi="Cambria"/>
          <w:sz w:val="22"/>
        </w:rPr>
        <w:t>Confirm that data accuracy and confidentiality are maintained at all times and that personal information is protected as per institutional data policies.</w:t>
      </w:r>
    </w:p>
    <w:p>
      <w:pPr>
        <w:keepNext/>
        <w:spacing w:before="200" w:after="160"/>
      </w:pPr>
      <w:r>
        <w:rPr>
          <w:rFonts w:ascii="Cambria" w:hAnsi="Cambria"/>
          <w:b/>
          <w:color w:val="1F3A5F"/>
          <w:sz w:val="26"/>
        </w:rPr>
        <w:t>3. Lecture Plan and Course Material Updates</w:t>
      </w:r>
    </w:p>
    <w:p>
      <w:pPr>
        <w:pStyle w:val="ListBullet"/>
        <w:spacing w:after="80"/>
      </w:pPr>
      <w:r>
        <w:rPr>
          <w:rFonts w:ascii="Cambria" w:hAnsi="Cambria"/>
          <w:sz w:val="22"/>
        </w:rPr>
        <w:t>Ensure that lecture plans and course outlines for every subject are uploaded at the beginning of each semester.</w:t>
      </w:r>
    </w:p>
    <w:p>
      <w:pPr>
        <w:pStyle w:val="ListBullet"/>
        <w:spacing w:after="80"/>
      </w:pPr>
      <w:r>
        <w:rPr>
          <w:rFonts w:ascii="Cambria" w:hAnsi="Cambria"/>
          <w:sz w:val="22"/>
        </w:rPr>
        <w:t>Verify periodic updates on lesson progress and completion status, reflecting real-time teaching activity.</w:t>
      </w:r>
    </w:p>
    <w:p>
      <w:pPr>
        <w:pStyle w:val="ListBullet"/>
        <w:spacing w:after="80"/>
      </w:pPr>
      <w:r>
        <w:rPr>
          <w:rFonts w:ascii="Cambria" w:hAnsi="Cambria"/>
          <w:sz w:val="22"/>
        </w:rPr>
        <w:t>Direct faculty members to upload study materials, assignments, and additional references relevant to their courses.</w:t>
      </w:r>
    </w:p>
    <w:p>
      <w:pPr>
        <w:pStyle w:val="ListBullet"/>
        <w:spacing w:after="80"/>
      </w:pPr>
      <w:r>
        <w:rPr>
          <w:rFonts w:ascii="Cambria" w:hAnsi="Cambria"/>
          <w:sz w:val="22"/>
        </w:rPr>
        <w:t>Review and approve all uploads before they are made public on the department's web page.</w:t>
      </w:r>
    </w:p>
    <w:p>
      <w:pPr>
        <w:keepNext/>
        <w:spacing w:before="200" w:after="160"/>
      </w:pPr>
      <w:r>
        <w:rPr>
          <w:rFonts w:ascii="Cambria" w:hAnsi="Cambria"/>
          <w:b/>
          <w:color w:val="1F3A5F"/>
          <w:sz w:val="26"/>
        </w:rPr>
        <w:t>4. Monitoring Weekly Attendance Updates</w:t>
      </w:r>
    </w:p>
    <w:p>
      <w:pPr>
        <w:pStyle w:val="ListBullet"/>
        <w:spacing w:after="80"/>
      </w:pPr>
      <w:r>
        <w:rPr>
          <w:rFonts w:ascii="Cambria" w:hAnsi="Cambria"/>
          <w:sz w:val="22"/>
        </w:rPr>
        <w:t>Supervise the process of weekly attendance uploads to ensure punctuality and accuracy.</w:t>
      </w:r>
    </w:p>
    <w:p>
      <w:pPr>
        <w:pStyle w:val="ListBullet"/>
        <w:spacing w:after="80"/>
      </w:pPr>
      <w:r>
        <w:rPr>
          <w:rFonts w:ascii="Cambria" w:hAnsi="Cambria"/>
          <w:sz w:val="22"/>
        </w:rPr>
        <w:t>Cross-check that:</w:t>
      </w:r>
    </w:p>
    <w:p>
      <w:pPr>
        <w:pStyle w:val="ListBullet2"/>
        <w:spacing w:after="80"/>
      </w:pPr>
      <w:r>
        <w:rPr>
          <w:rFonts w:ascii="Cambria" w:hAnsi="Cambria"/>
          <w:sz w:val="22"/>
        </w:rPr>
        <w:t>Attendance data matches with departmental registers.</w:t>
      </w:r>
    </w:p>
    <w:p>
      <w:pPr>
        <w:pStyle w:val="ListBullet2"/>
        <w:spacing w:after="80"/>
      </w:pPr>
      <w:r>
        <w:rPr>
          <w:rFonts w:ascii="Cambria" w:hAnsi="Cambria"/>
          <w:sz w:val="22"/>
        </w:rPr>
        <w:t>Students and parents can easily access attendance percentages online.</w:t>
      </w:r>
    </w:p>
    <w:p>
      <w:pPr>
        <w:pStyle w:val="ListBullet2"/>
        <w:spacing w:after="80"/>
      </w:pPr>
      <w:r>
        <w:rPr>
          <w:rFonts w:ascii="Cambria" w:hAnsi="Cambria"/>
          <w:sz w:val="22"/>
        </w:rPr>
        <w:t>Alerts or notices for attendance shortages are posted promptly.</w:t>
      </w:r>
    </w:p>
    <w:p>
      <w:pPr>
        <w:pStyle w:val="ListBullet"/>
        <w:spacing w:after="80"/>
      </w:pPr>
      <w:r>
        <w:rPr>
          <w:rFonts w:ascii="Cambria" w:hAnsi="Cambria"/>
          <w:sz w:val="22"/>
        </w:rPr>
        <w:t>Coordinate with faculty and IT support to correct any discrepancies in online attendance records.</w:t>
      </w:r>
    </w:p>
    <w:p>
      <w:pPr>
        <w:keepNext/>
        <w:spacing w:before="200" w:after="160"/>
      </w:pPr>
      <w:r>
        <w:rPr>
          <w:rFonts w:ascii="Cambria" w:hAnsi="Cambria"/>
          <w:b/>
          <w:color w:val="1F3A5F"/>
          <w:sz w:val="26"/>
        </w:rPr>
        <w:t>5. Internal Marks and Examination Schedules</w:t>
      </w:r>
    </w:p>
    <w:p>
      <w:pPr>
        <w:pStyle w:val="ListBullet"/>
        <w:spacing w:after="80"/>
      </w:pPr>
      <w:r>
        <w:rPr>
          <w:rFonts w:ascii="Cambria" w:hAnsi="Cambria"/>
          <w:sz w:val="22"/>
        </w:rPr>
        <w:t>Ensure internal marks and mid-semester test results are uploaded immediately after evaluation, maintaining transparency in assessment.</w:t>
      </w:r>
    </w:p>
    <w:p>
      <w:pPr>
        <w:pStyle w:val="ListBullet"/>
        <w:spacing w:after="80"/>
      </w:pPr>
      <w:r>
        <w:rPr>
          <w:rFonts w:ascii="Cambria" w:hAnsi="Cambria"/>
          <w:sz w:val="22"/>
        </w:rPr>
        <w:t>Verify the publication of:</w:t>
      </w:r>
    </w:p>
    <w:p>
      <w:pPr>
        <w:pStyle w:val="ListBullet2"/>
        <w:spacing w:after="80"/>
      </w:pPr>
      <w:r>
        <w:rPr>
          <w:rFonts w:ascii="Cambria" w:hAnsi="Cambria"/>
          <w:sz w:val="22"/>
        </w:rPr>
        <w:t>College examination schedules (common to all departments).</w:t>
      </w:r>
    </w:p>
    <w:p>
      <w:pPr>
        <w:pStyle w:val="ListBullet2"/>
        <w:spacing w:after="80"/>
      </w:pPr>
      <w:r>
        <w:rPr>
          <w:rFonts w:ascii="Cambria" w:hAnsi="Cambria"/>
          <w:sz w:val="22"/>
        </w:rPr>
        <w:t>Departmental internal exam timetables (for continuous assessment).</w:t>
      </w:r>
    </w:p>
    <w:p>
      <w:pPr>
        <w:pStyle w:val="ListBullet2"/>
        <w:spacing w:after="80"/>
      </w:pPr>
      <w:r>
        <w:rPr>
          <w:rFonts w:ascii="Cambria" w:hAnsi="Cambria"/>
          <w:sz w:val="22"/>
        </w:rPr>
        <w:t>Autonomous scheme examination schedules as per university or institutional norms.</w:t>
      </w:r>
    </w:p>
    <w:p>
      <w:pPr>
        <w:pStyle w:val="ListBullet"/>
        <w:spacing w:after="80"/>
      </w:pPr>
      <w:r>
        <w:rPr>
          <w:rFonts w:ascii="Cambria" w:hAnsi="Cambria"/>
          <w:sz w:val="22"/>
        </w:rPr>
        <w:t>Confirm that updates are made on the website within the announced academic timelines.</w:t>
      </w:r>
    </w:p>
    <w:p>
      <w:pPr>
        <w:keepNext/>
        <w:spacing w:before="200" w:after="160"/>
      </w:pPr>
      <w:r>
        <w:rPr>
          <w:rFonts w:ascii="Cambria" w:hAnsi="Cambria"/>
          <w:b/>
          <w:color w:val="1F3A5F"/>
          <w:sz w:val="26"/>
        </w:rPr>
        <w:t>6. Fee Dues and Result Updates</w:t>
      </w:r>
    </w:p>
    <w:p>
      <w:pPr>
        <w:pStyle w:val="ListBullet"/>
        <w:spacing w:after="80"/>
      </w:pPr>
      <w:r>
        <w:rPr>
          <w:rFonts w:ascii="Cambria" w:hAnsi="Cambria"/>
          <w:sz w:val="22"/>
        </w:rPr>
        <w:t>Oversee that fee due details and payment status are updated periodically in collaboration with the Accounts Section.</w:t>
      </w:r>
    </w:p>
    <w:p>
      <w:pPr>
        <w:pStyle w:val="ListBullet"/>
        <w:spacing w:after="80"/>
      </w:pPr>
      <w:r>
        <w:rPr>
          <w:rFonts w:ascii="Cambria" w:hAnsi="Cambria"/>
          <w:sz w:val="22"/>
        </w:rPr>
        <w:t>Ensure that college examination results (both university and autonomous) are uploaded on the website once every semester.</w:t>
      </w:r>
    </w:p>
    <w:p>
      <w:pPr>
        <w:pStyle w:val="ListBullet"/>
        <w:spacing w:after="80"/>
      </w:pPr>
      <w:r>
        <w:rPr>
          <w:rFonts w:ascii="Cambria" w:hAnsi="Cambria"/>
          <w:sz w:val="22"/>
        </w:rPr>
        <w:t>Verify that results are displayed in a clear, student-wise format, allowing both students and parents to view performance securely.</w:t>
      </w:r>
    </w:p>
    <w:p>
      <w:pPr>
        <w:keepNext/>
        <w:spacing w:before="200" w:after="160"/>
      </w:pPr>
      <w:r>
        <w:rPr>
          <w:rFonts w:ascii="Cambria" w:hAnsi="Cambria"/>
          <w:b/>
          <w:color w:val="1F3A5F"/>
          <w:sz w:val="26"/>
        </w:rPr>
        <w:t>7. Coordination and Quality Assurance</w:t>
      </w:r>
    </w:p>
    <w:p>
      <w:pPr>
        <w:pStyle w:val="ListBullet"/>
        <w:spacing w:after="80"/>
      </w:pPr>
      <w:r>
        <w:rPr>
          <w:rFonts w:ascii="Cambria" w:hAnsi="Cambria"/>
          <w:sz w:val="22"/>
        </w:rPr>
        <w:t>Work with the IT Department, Examination Cell, and Administrative Office to ensure smooth integration of academic data on the web platform.</w:t>
      </w:r>
    </w:p>
    <w:p>
      <w:pPr>
        <w:pStyle w:val="ListBullet"/>
        <w:spacing w:after="80"/>
      </w:pPr>
      <w:r>
        <w:rPr>
          <w:rFonts w:ascii="Cambria" w:hAnsi="Cambria"/>
          <w:sz w:val="22"/>
        </w:rPr>
        <w:t>Conduct periodic checks to confirm that:</w:t>
      </w:r>
    </w:p>
    <w:p>
      <w:pPr>
        <w:pStyle w:val="ListBullet2"/>
        <w:spacing w:after="80"/>
      </w:pPr>
      <w:r>
        <w:rPr>
          <w:rFonts w:ascii="Cambria" w:hAnsi="Cambria"/>
          <w:sz w:val="22"/>
        </w:rPr>
        <w:t>The website is up to date and user-friendly.</w:t>
      </w:r>
    </w:p>
    <w:p>
      <w:pPr>
        <w:pStyle w:val="ListBullet2"/>
        <w:spacing w:after="80"/>
      </w:pPr>
      <w:r>
        <w:rPr>
          <w:rFonts w:ascii="Cambria" w:hAnsi="Cambria"/>
          <w:sz w:val="22"/>
        </w:rPr>
        <w:t>Data accuracy and digital security are maintained.</w:t>
      </w:r>
    </w:p>
    <w:p>
      <w:pPr>
        <w:pStyle w:val="ListBullet2"/>
        <w:spacing w:after="80"/>
      </w:pPr>
      <w:r>
        <w:rPr>
          <w:rFonts w:ascii="Cambria" w:hAnsi="Cambria"/>
          <w:sz w:val="22"/>
        </w:rPr>
        <w:t>Broken links, outdated content, or technical issues are resolved immediately.</w:t>
      </w:r>
    </w:p>
    <w:p>
      <w:pPr>
        <w:pStyle w:val="ListBullet"/>
        <w:spacing w:after="80"/>
      </w:pPr>
      <w:r>
        <w:rPr>
          <w:rFonts w:ascii="Cambria" w:hAnsi="Cambria"/>
          <w:sz w:val="22"/>
        </w:rPr>
        <w:t>Ensure all web updates comply with institutional policies on information sharing, data privacy, and accessibility.</w:t>
      </w:r>
    </w:p>
    <w:p>
      <w:pPr>
        <w:keepNext/>
        <w:spacing w:before="200" w:after="160"/>
      </w:pPr>
      <w:r>
        <w:rPr>
          <w:rFonts w:ascii="Cambria" w:hAnsi="Cambria"/>
          <w:b/>
          <w:color w:val="1F3A5F"/>
          <w:sz w:val="26"/>
        </w:rPr>
        <w:t>8. Documentation and Reporting</w:t>
      </w:r>
    </w:p>
    <w:p>
      <w:pPr>
        <w:pStyle w:val="ListBullet"/>
        <w:spacing w:after="80"/>
      </w:pPr>
      <w:r>
        <w:rPr>
          <w:rFonts w:ascii="Cambria" w:hAnsi="Cambria"/>
          <w:sz w:val="22"/>
        </w:rPr>
        <w:t>Maintain a Web Monitoring Register / Digital Logbook that records:</w:t>
      </w:r>
    </w:p>
    <w:p>
      <w:pPr>
        <w:pStyle w:val="ListBullet2"/>
        <w:spacing w:after="80"/>
      </w:pPr>
      <w:r>
        <w:rPr>
          <w:rFonts w:ascii="Cambria" w:hAnsi="Cambria"/>
          <w:sz w:val="22"/>
        </w:rPr>
        <w:t>Date and details of updates made.</w:t>
      </w:r>
    </w:p>
    <w:p>
      <w:pPr>
        <w:pStyle w:val="ListBullet2"/>
        <w:spacing w:after="80"/>
      </w:pPr>
      <w:r>
        <w:rPr>
          <w:rFonts w:ascii="Cambria" w:hAnsi="Cambria"/>
          <w:sz w:val="22"/>
        </w:rPr>
        <w:t>Responsible faculty or staff for each upload.</w:t>
      </w:r>
    </w:p>
    <w:p>
      <w:pPr>
        <w:pStyle w:val="ListBullet2"/>
        <w:spacing w:after="80"/>
      </w:pPr>
      <w:r>
        <w:rPr>
          <w:rFonts w:ascii="Cambria" w:hAnsi="Cambria"/>
          <w:sz w:val="22"/>
        </w:rPr>
        <w:t>Observations, corrections, and improvement notes from HoD's review.</w:t>
      </w:r>
    </w:p>
    <w:p>
      <w:pPr>
        <w:pStyle w:val="ListBullet"/>
        <w:spacing w:after="80"/>
      </w:pPr>
      <w:r>
        <w:rPr>
          <w:rFonts w:ascii="Cambria" w:hAnsi="Cambria"/>
          <w:sz w:val="22"/>
        </w:rPr>
        <w:t>Submit a bi-monthly report to the Principal confirming the timely publication and accuracy of all departmental online updates.</w:t>
      </w:r>
    </w:p>
    <w:p>
      <w:pPr>
        <w:pStyle w:val="ListBullet"/>
        <w:spacing w:after="80"/>
      </w:pPr>
      <w:r>
        <w:rPr>
          <w:rFonts w:ascii="Cambria" w:hAnsi="Cambria"/>
          <w:sz w:val="22"/>
        </w:rPr>
        <w:t>Preserve copies of uploaded files (lecture plans, attendance summaries, results) for institutional audit and accreditation evidence.</w:t>
      </w:r>
    </w:p>
    <w:p>
      <w:pPr>
        <w:keepNext/>
        <w:spacing w:before="200" w:after="160"/>
      </w:pPr>
      <w:r>
        <w:rPr>
          <w:rFonts w:ascii="Cambria" w:hAnsi="Cambria"/>
          <w:b/>
          <w:color w:val="1F3A5F"/>
          <w:sz w:val="26"/>
        </w:rPr>
        <w:t>9. Communication and Stakeholder Engagement</w:t>
      </w:r>
    </w:p>
    <w:p>
      <w:pPr>
        <w:pStyle w:val="ListBullet"/>
        <w:spacing w:after="80"/>
      </w:pPr>
      <w:r>
        <w:rPr>
          <w:rFonts w:ascii="Cambria" w:hAnsi="Cambria"/>
          <w:sz w:val="22"/>
        </w:rPr>
        <w:t>Inform students and parents about website accessibility features and encourage them to regularly check updates.</w:t>
      </w:r>
    </w:p>
    <w:p>
      <w:pPr>
        <w:pStyle w:val="ListBullet"/>
        <w:spacing w:after="80"/>
      </w:pPr>
      <w:r>
        <w:rPr>
          <w:rFonts w:ascii="Cambria" w:hAnsi="Cambria"/>
          <w:sz w:val="22"/>
        </w:rPr>
        <w:t>Address any complaints or suggestions regarding online data accuracy or accessibility promptly.</w:t>
      </w:r>
    </w:p>
    <w:p>
      <w:pPr>
        <w:pStyle w:val="ListBullet"/>
        <w:spacing w:after="80"/>
      </w:pPr>
      <w:r>
        <w:rPr>
          <w:rFonts w:ascii="Cambria" w:hAnsi="Cambria"/>
          <w:sz w:val="22"/>
        </w:rPr>
        <w:t>Use the departmental web page as a communication bridge to announce events, academic achievements, and important notices.</w:t>
      </w:r>
    </w:p>
    <w:p>
      <w:pPr>
        <w:keepNext/>
        <w:spacing w:before="200" w:after="160"/>
      </w:pPr>
      <w:r>
        <w:rPr>
          <w:rFonts w:ascii="Cambria" w:hAnsi="Cambria"/>
          <w:b/>
          <w:color w:val="1F3A5F"/>
          <w:sz w:val="30"/>
        </w:rPr>
        <w:t>Checklist for Head of Department (HoD) Related to Monitoring Through Department Website</w:t>
      </w:r>
    </w:p>
    <w:p>
      <w:pPr>
        <w:keepNext/>
        <w:spacing w:before="200" w:after="160"/>
      </w:pPr>
      <w:r>
        <w:rPr>
          <w:rFonts w:ascii="Cambria" w:hAnsi="Cambria"/>
          <w:b/>
          <w:color w:val="1F3A5F"/>
          <w:sz w:val="26"/>
        </w:rPr>
        <w:t>A. General Website Maintenance</w:t>
      </w:r>
    </w:p>
    <w:tbl>
      <w:tblPr>
        <w:tblW w:type="auto" w:w="0"/>
        <w:jc w:val="center"/>
        <w:tblLayout w:type="fixed"/>
        <w:tblLook w:firstColumn="1" w:firstRow="1" w:lastColumn="0" w:lastRow="0" w:noHBand="0" w:noVBand="1" w:val="04A0"/>
        <w:tblW w:w="9752" w:type="dxa"/>
        <w:tblLayout w:type="fixed"/>
      </w:tblPr>
      <w:tblGrid>
        <w:gridCol w:w="1882"/>
        <w:gridCol w:w="1882"/>
        <w:gridCol w:w="1882"/>
        <w:gridCol w:w="1882"/>
        <w:gridCol w:w="1882"/>
      </w:tblGrid>
      <w:tr>
        <w:tc>
          <w:tcPr>
            <w:tcW w:type="dxa" w:w="397"/>
            <w:shd w:val="clear" w:color="auto" w:fill="1F3A5F"/>
            <w:tcW w:w="396" w:type="dxa"/>
          </w:tcPr>
          <w:p>
            <w:pPr>
              <w:jc w:val="center"/>
            </w:pPr>
            <w:r/>
            <w:r>
              <w:rPr>
                <w:rFonts w:ascii="Cambria" w:hAnsi="Cambria"/>
                <w:b/>
                <w:color w:val="FFFFFF"/>
                <w:sz w:val="19"/>
              </w:rPr>
              <w:t>#</w:t>
            </w:r>
          </w:p>
        </w:tc>
        <w:tc>
          <w:tcPr>
            <w:tcW w:type="dxa" w:w="4876"/>
            <w:shd w:val="clear" w:color="auto" w:fill="1F3A5F"/>
            <w:tcW w:w="4876" w:type="dxa"/>
          </w:tcPr>
          <w:p>
            <w:pPr>
              <w:jc w:val="center"/>
            </w:pPr>
            <w:r/>
            <w:r>
              <w:rPr>
                <w:rFonts w:ascii="Cambria" w:hAnsi="Cambria"/>
                <w:b/>
                <w:color w:val="FFFFFF"/>
                <w:sz w:val="19"/>
              </w:rPr>
              <w:t>Checklist Item</w:t>
            </w:r>
          </w:p>
        </w:tc>
        <w:tc>
          <w:tcPr>
            <w:tcW w:type="dxa" w:w="1474"/>
            <w:shd w:val="clear" w:color="auto" w:fill="1F3A5F"/>
            <w:tcW w:w="1474" w:type="dxa"/>
          </w:tcPr>
          <w:p>
            <w:pPr>
              <w:jc w:val="center"/>
            </w:pPr>
            <w:r/>
            <w:r>
              <w:rPr>
                <w:rFonts w:ascii="Cambria" w:hAnsi="Cambria"/>
                <w:b/>
                <w:color w:val="FFFFFF"/>
                <w:sz w:val="19"/>
              </w:rPr>
              <w:t>Frequency</w:t>
            </w:r>
          </w:p>
        </w:tc>
        <w:tc>
          <w:tcPr>
            <w:tcW w:type="dxa" w:w="1077"/>
            <w:shd w:val="clear" w:color="auto" w:fill="1F3A5F"/>
            <w:tcW w:w="1077" w:type="dxa"/>
          </w:tcPr>
          <w:p>
            <w:pPr>
              <w:jc w:val="center"/>
            </w:pPr>
            <w:r/>
            <w:r>
              <w:rPr>
                <w:rFonts w:ascii="Cambria" w:hAnsi="Cambria"/>
                <w:b/>
                <w:color w:val="FFFFFF"/>
                <w:sz w:val="19"/>
              </w:rPr>
              <w:t>Status (✓/✗)</w:t>
            </w:r>
          </w:p>
        </w:tc>
        <w:tc>
          <w:tcPr>
            <w:tcW w:type="dxa" w:w="1928"/>
            <w:shd w:val="clear" w:color="auto" w:fill="1F3A5F"/>
            <w:tcW w:w="1927" w:type="dxa"/>
          </w:tcPr>
          <w:p>
            <w:pPr>
              <w:jc w:val="center"/>
            </w:pPr>
            <w:r/>
            <w:r>
              <w:rPr>
                <w:rFonts w:ascii="Cambria" w:hAnsi="Cambria"/>
                <w:b/>
                <w:color w:val="FFFFFF"/>
                <w:sz w:val="19"/>
              </w:rPr>
              <w:t>Remarks / Action Taken</w:t>
            </w:r>
          </w:p>
        </w:tc>
      </w:tr>
      <w:tr>
        <w:tc>
          <w:tcPr>
            <w:tcW w:type="dxa" w:w="397"/>
            <w:tcW w:w="396" w:type="dxa"/>
          </w:tcPr>
          <w:p>
            <w:pPr>
              <w:jc w:val="center"/>
            </w:pPr>
            <w:r/>
            <w:r>
              <w:rPr>
                <w:rFonts w:ascii="Cambria" w:hAnsi="Cambria"/>
                <w:b w:val="0"/>
                <w:sz w:val="18"/>
              </w:rPr>
              <w:t>1</w:t>
            </w:r>
          </w:p>
        </w:tc>
        <w:tc>
          <w:tcPr>
            <w:tcW w:type="dxa" w:w="4876"/>
            <w:tcW w:w="4876" w:type="dxa"/>
          </w:tcPr>
          <w:p>
            <w:r/>
            <w:r>
              <w:rPr>
                <w:rFonts w:ascii="Cambria" w:hAnsi="Cambria"/>
                <w:b w:val="0"/>
                <w:sz w:val="18"/>
              </w:rPr>
              <w:t>Department web page is active, updated, and accessible to students and parents.</w:t>
            </w:r>
          </w:p>
        </w:tc>
        <w:tc>
          <w:tcPr>
            <w:tcW w:type="dxa" w:w="1474"/>
            <w:tcW w:w="1474" w:type="dxa"/>
          </w:tcPr>
          <w:p>
            <w:r/>
            <w:r>
              <w:rPr>
                <w:rFonts w:ascii="Cambria" w:hAnsi="Cambria"/>
                <w:b w:val="0"/>
                <w:sz w:val="18"/>
              </w:rPr>
              <w:t>Weekly</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2</w:t>
            </w:r>
          </w:p>
        </w:tc>
        <w:tc>
          <w:tcPr>
            <w:tcW w:type="dxa" w:w="4876"/>
            <w:tcW w:w="4876" w:type="dxa"/>
            <w:shd w:val="clear" w:color="auto" w:fill="EDF2F8"/>
          </w:tcPr>
          <w:p>
            <w:r/>
            <w:r>
              <w:rPr>
                <w:rFonts w:ascii="Cambria" w:hAnsi="Cambria"/>
                <w:b w:val="0"/>
                <w:sz w:val="18"/>
              </w:rPr>
              <w:t>All departmental information (faculty list, timetable, syllabus, notices) is current and verified.</w:t>
            </w:r>
          </w:p>
        </w:tc>
        <w:tc>
          <w:tcPr>
            <w:tcW w:type="dxa" w:w="1474"/>
            <w:tcW w:w="1474" w:type="dxa"/>
            <w:shd w:val="clear" w:color="auto" w:fill="EDF2F8"/>
          </w:tcPr>
          <w:p>
            <w:r/>
            <w:r>
              <w:rPr>
                <w:rFonts w:ascii="Cambria" w:hAnsi="Cambria"/>
                <w:b w:val="0"/>
                <w:sz w:val="18"/>
              </w:rPr>
              <w:t>Monthly</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r>
        <w:tc>
          <w:tcPr>
            <w:tcW w:type="dxa" w:w="397"/>
            <w:tcW w:w="396" w:type="dxa"/>
          </w:tcPr>
          <w:p>
            <w:pPr>
              <w:jc w:val="center"/>
            </w:pPr>
            <w:r/>
            <w:r>
              <w:rPr>
                <w:rFonts w:ascii="Cambria" w:hAnsi="Cambria"/>
                <w:b w:val="0"/>
                <w:sz w:val="18"/>
              </w:rPr>
              <w:t>3</w:t>
            </w:r>
          </w:p>
        </w:tc>
        <w:tc>
          <w:tcPr>
            <w:tcW w:type="dxa" w:w="4876"/>
            <w:tcW w:w="4876" w:type="dxa"/>
          </w:tcPr>
          <w:p>
            <w:r/>
            <w:r>
              <w:rPr>
                <w:rFonts w:ascii="Cambria" w:hAnsi="Cambria"/>
                <w:b w:val="0"/>
                <w:sz w:val="18"/>
              </w:rPr>
              <w:t>Department webpage layout and content comply with college web design and data privacy policies.</w:t>
            </w:r>
          </w:p>
        </w:tc>
        <w:tc>
          <w:tcPr>
            <w:tcW w:type="dxa" w:w="1474"/>
            <w:tcW w:w="1474" w:type="dxa"/>
          </w:tcPr>
          <w:p>
            <w:r/>
            <w:r>
              <w:rPr>
                <w:rFonts w:ascii="Cambria" w:hAnsi="Cambria"/>
                <w:b w:val="0"/>
                <w:sz w:val="18"/>
              </w:rPr>
              <w:t>Monthly</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4</w:t>
            </w:r>
          </w:p>
        </w:tc>
        <w:tc>
          <w:tcPr>
            <w:tcW w:type="dxa" w:w="4876"/>
            <w:tcW w:w="4876" w:type="dxa"/>
            <w:shd w:val="clear" w:color="auto" w:fill="EDF2F8"/>
          </w:tcPr>
          <w:p>
            <w:r/>
            <w:r>
              <w:rPr>
                <w:rFonts w:ascii="Cambria" w:hAnsi="Cambria"/>
                <w:b w:val="0"/>
                <w:sz w:val="18"/>
              </w:rPr>
              <w:t>Technical issues, broken links, or missing data are reported to the web administrator promptly.</w:t>
            </w:r>
          </w:p>
        </w:tc>
        <w:tc>
          <w:tcPr>
            <w:tcW w:type="dxa" w:w="1474"/>
            <w:tcW w:w="1474" w:type="dxa"/>
            <w:shd w:val="clear" w:color="auto" w:fill="EDF2F8"/>
          </w:tcPr>
          <w:p>
            <w:r/>
            <w:r>
              <w:rPr>
                <w:rFonts w:ascii="Cambria" w:hAnsi="Cambria"/>
                <w:b w:val="0"/>
                <w:sz w:val="18"/>
              </w:rPr>
              <w:t>As Required</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bl>
    <w:p>
      <w:pPr>
        <w:keepNext/>
        <w:spacing w:before="200" w:after="160"/>
      </w:pPr>
      <w:r>
        <w:rPr>
          <w:rFonts w:ascii="Cambria" w:hAnsi="Cambria"/>
          <w:b/>
          <w:color w:val="1F3A5F"/>
          <w:sz w:val="26"/>
        </w:rPr>
        <w:t>B. Academic Content and Lecture Plan Updates</w:t>
      </w:r>
    </w:p>
    <w:tbl>
      <w:tblPr>
        <w:tblW w:type="auto" w:w="0"/>
        <w:jc w:val="center"/>
        <w:tblLayout w:type="fixed"/>
        <w:tblLook w:firstColumn="1" w:firstRow="1" w:lastColumn="0" w:lastRow="0" w:noHBand="0" w:noVBand="1" w:val="04A0"/>
        <w:tblW w:w="9752" w:type="dxa"/>
        <w:tblLayout w:type="fixed"/>
      </w:tblPr>
      <w:tblGrid>
        <w:gridCol w:w="1882"/>
        <w:gridCol w:w="1882"/>
        <w:gridCol w:w="1882"/>
        <w:gridCol w:w="1882"/>
        <w:gridCol w:w="1882"/>
      </w:tblGrid>
      <w:tr>
        <w:tc>
          <w:tcPr>
            <w:tcW w:type="dxa" w:w="397"/>
            <w:shd w:val="clear" w:color="auto" w:fill="1F3A5F"/>
            <w:tcW w:w="396" w:type="dxa"/>
          </w:tcPr>
          <w:p>
            <w:pPr>
              <w:jc w:val="center"/>
            </w:pPr>
            <w:r/>
            <w:r>
              <w:rPr>
                <w:rFonts w:ascii="Cambria" w:hAnsi="Cambria"/>
                <w:b/>
                <w:color w:val="FFFFFF"/>
                <w:sz w:val="19"/>
              </w:rPr>
              <w:t>#</w:t>
            </w:r>
          </w:p>
        </w:tc>
        <w:tc>
          <w:tcPr>
            <w:tcW w:type="dxa" w:w="4876"/>
            <w:shd w:val="clear" w:color="auto" w:fill="1F3A5F"/>
            <w:tcW w:w="4876" w:type="dxa"/>
          </w:tcPr>
          <w:p>
            <w:pPr>
              <w:jc w:val="center"/>
            </w:pPr>
            <w:r/>
            <w:r>
              <w:rPr>
                <w:rFonts w:ascii="Cambria" w:hAnsi="Cambria"/>
                <w:b/>
                <w:color w:val="FFFFFF"/>
                <w:sz w:val="19"/>
              </w:rPr>
              <w:t>Checklist Item</w:t>
            </w:r>
          </w:p>
        </w:tc>
        <w:tc>
          <w:tcPr>
            <w:tcW w:type="dxa" w:w="1474"/>
            <w:shd w:val="clear" w:color="auto" w:fill="1F3A5F"/>
            <w:tcW w:w="1474" w:type="dxa"/>
          </w:tcPr>
          <w:p>
            <w:pPr>
              <w:jc w:val="center"/>
            </w:pPr>
            <w:r/>
            <w:r>
              <w:rPr>
                <w:rFonts w:ascii="Cambria" w:hAnsi="Cambria"/>
                <w:b/>
                <w:color w:val="FFFFFF"/>
                <w:sz w:val="19"/>
              </w:rPr>
              <w:t>Frequency</w:t>
            </w:r>
          </w:p>
        </w:tc>
        <w:tc>
          <w:tcPr>
            <w:tcW w:type="dxa" w:w="1077"/>
            <w:shd w:val="clear" w:color="auto" w:fill="1F3A5F"/>
            <w:tcW w:w="1077" w:type="dxa"/>
          </w:tcPr>
          <w:p>
            <w:pPr>
              <w:jc w:val="center"/>
            </w:pPr>
            <w:r/>
            <w:r>
              <w:rPr>
                <w:rFonts w:ascii="Cambria" w:hAnsi="Cambria"/>
                <w:b/>
                <w:color w:val="FFFFFF"/>
                <w:sz w:val="19"/>
              </w:rPr>
              <w:t>Status (✓/✗)</w:t>
            </w:r>
          </w:p>
        </w:tc>
        <w:tc>
          <w:tcPr>
            <w:tcW w:type="dxa" w:w="1928"/>
            <w:shd w:val="clear" w:color="auto" w:fill="1F3A5F"/>
            <w:tcW w:w="1927" w:type="dxa"/>
          </w:tcPr>
          <w:p>
            <w:pPr>
              <w:jc w:val="center"/>
            </w:pPr>
            <w:r/>
            <w:r>
              <w:rPr>
                <w:rFonts w:ascii="Cambria" w:hAnsi="Cambria"/>
                <w:b/>
                <w:color w:val="FFFFFF"/>
                <w:sz w:val="19"/>
              </w:rPr>
              <w:t>Remarks / Action Taken</w:t>
            </w:r>
          </w:p>
        </w:tc>
      </w:tr>
      <w:tr>
        <w:tc>
          <w:tcPr>
            <w:tcW w:type="dxa" w:w="397"/>
            <w:tcW w:w="396" w:type="dxa"/>
          </w:tcPr>
          <w:p>
            <w:pPr>
              <w:jc w:val="center"/>
            </w:pPr>
            <w:r/>
            <w:r>
              <w:rPr>
                <w:rFonts w:ascii="Cambria" w:hAnsi="Cambria"/>
                <w:b w:val="0"/>
                <w:sz w:val="18"/>
              </w:rPr>
              <w:t>5</w:t>
            </w:r>
          </w:p>
        </w:tc>
        <w:tc>
          <w:tcPr>
            <w:tcW w:type="dxa" w:w="4876"/>
            <w:tcW w:w="4876" w:type="dxa"/>
          </w:tcPr>
          <w:p>
            <w:r/>
            <w:r>
              <w:rPr>
                <w:rFonts w:ascii="Cambria" w:hAnsi="Cambria"/>
                <w:b w:val="0"/>
                <w:sz w:val="18"/>
              </w:rPr>
              <w:t>Lecture plans and course outlines uploaded at the start of each semester for all subjects.</w:t>
            </w:r>
          </w:p>
        </w:tc>
        <w:tc>
          <w:tcPr>
            <w:tcW w:type="dxa" w:w="1474"/>
            <w:tcW w:w="1474" w:type="dxa"/>
          </w:tcPr>
          <w:p>
            <w:r/>
            <w:r>
              <w:rPr>
                <w:rFonts w:ascii="Cambria" w:hAnsi="Cambria"/>
                <w:b w:val="0"/>
                <w:sz w:val="18"/>
              </w:rPr>
              <w:t>Beginning of Each Semester</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6</w:t>
            </w:r>
          </w:p>
        </w:tc>
        <w:tc>
          <w:tcPr>
            <w:tcW w:type="dxa" w:w="4876"/>
            <w:tcW w:w="4876" w:type="dxa"/>
            <w:shd w:val="clear" w:color="auto" w:fill="EDF2F8"/>
          </w:tcPr>
          <w:p>
            <w:r/>
            <w:r>
              <w:rPr>
                <w:rFonts w:ascii="Cambria" w:hAnsi="Cambria"/>
                <w:b w:val="0"/>
                <w:sz w:val="18"/>
              </w:rPr>
              <w:t>Faculty update course progress and lesson coverage on the portal as per the academic calendar.</w:t>
            </w:r>
          </w:p>
        </w:tc>
        <w:tc>
          <w:tcPr>
            <w:tcW w:type="dxa" w:w="1474"/>
            <w:tcW w:w="1474" w:type="dxa"/>
            <w:shd w:val="clear" w:color="auto" w:fill="EDF2F8"/>
          </w:tcPr>
          <w:p>
            <w:r/>
            <w:r>
              <w:rPr>
                <w:rFonts w:ascii="Cambria" w:hAnsi="Cambria"/>
                <w:b w:val="0"/>
                <w:sz w:val="18"/>
              </w:rPr>
              <w:t>Biweekly</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r>
        <w:tc>
          <w:tcPr>
            <w:tcW w:type="dxa" w:w="397"/>
            <w:tcW w:w="396" w:type="dxa"/>
          </w:tcPr>
          <w:p>
            <w:pPr>
              <w:jc w:val="center"/>
            </w:pPr>
            <w:r/>
            <w:r>
              <w:rPr>
                <w:rFonts w:ascii="Cambria" w:hAnsi="Cambria"/>
                <w:b w:val="0"/>
                <w:sz w:val="18"/>
              </w:rPr>
              <w:t>7</w:t>
            </w:r>
          </w:p>
        </w:tc>
        <w:tc>
          <w:tcPr>
            <w:tcW w:type="dxa" w:w="4876"/>
            <w:tcW w:w="4876" w:type="dxa"/>
          </w:tcPr>
          <w:p>
            <w:r/>
            <w:r>
              <w:rPr>
                <w:rFonts w:ascii="Cambria" w:hAnsi="Cambria"/>
                <w:b w:val="0"/>
                <w:sz w:val="18"/>
              </w:rPr>
              <w:t>Class timetables and academic calendars are available online for student reference.</w:t>
            </w:r>
          </w:p>
        </w:tc>
        <w:tc>
          <w:tcPr>
            <w:tcW w:type="dxa" w:w="1474"/>
            <w:tcW w:w="1474" w:type="dxa"/>
          </w:tcPr>
          <w:p>
            <w:r/>
            <w:r>
              <w:rPr>
                <w:rFonts w:ascii="Cambria" w:hAnsi="Cambria"/>
                <w:b w:val="0"/>
                <w:sz w:val="18"/>
              </w:rPr>
              <w:t>Beginning of Each Semester</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8</w:t>
            </w:r>
          </w:p>
        </w:tc>
        <w:tc>
          <w:tcPr>
            <w:tcW w:type="dxa" w:w="4876"/>
            <w:tcW w:w="4876" w:type="dxa"/>
            <w:shd w:val="clear" w:color="auto" w:fill="EDF2F8"/>
          </w:tcPr>
          <w:p>
            <w:r/>
            <w:r>
              <w:rPr>
                <w:rFonts w:ascii="Cambria" w:hAnsi="Cambria"/>
                <w:b w:val="0"/>
                <w:sz w:val="18"/>
              </w:rPr>
              <w:t>Study materials, assignments, and reference links uploaded by faculty (subject-wise).</w:t>
            </w:r>
          </w:p>
        </w:tc>
        <w:tc>
          <w:tcPr>
            <w:tcW w:type="dxa" w:w="1474"/>
            <w:tcW w:w="1474" w:type="dxa"/>
            <w:shd w:val="clear" w:color="auto" w:fill="EDF2F8"/>
          </w:tcPr>
          <w:p>
            <w:r/>
            <w:r>
              <w:rPr>
                <w:rFonts w:ascii="Cambria" w:hAnsi="Cambria"/>
                <w:b w:val="0"/>
                <w:sz w:val="18"/>
              </w:rPr>
              <w:t>Monthly</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bl>
    <w:p>
      <w:pPr>
        <w:keepNext/>
        <w:spacing w:before="200" w:after="160"/>
      </w:pPr>
      <w:r>
        <w:rPr>
          <w:rFonts w:ascii="Cambria" w:hAnsi="Cambria"/>
          <w:b/>
          <w:color w:val="1F3A5F"/>
          <w:sz w:val="26"/>
        </w:rPr>
        <w:t>C. Attendance Monitoring</w:t>
      </w:r>
    </w:p>
    <w:tbl>
      <w:tblPr>
        <w:tblW w:type="auto" w:w="0"/>
        <w:jc w:val="center"/>
        <w:tblLayout w:type="fixed"/>
        <w:tblLook w:firstColumn="1" w:firstRow="1" w:lastColumn="0" w:lastRow="0" w:noHBand="0" w:noVBand="1" w:val="04A0"/>
        <w:tblW w:w="9752" w:type="dxa"/>
        <w:tblLayout w:type="fixed"/>
      </w:tblPr>
      <w:tblGrid>
        <w:gridCol w:w="1882"/>
        <w:gridCol w:w="1882"/>
        <w:gridCol w:w="1882"/>
        <w:gridCol w:w="1882"/>
        <w:gridCol w:w="1882"/>
      </w:tblGrid>
      <w:tr>
        <w:tc>
          <w:tcPr>
            <w:tcW w:type="dxa" w:w="397"/>
            <w:shd w:val="clear" w:color="auto" w:fill="1F3A5F"/>
            <w:tcW w:w="396" w:type="dxa"/>
          </w:tcPr>
          <w:p>
            <w:pPr>
              <w:jc w:val="center"/>
            </w:pPr>
            <w:r/>
            <w:r>
              <w:rPr>
                <w:rFonts w:ascii="Cambria" w:hAnsi="Cambria"/>
                <w:b/>
                <w:color w:val="FFFFFF"/>
                <w:sz w:val="19"/>
              </w:rPr>
              <w:t>#</w:t>
            </w:r>
          </w:p>
        </w:tc>
        <w:tc>
          <w:tcPr>
            <w:tcW w:type="dxa" w:w="4876"/>
            <w:shd w:val="clear" w:color="auto" w:fill="1F3A5F"/>
            <w:tcW w:w="4876" w:type="dxa"/>
          </w:tcPr>
          <w:p>
            <w:pPr>
              <w:jc w:val="center"/>
            </w:pPr>
            <w:r/>
            <w:r>
              <w:rPr>
                <w:rFonts w:ascii="Cambria" w:hAnsi="Cambria"/>
                <w:b/>
                <w:color w:val="FFFFFF"/>
                <w:sz w:val="19"/>
              </w:rPr>
              <w:t>Checklist Item</w:t>
            </w:r>
          </w:p>
        </w:tc>
        <w:tc>
          <w:tcPr>
            <w:tcW w:type="dxa" w:w="1474"/>
            <w:shd w:val="clear" w:color="auto" w:fill="1F3A5F"/>
            <w:tcW w:w="1474" w:type="dxa"/>
          </w:tcPr>
          <w:p>
            <w:pPr>
              <w:jc w:val="center"/>
            </w:pPr>
            <w:r/>
            <w:r>
              <w:rPr>
                <w:rFonts w:ascii="Cambria" w:hAnsi="Cambria"/>
                <w:b/>
                <w:color w:val="FFFFFF"/>
                <w:sz w:val="19"/>
              </w:rPr>
              <w:t>Frequency</w:t>
            </w:r>
          </w:p>
        </w:tc>
        <w:tc>
          <w:tcPr>
            <w:tcW w:type="dxa" w:w="1077"/>
            <w:shd w:val="clear" w:color="auto" w:fill="1F3A5F"/>
            <w:tcW w:w="1077" w:type="dxa"/>
          </w:tcPr>
          <w:p>
            <w:pPr>
              <w:jc w:val="center"/>
            </w:pPr>
            <w:r/>
            <w:r>
              <w:rPr>
                <w:rFonts w:ascii="Cambria" w:hAnsi="Cambria"/>
                <w:b/>
                <w:color w:val="FFFFFF"/>
                <w:sz w:val="19"/>
              </w:rPr>
              <w:t>Status (✓/✗)</w:t>
            </w:r>
          </w:p>
        </w:tc>
        <w:tc>
          <w:tcPr>
            <w:tcW w:type="dxa" w:w="1928"/>
            <w:shd w:val="clear" w:color="auto" w:fill="1F3A5F"/>
            <w:tcW w:w="1927" w:type="dxa"/>
          </w:tcPr>
          <w:p>
            <w:pPr>
              <w:jc w:val="center"/>
            </w:pPr>
            <w:r/>
            <w:r>
              <w:rPr>
                <w:rFonts w:ascii="Cambria" w:hAnsi="Cambria"/>
                <w:b/>
                <w:color w:val="FFFFFF"/>
                <w:sz w:val="19"/>
              </w:rPr>
              <w:t>Remarks / Action Taken</w:t>
            </w:r>
          </w:p>
        </w:tc>
      </w:tr>
      <w:tr>
        <w:tc>
          <w:tcPr>
            <w:tcW w:type="dxa" w:w="397"/>
            <w:tcW w:w="396" w:type="dxa"/>
          </w:tcPr>
          <w:p>
            <w:pPr>
              <w:jc w:val="center"/>
            </w:pPr>
            <w:r/>
            <w:r>
              <w:rPr>
                <w:rFonts w:ascii="Cambria" w:hAnsi="Cambria"/>
                <w:b w:val="0"/>
                <w:sz w:val="18"/>
              </w:rPr>
              <w:t>9</w:t>
            </w:r>
          </w:p>
        </w:tc>
        <w:tc>
          <w:tcPr>
            <w:tcW w:type="dxa" w:w="4876"/>
            <w:tcW w:w="4876" w:type="dxa"/>
          </w:tcPr>
          <w:p>
            <w:r/>
            <w:r>
              <w:rPr>
                <w:rFonts w:ascii="Cambria" w:hAnsi="Cambria"/>
                <w:b w:val="0"/>
                <w:sz w:val="18"/>
              </w:rPr>
              <w:t>Student attendance data updated by staff every week.</w:t>
            </w:r>
          </w:p>
        </w:tc>
        <w:tc>
          <w:tcPr>
            <w:tcW w:type="dxa" w:w="1474"/>
            <w:tcW w:w="1474" w:type="dxa"/>
          </w:tcPr>
          <w:p>
            <w:r/>
            <w:r>
              <w:rPr>
                <w:rFonts w:ascii="Cambria" w:hAnsi="Cambria"/>
                <w:b w:val="0"/>
                <w:sz w:val="18"/>
              </w:rPr>
              <w:t>Weekly</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10</w:t>
            </w:r>
          </w:p>
        </w:tc>
        <w:tc>
          <w:tcPr>
            <w:tcW w:type="dxa" w:w="4876"/>
            <w:tcW w:w="4876" w:type="dxa"/>
            <w:shd w:val="clear" w:color="auto" w:fill="EDF2F8"/>
          </w:tcPr>
          <w:p>
            <w:r/>
            <w:r>
              <w:rPr>
                <w:rFonts w:ascii="Cambria" w:hAnsi="Cambria"/>
                <w:b w:val="0"/>
                <w:sz w:val="18"/>
              </w:rPr>
              <w:t>Attendance details verified by HoD against manual registers or ERP.</w:t>
            </w:r>
          </w:p>
        </w:tc>
        <w:tc>
          <w:tcPr>
            <w:tcW w:type="dxa" w:w="1474"/>
            <w:tcW w:w="1474" w:type="dxa"/>
            <w:shd w:val="clear" w:color="auto" w:fill="EDF2F8"/>
          </w:tcPr>
          <w:p>
            <w:r/>
            <w:r>
              <w:rPr>
                <w:rFonts w:ascii="Cambria" w:hAnsi="Cambria"/>
                <w:b w:val="0"/>
                <w:sz w:val="18"/>
              </w:rPr>
              <w:t>Weekly</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r>
        <w:tc>
          <w:tcPr>
            <w:tcW w:type="dxa" w:w="397"/>
            <w:tcW w:w="396" w:type="dxa"/>
          </w:tcPr>
          <w:p>
            <w:pPr>
              <w:jc w:val="center"/>
            </w:pPr>
            <w:r/>
            <w:r>
              <w:rPr>
                <w:rFonts w:ascii="Cambria" w:hAnsi="Cambria"/>
                <w:b w:val="0"/>
                <w:sz w:val="18"/>
              </w:rPr>
              <w:t>11</w:t>
            </w:r>
          </w:p>
        </w:tc>
        <w:tc>
          <w:tcPr>
            <w:tcW w:type="dxa" w:w="4876"/>
            <w:tcW w:w="4876" w:type="dxa"/>
          </w:tcPr>
          <w:p>
            <w:r/>
            <w:r>
              <w:rPr>
                <w:rFonts w:ascii="Cambria" w:hAnsi="Cambria"/>
                <w:b w:val="0"/>
                <w:sz w:val="18"/>
              </w:rPr>
              <w:t>Shortage of attendance reports communicated to students and parents through portal.</w:t>
            </w:r>
          </w:p>
        </w:tc>
        <w:tc>
          <w:tcPr>
            <w:tcW w:type="dxa" w:w="1474"/>
            <w:tcW w:w="1474" w:type="dxa"/>
          </w:tcPr>
          <w:p>
            <w:r/>
            <w:r>
              <w:rPr>
                <w:rFonts w:ascii="Cambria" w:hAnsi="Cambria"/>
                <w:b w:val="0"/>
                <w:sz w:val="18"/>
              </w:rPr>
              <w:t>Monthly</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12</w:t>
            </w:r>
          </w:p>
        </w:tc>
        <w:tc>
          <w:tcPr>
            <w:tcW w:type="dxa" w:w="4876"/>
            <w:tcW w:w="4876" w:type="dxa"/>
            <w:shd w:val="clear" w:color="auto" w:fill="EDF2F8"/>
          </w:tcPr>
          <w:p>
            <w:r/>
            <w:r>
              <w:rPr>
                <w:rFonts w:ascii="Cambria" w:hAnsi="Cambria"/>
                <w:b w:val="0"/>
                <w:sz w:val="18"/>
              </w:rPr>
              <w:t>Attendance corrections or discrepancies are promptly resolved.</w:t>
            </w:r>
          </w:p>
        </w:tc>
        <w:tc>
          <w:tcPr>
            <w:tcW w:type="dxa" w:w="1474"/>
            <w:tcW w:w="1474" w:type="dxa"/>
            <w:shd w:val="clear" w:color="auto" w:fill="EDF2F8"/>
          </w:tcPr>
          <w:p>
            <w:r/>
            <w:r>
              <w:rPr>
                <w:rFonts w:ascii="Cambria" w:hAnsi="Cambria"/>
                <w:b w:val="0"/>
                <w:sz w:val="18"/>
              </w:rPr>
              <w:t>As Required</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bl>
    <w:p>
      <w:pPr>
        <w:keepNext/>
        <w:spacing w:before="200" w:after="160"/>
      </w:pPr>
      <w:r>
        <w:rPr>
          <w:rFonts w:ascii="Cambria" w:hAnsi="Cambria"/>
          <w:b/>
          <w:color w:val="1F3A5F"/>
          <w:sz w:val="26"/>
        </w:rPr>
        <w:t>D. Internal Marks and Assessment Records</w:t>
      </w:r>
    </w:p>
    <w:tbl>
      <w:tblPr>
        <w:tblW w:type="auto" w:w="0"/>
        <w:jc w:val="center"/>
        <w:tblLayout w:type="fixed"/>
        <w:tblLook w:firstColumn="1" w:firstRow="1" w:lastColumn="0" w:lastRow="0" w:noHBand="0" w:noVBand="1" w:val="04A0"/>
        <w:tblW w:w="9752" w:type="dxa"/>
        <w:tblLayout w:type="fixed"/>
      </w:tblPr>
      <w:tblGrid>
        <w:gridCol w:w="1882"/>
        <w:gridCol w:w="1882"/>
        <w:gridCol w:w="1882"/>
        <w:gridCol w:w="1882"/>
        <w:gridCol w:w="1882"/>
      </w:tblGrid>
      <w:tr>
        <w:tc>
          <w:tcPr>
            <w:tcW w:type="dxa" w:w="397"/>
            <w:shd w:val="clear" w:color="auto" w:fill="1F3A5F"/>
            <w:tcW w:w="396" w:type="dxa"/>
          </w:tcPr>
          <w:p>
            <w:pPr>
              <w:jc w:val="center"/>
            </w:pPr>
            <w:r/>
            <w:r>
              <w:rPr>
                <w:rFonts w:ascii="Cambria" w:hAnsi="Cambria"/>
                <w:b/>
                <w:color w:val="FFFFFF"/>
                <w:sz w:val="19"/>
              </w:rPr>
              <w:t>#</w:t>
            </w:r>
          </w:p>
        </w:tc>
        <w:tc>
          <w:tcPr>
            <w:tcW w:type="dxa" w:w="4876"/>
            <w:shd w:val="clear" w:color="auto" w:fill="1F3A5F"/>
            <w:tcW w:w="4876" w:type="dxa"/>
          </w:tcPr>
          <w:p>
            <w:pPr>
              <w:jc w:val="center"/>
            </w:pPr>
            <w:r/>
            <w:r>
              <w:rPr>
                <w:rFonts w:ascii="Cambria" w:hAnsi="Cambria"/>
                <w:b/>
                <w:color w:val="FFFFFF"/>
                <w:sz w:val="19"/>
              </w:rPr>
              <w:t>Checklist Item</w:t>
            </w:r>
          </w:p>
        </w:tc>
        <w:tc>
          <w:tcPr>
            <w:tcW w:type="dxa" w:w="1474"/>
            <w:shd w:val="clear" w:color="auto" w:fill="1F3A5F"/>
            <w:tcW w:w="1474" w:type="dxa"/>
          </w:tcPr>
          <w:p>
            <w:pPr>
              <w:jc w:val="center"/>
            </w:pPr>
            <w:r/>
            <w:r>
              <w:rPr>
                <w:rFonts w:ascii="Cambria" w:hAnsi="Cambria"/>
                <w:b/>
                <w:color w:val="FFFFFF"/>
                <w:sz w:val="19"/>
              </w:rPr>
              <w:t>Frequency</w:t>
            </w:r>
          </w:p>
        </w:tc>
        <w:tc>
          <w:tcPr>
            <w:tcW w:type="dxa" w:w="1077"/>
            <w:shd w:val="clear" w:color="auto" w:fill="1F3A5F"/>
            <w:tcW w:w="1077" w:type="dxa"/>
          </w:tcPr>
          <w:p>
            <w:pPr>
              <w:jc w:val="center"/>
            </w:pPr>
            <w:r/>
            <w:r>
              <w:rPr>
                <w:rFonts w:ascii="Cambria" w:hAnsi="Cambria"/>
                <w:b/>
                <w:color w:val="FFFFFF"/>
                <w:sz w:val="19"/>
              </w:rPr>
              <w:t>Status (✓/✗)</w:t>
            </w:r>
          </w:p>
        </w:tc>
        <w:tc>
          <w:tcPr>
            <w:tcW w:type="dxa" w:w="1928"/>
            <w:shd w:val="clear" w:color="auto" w:fill="1F3A5F"/>
            <w:tcW w:w="1927" w:type="dxa"/>
          </w:tcPr>
          <w:p>
            <w:pPr>
              <w:jc w:val="center"/>
            </w:pPr>
            <w:r/>
            <w:r>
              <w:rPr>
                <w:rFonts w:ascii="Cambria" w:hAnsi="Cambria"/>
                <w:b/>
                <w:color w:val="FFFFFF"/>
                <w:sz w:val="19"/>
              </w:rPr>
              <w:t>Remarks / Action Taken</w:t>
            </w:r>
          </w:p>
        </w:tc>
      </w:tr>
      <w:tr>
        <w:tc>
          <w:tcPr>
            <w:tcW w:type="dxa" w:w="397"/>
            <w:tcW w:w="396" w:type="dxa"/>
          </w:tcPr>
          <w:p>
            <w:pPr>
              <w:jc w:val="center"/>
            </w:pPr>
            <w:r/>
            <w:r>
              <w:rPr>
                <w:rFonts w:ascii="Cambria" w:hAnsi="Cambria"/>
                <w:b w:val="0"/>
                <w:sz w:val="18"/>
              </w:rPr>
              <w:t>13</w:t>
            </w:r>
          </w:p>
        </w:tc>
        <w:tc>
          <w:tcPr>
            <w:tcW w:type="dxa" w:w="4876"/>
            <w:tcW w:w="4876" w:type="dxa"/>
          </w:tcPr>
          <w:p>
            <w:r/>
            <w:r>
              <w:rPr>
                <w:rFonts w:ascii="Cambria" w:hAnsi="Cambria"/>
                <w:b w:val="0"/>
                <w:sz w:val="18"/>
              </w:rPr>
              <w:t>Internal marks and midterm test results uploaded on the website after each evaluation.</w:t>
            </w:r>
          </w:p>
        </w:tc>
        <w:tc>
          <w:tcPr>
            <w:tcW w:type="dxa" w:w="1474"/>
            <w:tcW w:w="1474" w:type="dxa"/>
          </w:tcPr>
          <w:p>
            <w:r/>
            <w:r>
              <w:rPr>
                <w:rFonts w:ascii="Cambria" w:hAnsi="Cambria"/>
                <w:b w:val="0"/>
                <w:sz w:val="18"/>
              </w:rPr>
              <w:t>After Each Test</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14</w:t>
            </w:r>
          </w:p>
        </w:tc>
        <w:tc>
          <w:tcPr>
            <w:tcW w:type="dxa" w:w="4876"/>
            <w:tcW w:w="4876" w:type="dxa"/>
            <w:shd w:val="clear" w:color="auto" w:fill="EDF2F8"/>
          </w:tcPr>
          <w:p>
            <w:r/>
            <w:r>
              <w:rPr>
                <w:rFonts w:ascii="Cambria" w:hAnsi="Cambria"/>
                <w:b w:val="0"/>
                <w:sz w:val="18"/>
              </w:rPr>
              <w:t>Marks verified by HoD before publication to ensure accuracy.</w:t>
            </w:r>
          </w:p>
        </w:tc>
        <w:tc>
          <w:tcPr>
            <w:tcW w:type="dxa" w:w="1474"/>
            <w:tcW w:w="1474" w:type="dxa"/>
            <w:shd w:val="clear" w:color="auto" w:fill="EDF2F8"/>
          </w:tcPr>
          <w:p>
            <w:r/>
            <w:r>
              <w:rPr>
                <w:rFonts w:ascii="Cambria" w:hAnsi="Cambria"/>
                <w:b w:val="0"/>
                <w:sz w:val="18"/>
              </w:rPr>
              <w:t>After Each Test</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r>
        <w:tc>
          <w:tcPr>
            <w:tcW w:type="dxa" w:w="397"/>
            <w:tcW w:w="396" w:type="dxa"/>
          </w:tcPr>
          <w:p>
            <w:pPr>
              <w:jc w:val="center"/>
            </w:pPr>
            <w:r/>
            <w:r>
              <w:rPr>
                <w:rFonts w:ascii="Cambria" w:hAnsi="Cambria"/>
                <w:b w:val="0"/>
                <w:sz w:val="18"/>
              </w:rPr>
              <w:t>15</w:t>
            </w:r>
          </w:p>
        </w:tc>
        <w:tc>
          <w:tcPr>
            <w:tcW w:type="dxa" w:w="4876"/>
            <w:tcW w:w="4876" w:type="dxa"/>
          </w:tcPr>
          <w:p>
            <w:r/>
            <w:r>
              <w:rPr>
                <w:rFonts w:ascii="Cambria" w:hAnsi="Cambria"/>
                <w:b w:val="0"/>
                <w:sz w:val="18"/>
              </w:rPr>
              <w:t>Continuous assessment progress (assignments, lab evaluations) updated regularly.</w:t>
            </w:r>
          </w:p>
        </w:tc>
        <w:tc>
          <w:tcPr>
            <w:tcW w:type="dxa" w:w="1474"/>
            <w:tcW w:w="1474" w:type="dxa"/>
          </w:tcPr>
          <w:p>
            <w:r/>
            <w:r>
              <w:rPr>
                <w:rFonts w:ascii="Cambria" w:hAnsi="Cambria"/>
                <w:b w:val="0"/>
                <w:sz w:val="18"/>
              </w:rPr>
              <w:t>Monthly</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16</w:t>
            </w:r>
          </w:p>
        </w:tc>
        <w:tc>
          <w:tcPr>
            <w:tcW w:type="dxa" w:w="4876"/>
            <w:tcW w:w="4876" w:type="dxa"/>
            <w:shd w:val="clear" w:color="auto" w:fill="EDF2F8"/>
          </w:tcPr>
          <w:p>
            <w:r/>
            <w:r>
              <w:rPr>
                <w:rFonts w:ascii="Cambria" w:hAnsi="Cambria"/>
                <w:b w:val="0"/>
                <w:sz w:val="18"/>
              </w:rPr>
              <w:t>Internal mark submission deadlines are adhered to by all faculty.</w:t>
            </w:r>
          </w:p>
        </w:tc>
        <w:tc>
          <w:tcPr>
            <w:tcW w:type="dxa" w:w="1474"/>
            <w:tcW w:w="1474" w:type="dxa"/>
            <w:shd w:val="clear" w:color="auto" w:fill="EDF2F8"/>
          </w:tcPr>
          <w:p>
            <w:r/>
            <w:r>
              <w:rPr>
                <w:rFonts w:ascii="Cambria" w:hAnsi="Cambria"/>
                <w:b w:val="0"/>
                <w:sz w:val="18"/>
              </w:rPr>
              <w:t>As Scheduled</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bl>
    <w:p>
      <w:pPr>
        <w:keepNext/>
        <w:spacing w:before="200" w:after="160"/>
      </w:pPr>
      <w:r>
        <w:rPr>
          <w:rFonts w:ascii="Cambria" w:hAnsi="Cambria"/>
          <w:b/>
          <w:color w:val="1F3A5F"/>
          <w:sz w:val="26"/>
        </w:rPr>
        <w:t>E. Examination and Results</w:t>
      </w:r>
    </w:p>
    <w:tbl>
      <w:tblPr>
        <w:tblW w:type="auto" w:w="0"/>
        <w:jc w:val="center"/>
        <w:tblLayout w:type="fixed"/>
        <w:tblLook w:firstColumn="1" w:firstRow="1" w:lastColumn="0" w:lastRow="0" w:noHBand="0" w:noVBand="1" w:val="04A0"/>
        <w:tblW w:w="9752" w:type="dxa"/>
        <w:tblLayout w:type="fixed"/>
      </w:tblPr>
      <w:tblGrid>
        <w:gridCol w:w="1882"/>
        <w:gridCol w:w="1882"/>
        <w:gridCol w:w="1882"/>
        <w:gridCol w:w="1882"/>
        <w:gridCol w:w="1882"/>
      </w:tblGrid>
      <w:tr>
        <w:tc>
          <w:tcPr>
            <w:tcW w:type="dxa" w:w="397"/>
            <w:shd w:val="clear" w:color="auto" w:fill="1F3A5F"/>
            <w:tcW w:w="396" w:type="dxa"/>
          </w:tcPr>
          <w:p>
            <w:pPr>
              <w:jc w:val="center"/>
            </w:pPr>
            <w:r/>
            <w:r>
              <w:rPr>
                <w:rFonts w:ascii="Cambria" w:hAnsi="Cambria"/>
                <w:b/>
                <w:color w:val="FFFFFF"/>
                <w:sz w:val="19"/>
              </w:rPr>
              <w:t>#</w:t>
            </w:r>
          </w:p>
        </w:tc>
        <w:tc>
          <w:tcPr>
            <w:tcW w:type="dxa" w:w="4876"/>
            <w:shd w:val="clear" w:color="auto" w:fill="1F3A5F"/>
            <w:tcW w:w="4876" w:type="dxa"/>
          </w:tcPr>
          <w:p>
            <w:pPr>
              <w:jc w:val="center"/>
            </w:pPr>
            <w:r/>
            <w:r>
              <w:rPr>
                <w:rFonts w:ascii="Cambria" w:hAnsi="Cambria"/>
                <w:b/>
                <w:color w:val="FFFFFF"/>
                <w:sz w:val="19"/>
              </w:rPr>
              <w:t>Checklist Item</w:t>
            </w:r>
          </w:p>
        </w:tc>
        <w:tc>
          <w:tcPr>
            <w:tcW w:type="dxa" w:w="1474"/>
            <w:shd w:val="clear" w:color="auto" w:fill="1F3A5F"/>
            <w:tcW w:w="1474" w:type="dxa"/>
          </w:tcPr>
          <w:p>
            <w:pPr>
              <w:jc w:val="center"/>
            </w:pPr>
            <w:r/>
            <w:r>
              <w:rPr>
                <w:rFonts w:ascii="Cambria" w:hAnsi="Cambria"/>
                <w:b/>
                <w:color w:val="FFFFFF"/>
                <w:sz w:val="19"/>
              </w:rPr>
              <w:t>Frequency</w:t>
            </w:r>
          </w:p>
        </w:tc>
        <w:tc>
          <w:tcPr>
            <w:tcW w:type="dxa" w:w="1077"/>
            <w:shd w:val="clear" w:color="auto" w:fill="1F3A5F"/>
            <w:tcW w:w="1077" w:type="dxa"/>
          </w:tcPr>
          <w:p>
            <w:pPr>
              <w:jc w:val="center"/>
            </w:pPr>
            <w:r/>
            <w:r>
              <w:rPr>
                <w:rFonts w:ascii="Cambria" w:hAnsi="Cambria"/>
                <w:b/>
                <w:color w:val="FFFFFF"/>
                <w:sz w:val="19"/>
              </w:rPr>
              <w:t>Status (✓/✗)</w:t>
            </w:r>
          </w:p>
        </w:tc>
        <w:tc>
          <w:tcPr>
            <w:tcW w:type="dxa" w:w="1928"/>
            <w:shd w:val="clear" w:color="auto" w:fill="1F3A5F"/>
            <w:tcW w:w="1927" w:type="dxa"/>
          </w:tcPr>
          <w:p>
            <w:pPr>
              <w:jc w:val="center"/>
            </w:pPr>
            <w:r/>
            <w:r>
              <w:rPr>
                <w:rFonts w:ascii="Cambria" w:hAnsi="Cambria"/>
                <w:b/>
                <w:color w:val="FFFFFF"/>
                <w:sz w:val="19"/>
              </w:rPr>
              <w:t>Remarks / Action Taken</w:t>
            </w:r>
          </w:p>
        </w:tc>
      </w:tr>
      <w:tr>
        <w:tc>
          <w:tcPr>
            <w:tcW w:type="dxa" w:w="397"/>
            <w:tcW w:w="396" w:type="dxa"/>
          </w:tcPr>
          <w:p>
            <w:pPr>
              <w:jc w:val="center"/>
            </w:pPr>
            <w:r/>
            <w:r>
              <w:rPr>
                <w:rFonts w:ascii="Cambria" w:hAnsi="Cambria"/>
                <w:b w:val="0"/>
                <w:sz w:val="18"/>
              </w:rPr>
              <w:t>17</w:t>
            </w:r>
          </w:p>
        </w:tc>
        <w:tc>
          <w:tcPr>
            <w:tcW w:type="dxa" w:w="4876"/>
            <w:tcW w:w="4876" w:type="dxa"/>
          </w:tcPr>
          <w:p>
            <w:r/>
            <w:r>
              <w:rPr>
                <w:rFonts w:ascii="Cambria" w:hAnsi="Cambria"/>
                <w:b w:val="0"/>
                <w:sz w:val="18"/>
              </w:rPr>
              <w:t>College examination schedules and circulars uploaded on time.</w:t>
            </w:r>
          </w:p>
        </w:tc>
        <w:tc>
          <w:tcPr>
            <w:tcW w:type="dxa" w:w="1474"/>
            <w:tcW w:w="1474" w:type="dxa"/>
          </w:tcPr>
          <w:p>
            <w:r/>
            <w:r>
              <w:rPr>
                <w:rFonts w:ascii="Cambria" w:hAnsi="Cambria"/>
                <w:b w:val="0"/>
                <w:sz w:val="18"/>
              </w:rPr>
              <w:t>Each Semester</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18</w:t>
            </w:r>
          </w:p>
        </w:tc>
        <w:tc>
          <w:tcPr>
            <w:tcW w:type="dxa" w:w="4876"/>
            <w:tcW w:w="4876" w:type="dxa"/>
            <w:shd w:val="clear" w:color="auto" w:fill="EDF2F8"/>
          </w:tcPr>
          <w:p>
            <w:r/>
            <w:r>
              <w:rPr>
                <w:rFonts w:ascii="Cambria" w:hAnsi="Cambria"/>
                <w:b w:val="0"/>
                <w:sz w:val="18"/>
              </w:rPr>
              <w:t>Department internal exam timetables and evaluation updates published.</w:t>
            </w:r>
          </w:p>
        </w:tc>
        <w:tc>
          <w:tcPr>
            <w:tcW w:type="dxa" w:w="1474"/>
            <w:tcW w:w="1474" w:type="dxa"/>
            <w:shd w:val="clear" w:color="auto" w:fill="EDF2F8"/>
          </w:tcPr>
          <w:p>
            <w:r/>
            <w:r>
              <w:rPr>
                <w:rFonts w:ascii="Cambria" w:hAnsi="Cambria"/>
                <w:b w:val="0"/>
                <w:sz w:val="18"/>
              </w:rPr>
              <w:t>Each Cycle</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r>
        <w:tc>
          <w:tcPr>
            <w:tcW w:type="dxa" w:w="397"/>
            <w:tcW w:w="396" w:type="dxa"/>
          </w:tcPr>
          <w:p>
            <w:pPr>
              <w:jc w:val="center"/>
            </w:pPr>
            <w:r/>
            <w:r>
              <w:rPr>
                <w:rFonts w:ascii="Cambria" w:hAnsi="Cambria"/>
                <w:b w:val="0"/>
                <w:sz w:val="18"/>
              </w:rPr>
              <w:t>19</w:t>
            </w:r>
          </w:p>
        </w:tc>
        <w:tc>
          <w:tcPr>
            <w:tcW w:type="dxa" w:w="4876"/>
            <w:tcW w:w="4876" w:type="dxa"/>
          </w:tcPr>
          <w:p>
            <w:r/>
            <w:r>
              <w:rPr>
                <w:rFonts w:ascii="Cambria" w:hAnsi="Cambria"/>
                <w:b w:val="0"/>
                <w:sz w:val="18"/>
              </w:rPr>
              <w:t>Examination results (college &amp; autonomous) uploaded once every semester.</w:t>
            </w:r>
          </w:p>
        </w:tc>
        <w:tc>
          <w:tcPr>
            <w:tcW w:type="dxa" w:w="1474"/>
            <w:tcW w:w="1474" w:type="dxa"/>
          </w:tcPr>
          <w:p>
            <w:r/>
            <w:r>
              <w:rPr>
                <w:rFonts w:ascii="Cambria" w:hAnsi="Cambria"/>
                <w:b w:val="0"/>
                <w:sz w:val="18"/>
              </w:rPr>
              <w:t>Semester-End</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20</w:t>
            </w:r>
          </w:p>
        </w:tc>
        <w:tc>
          <w:tcPr>
            <w:tcW w:type="dxa" w:w="4876"/>
            <w:tcW w:w="4876" w:type="dxa"/>
            <w:shd w:val="clear" w:color="auto" w:fill="EDF2F8"/>
          </w:tcPr>
          <w:p>
            <w:r/>
            <w:r>
              <w:rPr>
                <w:rFonts w:ascii="Cambria" w:hAnsi="Cambria"/>
                <w:b w:val="0"/>
                <w:sz w:val="18"/>
              </w:rPr>
              <w:t>Result summaries accessible to both students and parents.</w:t>
            </w:r>
          </w:p>
        </w:tc>
        <w:tc>
          <w:tcPr>
            <w:tcW w:type="dxa" w:w="1474"/>
            <w:tcW w:w="1474" w:type="dxa"/>
            <w:shd w:val="clear" w:color="auto" w:fill="EDF2F8"/>
          </w:tcPr>
          <w:p>
            <w:r/>
            <w:r>
              <w:rPr>
                <w:rFonts w:ascii="Cambria" w:hAnsi="Cambria"/>
                <w:b w:val="0"/>
                <w:sz w:val="18"/>
              </w:rPr>
              <w:t>Semester-End</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bl>
    <w:p>
      <w:pPr>
        <w:keepNext/>
        <w:spacing w:before="200" w:after="160"/>
      </w:pPr>
      <w:r>
        <w:rPr>
          <w:rFonts w:ascii="Cambria" w:hAnsi="Cambria"/>
          <w:b/>
          <w:color w:val="1F3A5F"/>
          <w:sz w:val="26"/>
        </w:rPr>
        <w:t>F. Fee Details and Financial Updates</w:t>
      </w:r>
    </w:p>
    <w:tbl>
      <w:tblPr>
        <w:tblW w:type="auto" w:w="0"/>
        <w:jc w:val="center"/>
        <w:tblLayout w:type="fixed"/>
        <w:tblLook w:firstColumn="1" w:firstRow="1" w:lastColumn="0" w:lastRow="0" w:noHBand="0" w:noVBand="1" w:val="04A0"/>
        <w:tblW w:w="9752" w:type="dxa"/>
        <w:tblLayout w:type="fixed"/>
      </w:tblPr>
      <w:tblGrid>
        <w:gridCol w:w="1882"/>
        <w:gridCol w:w="1882"/>
        <w:gridCol w:w="1882"/>
        <w:gridCol w:w="1882"/>
        <w:gridCol w:w="1882"/>
      </w:tblGrid>
      <w:tr>
        <w:tc>
          <w:tcPr>
            <w:tcW w:type="dxa" w:w="397"/>
            <w:shd w:val="clear" w:color="auto" w:fill="1F3A5F"/>
            <w:tcW w:w="396" w:type="dxa"/>
          </w:tcPr>
          <w:p>
            <w:pPr>
              <w:jc w:val="center"/>
            </w:pPr>
            <w:r/>
            <w:r>
              <w:rPr>
                <w:rFonts w:ascii="Cambria" w:hAnsi="Cambria"/>
                <w:b/>
                <w:color w:val="FFFFFF"/>
                <w:sz w:val="19"/>
              </w:rPr>
              <w:t>#</w:t>
            </w:r>
          </w:p>
        </w:tc>
        <w:tc>
          <w:tcPr>
            <w:tcW w:type="dxa" w:w="4876"/>
            <w:shd w:val="clear" w:color="auto" w:fill="1F3A5F"/>
            <w:tcW w:w="4876" w:type="dxa"/>
          </w:tcPr>
          <w:p>
            <w:pPr>
              <w:jc w:val="center"/>
            </w:pPr>
            <w:r/>
            <w:r>
              <w:rPr>
                <w:rFonts w:ascii="Cambria" w:hAnsi="Cambria"/>
                <w:b/>
                <w:color w:val="FFFFFF"/>
                <w:sz w:val="19"/>
              </w:rPr>
              <w:t>Checklist Item</w:t>
            </w:r>
          </w:p>
        </w:tc>
        <w:tc>
          <w:tcPr>
            <w:tcW w:type="dxa" w:w="1474"/>
            <w:shd w:val="clear" w:color="auto" w:fill="1F3A5F"/>
            <w:tcW w:w="1474" w:type="dxa"/>
          </w:tcPr>
          <w:p>
            <w:pPr>
              <w:jc w:val="center"/>
            </w:pPr>
            <w:r/>
            <w:r>
              <w:rPr>
                <w:rFonts w:ascii="Cambria" w:hAnsi="Cambria"/>
                <w:b/>
                <w:color w:val="FFFFFF"/>
                <w:sz w:val="19"/>
              </w:rPr>
              <w:t>Frequency</w:t>
            </w:r>
          </w:p>
        </w:tc>
        <w:tc>
          <w:tcPr>
            <w:tcW w:type="dxa" w:w="1077"/>
            <w:shd w:val="clear" w:color="auto" w:fill="1F3A5F"/>
            <w:tcW w:w="1077" w:type="dxa"/>
          </w:tcPr>
          <w:p>
            <w:pPr>
              <w:jc w:val="center"/>
            </w:pPr>
            <w:r/>
            <w:r>
              <w:rPr>
                <w:rFonts w:ascii="Cambria" w:hAnsi="Cambria"/>
                <w:b/>
                <w:color w:val="FFFFFF"/>
                <w:sz w:val="19"/>
              </w:rPr>
              <w:t>Status (✓/✗)</w:t>
            </w:r>
          </w:p>
        </w:tc>
        <w:tc>
          <w:tcPr>
            <w:tcW w:type="dxa" w:w="1928"/>
            <w:shd w:val="clear" w:color="auto" w:fill="1F3A5F"/>
            <w:tcW w:w="1927" w:type="dxa"/>
          </w:tcPr>
          <w:p>
            <w:pPr>
              <w:jc w:val="center"/>
            </w:pPr>
            <w:r/>
            <w:r>
              <w:rPr>
                <w:rFonts w:ascii="Cambria" w:hAnsi="Cambria"/>
                <w:b/>
                <w:color w:val="FFFFFF"/>
                <w:sz w:val="19"/>
              </w:rPr>
              <w:t>Remarks / Action Taken</w:t>
            </w:r>
          </w:p>
        </w:tc>
      </w:tr>
      <w:tr>
        <w:tc>
          <w:tcPr>
            <w:tcW w:type="dxa" w:w="397"/>
            <w:tcW w:w="396" w:type="dxa"/>
          </w:tcPr>
          <w:p>
            <w:pPr>
              <w:jc w:val="center"/>
            </w:pPr>
            <w:r/>
            <w:r>
              <w:rPr>
                <w:rFonts w:ascii="Cambria" w:hAnsi="Cambria"/>
                <w:b w:val="0"/>
                <w:sz w:val="18"/>
              </w:rPr>
              <w:t>21</w:t>
            </w:r>
          </w:p>
        </w:tc>
        <w:tc>
          <w:tcPr>
            <w:tcW w:type="dxa" w:w="4876"/>
            <w:tcW w:w="4876" w:type="dxa"/>
          </w:tcPr>
          <w:p>
            <w:r/>
            <w:r>
              <w:rPr>
                <w:rFonts w:ascii="Cambria" w:hAnsi="Cambria"/>
                <w:b w:val="0"/>
                <w:sz w:val="18"/>
              </w:rPr>
              <w:t>Student fee dues updated in coordination with Accounts Section.</w:t>
            </w:r>
          </w:p>
        </w:tc>
        <w:tc>
          <w:tcPr>
            <w:tcW w:type="dxa" w:w="1474"/>
            <w:tcW w:w="1474" w:type="dxa"/>
          </w:tcPr>
          <w:p>
            <w:r/>
            <w:r>
              <w:rPr>
                <w:rFonts w:ascii="Cambria" w:hAnsi="Cambria"/>
                <w:b w:val="0"/>
                <w:sz w:val="18"/>
              </w:rPr>
              <w:t>Monthly</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22</w:t>
            </w:r>
          </w:p>
        </w:tc>
        <w:tc>
          <w:tcPr>
            <w:tcW w:type="dxa" w:w="4876"/>
            <w:tcW w:w="4876" w:type="dxa"/>
            <w:shd w:val="clear" w:color="auto" w:fill="EDF2F8"/>
          </w:tcPr>
          <w:p>
            <w:r/>
            <w:r>
              <w:rPr>
                <w:rFonts w:ascii="Cambria" w:hAnsi="Cambria"/>
                <w:b w:val="0"/>
                <w:sz w:val="18"/>
              </w:rPr>
              <w:t>Fee payment reminders or clearance updates visible to students and parents.</w:t>
            </w:r>
          </w:p>
        </w:tc>
        <w:tc>
          <w:tcPr>
            <w:tcW w:type="dxa" w:w="1474"/>
            <w:tcW w:w="1474" w:type="dxa"/>
            <w:shd w:val="clear" w:color="auto" w:fill="EDF2F8"/>
          </w:tcPr>
          <w:p>
            <w:r/>
            <w:r>
              <w:rPr>
                <w:rFonts w:ascii="Cambria" w:hAnsi="Cambria"/>
                <w:b w:val="0"/>
                <w:sz w:val="18"/>
              </w:rPr>
              <w:t>Monthly</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bl>
    <w:p>
      <w:pPr>
        <w:keepNext/>
        <w:spacing w:before="200" w:after="160"/>
      </w:pPr>
      <w:r>
        <w:rPr>
          <w:rFonts w:ascii="Cambria" w:hAnsi="Cambria"/>
          <w:b/>
          <w:color w:val="1F3A5F"/>
          <w:sz w:val="26"/>
        </w:rPr>
        <w:t>G. Communication and Feedback</w:t>
      </w:r>
    </w:p>
    <w:tbl>
      <w:tblPr>
        <w:tblW w:type="auto" w:w="0"/>
        <w:jc w:val="center"/>
        <w:tblLayout w:type="fixed"/>
        <w:tblLook w:firstColumn="1" w:firstRow="1" w:lastColumn="0" w:lastRow="0" w:noHBand="0" w:noVBand="1" w:val="04A0"/>
        <w:tblW w:w="9752" w:type="dxa"/>
        <w:tblLayout w:type="fixed"/>
      </w:tblPr>
      <w:tblGrid>
        <w:gridCol w:w="1882"/>
        <w:gridCol w:w="1882"/>
        <w:gridCol w:w="1882"/>
        <w:gridCol w:w="1882"/>
        <w:gridCol w:w="1882"/>
      </w:tblGrid>
      <w:tr>
        <w:tc>
          <w:tcPr>
            <w:tcW w:type="dxa" w:w="397"/>
            <w:shd w:val="clear" w:color="auto" w:fill="1F3A5F"/>
            <w:tcW w:w="396" w:type="dxa"/>
          </w:tcPr>
          <w:p>
            <w:pPr>
              <w:jc w:val="center"/>
            </w:pPr>
            <w:r/>
            <w:r>
              <w:rPr>
                <w:rFonts w:ascii="Cambria" w:hAnsi="Cambria"/>
                <w:b/>
                <w:color w:val="FFFFFF"/>
                <w:sz w:val="19"/>
              </w:rPr>
              <w:t>#</w:t>
            </w:r>
          </w:p>
        </w:tc>
        <w:tc>
          <w:tcPr>
            <w:tcW w:type="dxa" w:w="4876"/>
            <w:shd w:val="clear" w:color="auto" w:fill="1F3A5F"/>
            <w:tcW w:w="4876" w:type="dxa"/>
          </w:tcPr>
          <w:p>
            <w:pPr>
              <w:jc w:val="center"/>
            </w:pPr>
            <w:r/>
            <w:r>
              <w:rPr>
                <w:rFonts w:ascii="Cambria" w:hAnsi="Cambria"/>
                <w:b/>
                <w:color w:val="FFFFFF"/>
                <w:sz w:val="19"/>
              </w:rPr>
              <w:t>Checklist Item</w:t>
            </w:r>
          </w:p>
        </w:tc>
        <w:tc>
          <w:tcPr>
            <w:tcW w:type="dxa" w:w="1474"/>
            <w:shd w:val="clear" w:color="auto" w:fill="1F3A5F"/>
            <w:tcW w:w="1474" w:type="dxa"/>
          </w:tcPr>
          <w:p>
            <w:pPr>
              <w:jc w:val="center"/>
            </w:pPr>
            <w:r/>
            <w:r>
              <w:rPr>
                <w:rFonts w:ascii="Cambria" w:hAnsi="Cambria"/>
                <w:b/>
                <w:color w:val="FFFFFF"/>
                <w:sz w:val="19"/>
              </w:rPr>
              <w:t>Frequency</w:t>
            </w:r>
          </w:p>
        </w:tc>
        <w:tc>
          <w:tcPr>
            <w:tcW w:type="dxa" w:w="1077"/>
            <w:shd w:val="clear" w:color="auto" w:fill="1F3A5F"/>
            <w:tcW w:w="1077" w:type="dxa"/>
          </w:tcPr>
          <w:p>
            <w:pPr>
              <w:jc w:val="center"/>
            </w:pPr>
            <w:r/>
            <w:r>
              <w:rPr>
                <w:rFonts w:ascii="Cambria" w:hAnsi="Cambria"/>
                <w:b/>
                <w:color w:val="FFFFFF"/>
                <w:sz w:val="19"/>
              </w:rPr>
              <w:t>Status (✓/✗)</w:t>
            </w:r>
          </w:p>
        </w:tc>
        <w:tc>
          <w:tcPr>
            <w:tcW w:type="dxa" w:w="1928"/>
            <w:shd w:val="clear" w:color="auto" w:fill="1F3A5F"/>
            <w:tcW w:w="1927" w:type="dxa"/>
          </w:tcPr>
          <w:p>
            <w:pPr>
              <w:jc w:val="center"/>
            </w:pPr>
            <w:r/>
            <w:r>
              <w:rPr>
                <w:rFonts w:ascii="Cambria" w:hAnsi="Cambria"/>
                <w:b/>
                <w:color w:val="FFFFFF"/>
                <w:sz w:val="19"/>
              </w:rPr>
              <w:t>Remarks / Action Taken</w:t>
            </w:r>
          </w:p>
        </w:tc>
      </w:tr>
      <w:tr>
        <w:tc>
          <w:tcPr>
            <w:tcW w:type="dxa" w:w="397"/>
            <w:tcW w:w="396" w:type="dxa"/>
          </w:tcPr>
          <w:p>
            <w:pPr>
              <w:jc w:val="center"/>
            </w:pPr>
            <w:r/>
            <w:r>
              <w:rPr>
                <w:rFonts w:ascii="Cambria" w:hAnsi="Cambria"/>
                <w:b w:val="0"/>
                <w:sz w:val="18"/>
              </w:rPr>
              <w:t>23</w:t>
            </w:r>
          </w:p>
        </w:tc>
        <w:tc>
          <w:tcPr>
            <w:tcW w:type="dxa" w:w="4876"/>
            <w:tcW w:w="4876" w:type="dxa"/>
          </w:tcPr>
          <w:p>
            <w:r/>
            <w:r>
              <w:rPr>
                <w:rFonts w:ascii="Cambria" w:hAnsi="Cambria"/>
                <w:b w:val="0"/>
                <w:sz w:val="18"/>
              </w:rPr>
              <w:t>Students and parents are informed about website features and access instructions.</w:t>
            </w:r>
          </w:p>
        </w:tc>
        <w:tc>
          <w:tcPr>
            <w:tcW w:type="dxa" w:w="1474"/>
            <w:tcW w:w="1474" w:type="dxa"/>
          </w:tcPr>
          <w:p>
            <w:r/>
            <w:r>
              <w:rPr>
                <w:rFonts w:ascii="Cambria" w:hAnsi="Cambria"/>
                <w:b w:val="0"/>
                <w:sz w:val="18"/>
              </w:rPr>
              <w:t>Beginning of Each Semester</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24</w:t>
            </w:r>
          </w:p>
        </w:tc>
        <w:tc>
          <w:tcPr>
            <w:tcW w:type="dxa" w:w="4876"/>
            <w:tcW w:w="4876" w:type="dxa"/>
            <w:shd w:val="clear" w:color="auto" w:fill="EDF2F8"/>
          </w:tcPr>
          <w:p>
            <w:r/>
            <w:r>
              <w:rPr>
                <w:rFonts w:ascii="Cambria" w:hAnsi="Cambria"/>
                <w:b w:val="0"/>
                <w:sz w:val="18"/>
              </w:rPr>
              <w:t>Feedback received regarding data accuracy or accessibility is documented.</w:t>
            </w:r>
          </w:p>
        </w:tc>
        <w:tc>
          <w:tcPr>
            <w:tcW w:type="dxa" w:w="1474"/>
            <w:tcW w:w="1474" w:type="dxa"/>
            <w:shd w:val="clear" w:color="auto" w:fill="EDF2F8"/>
          </w:tcPr>
          <w:p>
            <w:r/>
            <w:r>
              <w:rPr>
                <w:rFonts w:ascii="Cambria" w:hAnsi="Cambria"/>
                <w:b w:val="0"/>
                <w:sz w:val="18"/>
              </w:rPr>
              <w:t>Ongoing</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r>
        <w:tc>
          <w:tcPr>
            <w:tcW w:type="dxa" w:w="397"/>
            <w:tcW w:w="396" w:type="dxa"/>
          </w:tcPr>
          <w:p>
            <w:pPr>
              <w:jc w:val="center"/>
            </w:pPr>
            <w:r/>
            <w:r>
              <w:rPr>
                <w:rFonts w:ascii="Cambria" w:hAnsi="Cambria"/>
                <w:b w:val="0"/>
                <w:sz w:val="18"/>
              </w:rPr>
              <w:t>25</w:t>
            </w:r>
          </w:p>
        </w:tc>
        <w:tc>
          <w:tcPr>
            <w:tcW w:type="dxa" w:w="4876"/>
            <w:tcW w:w="4876" w:type="dxa"/>
          </w:tcPr>
          <w:p>
            <w:r/>
            <w:r>
              <w:rPr>
                <w:rFonts w:ascii="Cambria" w:hAnsi="Cambria"/>
                <w:b w:val="0"/>
                <w:sz w:val="18"/>
              </w:rPr>
              <w:t>Issues requiring administrative attention are reported to the Principal/IT Cell.</w:t>
            </w:r>
          </w:p>
        </w:tc>
        <w:tc>
          <w:tcPr>
            <w:tcW w:type="dxa" w:w="1474"/>
            <w:tcW w:w="1474" w:type="dxa"/>
          </w:tcPr>
          <w:p>
            <w:r/>
            <w:r>
              <w:rPr>
                <w:rFonts w:ascii="Cambria" w:hAnsi="Cambria"/>
                <w:b w:val="0"/>
                <w:sz w:val="18"/>
              </w:rPr>
              <w:t>As Required</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26</w:t>
            </w:r>
          </w:p>
        </w:tc>
        <w:tc>
          <w:tcPr>
            <w:tcW w:type="dxa" w:w="4876"/>
            <w:tcW w:w="4876" w:type="dxa"/>
            <w:shd w:val="clear" w:color="auto" w:fill="EDF2F8"/>
          </w:tcPr>
          <w:p>
            <w:r/>
            <w:r>
              <w:rPr>
                <w:rFonts w:ascii="Cambria" w:hAnsi="Cambria"/>
                <w:b w:val="0"/>
                <w:sz w:val="18"/>
              </w:rPr>
              <w:t>Regular reports on website monitoring submitted to the Principal.</w:t>
            </w:r>
          </w:p>
        </w:tc>
        <w:tc>
          <w:tcPr>
            <w:tcW w:type="dxa" w:w="1474"/>
            <w:tcW w:w="1474" w:type="dxa"/>
            <w:shd w:val="clear" w:color="auto" w:fill="EDF2F8"/>
          </w:tcPr>
          <w:p>
            <w:r/>
            <w:r>
              <w:rPr>
                <w:rFonts w:ascii="Cambria" w:hAnsi="Cambria"/>
                <w:b w:val="0"/>
                <w:sz w:val="18"/>
              </w:rPr>
              <w:t>Bi-Monthly</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bl>
    <w:p>
      <w:pPr>
        <w:keepNext/>
        <w:spacing w:before="200" w:after="160"/>
      </w:pPr>
      <w:r>
        <w:rPr>
          <w:rFonts w:ascii="Cambria" w:hAnsi="Cambria"/>
          <w:b/>
          <w:color w:val="1F3A5F"/>
          <w:sz w:val="26"/>
        </w:rPr>
        <w:t>H. Documentation and Recordkeeping</w:t>
      </w:r>
    </w:p>
    <w:tbl>
      <w:tblPr>
        <w:tblW w:type="auto" w:w="0"/>
        <w:jc w:val="center"/>
        <w:tblLayout w:type="fixed"/>
        <w:tblLook w:firstColumn="1" w:firstRow="1" w:lastColumn="0" w:lastRow="0" w:noHBand="0" w:noVBand="1" w:val="04A0"/>
        <w:tblW w:w="9752" w:type="dxa"/>
        <w:tblLayout w:type="fixed"/>
      </w:tblPr>
      <w:tblGrid>
        <w:gridCol w:w="1882"/>
        <w:gridCol w:w="1882"/>
        <w:gridCol w:w="1882"/>
        <w:gridCol w:w="1882"/>
        <w:gridCol w:w="1882"/>
      </w:tblGrid>
      <w:tr>
        <w:tc>
          <w:tcPr>
            <w:tcW w:type="dxa" w:w="397"/>
            <w:shd w:val="clear" w:color="auto" w:fill="1F3A5F"/>
            <w:tcW w:w="396" w:type="dxa"/>
          </w:tcPr>
          <w:p>
            <w:pPr>
              <w:jc w:val="center"/>
            </w:pPr>
            <w:r/>
            <w:r>
              <w:rPr>
                <w:rFonts w:ascii="Cambria" w:hAnsi="Cambria"/>
                <w:b/>
                <w:color w:val="FFFFFF"/>
                <w:sz w:val="19"/>
              </w:rPr>
              <w:t>#</w:t>
            </w:r>
          </w:p>
        </w:tc>
        <w:tc>
          <w:tcPr>
            <w:tcW w:type="dxa" w:w="4876"/>
            <w:shd w:val="clear" w:color="auto" w:fill="1F3A5F"/>
            <w:tcW w:w="4876" w:type="dxa"/>
          </w:tcPr>
          <w:p>
            <w:pPr>
              <w:jc w:val="center"/>
            </w:pPr>
            <w:r/>
            <w:r>
              <w:rPr>
                <w:rFonts w:ascii="Cambria" w:hAnsi="Cambria"/>
                <w:b/>
                <w:color w:val="FFFFFF"/>
                <w:sz w:val="19"/>
              </w:rPr>
              <w:t>Checklist Item</w:t>
            </w:r>
          </w:p>
        </w:tc>
        <w:tc>
          <w:tcPr>
            <w:tcW w:type="dxa" w:w="1474"/>
            <w:shd w:val="clear" w:color="auto" w:fill="1F3A5F"/>
            <w:tcW w:w="1474" w:type="dxa"/>
          </w:tcPr>
          <w:p>
            <w:pPr>
              <w:jc w:val="center"/>
            </w:pPr>
            <w:r/>
            <w:r>
              <w:rPr>
                <w:rFonts w:ascii="Cambria" w:hAnsi="Cambria"/>
                <w:b/>
                <w:color w:val="FFFFFF"/>
                <w:sz w:val="19"/>
              </w:rPr>
              <w:t>Frequency</w:t>
            </w:r>
          </w:p>
        </w:tc>
        <w:tc>
          <w:tcPr>
            <w:tcW w:type="dxa" w:w="1077"/>
            <w:shd w:val="clear" w:color="auto" w:fill="1F3A5F"/>
            <w:tcW w:w="1077" w:type="dxa"/>
          </w:tcPr>
          <w:p>
            <w:pPr>
              <w:jc w:val="center"/>
            </w:pPr>
            <w:r/>
            <w:r>
              <w:rPr>
                <w:rFonts w:ascii="Cambria" w:hAnsi="Cambria"/>
                <w:b/>
                <w:color w:val="FFFFFF"/>
                <w:sz w:val="19"/>
              </w:rPr>
              <w:t>Status (✓/✗)</w:t>
            </w:r>
          </w:p>
        </w:tc>
        <w:tc>
          <w:tcPr>
            <w:tcW w:type="dxa" w:w="1928"/>
            <w:shd w:val="clear" w:color="auto" w:fill="1F3A5F"/>
            <w:tcW w:w="1927" w:type="dxa"/>
          </w:tcPr>
          <w:p>
            <w:pPr>
              <w:jc w:val="center"/>
            </w:pPr>
            <w:r/>
            <w:r>
              <w:rPr>
                <w:rFonts w:ascii="Cambria" w:hAnsi="Cambria"/>
                <w:b/>
                <w:color w:val="FFFFFF"/>
                <w:sz w:val="19"/>
              </w:rPr>
              <w:t>Remarks / Action Taken</w:t>
            </w:r>
          </w:p>
        </w:tc>
      </w:tr>
      <w:tr>
        <w:tc>
          <w:tcPr>
            <w:tcW w:type="dxa" w:w="397"/>
            <w:tcW w:w="396" w:type="dxa"/>
          </w:tcPr>
          <w:p>
            <w:pPr>
              <w:jc w:val="center"/>
            </w:pPr>
            <w:r/>
            <w:r>
              <w:rPr>
                <w:rFonts w:ascii="Cambria" w:hAnsi="Cambria"/>
                <w:b w:val="0"/>
                <w:sz w:val="18"/>
              </w:rPr>
              <w:t>27</w:t>
            </w:r>
          </w:p>
        </w:tc>
        <w:tc>
          <w:tcPr>
            <w:tcW w:type="dxa" w:w="4876"/>
            <w:tcW w:w="4876" w:type="dxa"/>
          </w:tcPr>
          <w:p>
            <w:r/>
            <w:r>
              <w:rPr>
                <w:rFonts w:ascii="Cambria" w:hAnsi="Cambria"/>
                <w:b w:val="0"/>
                <w:sz w:val="18"/>
              </w:rPr>
              <w:t>Web Monitoring Logbook maintained with update dates and responsible staff.</w:t>
            </w:r>
          </w:p>
        </w:tc>
        <w:tc>
          <w:tcPr>
            <w:tcW w:type="dxa" w:w="1474"/>
            <w:tcW w:w="1474" w:type="dxa"/>
          </w:tcPr>
          <w:p>
            <w:r/>
            <w:r>
              <w:rPr>
                <w:rFonts w:ascii="Cambria" w:hAnsi="Cambria"/>
                <w:b w:val="0"/>
                <w:sz w:val="18"/>
              </w:rPr>
              <w:t>Ongoing</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r>
        <w:tc>
          <w:tcPr>
            <w:tcW w:type="dxa" w:w="397"/>
            <w:tcW w:w="396" w:type="dxa"/>
            <w:shd w:val="clear" w:color="auto" w:fill="EDF2F8"/>
          </w:tcPr>
          <w:p>
            <w:pPr>
              <w:jc w:val="center"/>
            </w:pPr>
            <w:r/>
            <w:r>
              <w:rPr>
                <w:rFonts w:ascii="Cambria" w:hAnsi="Cambria"/>
                <w:b w:val="0"/>
                <w:sz w:val="18"/>
              </w:rPr>
              <w:t>28</w:t>
            </w:r>
          </w:p>
        </w:tc>
        <w:tc>
          <w:tcPr>
            <w:tcW w:type="dxa" w:w="4876"/>
            <w:tcW w:w="4876" w:type="dxa"/>
            <w:shd w:val="clear" w:color="auto" w:fill="EDF2F8"/>
          </w:tcPr>
          <w:p>
            <w:r/>
            <w:r>
              <w:rPr>
                <w:rFonts w:ascii="Cambria" w:hAnsi="Cambria"/>
                <w:b w:val="0"/>
                <w:sz w:val="18"/>
              </w:rPr>
              <w:t>Copies of uploaded documents (lecture plans, attendance, marks) archived in digital format.</w:t>
            </w:r>
          </w:p>
        </w:tc>
        <w:tc>
          <w:tcPr>
            <w:tcW w:type="dxa" w:w="1474"/>
            <w:tcW w:w="1474" w:type="dxa"/>
            <w:shd w:val="clear" w:color="auto" w:fill="EDF2F8"/>
          </w:tcPr>
          <w:p>
            <w:r/>
            <w:r>
              <w:rPr>
                <w:rFonts w:ascii="Cambria" w:hAnsi="Cambria"/>
                <w:b w:val="0"/>
                <w:sz w:val="18"/>
              </w:rPr>
              <w:t>Monthly</w:t>
            </w:r>
          </w:p>
        </w:tc>
        <w:tc>
          <w:tcPr>
            <w:tcW w:type="dxa" w:w="1077"/>
            <w:tcW w:w="1077" w:type="dxa"/>
            <w:shd w:val="clear" w:color="auto" w:fill="EDF2F8"/>
          </w:tcPr>
          <w:p>
            <w:r/>
            <w:r>
              <w:rPr>
                <w:rFonts w:ascii="Cambria" w:hAnsi="Cambria"/>
                <w:b w:val="0"/>
                <w:sz w:val="18"/>
              </w:rPr>
            </w:r>
          </w:p>
        </w:tc>
        <w:tc>
          <w:tcPr>
            <w:tcW w:type="dxa" w:w="1928"/>
            <w:tcW w:w="1927" w:type="dxa"/>
            <w:shd w:val="clear" w:color="auto" w:fill="EDF2F8"/>
          </w:tcPr>
          <w:p>
            <w:r/>
            <w:r>
              <w:rPr>
                <w:rFonts w:ascii="Cambria" w:hAnsi="Cambria"/>
                <w:b w:val="0"/>
                <w:sz w:val="18"/>
              </w:rPr>
            </w:r>
          </w:p>
        </w:tc>
      </w:tr>
      <w:tr>
        <w:tc>
          <w:tcPr>
            <w:tcW w:type="dxa" w:w="397"/>
            <w:tcW w:w="396" w:type="dxa"/>
          </w:tcPr>
          <w:p>
            <w:pPr>
              <w:jc w:val="center"/>
            </w:pPr>
            <w:r/>
            <w:r>
              <w:rPr>
                <w:rFonts w:ascii="Cambria" w:hAnsi="Cambria"/>
                <w:b w:val="0"/>
                <w:sz w:val="18"/>
              </w:rPr>
              <w:t>29</w:t>
            </w:r>
          </w:p>
        </w:tc>
        <w:tc>
          <w:tcPr>
            <w:tcW w:type="dxa" w:w="4876"/>
            <w:tcW w:w="4876" w:type="dxa"/>
          </w:tcPr>
          <w:p>
            <w:r/>
            <w:r>
              <w:rPr>
                <w:rFonts w:ascii="Cambria" w:hAnsi="Cambria"/>
                <w:b w:val="0"/>
                <w:sz w:val="18"/>
              </w:rPr>
              <w:t>Periodic review report on web updates prepared and submitted to IQAC/Principal.</w:t>
            </w:r>
          </w:p>
        </w:tc>
        <w:tc>
          <w:tcPr>
            <w:tcW w:type="dxa" w:w="1474"/>
            <w:tcW w:w="1474" w:type="dxa"/>
          </w:tcPr>
          <w:p>
            <w:r/>
            <w:r>
              <w:rPr>
                <w:rFonts w:ascii="Cambria" w:hAnsi="Cambria"/>
                <w:b w:val="0"/>
                <w:sz w:val="18"/>
              </w:rPr>
              <w:t>Quarterly</w:t>
            </w:r>
          </w:p>
        </w:tc>
        <w:tc>
          <w:tcPr>
            <w:tcW w:type="dxa" w:w="1077"/>
            <w:tcW w:w="1077" w:type="dxa"/>
          </w:tcPr>
          <w:p>
            <w:r/>
            <w:r>
              <w:rPr>
                <w:rFonts w:ascii="Cambria" w:hAnsi="Cambria"/>
                <w:b w:val="0"/>
                <w:sz w:val="18"/>
              </w:rPr>
            </w:r>
          </w:p>
        </w:tc>
        <w:tc>
          <w:tcPr>
            <w:tcW w:type="dxa" w:w="1928"/>
            <w:tcW w:w="1927" w:type="dxa"/>
          </w:tcPr>
          <w:p>
            <w:r/>
            <w:r>
              <w:rPr>
                <w:rFonts w:ascii="Cambria" w:hAnsi="Cambria"/>
                <w:b w:val="0"/>
                <w:sz w:val="18"/>
              </w:rPr>
            </w:r>
          </w:p>
        </w:tc>
      </w:tr>
    </w:tbl>
    <w:p>
      <w:pPr>
        <w:jc w:val="both"/>
      </w:pPr>
      <w:r>
        <w:rPr>
          <w:rFonts w:ascii="Cambria" w:hAnsi="Cambria"/>
          <w:b/>
          <w:i w:val="0"/>
          <w:sz w:val="22"/>
        </w:rPr>
        <w:t>Instructions for Use:</w:t>
      </w:r>
    </w:p>
    <w:p>
      <w:pPr>
        <w:pStyle w:val="ListBullet"/>
        <w:spacing w:after="80"/>
      </w:pPr>
      <w:r>
        <w:rPr>
          <w:rFonts w:ascii="Cambria" w:hAnsi="Cambria"/>
          <w:sz w:val="22"/>
        </w:rPr>
        <w:t>The HoD should review this checklist weekly or monthly depending on the item's frequency.</w:t>
      </w:r>
    </w:p>
    <w:p>
      <w:pPr>
        <w:pStyle w:val="ListBullet"/>
        <w:spacing w:after="80"/>
      </w:pPr>
      <w:r>
        <w:rPr>
          <w:rFonts w:ascii="Cambria" w:hAnsi="Cambria"/>
          <w:sz w:val="22"/>
        </w:rPr>
        <w:t>Each section should be initialed or signed after verification.</w:t>
      </w:r>
    </w:p>
    <w:p>
      <w:pPr>
        <w:pStyle w:val="ListBullet"/>
        <w:spacing w:after="80"/>
      </w:pPr>
      <w:r>
        <w:rPr>
          <w:rFonts w:ascii="Cambria" w:hAnsi="Cambria"/>
          <w:sz w:val="22"/>
        </w:rPr>
        <w:t>The completed checklist should be filed in the Department Web Monitoring Register and shared with the Principal/IQAC as part of regular departmental quality audits.</w:t>
      </w:r>
    </w:p>
    <w:p>
      <w:r>
        <w:br w:type="page"/>
      </w:r>
    </w:p>
    <w:p>
      <w:pPr>
        <w:keepNext/>
        <w:spacing w:before="280" w:after="160"/>
      </w:pPr>
      <w:r>
        <w:rPr>
          <w:rFonts w:ascii="Cambria" w:hAnsi="Cambria"/>
          <w:b/>
          <w:color w:val="1F3A5F"/>
          <w:sz w:val="36"/>
        </w:rPr>
        <w:t>12. References</w:t>
      </w:r>
    </w:p>
    <w:p>
      <w:pPr>
        <w:keepNext/>
        <w:spacing w:before="200" w:after="160"/>
      </w:pPr>
      <w:r>
        <w:rPr>
          <w:rFonts w:ascii="Cambria" w:hAnsi="Cambria"/>
          <w:b/>
          <w:color w:val="1F3A5F"/>
          <w:sz w:val="30"/>
        </w:rPr>
        <w:t>NBA</w:t>
      </w:r>
    </w:p>
    <w:p>
      <w:pPr>
        <w:spacing w:after="80"/>
        <w:ind w:left="357" w:hanging="357"/>
      </w:pPr>
      <w:r>
        <w:rPr>
          <w:rFonts w:ascii="Cambria" w:hAnsi="Cambria"/>
          <w:sz w:val="22"/>
        </w:rPr>
        <w:t xml:space="preserve">1. </w:t>
      </w:r>
      <w:r>
        <w:rPr>
          <w:rFonts w:ascii="Cambria" w:hAnsi="Cambria"/>
          <w:sz w:val="22"/>
        </w:rPr>
        <w:t>NBA Accreditation Process for Tier-1 Institutions – Criterion 1: Outcome-Based Curriculum: Vision, Mission, PEOs, Curriculum Structure, CO–PO–PSO Mapping, and Articulation Framework, Kindle Edition, ASIN: B0FPDCG13D</w:t>
      </w:r>
    </w:p>
    <w:p>
      <w:pPr>
        <w:spacing w:after="80"/>
        <w:ind w:left="357"/>
      </w:pPr>
      <w:r>
        <w:rPr>
          <w:rFonts w:ascii="Cambria" w:hAnsi="Cambria"/>
          <w:color w:val="0563C1"/>
          <w:sz w:val="22"/>
          <w:u w:val="single"/>
        </w:rPr>
        <w:t>https://amzn.in/d/4fcc0jE</w:t>
      </w:r>
    </w:p>
    <w:p>
      <w:pPr>
        <w:spacing w:after="80"/>
        <w:ind w:left="357" w:hanging="357"/>
      </w:pPr>
      <w:r>
        <w:rPr>
          <w:rFonts w:ascii="Cambria" w:hAnsi="Cambria"/>
          <w:sz w:val="22"/>
        </w:rPr>
        <w:t xml:space="preserve">2. </w:t>
      </w:r>
      <w:r>
        <w:rPr>
          <w:rFonts w:ascii="Cambria" w:hAnsi="Cambria"/>
          <w:sz w:val="22"/>
        </w:rPr>
        <w:t>NBA Accreditation Process for Tier-1 Institutions – Criterion 2: Outcome-Based Teaching–Learning (OBTL): A Framework of Systematic Processes, Evidence-Based Practices, and CQI in OBE, Kindle Edition, ASIN: B0FPG4KFB1</w:t>
      </w:r>
    </w:p>
    <w:p>
      <w:pPr>
        <w:spacing w:after="80"/>
        <w:ind w:left="357"/>
      </w:pPr>
      <w:r>
        <w:rPr>
          <w:rFonts w:ascii="Cambria" w:hAnsi="Cambria"/>
          <w:color w:val="0563C1"/>
          <w:sz w:val="22"/>
          <w:u w:val="single"/>
        </w:rPr>
        <w:t>https://amzn.in/d/g1bchNl</w:t>
      </w:r>
    </w:p>
    <w:p>
      <w:pPr>
        <w:spacing w:after="80"/>
        <w:ind w:left="357" w:hanging="357"/>
      </w:pPr>
      <w:r>
        <w:rPr>
          <w:rFonts w:ascii="Cambria" w:hAnsi="Cambria"/>
          <w:sz w:val="22"/>
        </w:rPr>
        <w:t xml:space="preserve">3. </w:t>
      </w:r>
      <w:r>
        <w:rPr>
          <w:rFonts w:ascii="Cambria" w:hAnsi="Cambria"/>
          <w:sz w:val="22"/>
        </w:rPr>
        <w:t>NBA Accreditation Process for Tier-1 Institutions – Criterion 3: Outcome-Based Assessment: Framework for Evaluating COs, POs, and PSOs in Compliance with NBA Accreditation Standards, Kindle Edition, ASIN: B0FQBQ21S1</w:t>
      </w:r>
    </w:p>
    <w:p>
      <w:pPr>
        <w:spacing w:after="80"/>
        <w:ind w:left="357"/>
      </w:pPr>
      <w:r>
        <w:rPr>
          <w:rFonts w:ascii="Cambria" w:hAnsi="Cambria"/>
          <w:color w:val="0563C1"/>
          <w:sz w:val="22"/>
          <w:u w:val="single"/>
        </w:rPr>
        <w:t>https://amzn.in/d/a2nGhnx</w:t>
      </w:r>
    </w:p>
    <w:p>
      <w:pPr>
        <w:spacing w:after="80"/>
        <w:ind w:left="357" w:hanging="357"/>
      </w:pPr>
      <w:r>
        <w:rPr>
          <w:rFonts w:ascii="Cambria" w:hAnsi="Cambria"/>
          <w:sz w:val="22"/>
        </w:rPr>
        <w:t xml:space="preserve">4. </w:t>
      </w:r>
      <w:r>
        <w:rPr>
          <w:rFonts w:ascii="Cambria" w:hAnsi="Cambria"/>
          <w:sz w:val="22"/>
        </w:rPr>
        <w:t>NBA Accreditation Process for Tier-1 Institutions – Criterion 4: Students' Performance: Evaluating Enrolment, Academic Success, and Career Outcomes in Higher Education, Kindle Edition, ASIN: B0FR3JHMXS</w:t>
      </w:r>
    </w:p>
    <w:p>
      <w:pPr>
        <w:spacing w:after="80"/>
        <w:ind w:left="357"/>
      </w:pPr>
      <w:r>
        <w:rPr>
          <w:rFonts w:ascii="Cambria" w:hAnsi="Cambria"/>
          <w:color w:val="0563C1"/>
          <w:sz w:val="22"/>
          <w:u w:val="single"/>
        </w:rPr>
        <w:t>https://amzn.in/d/dry9lRW</w:t>
      </w:r>
    </w:p>
    <w:p>
      <w:pPr>
        <w:spacing w:after="80"/>
        <w:ind w:left="357" w:hanging="357"/>
      </w:pPr>
      <w:r>
        <w:rPr>
          <w:rFonts w:ascii="Cambria" w:hAnsi="Cambria"/>
          <w:sz w:val="22"/>
        </w:rPr>
        <w:t xml:space="preserve">5. </w:t>
      </w:r>
      <w:r>
        <w:rPr>
          <w:rFonts w:ascii="Cambria" w:hAnsi="Cambria"/>
          <w:sz w:val="22"/>
        </w:rPr>
        <w:t>NBA Accreditation Process for Tier-1 Institutions – Criterion 5: Faculty Information: Evaluating Faculty Strength, Qualifications, and Development in Higher Education Institutions, Kindle Edition, ASIN: B0FR3DBZ3B</w:t>
      </w:r>
    </w:p>
    <w:p>
      <w:pPr>
        <w:spacing w:after="80"/>
        <w:ind w:left="357"/>
      </w:pPr>
      <w:r>
        <w:rPr>
          <w:rFonts w:ascii="Cambria" w:hAnsi="Cambria"/>
          <w:color w:val="0563C1"/>
          <w:sz w:val="22"/>
          <w:u w:val="single"/>
        </w:rPr>
        <w:t>https://amzn.in/d/a1344lj</w:t>
      </w:r>
    </w:p>
    <w:p>
      <w:pPr>
        <w:spacing w:after="80"/>
        <w:ind w:left="357" w:hanging="357"/>
      </w:pPr>
      <w:r>
        <w:rPr>
          <w:rFonts w:ascii="Cambria" w:hAnsi="Cambria"/>
          <w:sz w:val="22"/>
        </w:rPr>
        <w:t xml:space="preserve">6. </w:t>
      </w:r>
      <w:r>
        <w:rPr>
          <w:rFonts w:ascii="Cambria" w:hAnsi="Cambria"/>
          <w:sz w:val="22"/>
        </w:rPr>
        <w:t>NBA Accreditation Process for Tier-1 Institutions – Criterion 6: Faculty Contribution: Recognizing Professional Development, Research, and Institutional Growth, Kindle Edition, ASIN : B0FR1JLR73</w:t>
      </w:r>
    </w:p>
    <w:p>
      <w:pPr>
        <w:spacing w:after="80"/>
        <w:ind w:left="357"/>
      </w:pPr>
      <w:r>
        <w:rPr>
          <w:rFonts w:ascii="Cambria" w:hAnsi="Cambria"/>
          <w:color w:val="0563C1"/>
          <w:sz w:val="22"/>
          <w:u w:val="single"/>
        </w:rPr>
        <w:t>https://amzn.in/d/98KXO4k</w:t>
      </w:r>
    </w:p>
    <w:p>
      <w:pPr>
        <w:spacing w:after="80"/>
        <w:ind w:left="357" w:hanging="357"/>
      </w:pPr>
      <w:r>
        <w:rPr>
          <w:rFonts w:ascii="Cambria" w:hAnsi="Cambria"/>
          <w:sz w:val="22"/>
        </w:rPr>
        <w:t xml:space="preserve">7.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w:t>
      </w:r>
    </w:p>
    <w:p>
      <w:pPr>
        <w:spacing w:after="80"/>
        <w:ind w:left="357"/>
      </w:pPr>
      <w:r>
        <w:rPr>
          <w:rFonts w:ascii="Cambria" w:hAnsi="Cambria"/>
          <w:color w:val="0563C1"/>
          <w:sz w:val="22"/>
          <w:u w:val="single"/>
        </w:rPr>
        <w:t>https://amzn.in/d/9kAkdLZ</w:t>
      </w:r>
    </w:p>
    <w:p>
      <w:pPr>
        <w:spacing w:after="80"/>
        <w:ind w:left="357" w:hanging="357"/>
      </w:pPr>
      <w:r>
        <w:rPr>
          <w:rFonts w:ascii="Cambria" w:hAnsi="Cambria"/>
          <w:sz w:val="22"/>
        </w:rPr>
        <w:t xml:space="preserve">8. </w:t>
      </w:r>
      <w:r>
        <w:rPr>
          <w:rFonts w:ascii="Cambria" w:hAnsi="Cambria"/>
          <w:sz w:val="22"/>
        </w:rPr>
        <w:t>NBA Accreditation Process for Tier-1 Institutions – Criterion 8: Continuous Improvement: Closing the Loop in Outcome-Based Education for Quality Enhancement, Kindle Edition, ASIN: B0FQJ75CNV</w:t>
      </w:r>
    </w:p>
    <w:p>
      <w:pPr>
        <w:spacing w:after="80"/>
        <w:ind w:left="357"/>
      </w:pPr>
      <w:r>
        <w:rPr>
          <w:rFonts w:ascii="Cambria" w:hAnsi="Cambria"/>
          <w:color w:val="0563C1"/>
          <w:sz w:val="22"/>
          <w:u w:val="single"/>
        </w:rPr>
        <w:t>https://amzn.in/d/1Vco5Ye</w:t>
      </w:r>
    </w:p>
    <w:p>
      <w:pPr>
        <w:spacing w:after="80"/>
        <w:ind w:left="357" w:hanging="357"/>
      </w:pPr>
      <w:r>
        <w:rPr>
          <w:rFonts w:ascii="Cambria" w:hAnsi="Cambria"/>
          <w:sz w:val="22"/>
        </w:rPr>
        <w:t xml:space="preserve">9.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w:t>
      </w:r>
    </w:p>
    <w:p>
      <w:pPr>
        <w:spacing w:after="80"/>
        <w:ind w:left="357"/>
      </w:pPr>
      <w:r>
        <w:rPr>
          <w:rFonts w:ascii="Cambria" w:hAnsi="Cambria"/>
          <w:color w:val="0563C1"/>
          <w:sz w:val="22"/>
          <w:u w:val="single"/>
        </w:rPr>
        <w:t>https://amzn.in/d/dYBQik0</w:t>
      </w:r>
    </w:p>
    <w:p>
      <w:pPr>
        <w:spacing w:after="80"/>
        <w:ind w:left="357" w:hanging="357"/>
      </w:pPr>
      <w:r>
        <w:rPr>
          <w:rFonts w:ascii="Cambria" w:hAnsi="Cambria"/>
          <w:sz w:val="22"/>
        </w:rPr>
        <w:t xml:space="preserve">10. </w:t>
      </w:r>
      <w:r>
        <w:rPr>
          <w:rFonts w:ascii="Cambria" w:hAnsi="Cambria"/>
          <w:sz w:val="22"/>
        </w:rPr>
        <w:t>Comprehensive Program-Specific Documentation Framework for National Board of Accreditation (NBA) Accreditation and Re-Accreditation, Kindle Edition, ASIN: B0FVLH85V1</w:t>
      </w:r>
    </w:p>
    <w:p>
      <w:pPr>
        <w:spacing w:after="80"/>
        <w:ind w:left="357"/>
      </w:pPr>
      <w:r>
        <w:rPr>
          <w:rFonts w:ascii="Cambria" w:hAnsi="Cambria"/>
          <w:color w:val="0563C1"/>
          <w:sz w:val="22"/>
          <w:u w:val="single"/>
        </w:rPr>
        <w:t>https://amzn.in/d/2l7EdeP</w:t>
      </w:r>
    </w:p>
    <w:p>
      <w:pPr>
        <w:spacing w:after="80"/>
        <w:ind w:left="357" w:hanging="357"/>
      </w:pPr>
      <w:r>
        <w:rPr>
          <w:rFonts w:ascii="Cambria" w:hAnsi="Cambria"/>
          <w:sz w:val="22"/>
        </w:rPr>
        <w:t xml:space="preserve">11. </w:t>
      </w:r>
      <w:r>
        <w:rPr>
          <w:rFonts w:ascii="Cambria" w:hAnsi="Cambria"/>
          <w:sz w:val="22"/>
        </w:rPr>
        <w:t>Comprehensive Institute -Specific Documentation Framework for National Board of Accreditation (NBA) Accreditation and Re-Accreditation, Kindle Edition, ASIN: B0FVMFJR9R</w:t>
      </w:r>
    </w:p>
    <w:p>
      <w:pPr>
        <w:spacing w:after="80"/>
        <w:ind w:left="357"/>
      </w:pPr>
      <w:r>
        <w:rPr>
          <w:rFonts w:ascii="Cambria" w:hAnsi="Cambria"/>
          <w:color w:val="0563C1"/>
          <w:sz w:val="22"/>
          <w:u w:val="single"/>
        </w:rPr>
        <w:t>https://amzn.in/d/h1lRju3</w:t>
      </w:r>
    </w:p>
    <w:p>
      <w:pPr>
        <w:spacing w:after="80"/>
        <w:ind w:left="357" w:hanging="357"/>
      </w:pPr>
      <w:r>
        <w:rPr>
          <w:rFonts w:ascii="Cambria" w:hAnsi="Cambria"/>
          <w:sz w:val="22"/>
        </w:rPr>
        <w:t xml:space="preserve">12. </w:t>
      </w:r>
      <w:r>
        <w:rPr>
          <w:rFonts w:ascii="Cambria" w:hAnsi="Cambria"/>
          <w:sz w:val="22"/>
        </w:rPr>
        <w:t>NBA Accreditation Process for Tier-2 Institutions – Criterion 8: FIRST YEAR ACADEMICS: Assessment, Evidence Framework, and Continuous Improvement Mechanisms in Foundational Engineering Education, Kindle Edition, ASIN: B0FW4RHR56</w:t>
      </w:r>
    </w:p>
    <w:p>
      <w:pPr>
        <w:spacing w:after="80"/>
        <w:ind w:left="357"/>
      </w:pPr>
      <w:r>
        <w:rPr>
          <w:rFonts w:ascii="Cambria" w:hAnsi="Cambria"/>
          <w:color w:val="0563C1"/>
          <w:sz w:val="22"/>
          <w:u w:val="single"/>
        </w:rPr>
        <w:t>https://amzn.in/d/fWEyfEf</w:t>
      </w:r>
    </w:p>
    <w:p>
      <w:pPr>
        <w:keepNext/>
        <w:spacing w:before="200" w:after="160"/>
      </w:pPr>
      <w:r>
        <w:rPr>
          <w:rFonts w:ascii="Cambria" w:hAnsi="Cambria"/>
          <w:b/>
          <w:color w:val="1F3A5F"/>
          <w:sz w:val="30"/>
        </w:rPr>
        <w:t>NAAC</w:t>
      </w:r>
    </w:p>
    <w:p>
      <w:pPr>
        <w:spacing w:after="80"/>
        <w:ind w:left="357" w:hanging="357"/>
      </w:pPr>
      <w:r>
        <w:rPr>
          <w:rFonts w:ascii="Cambria" w:hAnsi="Cambria"/>
          <w:sz w:val="22"/>
        </w:rPr>
        <w:t xml:space="preserve">13. </w:t>
      </w:r>
      <w:r>
        <w:rPr>
          <w:rFonts w:ascii="Cambria" w:hAnsi="Cambria"/>
          <w:sz w:val="22"/>
        </w:rPr>
        <w:t>Curricular Aspects under NAAC Accreditation – Criterion 1 for Higher Education Institutions: Ensuring Academic Flexibility, Curriculum Enrichment, and Alignment with NEP 2020, Kindle Edition, ASIN: B0FPR342MM</w:t>
      </w:r>
    </w:p>
    <w:p>
      <w:pPr>
        <w:spacing w:after="80"/>
        <w:ind w:left="357"/>
      </w:pPr>
      <w:r>
        <w:rPr>
          <w:rFonts w:ascii="Cambria" w:hAnsi="Cambria"/>
          <w:color w:val="0563C1"/>
          <w:sz w:val="22"/>
          <w:u w:val="single"/>
        </w:rPr>
        <w:t>https://amzn.in/d/0S10khp</w:t>
      </w:r>
    </w:p>
    <w:p>
      <w:pPr>
        <w:spacing w:after="80"/>
        <w:ind w:left="357" w:hanging="357"/>
      </w:pPr>
      <w:r>
        <w:rPr>
          <w:rFonts w:ascii="Cambria" w:hAnsi="Cambria"/>
          <w:sz w:val="22"/>
        </w:rPr>
        <w:t xml:space="preserve">14. </w:t>
      </w:r>
      <w:r>
        <w:rPr>
          <w:rFonts w:ascii="Cambria" w:hAnsi="Cambria"/>
          <w:sz w:val="22"/>
        </w:rPr>
        <w:t>Comprehensive Guide for Teaching-Learning and Evaluation under NAAC Accreditation – Criterion 2 for Higher Education Institutions Kindle Edition, ASIN: B0FPRBZ2JH</w:t>
      </w:r>
    </w:p>
    <w:p>
      <w:pPr>
        <w:spacing w:after="80"/>
        <w:ind w:left="357"/>
      </w:pPr>
      <w:r>
        <w:rPr>
          <w:rFonts w:ascii="Cambria" w:hAnsi="Cambria"/>
          <w:color w:val="0563C1"/>
          <w:sz w:val="22"/>
          <w:u w:val="single"/>
        </w:rPr>
        <w:t>https://amzn.in/d/37LtI4z</w:t>
      </w:r>
    </w:p>
    <w:p>
      <w:pPr>
        <w:spacing w:after="80"/>
        <w:ind w:left="357" w:hanging="357"/>
      </w:pPr>
      <w:r>
        <w:rPr>
          <w:rFonts w:ascii="Cambria" w:hAnsi="Cambria"/>
          <w:sz w:val="22"/>
        </w:rPr>
        <w:t xml:space="preserve">15. </w:t>
      </w:r>
      <w:r>
        <w:rPr>
          <w:rFonts w:ascii="Cambria" w:hAnsi="Cambria"/>
          <w:sz w:val="22"/>
        </w:rPr>
        <w:t>Comprehensive Guide for Research, Innovations, and Extension under NAAC Accreditation – Criterion 3 for Higher Education Institutions: Quality Assurance in Research, Innovation, and Extension, Kindle Edition, ASIN: B0FR9GFTST</w:t>
      </w:r>
    </w:p>
    <w:p>
      <w:pPr>
        <w:spacing w:after="80"/>
        <w:ind w:left="357"/>
      </w:pPr>
      <w:r>
        <w:rPr>
          <w:rFonts w:ascii="Cambria" w:hAnsi="Cambria"/>
          <w:color w:val="0563C1"/>
          <w:sz w:val="22"/>
          <w:u w:val="single"/>
        </w:rPr>
        <w:t>https://amzn.in/d/06MFYRq</w:t>
      </w:r>
    </w:p>
    <w:p>
      <w:pPr>
        <w:spacing w:after="80"/>
        <w:ind w:left="357" w:hanging="357"/>
      </w:pPr>
      <w:r>
        <w:rPr>
          <w:rFonts w:ascii="Cambria" w:hAnsi="Cambria"/>
          <w:sz w:val="22"/>
        </w:rPr>
        <w:t xml:space="preserve">16. </w:t>
      </w:r>
      <w:r>
        <w:rPr>
          <w:rFonts w:ascii="Cambria" w:hAnsi="Cambria"/>
          <w:sz w:val="22"/>
        </w:rPr>
        <w:t>Comprehensive Guide for Infrastructure and Learning Resources under NAAC Accreditation – Criterion 4 for Higher Education Institutions: Sustainable, Inclusive, and Future-Ready Learning Ecosystems, Kindle Edition, ASIN: B0FRFFRDPB</w:t>
      </w:r>
    </w:p>
    <w:p>
      <w:pPr>
        <w:spacing w:after="80"/>
        <w:ind w:left="357"/>
      </w:pPr>
      <w:r>
        <w:rPr>
          <w:rFonts w:ascii="Cambria" w:hAnsi="Cambria"/>
          <w:color w:val="0563C1"/>
          <w:sz w:val="22"/>
          <w:u w:val="single"/>
        </w:rPr>
        <w:t>https://amzn.in/d/5xlUunj</w:t>
      </w:r>
    </w:p>
    <w:p>
      <w:pPr>
        <w:spacing w:after="80"/>
        <w:ind w:left="357" w:hanging="357"/>
      </w:pPr>
      <w:r>
        <w:rPr>
          <w:rFonts w:ascii="Cambria" w:hAnsi="Cambria"/>
          <w:sz w:val="22"/>
        </w:rPr>
        <w:t xml:space="preserve">17. </w:t>
      </w:r>
      <w:r>
        <w:rPr>
          <w:rFonts w:ascii="Cambria" w:hAnsi="Cambria"/>
          <w:sz w:val="22"/>
        </w:rPr>
        <w:t>Comprehensive Guide for Student Support and Progression under NAAC Accreditation – Criterion 5 for Higher Education Institutions, Kindle Edition, ASIN: B0FRDZKYNG</w:t>
      </w:r>
    </w:p>
    <w:p>
      <w:pPr>
        <w:spacing w:after="80"/>
        <w:ind w:left="357"/>
      </w:pPr>
      <w:r>
        <w:rPr>
          <w:rFonts w:ascii="Cambria" w:hAnsi="Cambria"/>
          <w:color w:val="0563C1"/>
          <w:sz w:val="22"/>
          <w:u w:val="single"/>
        </w:rPr>
        <w:t>https://amzn.in/d/3zP8hvF</w:t>
      </w:r>
    </w:p>
    <w:p>
      <w:pPr>
        <w:spacing w:after="80"/>
        <w:ind w:left="357" w:hanging="357"/>
      </w:pPr>
      <w:r>
        <w:rPr>
          <w:rFonts w:ascii="Cambria" w:hAnsi="Cambria"/>
          <w:sz w:val="22"/>
        </w:rPr>
        <w:t xml:space="preserve">18. </w:t>
      </w:r>
      <w:r>
        <w:rPr>
          <w:rFonts w:ascii="Cambria" w:hAnsi="Cambria"/>
          <w:sz w:val="22"/>
        </w:rPr>
        <w:t>Comprehensive Guide for Governance, Leadership and Management under NAAC Accreditation – Criterion 6 for Higher Education Institutions, Kindle Edition, ASIN: B0FR8KKXS4</w:t>
      </w:r>
    </w:p>
    <w:p>
      <w:pPr>
        <w:spacing w:after="80"/>
        <w:ind w:left="357"/>
      </w:pPr>
      <w:r>
        <w:rPr>
          <w:rFonts w:ascii="Cambria" w:hAnsi="Cambria"/>
          <w:color w:val="0563C1"/>
          <w:sz w:val="22"/>
          <w:u w:val="single"/>
        </w:rPr>
        <w:t>https://amzn.in/d/5dscvoN</w:t>
      </w:r>
    </w:p>
    <w:p>
      <w:pPr>
        <w:spacing w:after="80"/>
        <w:ind w:left="357" w:hanging="357"/>
      </w:pPr>
      <w:r>
        <w:rPr>
          <w:rFonts w:ascii="Cambria" w:hAnsi="Cambria"/>
          <w:sz w:val="22"/>
        </w:rPr>
        <w:t xml:space="preserve">19. </w:t>
      </w:r>
      <w:r>
        <w:rPr>
          <w:rFonts w:ascii="Cambria" w:hAnsi="Cambria"/>
          <w:sz w:val="22"/>
        </w:rPr>
        <w:t>Comprehensive Guide for Institutional Values and Best Practices under NAAC Accreditation – Criterion 7 for Higher Education Institutions: Frameworks, Case Studies, and Evidence for Quality Assurance, Kindle Edition, ASIN: B0FR7WJQJ2</w:t>
      </w:r>
    </w:p>
    <w:p>
      <w:pPr>
        <w:spacing w:after="80"/>
        <w:ind w:left="357"/>
      </w:pPr>
      <w:r>
        <w:rPr>
          <w:rFonts w:ascii="Cambria" w:hAnsi="Cambria"/>
          <w:color w:val="0563C1"/>
          <w:sz w:val="22"/>
          <w:u w:val="single"/>
        </w:rPr>
        <w:t>https://amzn.in/d/6gMGSy4</w:t>
      </w:r>
    </w:p>
    <w:p>
      <w:pPr>
        <w:keepNext/>
        <w:spacing w:before="200" w:after="160"/>
      </w:pPr>
      <w:r>
        <w:rPr>
          <w:rFonts w:ascii="Cambria" w:hAnsi="Cambria"/>
          <w:b/>
          <w:color w:val="1F3A5F"/>
          <w:sz w:val="30"/>
        </w:rPr>
        <w:t>QS I GUAGE</w:t>
      </w:r>
    </w:p>
    <w:p>
      <w:pPr>
        <w:spacing w:after="80"/>
        <w:ind w:left="357" w:hanging="357"/>
      </w:pPr>
      <w:r>
        <w:rPr>
          <w:rFonts w:ascii="Cambria" w:hAnsi="Cambria"/>
          <w:sz w:val="22"/>
        </w:rPr>
        <w:t xml:space="preserve">20. </w:t>
      </w:r>
      <w:r>
        <w:rPr>
          <w:rFonts w:ascii="Cambria" w:hAnsi="Cambria"/>
          <w:sz w:val="22"/>
        </w:rPr>
        <w:t>QS I-GAUGE: An Independent Rating Framework for Indian Higher Education, Kindle Edition, ASIN: B0FN4WBGLT</w:t>
      </w:r>
    </w:p>
    <w:p>
      <w:pPr>
        <w:spacing w:after="80"/>
        <w:ind w:left="357"/>
      </w:pPr>
      <w:r>
        <w:rPr>
          <w:rFonts w:ascii="Cambria" w:hAnsi="Cambria"/>
          <w:color w:val="0563C1"/>
          <w:sz w:val="22"/>
          <w:u w:val="single"/>
        </w:rPr>
        <w:t>https://amzn.in/d/2mlYjez</w:t>
      </w:r>
    </w:p>
    <w:p>
      <w:pPr>
        <w:keepNext/>
        <w:spacing w:before="200" w:after="160"/>
      </w:pPr>
      <w:r>
        <w:rPr>
          <w:rFonts w:ascii="Cambria" w:hAnsi="Cambria"/>
          <w:b/>
          <w:color w:val="1F3A5F"/>
          <w:sz w:val="30"/>
        </w:rPr>
        <w:t>NIRF</w:t>
      </w:r>
    </w:p>
    <w:p>
      <w:pPr>
        <w:spacing w:after="80"/>
        <w:ind w:left="357" w:hanging="357"/>
      </w:pPr>
      <w:r>
        <w:rPr>
          <w:rFonts w:ascii="Cambria" w:hAnsi="Cambria"/>
          <w:sz w:val="22"/>
        </w:rPr>
        <w:t xml:space="preserve">21. </w:t>
      </w:r>
      <w:r>
        <w:rPr>
          <w:rFonts w:ascii="Cambria" w:hAnsi="Cambria"/>
          <w:sz w:val="22"/>
        </w:rPr>
        <w:t>National Institutional Ranking Framework (NIRF): Transforming Indian Higher Education: A Comprehensive Analysis of Methodology, Parameters, and Impact, Kindle Edition, ASIN: B0FQ5MNVGR</w:t>
      </w:r>
    </w:p>
    <w:p>
      <w:pPr>
        <w:spacing w:after="80"/>
        <w:ind w:left="357"/>
      </w:pPr>
      <w:r>
        <w:rPr>
          <w:rFonts w:ascii="Cambria" w:hAnsi="Cambria"/>
          <w:color w:val="0563C1"/>
          <w:sz w:val="22"/>
          <w:u w:val="single"/>
        </w:rPr>
        <w:t>https://amzn.in/d/hhrZvux</w:t>
      </w:r>
    </w:p>
    <w:p>
      <w:pPr>
        <w:keepNext/>
        <w:spacing w:before="200" w:after="160"/>
      </w:pPr>
      <w:r>
        <w:rPr>
          <w:rFonts w:ascii="Cambria" w:hAnsi="Cambria"/>
          <w:b/>
          <w:color w:val="1F3A5F"/>
          <w:sz w:val="30"/>
        </w:rPr>
        <w:t>NEP2020</w:t>
      </w:r>
    </w:p>
    <w:p>
      <w:pPr>
        <w:spacing w:after="80"/>
        <w:ind w:left="357" w:hanging="357"/>
      </w:pPr>
      <w:r>
        <w:rPr>
          <w:rFonts w:ascii="Cambria" w:hAnsi="Cambria"/>
          <w:sz w:val="22"/>
        </w:rPr>
        <w:t xml:space="preserve">22. </w:t>
      </w:r>
      <w:r>
        <w:rPr>
          <w:rFonts w:ascii="Cambria" w:hAnsi="Cambria"/>
          <w:sz w:val="22"/>
        </w:rPr>
        <w:t>National Education Policy 2020: A Transformative Roadmap for Holistic, Inclusive, and Future-Ready Learning in India, Kindle Edition, ASIN: B0F1L321B6</w:t>
      </w:r>
    </w:p>
    <w:p>
      <w:pPr>
        <w:spacing w:after="80"/>
        <w:ind w:left="357"/>
      </w:pPr>
      <w:r>
        <w:rPr>
          <w:rFonts w:ascii="Cambria" w:hAnsi="Cambria"/>
          <w:color w:val="0563C1"/>
          <w:sz w:val="22"/>
          <w:u w:val="single"/>
        </w:rPr>
        <w:t>https://amzn.in/d/eugIo4y</w:t>
      </w:r>
    </w:p>
    <w:p>
      <w:pPr>
        <w:keepNext/>
        <w:spacing w:before="200" w:after="160"/>
      </w:pPr>
      <w:r>
        <w:rPr>
          <w:rFonts w:ascii="Cambria" w:hAnsi="Cambria"/>
          <w:b/>
          <w:color w:val="1F3A5F"/>
          <w:sz w:val="30"/>
        </w:rPr>
        <w:t>IQAC</w:t>
      </w:r>
    </w:p>
    <w:p>
      <w:pPr>
        <w:spacing w:after="80"/>
        <w:ind w:left="357" w:hanging="357"/>
      </w:pPr>
      <w:r>
        <w:rPr>
          <w:rFonts w:ascii="Cambria" w:hAnsi="Cambria"/>
          <w:sz w:val="22"/>
        </w:rPr>
        <w:t xml:space="preserve">23. </w:t>
      </w:r>
      <w:r>
        <w:rPr>
          <w:rFonts w:ascii="Cambria" w:hAnsi="Cambria"/>
          <w:sz w:val="22"/>
        </w:rPr>
        <w:t>Internal Quality Assurance Cell (IQAC): A Framework for Sustaining and Enhancing Quality in Higher Education Kindle Edition, ASIN: B0FPLRX4YF</w:t>
      </w:r>
    </w:p>
    <w:p>
      <w:pPr>
        <w:spacing w:after="80"/>
        <w:ind w:left="357"/>
      </w:pPr>
      <w:r>
        <w:rPr>
          <w:rFonts w:ascii="Cambria" w:hAnsi="Cambria"/>
          <w:color w:val="0563C1"/>
          <w:sz w:val="22"/>
          <w:u w:val="single"/>
        </w:rPr>
        <w:t>https://amzn.in/d/8n5aQRb</w:t>
      </w:r>
    </w:p>
    <w:p>
      <w:pPr>
        <w:spacing w:after="80"/>
        <w:ind w:left="357" w:hanging="357"/>
      </w:pPr>
      <w:r>
        <w:rPr>
          <w:rFonts w:ascii="Cambria" w:hAnsi="Cambria"/>
          <w:sz w:val="22"/>
        </w:rPr>
        <w:t xml:space="preserve">24. </w:t>
      </w:r>
      <w:r>
        <w:rPr>
          <w:rFonts w:ascii="Cambria" w:hAnsi="Cambria"/>
          <w:sz w:val="22"/>
        </w:rPr>
        <w:t>Systematic and Transparent Feedback Mechanism in Higher Education Institutions: Ensuring Continuous Quality Improvement (CQI) and Strengthening NAAC/NBA Accreditation, Kindle Edition, ASIN: B0FPGJ77RC,</w:t>
      </w:r>
    </w:p>
    <w:p>
      <w:pPr>
        <w:spacing w:after="80"/>
        <w:ind w:left="357"/>
      </w:pPr>
      <w:r>
        <w:rPr>
          <w:rFonts w:ascii="Cambria" w:hAnsi="Cambria"/>
          <w:color w:val="0563C1"/>
          <w:sz w:val="22"/>
          <w:u w:val="single"/>
        </w:rPr>
        <w:t>https://amzn.in/d/emeRiJ3</w:t>
      </w:r>
    </w:p>
    <w:p>
      <w:pPr>
        <w:spacing w:after="80"/>
        <w:ind w:left="357" w:hanging="357"/>
      </w:pPr>
      <w:r>
        <w:rPr>
          <w:rFonts w:ascii="Cambria" w:hAnsi="Cambria"/>
          <w:sz w:val="22"/>
        </w:rPr>
        <w:t xml:space="preserve">25. </w:t>
      </w:r>
      <w:r>
        <w:rPr>
          <w:rFonts w:ascii="Cambria" w:hAnsi="Cambria"/>
          <w:sz w:val="22"/>
        </w:rPr>
        <w:t>Qualitative Metrics (QlM) and Quantitative Metrics (QnM) in Higher Educational Institutions (HEIs): As Applied in NAAC, NBA, and NIRF Frameworks, Kindle Edition, ASIN: B0F6CR212X</w:t>
      </w:r>
    </w:p>
    <w:p>
      <w:pPr>
        <w:spacing w:after="80"/>
        <w:ind w:left="357"/>
      </w:pPr>
      <w:r>
        <w:rPr>
          <w:rFonts w:ascii="Cambria" w:hAnsi="Cambria"/>
          <w:color w:val="0563C1"/>
          <w:sz w:val="22"/>
          <w:u w:val="single"/>
        </w:rPr>
        <w:t>https://amzn.in/d/gUWl02e</w:t>
      </w:r>
    </w:p>
    <w:p>
      <w:pPr>
        <w:spacing w:after="80"/>
        <w:ind w:left="357" w:hanging="357"/>
      </w:pPr>
      <w:r>
        <w:rPr>
          <w:rFonts w:ascii="Cambria" w:hAnsi="Cambria"/>
          <w:sz w:val="22"/>
        </w:rPr>
        <w:t xml:space="preserve">26. </w:t>
      </w:r>
      <w:r>
        <w:rPr>
          <w:rFonts w:ascii="Cambria" w:hAnsi="Cambria"/>
          <w:sz w:val="22"/>
        </w:rPr>
        <w:t>Statutory and Non-Statutory Committees in Higher Educational Institutions (HEIs): Mandatory by regulatory bodies like AICTE, UGC, NAAC, NBA, etc. Kindle Edition, ASIN : B0F7GHJ863</w:t>
      </w:r>
    </w:p>
    <w:p>
      <w:pPr>
        <w:spacing w:after="80"/>
        <w:ind w:left="357"/>
      </w:pPr>
      <w:r>
        <w:rPr>
          <w:rFonts w:ascii="Cambria" w:hAnsi="Cambria"/>
          <w:color w:val="0563C1"/>
          <w:sz w:val="22"/>
          <w:u w:val="single"/>
        </w:rPr>
        <w:t>https://amzn.in/d/gf0LiBn</w:t>
      </w:r>
    </w:p>
    <w:p>
      <w:pPr>
        <w:spacing w:after="80"/>
        <w:ind w:left="357" w:hanging="357"/>
      </w:pPr>
      <w:r>
        <w:rPr>
          <w:rFonts w:ascii="Cambria" w:hAnsi="Cambria"/>
          <w:sz w:val="22"/>
        </w:rPr>
        <w:t xml:space="preserve">27. </w:t>
      </w:r>
      <w:r>
        <w:rPr>
          <w:rFonts w:ascii="Cambria" w:hAnsi="Cambria"/>
          <w:sz w:val="22"/>
        </w:rPr>
        <w:t>Empowering Academic Skilling and Mathematical Modelling through Technical Computing Languages in Higher Education Institutions, Kindle Edition, ASIN: B0FC7TNZNG</w:t>
      </w:r>
    </w:p>
    <w:p>
      <w:pPr>
        <w:spacing w:after="80"/>
        <w:ind w:left="357"/>
      </w:pPr>
      <w:r>
        <w:rPr>
          <w:rFonts w:ascii="Cambria" w:hAnsi="Cambria"/>
          <w:color w:val="0563C1"/>
          <w:sz w:val="22"/>
          <w:u w:val="single"/>
        </w:rPr>
        <w:t>https://amzn.in/d/brIlQwZ</w:t>
      </w:r>
    </w:p>
    <w:p>
      <w:pPr>
        <w:spacing w:after="80"/>
        <w:ind w:left="357" w:hanging="357"/>
      </w:pPr>
      <w:r>
        <w:rPr>
          <w:rFonts w:ascii="Cambria" w:hAnsi="Cambria"/>
          <w:sz w:val="22"/>
        </w:rPr>
        <w:t xml:space="preserve">28. </w:t>
      </w:r>
      <w:r>
        <w:rPr>
          <w:rFonts w:ascii="Cambria" w:hAnsi="Cambria"/>
          <w:sz w:val="22"/>
        </w:rPr>
        <w:t>Research and Development Transformation in Higher Education Institutions, Kindle Edition, ASIN: B0FB9QFS88</w:t>
      </w:r>
    </w:p>
    <w:p>
      <w:pPr>
        <w:spacing w:after="80"/>
        <w:ind w:left="357"/>
      </w:pPr>
      <w:r>
        <w:rPr>
          <w:rFonts w:ascii="Cambria" w:hAnsi="Cambria"/>
          <w:color w:val="0563C1"/>
          <w:sz w:val="22"/>
          <w:u w:val="single"/>
        </w:rPr>
        <w:t>https://amzn.in/d/1uOQZ0o</w:t>
      </w:r>
    </w:p>
    <w:p>
      <w:pPr>
        <w:spacing w:after="80"/>
        <w:ind w:left="357" w:hanging="357"/>
      </w:pPr>
      <w:r>
        <w:rPr>
          <w:rFonts w:ascii="Cambria" w:hAnsi="Cambria"/>
          <w:sz w:val="22"/>
        </w:rPr>
        <w:t xml:space="preserve">29. </w:t>
      </w:r>
      <w:r>
        <w:rPr>
          <w:rFonts w:ascii="Cambria" w:hAnsi="Cambria"/>
          <w:sz w:val="22"/>
        </w:rPr>
        <w:t>Institutional Development Plans in Higher Education: Empowering Institutions for the 21st Century Kindle Edition, ASIN: B0FDBV6D47</w:t>
      </w:r>
    </w:p>
    <w:p>
      <w:pPr>
        <w:spacing w:after="80"/>
        <w:ind w:left="357"/>
      </w:pPr>
      <w:r>
        <w:rPr>
          <w:rFonts w:ascii="Cambria" w:hAnsi="Cambria"/>
          <w:color w:val="0563C1"/>
          <w:sz w:val="22"/>
          <w:u w:val="single"/>
        </w:rPr>
        <w:t>https://amzn.in/d/ckm98I2</w:t>
      </w:r>
    </w:p>
    <w:p>
      <w:pPr>
        <w:spacing w:after="80"/>
        <w:ind w:left="357" w:hanging="357"/>
      </w:pPr>
      <w:r>
        <w:rPr>
          <w:rFonts w:ascii="Cambria" w:hAnsi="Cambria"/>
          <w:sz w:val="22"/>
        </w:rPr>
        <w:t xml:space="preserve">30. </w:t>
      </w:r>
      <w:r>
        <w:rPr>
          <w:rFonts w:ascii="Cambria" w:hAnsi="Cambria"/>
          <w:sz w:val="22"/>
        </w:rPr>
        <w:t>Comprehensive Academic System in Higher Education Institutions, Kindle Edition, ASIN : B0FF2HDMSG</w:t>
      </w:r>
    </w:p>
    <w:p>
      <w:pPr>
        <w:spacing w:after="80"/>
        <w:ind w:left="357"/>
      </w:pPr>
      <w:r>
        <w:rPr>
          <w:rFonts w:ascii="Cambria" w:hAnsi="Cambria"/>
          <w:color w:val="0563C1"/>
          <w:sz w:val="22"/>
          <w:u w:val="single"/>
        </w:rPr>
        <w:t>https://amzn.in/d/dbPMaVL</w:t>
      </w:r>
    </w:p>
    <w:p>
      <w:pPr>
        <w:spacing w:after="80"/>
        <w:ind w:left="357" w:hanging="357"/>
      </w:pPr>
      <w:r>
        <w:rPr>
          <w:rFonts w:ascii="Cambria" w:hAnsi="Cambria"/>
          <w:sz w:val="22"/>
        </w:rPr>
        <w:t xml:space="preserve">31. </w:t>
      </w:r>
      <w:r>
        <w:rPr>
          <w:rFonts w:ascii="Cambria" w:hAnsi="Cambria"/>
          <w:sz w:val="22"/>
        </w:rPr>
        <w:t>Structured Approaches to Teaching, Learning, and Student Engagement in HEIs, Kindle Edition, ASIN: B0DB8QK1B4</w:t>
      </w:r>
    </w:p>
    <w:p>
      <w:pPr>
        <w:spacing w:after="80"/>
        <w:ind w:left="357"/>
      </w:pPr>
      <w:r>
        <w:rPr>
          <w:rFonts w:ascii="Cambria" w:hAnsi="Cambria"/>
          <w:color w:val="0563C1"/>
          <w:sz w:val="22"/>
          <w:u w:val="single"/>
        </w:rPr>
        <w:t>https://amzn.in/d/7jNZrQo</w:t>
      </w:r>
    </w:p>
    <w:p>
      <w:pPr>
        <w:spacing w:after="80"/>
        <w:ind w:left="357" w:hanging="357"/>
      </w:pPr>
      <w:r>
        <w:rPr>
          <w:rFonts w:ascii="Cambria" w:hAnsi="Cambria"/>
          <w:sz w:val="22"/>
        </w:rPr>
        <w:t xml:space="preserve">32. </w:t>
      </w:r>
      <w:r>
        <w:rPr>
          <w:rFonts w:ascii="Cambria" w:hAnsi="Cambria"/>
          <w:sz w:val="22"/>
        </w:rPr>
        <w:t>Admission Process in Indian Higher Education: A Comprehensive Institutional Guide Kindle Edition, ASIN: B0FFNCPP6P,</w:t>
      </w:r>
    </w:p>
    <w:p>
      <w:pPr>
        <w:spacing w:after="80"/>
        <w:ind w:left="357"/>
      </w:pPr>
      <w:r>
        <w:rPr>
          <w:rFonts w:ascii="Cambria" w:hAnsi="Cambria"/>
          <w:color w:val="0563C1"/>
          <w:sz w:val="22"/>
          <w:u w:val="single"/>
        </w:rPr>
        <w:t>https://amzn.in/d/0XO6APq</w:t>
      </w:r>
    </w:p>
    <w:p>
      <w:pPr>
        <w:spacing w:after="80"/>
        <w:ind w:left="357" w:hanging="357"/>
      </w:pPr>
      <w:r>
        <w:rPr>
          <w:rFonts w:ascii="Cambria" w:hAnsi="Cambria"/>
          <w:sz w:val="22"/>
        </w:rPr>
        <w:t xml:space="preserve">33. </w:t>
      </w:r>
      <w:r>
        <w:rPr>
          <w:rFonts w:ascii="Cambria" w:hAnsi="Cambria"/>
          <w:sz w:val="22"/>
        </w:rPr>
        <w:t>Strategic Implementation of Best Practices in HEIs: Enhancing Quality, Innovation, and Impact, Kindle Edition, ASIN: B0CZP85QK7</w:t>
      </w:r>
    </w:p>
    <w:p>
      <w:pPr>
        <w:spacing w:after="80"/>
        <w:ind w:left="357"/>
      </w:pPr>
      <w:r>
        <w:rPr>
          <w:rFonts w:ascii="Cambria" w:hAnsi="Cambria"/>
          <w:color w:val="0563C1"/>
          <w:sz w:val="22"/>
          <w:u w:val="single"/>
        </w:rPr>
        <w:t>https://amzn.in/d/5uj5Lkb</w:t>
      </w:r>
    </w:p>
    <w:p>
      <w:pPr>
        <w:spacing w:after="80"/>
        <w:ind w:left="357" w:hanging="357"/>
      </w:pPr>
      <w:r>
        <w:rPr>
          <w:rFonts w:ascii="Cambria" w:hAnsi="Cambria"/>
          <w:sz w:val="22"/>
        </w:rPr>
        <w:t xml:space="preserve">34. </w:t>
      </w:r>
      <w:r>
        <w:rPr>
          <w:rFonts w:ascii="Cambria" w:hAnsi="Cambria"/>
          <w:sz w:val="22"/>
        </w:rPr>
        <w:t>Outcome-Based Education in Higher Learning: Philosophy, Design, and Impact, Kindle Edition, ASIN: B0FPCB5GHH</w:t>
      </w:r>
    </w:p>
    <w:p>
      <w:pPr>
        <w:spacing w:after="80"/>
        <w:ind w:left="357"/>
      </w:pPr>
      <w:r>
        <w:rPr>
          <w:rFonts w:ascii="Cambria" w:hAnsi="Cambria"/>
          <w:color w:val="0563C1"/>
          <w:sz w:val="22"/>
          <w:u w:val="single"/>
        </w:rPr>
        <w:t>https://amzn.in/d/3oGmnue</w:t>
      </w:r>
    </w:p>
    <w:p>
      <w:pPr>
        <w:spacing w:after="80"/>
        <w:ind w:left="357" w:hanging="357"/>
      </w:pPr>
      <w:r>
        <w:rPr>
          <w:rFonts w:ascii="Cambria" w:hAnsi="Cambria"/>
          <w:sz w:val="22"/>
        </w:rPr>
        <w:t xml:space="preserve">35. </w:t>
      </w:r>
      <w:r>
        <w:rPr>
          <w:rFonts w:ascii="Cambria" w:hAnsi="Cambria"/>
          <w:sz w:val="22"/>
        </w:rPr>
        <w:t>Holistic Performance Appraisal and Development: Driving Continuous Quality in Higher Education Institutions, Kindle Edition, ASIN: B0FQN2S8WH</w:t>
      </w:r>
    </w:p>
    <w:p>
      <w:pPr>
        <w:spacing w:after="80"/>
        <w:ind w:left="357"/>
      </w:pPr>
      <w:r>
        <w:rPr>
          <w:rFonts w:ascii="Cambria" w:hAnsi="Cambria"/>
          <w:color w:val="0563C1"/>
          <w:sz w:val="22"/>
          <w:u w:val="single"/>
        </w:rPr>
        <w:t>https://amzn.in/d/bipHsu8</w:t>
      </w:r>
    </w:p>
    <w:p>
      <w:pPr>
        <w:spacing w:after="80"/>
        <w:ind w:left="357" w:hanging="357"/>
      </w:pPr>
      <w:r>
        <w:rPr>
          <w:rFonts w:ascii="Cambria" w:hAnsi="Cambria"/>
          <w:sz w:val="22"/>
        </w:rPr>
        <w:t xml:space="preserve">36. </w:t>
      </w:r>
      <w:r>
        <w:rPr>
          <w:rFonts w:ascii="Cambria" w:hAnsi="Cambria"/>
          <w:sz w:val="22"/>
        </w:rPr>
        <w:t>Comprehensive Code of Ethics and Conduct for Students in Higher Education Institutions, Kindle Edition, ASIN: B0FQS7V248</w:t>
      </w:r>
    </w:p>
    <w:p>
      <w:pPr>
        <w:spacing w:after="80"/>
        <w:ind w:left="357"/>
      </w:pPr>
      <w:r>
        <w:rPr>
          <w:rFonts w:ascii="Cambria" w:hAnsi="Cambria"/>
          <w:color w:val="0563C1"/>
          <w:sz w:val="22"/>
          <w:u w:val="single"/>
        </w:rPr>
        <w:t>https://amzn.in/d/6jfKQnI</w:t>
      </w:r>
    </w:p>
    <w:p>
      <w:pPr>
        <w:spacing w:after="80"/>
        <w:ind w:left="357" w:hanging="357"/>
      </w:pPr>
      <w:r>
        <w:rPr>
          <w:rFonts w:ascii="Cambria" w:hAnsi="Cambria"/>
          <w:sz w:val="22"/>
        </w:rPr>
        <w:t xml:space="preserve">37. </w:t>
      </w:r>
      <w:r>
        <w:rPr>
          <w:rFonts w:ascii="Cambria" w:hAnsi="Cambria"/>
          <w:sz w:val="22"/>
        </w:rPr>
        <w:t>Industry Internship Program: Structure, Guidelines, and Evaluation Framework: Enhancing Employability and Industry Linkages in HEIs, Kindle Edition, ASIN: B0FQLF8385</w:t>
      </w:r>
    </w:p>
    <w:p>
      <w:pPr>
        <w:spacing w:after="80"/>
        <w:ind w:left="357"/>
      </w:pPr>
      <w:r>
        <w:rPr>
          <w:rFonts w:ascii="Cambria" w:hAnsi="Cambria"/>
          <w:color w:val="0563C1"/>
          <w:sz w:val="22"/>
          <w:u w:val="single"/>
        </w:rPr>
        <w:t>https://amzn.in/d/8scRAIj</w:t>
      </w:r>
    </w:p>
    <w:p>
      <w:pPr>
        <w:spacing w:after="80"/>
        <w:ind w:left="357" w:hanging="357"/>
      </w:pPr>
      <w:r>
        <w:rPr>
          <w:rFonts w:ascii="Cambria" w:hAnsi="Cambria"/>
          <w:sz w:val="22"/>
        </w:rPr>
        <w:t xml:space="preserve">38.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w:t>
      </w:r>
    </w:p>
    <w:p>
      <w:pPr>
        <w:spacing w:after="80"/>
        <w:ind w:left="357"/>
      </w:pPr>
      <w:r>
        <w:rPr>
          <w:rFonts w:ascii="Cambria" w:hAnsi="Cambria"/>
          <w:color w:val="0563C1"/>
          <w:sz w:val="22"/>
          <w:u w:val="single"/>
        </w:rPr>
        <w:t>https://amzn.in/d/eKx5NC9</w:t>
      </w:r>
    </w:p>
    <w:p>
      <w:pPr>
        <w:spacing w:after="80"/>
        <w:ind w:left="357" w:hanging="357"/>
      </w:pPr>
      <w:r>
        <w:rPr>
          <w:rFonts w:ascii="Cambria" w:hAnsi="Cambria"/>
          <w:sz w:val="22"/>
        </w:rPr>
        <w:t xml:space="preserve">39. </w:t>
      </w:r>
      <w:r>
        <w:rPr>
          <w:rFonts w:ascii="Cambria" w:hAnsi="Cambria"/>
          <w:sz w:val="22"/>
        </w:rPr>
        <w:t>Financial Operations and Management Policy in Higher Education Institutions: A Comprehensive Framework Linking Finance Policy to NAAC, NBA, NIRF, QS I-GAUGE, and SDGs, Kindle Edition, ASIN: B0FR1P216J</w:t>
      </w:r>
    </w:p>
    <w:p>
      <w:pPr>
        <w:spacing w:after="80"/>
        <w:ind w:left="357"/>
      </w:pPr>
      <w:r>
        <w:rPr>
          <w:rFonts w:ascii="Cambria" w:hAnsi="Cambria"/>
          <w:color w:val="0563C1"/>
          <w:sz w:val="22"/>
          <w:u w:val="single"/>
        </w:rPr>
        <w:t>https://amzn.in/d/8st88zc</w:t>
      </w:r>
    </w:p>
    <w:p>
      <w:pPr>
        <w:spacing w:after="80"/>
        <w:ind w:left="357" w:hanging="357"/>
      </w:pPr>
      <w:r>
        <w:rPr>
          <w:rFonts w:ascii="Cambria" w:hAnsi="Cambria"/>
          <w:sz w:val="22"/>
        </w:rPr>
        <w:t xml:space="preserve">40. </w:t>
      </w:r>
      <w:r>
        <w:rPr>
          <w:rFonts w:ascii="Cambria" w:hAnsi="Cambria"/>
          <w:sz w:val="22"/>
        </w:rPr>
        <w:t>Comprehensive Policy Framework for Sustainable Water Management, Conservation, and Auditing in Higher Education Institutions, Kindle Edition, ASIN: B0FR31X1BC</w:t>
      </w:r>
    </w:p>
    <w:p>
      <w:pPr>
        <w:spacing w:after="80"/>
        <w:ind w:left="357"/>
      </w:pPr>
      <w:r>
        <w:rPr>
          <w:rFonts w:ascii="Cambria" w:hAnsi="Cambria"/>
          <w:color w:val="0563C1"/>
          <w:sz w:val="22"/>
          <w:u w:val="single"/>
        </w:rPr>
        <w:t>https://amzn.in/d/3i40Lf1</w:t>
      </w:r>
    </w:p>
    <w:p>
      <w:pPr>
        <w:spacing w:after="80"/>
        <w:ind w:left="357" w:hanging="357"/>
      </w:pPr>
      <w:r>
        <w:rPr>
          <w:rFonts w:ascii="Cambria" w:hAnsi="Cambria"/>
          <w:sz w:val="22"/>
        </w:rPr>
        <w:t xml:space="preserve">41.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w:t>
      </w:r>
    </w:p>
    <w:p>
      <w:pPr>
        <w:spacing w:after="80"/>
        <w:ind w:left="357"/>
      </w:pPr>
      <w:r>
        <w:rPr>
          <w:rFonts w:ascii="Cambria" w:hAnsi="Cambria"/>
          <w:color w:val="0563C1"/>
          <w:sz w:val="22"/>
          <w:u w:val="single"/>
        </w:rPr>
        <w:t>https://amzn.in/d/gXvdCpx</w:t>
      </w:r>
    </w:p>
    <w:p>
      <w:pPr>
        <w:spacing w:after="80"/>
        <w:ind w:left="357" w:hanging="357"/>
      </w:pPr>
      <w:r>
        <w:rPr>
          <w:rFonts w:ascii="Cambria" w:hAnsi="Cambria"/>
          <w:sz w:val="22"/>
        </w:rPr>
        <w:t xml:space="preserve">42. </w:t>
      </w:r>
      <w:r>
        <w:rPr>
          <w:rFonts w:ascii="Cambria" w:hAnsi="Cambria"/>
          <w:sz w:val="22"/>
        </w:rPr>
        <w:t>Student Affairs Policy for Higher Education Institutions (HEIs): Aligning Student Development with NAAC, NBA, NIRF, QS I-GAUGE, and SDG Standards, Kindle Edition, ASIN: B0FR4GW6RB</w:t>
      </w:r>
    </w:p>
    <w:p>
      <w:pPr>
        <w:spacing w:after="80"/>
        <w:ind w:left="357"/>
      </w:pPr>
      <w:r>
        <w:rPr>
          <w:rFonts w:ascii="Cambria" w:hAnsi="Cambria"/>
          <w:color w:val="0563C1"/>
          <w:sz w:val="22"/>
          <w:u w:val="single"/>
        </w:rPr>
        <w:t>https://amzn.in/d/2zTHV0B</w:t>
      </w:r>
    </w:p>
    <w:p>
      <w:pPr>
        <w:spacing w:after="80"/>
        <w:ind w:left="357" w:hanging="357"/>
      </w:pPr>
      <w:r>
        <w:rPr>
          <w:rFonts w:ascii="Cambria" w:hAnsi="Cambria"/>
          <w:sz w:val="22"/>
        </w:rPr>
        <w:t xml:space="preserve">43. </w:t>
      </w:r>
      <w:r>
        <w:rPr>
          <w:rFonts w:ascii="Cambria" w:hAnsi="Cambria"/>
          <w:sz w:val="22"/>
        </w:rPr>
        <w:t>Extension and Outreach Services in Higher Education: Leadership, Governance, and Community Engagement Strategies, Kindle Edition, ASIN: B0FRLHXR1G,</w:t>
      </w:r>
    </w:p>
    <w:p>
      <w:pPr>
        <w:spacing w:after="80"/>
        <w:ind w:left="357"/>
      </w:pPr>
      <w:r>
        <w:rPr>
          <w:rFonts w:ascii="Cambria" w:hAnsi="Cambria"/>
          <w:color w:val="0563C1"/>
          <w:sz w:val="22"/>
          <w:u w:val="single"/>
        </w:rPr>
        <w:t>https://amzn.in/d/9NE2wGs</w:t>
      </w:r>
    </w:p>
    <w:p>
      <w:pPr>
        <w:spacing w:after="80"/>
        <w:ind w:left="357" w:hanging="357"/>
      </w:pPr>
      <w:r>
        <w:rPr>
          <w:rFonts w:ascii="Cambria" w:hAnsi="Cambria"/>
          <w:sz w:val="22"/>
        </w:rPr>
        <w:t xml:space="preserve">44. </w:t>
      </w:r>
      <w:r>
        <w:rPr>
          <w:rFonts w:ascii="Cambria" w:hAnsi="Cambria"/>
          <w:sz w:val="22"/>
        </w:rPr>
        <w:t>Central Library: Policies, Procedures, and Best Practices in Higher Education Institutions: Aligning with NAAC, NIRF, NBA, and QS-I Gauge Standards, Kindle Edition, ASIN: B0FRMKX2BX</w:t>
      </w:r>
    </w:p>
    <w:p>
      <w:pPr>
        <w:spacing w:after="80"/>
        <w:ind w:left="357"/>
      </w:pPr>
      <w:r>
        <w:rPr>
          <w:rFonts w:ascii="Cambria" w:hAnsi="Cambria"/>
          <w:color w:val="0563C1"/>
          <w:sz w:val="22"/>
          <w:u w:val="single"/>
        </w:rPr>
        <w:t>https://amzn.in/d/9Qfr8S0</w:t>
      </w:r>
    </w:p>
    <w:p>
      <w:pPr>
        <w:spacing w:after="80"/>
        <w:ind w:left="357" w:hanging="357"/>
      </w:pPr>
      <w:r>
        <w:rPr>
          <w:rFonts w:ascii="Cambria" w:hAnsi="Cambria"/>
          <w:sz w:val="22"/>
        </w:rPr>
        <w:t xml:space="preserve">45. </w:t>
      </w:r>
      <w:r>
        <w:rPr>
          <w:rFonts w:ascii="Cambria" w:hAnsi="Cambria"/>
          <w:sz w:val="22"/>
        </w:rPr>
        <w:t>Institutional Policy on Publishing in Higher Education Institutions: Frameworks, Standards, and Best Practices for NAAC, NBA, NIRF, and QS I-GAUGE Compliance, Kindle Edition, ASIN: B0FRRBM6HD</w:t>
      </w:r>
    </w:p>
    <w:p>
      <w:pPr>
        <w:spacing w:after="80"/>
        <w:ind w:left="357"/>
      </w:pPr>
      <w:r>
        <w:rPr>
          <w:rFonts w:ascii="Cambria" w:hAnsi="Cambria"/>
          <w:color w:val="0563C1"/>
          <w:sz w:val="22"/>
          <w:u w:val="single"/>
        </w:rPr>
        <w:t>https://amzn.in/d/0bYPpGu</w:t>
      </w:r>
    </w:p>
    <w:p>
      <w:pPr>
        <w:spacing w:after="80"/>
        <w:ind w:left="357" w:hanging="357"/>
      </w:pPr>
      <w:r>
        <w:rPr>
          <w:rFonts w:ascii="Cambria" w:hAnsi="Cambria"/>
          <w:sz w:val="22"/>
        </w:rPr>
        <w:t xml:space="preserve">46. </w:t>
      </w:r>
      <w:r>
        <w:rPr>
          <w:rFonts w:ascii="Cambria" w:hAnsi="Cambria"/>
          <w:sz w:val="22"/>
        </w:rPr>
        <w:t>IT Services in Higher Education Institutions (HEIs): Policies, Registers, and Best Practices: Aligning IT Services in HEIs with NAAC, NBA, NIRF, and QS I-GAUGE Accreditation Frameworks, Kindle Edition, ASIN: B0FRRD3W8C</w:t>
      </w:r>
    </w:p>
    <w:p>
      <w:pPr>
        <w:spacing w:after="80"/>
        <w:ind w:left="357"/>
      </w:pPr>
      <w:r>
        <w:rPr>
          <w:rFonts w:ascii="Cambria" w:hAnsi="Cambria"/>
          <w:color w:val="0563C1"/>
          <w:sz w:val="22"/>
          <w:u w:val="single"/>
        </w:rPr>
        <w:t>https://amzn.in/d/5wXPUFs</w:t>
      </w:r>
    </w:p>
    <w:p>
      <w:pPr>
        <w:spacing w:after="80"/>
        <w:ind w:left="357" w:hanging="357"/>
      </w:pPr>
      <w:r>
        <w:rPr>
          <w:rFonts w:ascii="Cambria" w:hAnsi="Cambria"/>
          <w:sz w:val="22"/>
        </w:rPr>
        <w:t xml:space="preserve">47. </w:t>
      </w:r>
      <w:r>
        <w:rPr>
          <w:rFonts w:ascii="Cambria" w:hAnsi="Cambria"/>
          <w:sz w:val="22"/>
        </w:rPr>
        <w:t>Physical Facilities, Maintenance, and Construction in Higher Education Institutions (HEIs): Registers, Audit Frameworks, and Accreditation Evidence for NAAC, NIRF, QS I-GAUGE, and NBA, Kindle Edition, ASIN: B0FRYFGLHC</w:t>
      </w:r>
    </w:p>
    <w:p>
      <w:pPr>
        <w:spacing w:after="80"/>
        <w:ind w:left="357"/>
      </w:pPr>
      <w:r>
        <w:rPr>
          <w:rFonts w:ascii="Cambria" w:hAnsi="Cambria"/>
          <w:color w:val="0563C1"/>
          <w:sz w:val="22"/>
          <w:u w:val="single"/>
        </w:rPr>
        <w:t>https://amzn.in/d/fdm0ipL</w:t>
      </w:r>
    </w:p>
    <w:p>
      <w:pPr>
        <w:spacing w:after="80"/>
        <w:ind w:left="357" w:hanging="357"/>
      </w:pPr>
      <w:r>
        <w:rPr>
          <w:rFonts w:ascii="Cambria" w:hAnsi="Cambria"/>
          <w:sz w:val="22"/>
        </w:rPr>
        <w:t xml:space="preserve">48. </w:t>
      </w:r>
      <w:r>
        <w:rPr>
          <w:rFonts w:ascii="Cambria" w:hAnsi="Cambria"/>
          <w:sz w:val="22"/>
        </w:rPr>
        <w:t>Strategic Development Plan for Higher Education Institutions: Aligning with NEP 2020, SDGs, NAAC, NBA, NIRF, and QS I-GAUGE, Kindle Edition, ASIN: B0FSCTT9ZP</w:t>
      </w:r>
    </w:p>
    <w:p>
      <w:pPr>
        <w:spacing w:after="80"/>
        <w:ind w:left="357"/>
      </w:pPr>
      <w:r>
        <w:rPr>
          <w:rFonts w:ascii="Cambria" w:hAnsi="Cambria"/>
          <w:color w:val="0563C1"/>
          <w:sz w:val="22"/>
          <w:u w:val="single"/>
        </w:rPr>
        <w:t>https://amzn.in/d/hGqn55l</w:t>
      </w:r>
    </w:p>
    <w:p>
      <w:pPr>
        <w:spacing w:after="80"/>
        <w:ind w:left="357" w:hanging="357"/>
      </w:pPr>
      <w:r>
        <w:rPr>
          <w:rFonts w:ascii="Cambria" w:hAnsi="Cambria"/>
          <w:sz w:val="22"/>
        </w:rPr>
        <w:t xml:space="preserve">49. </w:t>
      </w:r>
      <w:r>
        <w:rPr>
          <w:rFonts w:ascii="Cambria" w:hAnsi="Cambria"/>
          <w:sz w:val="22"/>
        </w:rPr>
        <w:t>Dean of Planning &amp; Development (DoPD): Architect of Institutional Growth in Higher Education: Institutional Planning, Sustainability, and Accreditation Alignment with NAAC, NBA, NIRF, and QS I-GAUGE, Kindle Edition, ASIN: B0FRZZGMF8</w:t>
      </w:r>
    </w:p>
    <w:p>
      <w:pPr>
        <w:spacing w:after="80"/>
        <w:ind w:left="357"/>
      </w:pPr>
      <w:r>
        <w:rPr>
          <w:rFonts w:ascii="Cambria" w:hAnsi="Cambria"/>
          <w:color w:val="0563C1"/>
          <w:sz w:val="22"/>
          <w:u w:val="single"/>
        </w:rPr>
        <w:t>https://amzn.in/d/cbSxKTJ</w:t>
      </w:r>
    </w:p>
    <w:p>
      <w:pPr>
        <w:spacing w:after="80"/>
        <w:ind w:left="357" w:hanging="357"/>
      </w:pPr>
      <w:r>
        <w:rPr>
          <w:rFonts w:ascii="Cambria" w:hAnsi="Cambria"/>
          <w:sz w:val="22"/>
        </w:rPr>
        <w:t xml:space="preserve">50. </w:t>
      </w:r>
      <w:r>
        <w:rPr>
          <w:rFonts w:ascii="Cambria" w:hAnsi="Cambria"/>
          <w:sz w:val="22"/>
        </w:rPr>
        <w:t>Dean – IQA and Ranking (DoIQAR): Leadership in Accreditation, Quality Assurance, and Global Benchmarking in Higher Education: Mapping of DoIQAR &amp; Associate Deans to NBA, NAAC, NIRF, and QS I-GAUGE, Kindle Edition, ASIN: B0FS5W7JYP</w:t>
      </w:r>
    </w:p>
    <w:p>
      <w:pPr>
        <w:spacing w:after="80"/>
        <w:ind w:left="357"/>
      </w:pPr>
      <w:r>
        <w:rPr>
          <w:rFonts w:ascii="Cambria" w:hAnsi="Cambria"/>
          <w:color w:val="0563C1"/>
          <w:sz w:val="22"/>
          <w:u w:val="single"/>
        </w:rPr>
        <w:t>https://amzn.in/d/aqwjhkT</w:t>
      </w:r>
    </w:p>
    <w:p>
      <w:pPr>
        <w:spacing w:after="80"/>
        <w:ind w:left="357" w:hanging="357"/>
      </w:pPr>
      <w:r>
        <w:rPr>
          <w:rFonts w:ascii="Cambria" w:hAnsi="Cambria"/>
          <w:sz w:val="22"/>
        </w:rPr>
        <w:t xml:space="preserve">51. </w:t>
      </w:r>
      <w:r>
        <w:rPr>
          <w:rFonts w:ascii="Cambria" w:hAnsi="Cambria"/>
          <w:sz w:val="22"/>
        </w:rPr>
        <w:t>Dean – Research &amp; Development (R&amp;D): Leadership in Knowledge Creation and Innovation in Higher Education: Mapping of R&amp;D Leadership to NBA, NAAC, NIRF, and QS I-GAUGE, Kindle Edition, ASIN: B0FS5K7G27</w:t>
      </w:r>
    </w:p>
    <w:p>
      <w:pPr>
        <w:spacing w:after="80"/>
        <w:ind w:left="357"/>
      </w:pPr>
      <w:r>
        <w:rPr>
          <w:rFonts w:ascii="Cambria" w:hAnsi="Cambria"/>
          <w:color w:val="0563C1"/>
          <w:sz w:val="22"/>
          <w:u w:val="single"/>
        </w:rPr>
        <w:t>https://amzn.in/d/9Ffj30s</w:t>
      </w:r>
    </w:p>
    <w:p>
      <w:pPr>
        <w:spacing w:after="80"/>
        <w:ind w:left="357" w:hanging="357"/>
      </w:pPr>
      <w:r>
        <w:rPr>
          <w:rFonts w:ascii="Cambria" w:hAnsi="Cambria"/>
          <w:sz w:val="22"/>
        </w:rPr>
        <w:t xml:space="preserve">52. </w:t>
      </w:r>
      <w:r>
        <w:rPr>
          <w:rFonts w:ascii="Cambria" w:hAnsi="Cambria"/>
          <w:sz w:val="22"/>
        </w:rPr>
        <w:t>Dean of Academic Affairs: Custodian of Academic Excellence: The Role of the Dean and Associate Deans in Governance, Quality, and Global Benchmarks, Kindle Edition, ASIN : B0FRY8N2SD</w:t>
      </w:r>
    </w:p>
    <w:p>
      <w:pPr>
        <w:spacing w:after="80"/>
        <w:ind w:left="357"/>
      </w:pPr>
      <w:r>
        <w:rPr>
          <w:rFonts w:ascii="Cambria" w:hAnsi="Cambria"/>
          <w:color w:val="0563C1"/>
          <w:sz w:val="22"/>
          <w:u w:val="single"/>
        </w:rPr>
        <w:t>https://amzn.in/d/6Fh0u3l</w:t>
      </w:r>
    </w:p>
    <w:p>
      <w:pPr>
        <w:spacing w:after="80"/>
        <w:ind w:left="357" w:hanging="357"/>
      </w:pPr>
      <w:r>
        <w:rPr>
          <w:rFonts w:ascii="Cambria" w:hAnsi="Cambria"/>
          <w:sz w:val="22"/>
        </w:rPr>
        <w:t xml:space="preserve">53. </w:t>
      </w:r>
      <w:r>
        <w:rPr>
          <w:rFonts w:ascii="Cambria" w:hAnsi="Cambria"/>
          <w:sz w:val="22"/>
        </w:rPr>
        <w:t>Skilling Engineers in Civil and Architecture Disciplines: Advancing Academic Competence in Geometric Modeling for Higher Education Institutions, Kindle Edition, ASIN: B0FSJHSSGL</w:t>
      </w:r>
    </w:p>
    <w:p>
      <w:pPr>
        <w:spacing w:after="80"/>
        <w:ind w:left="357"/>
      </w:pPr>
      <w:r>
        <w:rPr>
          <w:rFonts w:ascii="Cambria" w:hAnsi="Cambria"/>
          <w:color w:val="0563C1"/>
          <w:sz w:val="22"/>
          <w:u w:val="single"/>
        </w:rPr>
        <w:t>https://a.co/d/9t8kspY</w:t>
      </w:r>
    </w:p>
    <w:p>
      <w:pPr>
        <w:spacing w:after="80"/>
        <w:ind w:left="357" w:hanging="357"/>
      </w:pPr>
      <w:r>
        <w:rPr>
          <w:rFonts w:ascii="Cambria" w:hAnsi="Cambria"/>
          <w:sz w:val="22"/>
        </w:rPr>
        <w:t xml:space="preserve">54. </w:t>
      </w:r>
      <w:r>
        <w:rPr>
          <w:rFonts w:ascii="Cambria" w:hAnsi="Cambria"/>
          <w:sz w:val="22"/>
        </w:rPr>
        <w:t>Environmental and Green Audits in Higher Education Institutions: Aligning with NEP 2020, SDGs, NAAC, NBA, NIRF, and QS I-GAUGE, Kindle Edition, ASIN: B0FSX25SNW</w:t>
      </w:r>
    </w:p>
    <w:p>
      <w:pPr>
        <w:spacing w:after="80"/>
        <w:ind w:left="357"/>
      </w:pPr>
      <w:r>
        <w:rPr>
          <w:rFonts w:ascii="Cambria" w:hAnsi="Cambria"/>
          <w:color w:val="0563C1"/>
          <w:sz w:val="22"/>
          <w:u w:val="single"/>
        </w:rPr>
        <w:t>https://amzn.in/d/5ZRbuMt</w:t>
      </w:r>
    </w:p>
    <w:p>
      <w:pPr>
        <w:spacing w:after="80"/>
        <w:ind w:left="357" w:hanging="357"/>
      </w:pPr>
      <w:r>
        <w:rPr>
          <w:rFonts w:ascii="Cambria" w:hAnsi="Cambria"/>
          <w:sz w:val="22"/>
        </w:rPr>
        <w:t xml:space="preserve">55. </w:t>
      </w:r>
      <w:r>
        <w:rPr>
          <w:rFonts w:ascii="Cambria" w:hAnsi="Cambria"/>
          <w:sz w:val="22"/>
        </w:rPr>
        <w:t>Head of the Department (HoD) in Higher Education Institutions: Roles and Responsibilities in Academic Activities: Mapping Academic Leadership to NBA, NAAC, NIRF, and QS I-GAUGE Frameworks, Kindle Edition, ASIN: B0FSZL68RT</w:t>
      </w:r>
    </w:p>
    <w:p>
      <w:pPr>
        <w:spacing w:after="80"/>
        <w:ind w:left="357"/>
      </w:pPr>
      <w:r>
        <w:rPr>
          <w:rFonts w:ascii="Cambria" w:hAnsi="Cambria"/>
          <w:color w:val="0563C1"/>
          <w:sz w:val="22"/>
          <w:u w:val="single"/>
        </w:rPr>
        <w:t>https://amzn.in/d/hdb0Dsf</w:t>
      </w:r>
    </w:p>
    <w:p>
      <w:pPr>
        <w:spacing w:after="80"/>
        <w:ind w:left="357" w:hanging="357"/>
      </w:pPr>
      <w:r>
        <w:rPr>
          <w:rFonts w:ascii="Cambria" w:hAnsi="Cambria"/>
          <w:sz w:val="22"/>
        </w:rPr>
        <w:t xml:space="preserve">56. </w:t>
      </w:r>
      <w:r>
        <w:rPr>
          <w:rFonts w:ascii="Cambria" w:hAnsi="Cambria"/>
          <w:sz w:val="22"/>
        </w:rPr>
        <w:t>Head of the Department (HoD) in Higher Education Institutions: Roles and Responsibilities in R&amp;D Activities: Mapping R&amp;D Leadership to NBA, NAAC, NIRF, and QS I-GAUGE Frameworks, Kindle Edition, ASIN: B0FT3HSTPR</w:t>
      </w:r>
    </w:p>
    <w:p>
      <w:pPr>
        <w:spacing w:after="80"/>
        <w:ind w:left="357"/>
      </w:pPr>
      <w:r>
        <w:rPr>
          <w:rFonts w:ascii="Cambria" w:hAnsi="Cambria"/>
          <w:color w:val="0563C1"/>
          <w:sz w:val="22"/>
          <w:u w:val="single"/>
        </w:rPr>
        <w:t>https://amzn.in/d/7R8kSFY</w:t>
      </w:r>
    </w:p>
    <w:p>
      <w:pPr>
        <w:spacing w:after="80"/>
        <w:ind w:left="357" w:hanging="357"/>
      </w:pPr>
      <w:r>
        <w:rPr>
          <w:rFonts w:ascii="Cambria" w:hAnsi="Cambria"/>
          <w:sz w:val="22"/>
        </w:rPr>
        <w:t xml:space="preserve">57. </w:t>
      </w:r>
      <w:r>
        <w:rPr>
          <w:rFonts w:ascii="Cambria" w:hAnsi="Cambria"/>
          <w:sz w:val="22"/>
        </w:rPr>
        <w:t>Head of the Department (HoD) in Higher Education Institutions: Roles and Responsibilities in Industry Relations, Placements (IRP), and Consultancy Activities, Kindle Edition, ASIN: B0FT5CG3F7</w:t>
      </w:r>
    </w:p>
    <w:p>
      <w:pPr>
        <w:spacing w:after="80"/>
        <w:ind w:left="357"/>
      </w:pPr>
      <w:r>
        <w:rPr>
          <w:rFonts w:ascii="Cambria" w:hAnsi="Cambria"/>
          <w:color w:val="0563C1"/>
          <w:sz w:val="22"/>
          <w:u w:val="single"/>
        </w:rPr>
        <w:t>https://amzn.in/d/1NcElZa</w:t>
      </w:r>
    </w:p>
    <w:p>
      <w:pPr>
        <w:spacing w:after="80"/>
        <w:ind w:left="357" w:hanging="357"/>
      </w:pPr>
      <w:r>
        <w:rPr>
          <w:rFonts w:ascii="Cambria" w:hAnsi="Cambria"/>
          <w:sz w:val="22"/>
        </w:rPr>
        <w:t xml:space="preserve">58. </w:t>
      </w:r>
      <w:r>
        <w:rPr>
          <w:rFonts w:ascii="Cambria" w:hAnsi="Cambria"/>
          <w:sz w:val="22"/>
        </w:rPr>
        <w:t>Executive and Leadership Structure of Universities: Strategic Responsibilities in Higher Education Administration in India, Kindle Edition, ASIN: B0FT626567</w:t>
      </w:r>
    </w:p>
    <w:p>
      <w:pPr>
        <w:spacing w:after="80"/>
        <w:ind w:left="357"/>
      </w:pPr>
      <w:r>
        <w:rPr>
          <w:rFonts w:ascii="Cambria" w:hAnsi="Cambria"/>
          <w:color w:val="0563C1"/>
          <w:sz w:val="22"/>
          <w:u w:val="single"/>
        </w:rPr>
        <w:t>https://amzn.in/d/6CmlGtm</w:t>
      </w:r>
    </w:p>
    <w:p>
      <w:pPr>
        <w:spacing w:after="80"/>
        <w:ind w:left="357" w:hanging="357"/>
      </w:pPr>
      <w:r>
        <w:rPr>
          <w:rFonts w:ascii="Cambria" w:hAnsi="Cambria"/>
          <w:sz w:val="22"/>
        </w:rPr>
        <w:t xml:space="preserve">59. </w:t>
      </w:r>
      <w:r>
        <w:rPr>
          <w:rFonts w:ascii="Cambria" w:hAnsi="Cambria"/>
          <w:sz w:val="22"/>
        </w:rPr>
        <w:t>Institutional Seed Money and Internal Research Grant Policy in Higher Educational Institutions (HEIs), Kindle Edition, ASIN: B0CWKLY55W</w:t>
      </w:r>
    </w:p>
    <w:p>
      <w:pPr>
        <w:spacing w:after="80"/>
        <w:ind w:left="357"/>
      </w:pPr>
      <w:r>
        <w:rPr>
          <w:rFonts w:ascii="Cambria" w:hAnsi="Cambria"/>
          <w:color w:val="0563C1"/>
          <w:sz w:val="22"/>
          <w:u w:val="single"/>
        </w:rPr>
        <w:t>https://amzn.in/d/h7uwCI5</w:t>
      </w:r>
    </w:p>
    <w:p>
      <w:pPr>
        <w:spacing w:after="80"/>
        <w:ind w:left="357" w:hanging="357"/>
      </w:pPr>
      <w:r>
        <w:rPr>
          <w:rFonts w:ascii="Cambria" w:hAnsi="Cambria"/>
          <w:sz w:val="22"/>
        </w:rPr>
        <w:t xml:space="preserve">60. </w:t>
      </w:r>
      <w:r>
        <w:rPr>
          <w:rFonts w:ascii="Cambria" w:hAnsi="Cambria"/>
          <w:sz w:val="22"/>
        </w:rPr>
        <w:t>Dean – Student Affairs (DoSA): Strategic Framework for Student Support and Progression: Mapping of DoSA to NBA, NAAC and QS I-GAUGE , Kindle Edition, ASIN : B0FWZQXJVJ</w:t>
      </w:r>
    </w:p>
    <w:p>
      <w:pPr>
        <w:spacing w:after="80"/>
        <w:ind w:left="357"/>
      </w:pPr>
      <w:r>
        <w:rPr>
          <w:rFonts w:ascii="Cambria" w:hAnsi="Cambria"/>
          <w:color w:val="0563C1"/>
          <w:sz w:val="22"/>
          <w:u w:val="single"/>
        </w:rPr>
        <w:t>https://amzn.in/d/3kVcEsM</w:t>
      </w:r>
    </w:p>
    <w:p>
      <w:pPr>
        <w:spacing w:after="80"/>
        <w:ind w:left="357" w:hanging="357"/>
      </w:pPr>
      <w:r>
        <w:rPr>
          <w:rFonts w:ascii="Cambria" w:hAnsi="Cambria"/>
          <w:sz w:val="22"/>
        </w:rPr>
        <w:t xml:space="preserve">61. </w:t>
      </w:r>
      <w:r>
        <w:rPr>
          <w:rFonts w:ascii="Cambria" w:hAnsi="Cambria"/>
          <w:sz w:val="22"/>
        </w:rPr>
        <w:t>Extracurricular Activities in Higher Education Institutions: Framework for Holistic Student Development, Employability, and Accreditation Excellence, Kindle Edition, ASIN : B0DJG376PF</w:t>
      </w:r>
    </w:p>
    <w:p>
      <w:pPr>
        <w:spacing w:after="80"/>
        <w:ind w:left="357"/>
      </w:pPr>
      <w:r>
        <w:rPr>
          <w:rFonts w:ascii="Cambria" w:hAnsi="Cambria"/>
          <w:color w:val="0563C1"/>
          <w:sz w:val="22"/>
          <w:u w:val="single"/>
        </w:rPr>
        <w:t>https://amzn.in/d/85POtYd</w:t>
      </w:r>
    </w:p>
    <w:p>
      <w:pPr>
        <w:spacing w:after="80"/>
        <w:ind w:left="357" w:hanging="357"/>
      </w:pPr>
      <w:r>
        <w:rPr>
          <w:rFonts w:ascii="Cambria" w:hAnsi="Cambria"/>
          <w:sz w:val="22"/>
        </w:rPr>
        <w:t xml:space="preserve">62. </w:t>
      </w:r>
      <w:r>
        <w:rPr>
          <w:rFonts w:ascii="Cambria" w:hAnsi="Cambria"/>
          <w:sz w:val="22"/>
        </w:rPr>
        <w:t>Comprehensive Policy Framework for External Faculty Engagement (Visiting Faculty, Adjunct Faculty and Professor of Practice) in Higher Education Institutions (HEIs), Kindle Edition, ASIN : B0FXFK3RXK</w:t>
      </w:r>
    </w:p>
    <w:p>
      <w:pPr>
        <w:spacing w:after="80"/>
        <w:ind w:left="357"/>
      </w:pPr>
      <w:r>
        <w:rPr>
          <w:rFonts w:ascii="Cambria" w:hAnsi="Cambria"/>
          <w:color w:val="0563C1"/>
          <w:sz w:val="22"/>
          <w:u w:val="single"/>
        </w:rPr>
        <w:t>https://amzn.in/d/0L0QNbO</w:t>
      </w:r>
    </w:p>
    <w:p>
      <w:pPr>
        <w:spacing w:after="80"/>
        <w:ind w:left="357" w:hanging="357"/>
      </w:pPr>
      <w:r>
        <w:rPr>
          <w:rFonts w:ascii="Cambria" w:hAnsi="Cambria"/>
          <w:sz w:val="22"/>
        </w:rPr>
        <w:t xml:space="preserve">63. </w:t>
      </w:r>
      <w:r>
        <w:rPr>
          <w:rFonts w:ascii="Cambria" w:hAnsi="Cambria"/>
          <w:sz w:val="22"/>
        </w:rPr>
        <w:t>Comprehensive Policy Framework for Innovation, Incubation, and Startup Development (IISP) in Higher Education Institutions (HEIs), Kindle Edition, ASIN : B0FXKL7HVX</w:t>
      </w:r>
    </w:p>
    <w:p>
      <w:pPr>
        <w:spacing w:after="80"/>
        <w:ind w:left="357"/>
      </w:pPr>
      <w:r>
        <w:rPr>
          <w:rFonts w:ascii="Cambria" w:hAnsi="Cambria"/>
          <w:color w:val="0563C1"/>
          <w:sz w:val="22"/>
          <w:u w:val="single"/>
        </w:rPr>
        <w:t>https://amzn.in/d/eGkLnl5</w:t>
      </w:r>
    </w:p>
    <w:p>
      <w:pPr>
        <w:spacing w:after="80"/>
        <w:ind w:left="357" w:hanging="357"/>
      </w:pPr>
      <w:r>
        <w:rPr>
          <w:rFonts w:ascii="Cambria" w:hAnsi="Cambria"/>
          <w:sz w:val="22"/>
        </w:rPr>
        <w:t xml:space="preserve">64. </w:t>
      </w:r>
      <w:r>
        <w:rPr>
          <w:rFonts w:ascii="Cambria" w:hAnsi="Cambria"/>
          <w:sz w:val="22"/>
        </w:rPr>
        <w:t>Comprehensive Guide to Outcome-Based Course File Documentation in Engineering Education: Aligned with NBA, NAAC, and AICTE Outcome-Based Education Frameworks, Kindle Edition, ASIN: B0FZ8SMP1Z</w:t>
      </w:r>
    </w:p>
    <w:p>
      <w:pPr>
        <w:spacing w:after="80"/>
        <w:ind w:left="357"/>
      </w:pPr>
      <w:r>
        <w:rPr>
          <w:rFonts w:ascii="Cambria" w:hAnsi="Cambria"/>
          <w:color w:val="0563C1"/>
          <w:sz w:val="22"/>
          <w:u w:val="single"/>
        </w:rPr>
        <w:t>https://amzn.in/d/cRPjrp0</w:t>
      </w:r>
    </w:p>
    <w:p>
      <w:pPr>
        <w:keepNext/>
        <w:spacing w:before="200" w:after="160"/>
      </w:pPr>
      <w:r>
        <w:rPr>
          <w:rFonts w:ascii="Cambria" w:hAnsi="Cambria"/>
          <w:b/>
          <w:color w:val="1F3A5F"/>
          <w:sz w:val="30"/>
        </w:rPr>
        <w:t>SDGs</w:t>
      </w:r>
    </w:p>
    <w:p>
      <w:pPr>
        <w:spacing w:after="80"/>
        <w:ind w:left="357" w:hanging="357"/>
      </w:pPr>
      <w:r>
        <w:rPr>
          <w:rFonts w:ascii="Cambria" w:hAnsi="Cambria"/>
          <w:sz w:val="22"/>
        </w:rPr>
        <w:t xml:space="preserve">65. </w:t>
      </w:r>
      <w:r>
        <w:rPr>
          <w:rFonts w:ascii="Cambria" w:hAnsi="Cambria"/>
          <w:sz w:val="22"/>
        </w:rPr>
        <w:t>SDG-1: No Poverty in Higher Education Institutions: Aligning with NAAC, NIRF, NBA, and QS I-GAUGE Frameworks, Kindle Edition, ASIN: B0FRYTT6B1</w:t>
      </w:r>
    </w:p>
    <w:p>
      <w:pPr>
        <w:spacing w:after="80"/>
        <w:ind w:left="357"/>
      </w:pPr>
      <w:r>
        <w:rPr>
          <w:rFonts w:ascii="Cambria" w:hAnsi="Cambria"/>
          <w:color w:val="0563C1"/>
          <w:sz w:val="22"/>
          <w:u w:val="single"/>
        </w:rPr>
        <w:t>https://amzn.in/d/1oTu188</w:t>
      </w:r>
    </w:p>
    <w:p>
      <w:pPr>
        <w:spacing w:after="80"/>
        <w:ind w:left="357" w:hanging="357"/>
      </w:pPr>
      <w:r>
        <w:rPr>
          <w:rFonts w:ascii="Cambria" w:hAnsi="Cambria"/>
          <w:sz w:val="22"/>
        </w:rPr>
        <w:t xml:space="preserve">66. </w:t>
      </w:r>
      <w:r>
        <w:rPr>
          <w:rFonts w:ascii="Cambria" w:hAnsi="Cambria"/>
          <w:sz w:val="22"/>
        </w:rPr>
        <w:t>SDG-2: Zero Hunger in Higher Education Institutions: Aligning with NAAC, NIRF, NBA, and QS I-GAUGE Frameworks, Kindle Edition, ASIN: B0FRYWPQ1N</w:t>
      </w:r>
    </w:p>
    <w:p>
      <w:pPr>
        <w:spacing w:after="80"/>
        <w:ind w:left="357"/>
      </w:pPr>
      <w:r>
        <w:rPr>
          <w:rFonts w:ascii="Cambria" w:hAnsi="Cambria"/>
          <w:color w:val="0563C1"/>
          <w:sz w:val="22"/>
          <w:u w:val="single"/>
        </w:rPr>
        <w:t>https://amzn.in/d/2RlKCrz</w:t>
      </w:r>
    </w:p>
    <w:p>
      <w:pPr>
        <w:spacing w:after="80"/>
        <w:ind w:left="357" w:hanging="357"/>
      </w:pPr>
      <w:r>
        <w:rPr>
          <w:rFonts w:ascii="Cambria" w:hAnsi="Cambria"/>
          <w:sz w:val="22"/>
        </w:rPr>
        <w:t xml:space="preserve">67. </w:t>
      </w:r>
      <w:r>
        <w:rPr>
          <w:rFonts w:ascii="Cambria" w:hAnsi="Cambria"/>
          <w:sz w:val="22"/>
        </w:rPr>
        <w:t>SDG-3: Good Health and Well-Being in Higher Education Institutions: Aligning with NAAC, NIRF, NBA, and QS I-GAUGE Frameworks, Kindle Edition, ASIN: B0FWJQS1DK</w:t>
      </w:r>
    </w:p>
    <w:p>
      <w:pPr>
        <w:spacing w:after="80"/>
        <w:ind w:left="357"/>
      </w:pPr>
      <w:r>
        <w:rPr>
          <w:rFonts w:ascii="Cambria" w:hAnsi="Cambria"/>
          <w:color w:val="0563C1"/>
          <w:sz w:val="22"/>
          <w:u w:val="single"/>
        </w:rPr>
        <w:t>https://amzn.in/d/7dbK89Z</w:t>
      </w:r>
    </w:p>
    <w:p>
      <w:pPr>
        <w:spacing w:after="80"/>
        <w:ind w:left="357" w:hanging="357"/>
      </w:pPr>
      <w:r>
        <w:rPr>
          <w:rFonts w:ascii="Cambria" w:hAnsi="Cambria"/>
          <w:sz w:val="22"/>
        </w:rPr>
        <w:t xml:space="preserve">68. </w:t>
      </w:r>
      <w:r>
        <w:rPr>
          <w:rFonts w:ascii="Cambria" w:hAnsi="Cambria"/>
          <w:sz w:val="22"/>
        </w:rPr>
        <w:t>SDG-4: Quality Education in Higher Education Institutions: Aligning with NAAC, NIRF, NBA, and QS I-GAUGE Frameworks, Kindle Edition, ASIN: B0FVDRFW1R</w:t>
      </w:r>
    </w:p>
    <w:p>
      <w:pPr>
        <w:spacing w:after="80"/>
        <w:ind w:left="357"/>
      </w:pPr>
      <w:r>
        <w:rPr>
          <w:rFonts w:ascii="Cambria" w:hAnsi="Cambria"/>
          <w:color w:val="0563C1"/>
          <w:sz w:val="22"/>
          <w:u w:val="single"/>
        </w:rPr>
        <w:t>https://amzn.in/d/aRKVWFv</w:t>
      </w:r>
    </w:p>
    <w:p>
      <w:pPr>
        <w:spacing w:after="80"/>
        <w:ind w:left="357" w:hanging="357"/>
      </w:pPr>
      <w:r>
        <w:rPr>
          <w:rFonts w:ascii="Cambria" w:hAnsi="Cambria"/>
          <w:sz w:val="22"/>
        </w:rPr>
        <w:t xml:space="preserve">69. </w:t>
      </w:r>
      <w:r>
        <w:rPr>
          <w:rFonts w:ascii="Cambria" w:hAnsi="Cambria"/>
          <w:sz w:val="22"/>
        </w:rPr>
        <w:t>SDG-5: Gender Equality in Higher Education Institutions: Aligning with NAAC, NIRF, NBA, and QS I-GAUGE Frameworks, Kindle Edition, ASIN : B0FVS6QH5H</w:t>
      </w:r>
    </w:p>
    <w:p>
      <w:pPr>
        <w:spacing w:after="80"/>
        <w:ind w:left="357"/>
      </w:pPr>
      <w:r>
        <w:rPr>
          <w:rFonts w:ascii="Cambria" w:hAnsi="Cambria"/>
          <w:color w:val="0563C1"/>
          <w:sz w:val="22"/>
          <w:u w:val="single"/>
        </w:rPr>
        <w:t>https://amzn.in/d/bZdzy2n</w:t>
      </w:r>
    </w:p>
    <w:p>
      <w:pPr>
        <w:spacing w:after="80"/>
        <w:ind w:left="357" w:hanging="357"/>
      </w:pPr>
      <w:r>
        <w:rPr>
          <w:rFonts w:ascii="Cambria" w:hAnsi="Cambria"/>
          <w:sz w:val="22"/>
        </w:rPr>
        <w:t xml:space="preserve">70. </w:t>
      </w:r>
      <w:r>
        <w:rPr>
          <w:rFonts w:ascii="Cambria" w:hAnsi="Cambria"/>
          <w:sz w:val="22"/>
        </w:rPr>
        <w:t>SDG-6: Clean Water and Sanitation in Higher Education Institutions: Aligning with NAAC, NIRF, NBA, and QS I-GAUGE Frameworks, Kindle Edition, ASIN: B0FSCB6SDL</w:t>
      </w:r>
    </w:p>
    <w:p>
      <w:pPr>
        <w:spacing w:after="80"/>
        <w:ind w:left="357"/>
      </w:pPr>
      <w:r>
        <w:rPr>
          <w:rFonts w:ascii="Cambria" w:hAnsi="Cambria"/>
          <w:color w:val="0563C1"/>
          <w:sz w:val="22"/>
          <w:u w:val="single"/>
        </w:rPr>
        <w:t>https://amzn.in/d/gX6SiHT</w:t>
      </w:r>
    </w:p>
    <w:p>
      <w:pPr>
        <w:spacing w:after="80"/>
        <w:ind w:left="357" w:hanging="357"/>
      </w:pPr>
      <w:r>
        <w:rPr>
          <w:rFonts w:ascii="Cambria" w:hAnsi="Cambria"/>
          <w:sz w:val="22"/>
        </w:rPr>
        <w:t xml:space="preserve">71. </w:t>
      </w:r>
      <w:r>
        <w:rPr>
          <w:rFonts w:ascii="Cambria" w:hAnsi="Cambria"/>
          <w:sz w:val="22"/>
        </w:rPr>
        <w:t>SDG-7: Affordable and Clean Energy in Higher Education Institutions: Aligning with NAAC, NIRF, NBA, and QS I-GAUGE Frameworks, Kindle Edition, ASIN: B0FS9SYXC7</w:t>
      </w:r>
    </w:p>
    <w:p>
      <w:pPr>
        <w:spacing w:after="80"/>
        <w:ind w:left="357"/>
      </w:pPr>
      <w:r>
        <w:rPr>
          <w:rFonts w:ascii="Cambria" w:hAnsi="Cambria"/>
          <w:color w:val="0563C1"/>
          <w:sz w:val="22"/>
          <w:u w:val="single"/>
        </w:rPr>
        <w:t>https://amzn.in/d/bErE7x8</w:t>
      </w:r>
    </w:p>
    <w:p>
      <w:pPr>
        <w:spacing w:after="80"/>
        <w:ind w:left="357" w:hanging="357"/>
      </w:pPr>
      <w:r>
        <w:rPr>
          <w:rFonts w:ascii="Cambria" w:hAnsi="Cambria"/>
          <w:sz w:val="22"/>
        </w:rPr>
        <w:t xml:space="preserve">72. </w:t>
      </w:r>
      <w:r>
        <w:rPr>
          <w:rFonts w:ascii="Cambria" w:hAnsi="Cambria"/>
          <w:sz w:val="22"/>
        </w:rPr>
        <w:t>SDG-8: Decent Work and Economic Growth in Higher Education Institutions: Aligning with NAAC, NIRF, NBA, and QS I-GAUGE Frameworks, Kindle Edition, ASIN: B0FWR2PH33</w:t>
      </w:r>
    </w:p>
    <w:p>
      <w:pPr>
        <w:spacing w:after="80"/>
        <w:ind w:left="357"/>
      </w:pPr>
      <w:r>
        <w:rPr>
          <w:rFonts w:ascii="Cambria" w:hAnsi="Cambria"/>
          <w:color w:val="0563C1"/>
          <w:sz w:val="22"/>
          <w:u w:val="single"/>
        </w:rPr>
        <w:t>https://amzn.in/d/2hizjjW</w:t>
      </w:r>
    </w:p>
    <w:p>
      <w:pPr>
        <w:spacing w:after="80"/>
        <w:ind w:left="357" w:hanging="357"/>
      </w:pPr>
      <w:r>
        <w:rPr>
          <w:rFonts w:ascii="Cambria" w:hAnsi="Cambria"/>
          <w:sz w:val="22"/>
        </w:rPr>
        <w:t xml:space="preserve">73. </w:t>
      </w:r>
      <w:r>
        <w:rPr>
          <w:rFonts w:ascii="Cambria" w:hAnsi="Cambria"/>
          <w:sz w:val="22"/>
        </w:rPr>
        <w:t>SDG-9: Industry, Innovation and Infrastructure in Higher Education Institutions: Aligning with NAAC, NIRF, NBA, and QS I-GAUGE Frameworks, Kindle Edition, ASIN: B0FY1WHBFG</w:t>
      </w:r>
    </w:p>
    <w:p>
      <w:pPr>
        <w:spacing w:after="80"/>
        <w:ind w:left="357"/>
      </w:pPr>
      <w:r>
        <w:rPr>
          <w:rFonts w:ascii="Cambria" w:hAnsi="Cambria"/>
          <w:color w:val="0563C1"/>
          <w:sz w:val="22"/>
          <w:u w:val="single"/>
        </w:rPr>
        <w:t>https://amzn.in/d/ftl1Ul6</w:t>
      </w:r>
    </w:p>
    <w:p>
      <w:pPr>
        <w:spacing w:after="80"/>
        <w:ind w:left="357" w:hanging="357"/>
      </w:pPr>
      <w:r>
        <w:rPr>
          <w:rFonts w:ascii="Cambria" w:hAnsi="Cambria"/>
          <w:sz w:val="22"/>
        </w:rPr>
        <w:t xml:space="preserve">74. </w:t>
      </w:r>
      <w:r>
        <w:rPr>
          <w:rFonts w:ascii="Cambria" w:hAnsi="Cambria"/>
          <w:sz w:val="22"/>
        </w:rPr>
        <w:t>SDG-10: Reduced Inequalities in Higher Education Institutions: Aligning with NAAC, NIRF, NBA, and QS I-GAUGE Frameworks, Kindle Edition, ASIN: B0FXQRJBSN</w:t>
      </w:r>
    </w:p>
    <w:p>
      <w:pPr>
        <w:spacing w:after="80"/>
        <w:ind w:left="357"/>
      </w:pPr>
      <w:r>
        <w:rPr>
          <w:rFonts w:ascii="Cambria" w:hAnsi="Cambria"/>
          <w:color w:val="0563C1"/>
          <w:sz w:val="22"/>
          <w:u w:val="single"/>
        </w:rPr>
        <w:t>https://amzn.in/d/7DeGbt8</w:t>
      </w:r>
    </w:p>
    <w:p>
      <w:pPr>
        <w:spacing w:after="80"/>
        <w:ind w:left="357" w:hanging="357"/>
      </w:pPr>
      <w:r>
        <w:rPr>
          <w:rFonts w:ascii="Cambria" w:hAnsi="Cambria"/>
          <w:sz w:val="22"/>
        </w:rPr>
        <w:t xml:space="preserve">75. </w:t>
      </w:r>
      <w:r>
        <w:rPr>
          <w:rFonts w:ascii="Cambria" w:hAnsi="Cambria"/>
          <w:sz w:val="22"/>
        </w:rPr>
        <w:t>SDG-11: Sustainable Cities and Communities in Higher Education Institutions: Aligning with NAAC, NIRF, NBA, and QS I-GAUGE Frameworks, Kindle Edition, ASIN: B0FS181BL2,</w:t>
      </w:r>
    </w:p>
    <w:p>
      <w:pPr>
        <w:spacing w:after="80"/>
        <w:ind w:left="357"/>
      </w:pPr>
      <w:r>
        <w:rPr>
          <w:rFonts w:ascii="Cambria" w:hAnsi="Cambria"/>
          <w:color w:val="0563C1"/>
          <w:sz w:val="22"/>
          <w:u w:val="single"/>
        </w:rPr>
        <w:t>https://amzn.in/d/3sv8FFT</w:t>
      </w:r>
    </w:p>
    <w:p>
      <w:pPr>
        <w:spacing w:after="80"/>
        <w:ind w:left="357" w:hanging="357"/>
      </w:pPr>
      <w:r>
        <w:rPr>
          <w:rFonts w:ascii="Cambria" w:hAnsi="Cambria"/>
          <w:sz w:val="22"/>
        </w:rPr>
        <w:t xml:space="preserve">76. </w:t>
      </w:r>
      <w:r>
        <w:rPr>
          <w:rFonts w:ascii="Cambria" w:hAnsi="Cambria"/>
          <w:sz w:val="22"/>
        </w:rPr>
        <w:t>SDG-12: Responsible Consumption and Production: Aligning with NAAC, NIRF, NBA, and QS I-GAUGE Frameworks, Kindle Edition, ASIN: B0FX3QJ8RV</w:t>
      </w:r>
    </w:p>
    <w:p>
      <w:pPr>
        <w:spacing w:after="80"/>
        <w:ind w:left="357"/>
      </w:pPr>
      <w:r>
        <w:rPr>
          <w:rFonts w:ascii="Cambria" w:hAnsi="Cambria"/>
          <w:color w:val="0563C1"/>
          <w:sz w:val="22"/>
          <w:u w:val="single"/>
        </w:rPr>
        <w:t>https://amzn.in/d/3sICeRi</w:t>
      </w:r>
    </w:p>
    <w:p>
      <w:pPr>
        <w:spacing w:after="80"/>
        <w:ind w:left="357" w:hanging="357"/>
      </w:pPr>
      <w:r>
        <w:rPr>
          <w:rFonts w:ascii="Cambria" w:hAnsi="Cambria"/>
          <w:sz w:val="22"/>
        </w:rPr>
        <w:t xml:space="preserve">77. </w:t>
      </w:r>
      <w:r>
        <w:rPr>
          <w:rFonts w:ascii="Cambria" w:hAnsi="Cambria"/>
          <w:sz w:val="22"/>
        </w:rPr>
        <w:t>SDG-13: Climate action in Higher Education Institutions: Aligning with NAAC, NIRF, NBA, and QS I-GAUGE Frameworks, Kindle Edition, ASIN: B0FYQ6N2YW</w:t>
      </w:r>
    </w:p>
    <w:p>
      <w:pPr>
        <w:spacing w:after="80"/>
        <w:ind w:left="357"/>
      </w:pPr>
      <w:r>
        <w:rPr>
          <w:rFonts w:ascii="Cambria" w:hAnsi="Cambria"/>
          <w:color w:val="0563C1"/>
          <w:sz w:val="22"/>
          <w:u w:val="single"/>
        </w:rPr>
        <w:t>https://amzn.in/d/296oEOV</w:t>
      </w:r>
    </w:p>
    <w:p>
      <w:pPr>
        <w:spacing w:after="80"/>
        <w:ind w:left="357" w:hanging="357"/>
      </w:pPr>
      <w:r>
        <w:rPr>
          <w:rFonts w:ascii="Cambria" w:hAnsi="Cambria"/>
          <w:sz w:val="22"/>
        </w:rPr>
        <w:t xml:space="preserve">78. </w:t>
      </w:r>
      <w:r>
        <w:rPr>
          <w:rFonts w:ascii="Cambria" w:hAnsi="Cambria"/>
          <w:sz w:val="22"/>
        </w:rPr>
        <w:t>Broadening and Consolidating the Integration of ESDGs in University Systems: Aligning with NAAC, NIRF, NBA, and QS I-GAUGE Frameworks, Kindle Edition, ASIN: B0FYDBPKK7</w:t>
      </w:r>
    </w:p>
    <w:p>
      <w:pPr>
        <w:spacing w:after="80"/>
        <w:ind w:left="357"/>
      </w:pPr>
      <w:r>
        <w:rPr>
          <w:rFonts w:ascii="Cambria" w:hAnsi="Cambria"/>
          <w:color w:val="0563C1"/>
          <w:sz w:val="22"/>
          <w:u w:val="single"/>
        </w:rPr>
        <w:t>https://amzn.in/d/cYhNRaA</w:t>
      </w:r>
    </w:p>
    <w:p>
      <w:pPr>
        <w:spacing w:after="80"/>
        <w:ind w:left="357" w:hanging="357"/>
      </w:pPr>
      <w:r>
        <w:rPr>
          <w:rFonts w:ascii="Cambria" w:hAnsi="Cambria"/>
          <w:sz w:val="22"/>
        </w:rPr>
        <w:t xml:space="preserve">79. </w:t>
      </w:r>
      <w:r>
        <w:rPr>
          <w:rFonts w:ascii="Cambria" w:hAnsi="Cambria"/>
          <w:sz w:val="22"/>
        </w:rPr>
        <w:t>Understanding and Integrating Education for the Sustainable Development Goals (ESDGs) in universities: Aligning with NAAC, NIRF, NBA, and QS I-GAUGE Frameworks, Kindle Edition, ASIN: B0FYMVW3M5</w:t>
      </w:r>
    </w:p>
    <w:p>
      <w:pPr>
        <w:spacing w:after="80"/>
        <w:ind w:left="357"/>
      </w:pPr>
      <w:r>
        <w:rPr>
          <w:rFonts w:ascii="Cambria" w:hAnsi="Cambria"/>
          <w:color w:val="0563C1"/>
          <w:sz w:val="22"/>
          <w:u w:val="single"/>
        </w:rPr>
        <w:t>https://amzn.in/d/93AcIOZ</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